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43FE64" w14:textId="77777777" w:rsidR="00F80B08" w:rsidRDefault="00F80B08" w:rsidP="00F80B08">
      <w:pPr>
        <w:spacing w:line="360" w:lineRule="auto"/>
        <w:jc w:val="center"/>
        <w:rPr>
          <w:rFonts w:ascii="Arial" w:hAnsi="Arial" w:cs="Arial"/>
        </w:rPr>
      </w:pPr>
      <w:r>
        <w:rPr>
          <w:rFonts w:ascii="Arial" w:hAnsi="Arial" w:cs="Arial"/>
        </w:rPr>
        <w:tab/>
      </w:r>
    </w:p>
    <w:p w14:paraId="55C29075" w14:textId="77777777" w:rsidR="00F80B08" w:rsidRDefault="00F80B08" w:rsidP="00F80B08">
      <w:pPr>
        <w:spacing w:line="360" w:lineRule="auto"/>
        <w:jc w:val="center"/>
        <w:rPr>
          <w:rFonts w:ascii="Arial" w:hAnsi="Arial" w:cs="Arial"/>
        </w:rPr>
      </w:pPr>
    </w:p>
    <w:p w14:paraId="61808E9D" w14:textId="43DE0B8A" w:rsidR="00F80B08" w:rsidRDefault="00F80B08" w:rsidP="00F80B08">
      <w:pPr>
        <w:spacing w:line="360" w:lineRule="auto"/>
        <w:jc w:val="center"/>
        <w:rPr>
          <w:rFonts w:ascii="Arial" w:hAnsi="Arial" w:cs="Arial"/>
        </w:rPr>
      </w:pPr>
      <w:r w:rsidRPr="00B676AA">
        <w:rPr>
          <w:noProof/>
          <w:sz w:val="24"/>
          <w:szCs w:val="24"/>
          <w:highlight w:val="white"/>
          <w:lang w:val="en-IN" w:eastAsia="en-IN"/>
        </w:rPr>
        <w:drawing>
          <wp:inline distT="114300" distB="114300" distL="114300" distR="114300" wp14:anchorId="386D8C98" wp14:editId="5DB7666E">
            <wp:extent cx="2209800" cy="866775"/>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209800" cy="866775"/>
                    </a:xfrm>
                    <a:prstGeom prst="rect">
                      <a:avLst/>
                    </a:prstGeom>
                    <a:ln w="12700">
                      <a:solidFill>
                        <a:srgbClr val="000000"/>
                      </a:solidFill>
                      <a:prstDash val="solid"/>
                    </a:ln>
                  </pic:spPr>
                </pic:pic>
              </a:graphicData>
            </a:graphic>
          </wp:inline>
        </w:drawing>
      </w:r>
    </w:p>
    <w:p w14:paraId="490E42A8" w14:textId="77777777" w:rsidR="00F80B08" w:rsidRDefault="00F80B08" w:rsidP="00F80B08">
      <w:pPr>
        <w:spacing w:line="360" w:lineRule="auto"/>
        <w:jc w:val="center"/>
        <w:rPr>
          <w:rFonts w:ascii="Arial" w:hAnsi="Arial" w:cs="Arial"/>
        </w:rPr>
      </w:pPr>
    </w:p>
    <w:p w14:paraId="3C55ADA0" w14:textId="77777777" w:rsidR="00F80B08" w:rsidRDefault="00F80B08" w:rsidP="00F80B08">
      <w:pPr>
        <w:spacing w:line="360" w:lineRule="auto"/>
        <w:jc w:val="center"/>
        <w:rPr>
          <w:rFonts w:ascii="Arial" w:hAnsi="Arial" w:cs="Arial"/>
        </w:rPr>
      </w:pPr>
    </w:p>
    <w:p w14:paraId="223B6D65" w14:textId="77777777" w:rsidR="00F80B08" w:rsidRDefault="00F80B08" w:rsidP="00F80B08">
      <w:pPr>
        <w:spacing w:line="360" w:lineRule="auto"/>
        <w:jc w:val="center"/>
        <w:rPr>
          <w:rFonts w:ascii="Arial" w:hAnsi="Arial" w:cs="Arial"/>
        </w:rPr>
      </w:pPr>
    </w:p>
    <w:p w14:paraId="6AA45497" w14:textId="3DF2AF4A" w:rsidR="00F80B08" w:rsidRPr="00AE17A5" w:rsidRDefault="00F80B08" w:rsidP="008C1C4C">
      <w:pPr>
        <w:spacing w:line="360" w:lineRule="auto"/>
        <w:jc w:val="center"/>
        <w:rPr>
          <w:rFonts w:ascii="Arial" w:hAnsi="Arial" w:cs="Arial"/>
          <w:b/>
          <w:sz w:val="32"/>
          <w:szCs w:val="32"/>
          <w:highlight w:val="white"/>
        </w:rPr>
      </w:pPr>
      <w:r w:rsidRPr="00AE17A5">
        <w:rPr>
          <w:rFonts w:ascii="Arial" w:hAnsi="Arial" w:cs="Arial"/>
          <w:b/>
          <w:sz w:val="32"/>
          <w:szCs w:val="32"/>
          <w:highlight w:val="white"/>
        </w:rPr>
        <w:t>Programme: Master of Business Administration</w:t>
      </w:r>
    </w:p>
    <w:p w14:paraId="3D4E0909" w14:textId="77777777" w:rsidR="00F80B08" w:rsidRPr="00AE17A5" w:rsidRDefault="00F80B08" w:rsidP="008C1C4C">
      <w:pPr>
        <w:spacing w:line="360" w:lineRule="auto"/>
        <w:jc w:val="center"/>
        <w:rPr>
          <w:rFonts w:ascii="Arial" w:hAnsi="Arial" w:cs="Arial"/>
          <w:b/>
          <w:sz w:val="32"/>
          <w:szCs w:val="32"/>
          <w:highlight w:val="white"/>
        </w:rPr>
      </w:pPr>
      <w:r w:rsidRPr="00AE17A5">
        <w:rPr>
          <w:rFonts w:ascii="Arial" w:hAnsi="Arial" w:cs="Arial"/>
          <w:b/>
          <w:sz w:val="32"/>
          <w:szCs w:val="32"/>
          <w:highlight w:val="white"/>
        </w:rPr>
        <w:t>Module Code: LCMB7035</w:t>
      </w:r>
    </w:p>
    <w:p w14:paraId="75BD7DF3" w14:textId="77777777" w:rsidR="00F80B08" w:rsidRPr="00AE17A5" w:rsidRDefault="00F80B08" w:rsidP="008C1C4C">
      <w:pPr>
        <w:spacing w:line="360" w:lineRule="auto"/>
        <w:jc w:val="center"/>
        <w:rPr>
          <w:rFonts w:ascii="Arial" w:hAnsi="Arial" w:cs="Arial"/>
          <w:b/>
          <w:sz w:val="32"/>
          <w:szCs w:val="32"/>
          <w:highlight w:val="white"/>
        </w:rPr>
      </w:pPr>
      <w:r w:rsidRPr="00AE17A5">
        <w:rPr>
          <w:rFonts w:ascii="Arial" w:hAnsi="Arial" w:cs="Arial"/>
          <w:b/>
          <w:sz w:val="32"/>
          <w:szCs w:val="32"/>
          <w:highlight w:val="white"/>
        </w:rPr>
        <w:t xml:space="preserve">Module Name: </w:t>
      </w:r>
      <w:r>
        <w:rPr>
          <w:rFonts w:ascii="Arial" w:hAnsi="Arial" w:cs="Arial"/>
          <w:b/>
          <w:sz w:val="32"/>
          <w:szCs w:val="32"/>
          <w:highlight w:val="white"/>
        </w:rPr>
        <w:t>Dissertation</w:t>
      </w:r>
    </w:p>
    <w:p w14:paraId="0195D1C3" w14:textId="77777777" w:rsidR="00F80B08" w:rsidRPr="00AE17A5" w:rsidRDefault="00F80B08" w:rsidP="008C1C4C">
      <w:pPr>
        <w:spacing w:line="360" w:lineRule="auto"/>
        <w:jc w:val="center"/>
        <w:rPr>
          <w:rFonts w:ascii="Arial" w:hAnsi="Arial" w:cs="Arial"/>
          <w:b/>
          <w:sz w:val="32"/>
          <w:szCs w:val="32"/>
          <w:highlight w:val="white"/>
        </w:rPr>
      </w:pPr>
      <w:r w:rsidRPr="00AE17A5">
        <w:rPr>
          <w:rFonts w:ascii="Arial" w:hAnsi="Arial" w:cs="Arial"/>
          <w:b/>
          <w:sz w:val="32"/>
          <w:szCs w:val="32"/>
          <w:highlight w:val="white"/>
        </w:rPr>
        <w:t>Lecture: Masaud Ibrahim (Birmingham Weekdays &amp; Weekends)</w:t>
      </w:r>
    </w:p>
    <w:p w14:paraId="6B9CCA54" w14:textId="5BC38341" w:rsidR="00F80B08" w:rsidRPr="008C1C4C" w:rsidRDefault="008C1C4C" w:rsidP="008C1C4C">
      <w:pPr>
        <w:spacing w:line="360" w:lineRule="auto"/>
        <w:jc w:val="center"/>
        <w:rPr>
          <w:rFonts w:ascii="Arial" w:hAnsi="Arial" w:cs="Arial"/>
          <w:b/>
          <w:bCs/>
          <w:sz w:val="32"/>
          <w:szCs w:val="32"/>
          <w:highlight w:val="white"/>
        </w:rPr>
      </w:pPr>
      <w:r>
        <w:rPr>
          <w:rFonts w:ascii="Arial" w:hAnsi="Arial" w:cs="Arial"/>
          <w:b/>
          <w:bCs/>
          <w:sz w:val="32"/>
          <w:szCs w:val="32"/>
          <w:highlight w:val="white"/>
        </w:rPr>
        <w:t>Supervisor</w:t>
      </w:r>
      <w:r w:rsidRPr="008C1C4C">
        <w:rPr>
          <w:rFonts w:ascii="Arial" w:hAnsi="Arial" w:cs="Arial"/>
          <w:b/>
          <w:bCs/>
          <w:sz w:val="32"/>
          <w:szCs w:val="32"/>
          <w:highlight w:val="white"/>
        </w:rPr>
        <w:t>: Bentil Oduro</w:t>
      </w:r>
    </w:p>
    <w:p w14:paraId="790AE3F6" w14:textId="77777777" w:rsidR="00F80B08" w:rsidRPr="00B676AA" w:rsidRDefault="00F80B08" w:rsidP="00F80B08">
      <w:pPr>
        <w:spacing w:line="360" w:lineRule="auto"/>
        <w:jc w:val="center"/>
        <w:rPr>
          <w:sz w:val="24"/>
          <w:szCs w:val="24"/>
          <w:highlight w:val="white"/>
        </w:rPr>
      </w:pPr>
    </w:p>
    <w:p w14:paraId="31D84BE1" w14:textId="36DCBCF5" w:rsidR="00F80B08" w:rsidRPr="00AE17A5" w:rsidRDefault="00F80B08" w:rsidP="008C1C4C">
      <w:pPr>
        <w:spacing w:line="360" w:lineRule="auto"/>
        <w:rPr>
          <w:rFonts w:ascii="Arial" w:hAnsi="Arial" w:cs="Arial"/>
          <w:b/>
          <w:bCs/>
          <w:sz w:val="28"/>
          <w:szCs w:val="28"/>
          <w:highlight w:val="white"/>
        </w:rPr>
      </w:pPr>
      <w:r w:rsidRPr="00AE17A5">
        <w:rPr>
          <w:rFonts w:ascii="Arial" w:hAnsi="Arial" w:cs="Arial"/>
          <w:b/>
          <w:bCs/>
          <w:sz w:val="28"/>
          <w:szCs w:val="28"/>
          <w:highlight w:val="white"/>
        </w:rPr>
        <w:t xml:space="preserve">Student Name: </w:t>
      </w:r>
      <w:r>
        <w:rPr>
          <w:rFonts w:ascii="Arial" w:hAnsi="Arial" w:cs="Arial"/>
          <w:b/>
          <w:bCs/>
          <w:sz w:val="28"/>
          <w:szCs w:val="28"/>
          <w:highlight w:val="white"/>
        </w:rPr>
        <w:t>Petru Parasca</w:t>
      </w:r>
    </w:p>
    <w:p w14:paraId="51E3C5C9" w14:textId="4B775A1E" w:rsidR="00F80B08" w:rsidRPr="00AE17A5" w:rsidRDefault="00F80B08" w:rsidP="008C1C4C">
      <w:pPr>
        <w:spacing w:line="360" w:lineRule="auto"/>
        <w:rPr>
          <w:rFonts w:ascii="Arial" w:hAnsi="Arial" w:cs="Arial"/>
          <w:b/>
          <w:bCs/>
          <w:sz w:val="28"/>
          <w:szCs w:val="28"/>
          <w:highlight w:val="white"/>
        </w:rPr>
      </w:pPr>
      <w:r w:rsidRPr="00AE17A5">
        <w:rPr>
          <w:rFonts w:ascii="Arial" w:hAnsi="Arial" w:cs="Arial"/>
          <w:b/>
          <w:bCs/>
          <w:sz w:val="28"/>
          <w:szCs w:val="28"/>
          <w:highlight w:val="white"/>
        </w:rPr>
        <w:t xml:space="preserve">Student ID: </w:t>
      </w:r>
      <w:r>
        <w:rPr>
          <w:rFonts w:ascii="Arial" w:hAnsi="Arial" w:cs="Arial"/>
          <w:b/>
          <w:bCs/>
          <w:sz w:val="28"/>
          <w:szCs w:val="28"/>
          <w:highlight w:val="white"/>
        </w:rPr>
        <w:t>2123010</w:t>
      </w:r>
    </w:p>
    <w:p w14:paraId="55D901D2" w14:textId="2A27A210" w:rsidR="00F80B08" w:rsidRDefault="00F80B08" w:rsidP="00F80B08">
      <w:pPr>
        <w:tabs>
          <w:tab w:val="left" w:pos="576"/>
        </w:tabs>
        <w:spacing w:line="360" w:lineRule="auto"/>
        <w:rPr>
          <w:rFonts w:ascii="Arial" w:hAnsi="Arial" w:cs="Arial"/>
        </w:rPr>
      </w:pPr>
    </w:p>
    <w:p w14:paraId="27E521EA" w14:textId="4D8104D2" w:rsidR="00F80B08" w:rsidRDefault="00F80B08" w:rsidP="00F80B08">
      <w:pPr>
        <w:spacing w:line="360" w:lineRule="auto"/>
        <w:jc w:val="center"/>
        <w:rPr>
          <w:rFonts w:ascii="Arial" w:eastAsiaTheme="majorEastAsia" w:hAnsi="Arial" w:cs="Arial"/>
          <w:color w:val="0F4761" w:themeColor="accent1" w:themeShade="BF"/>
          <w:kern w:val="0"/>
          <w:sz w:val="32"/>
          <w:szCs w:val="32"/>
          <w:lang w:eastAsia="en-GB"/>
          <w14:ligatures w14:val="none"/>
        </w:rPr>
      </w:pPr>
      <w:r w:rsidRPr="00F80B08">
        <w:rPr>
          <w:rFonts w:ascii="Arial" w:hAnsi="Arial" w:cs="Arial"/>
        </w:rPr>
        <w:br w:type="page"/>
      </w:r>
    </w:p>
    <w:sdt>
      <w:sdtPr>
        <w:rPr>
          <w:rFonts w:ascii="Arial" w:eastAsiaTheme="minorHAnsi" w:hAnsi="Arial" w:cs="Arial"/>
          <w:color w:val="auto"/>
          <w:kern w:val="2"/>
          <w:sz w:val="22"/>
          <w:szCs w:val="22"/>
          <w:lang w:eastAsia="en-US"/>
          <w14:ligatures w14:val="standardContextual"/>
        </w:rPr>
        <w:id w:val="-1231534119"/>
        <w:docPartObj>
          <w:docPartGallery w:val="Table of Contents"/>
          <w:docPartUnique/>
        </w:docPartObj>
      </w:sdtPr>
      <w:sdtEndPr>
        <w:rPr>
          <w:b/>
          <w:bCs/>
        </w:rPr>
      </w:sdtEndPr>
      <w:sdtContent>
        <w:p w14:paraId="54170F79" w14:textId="7AAF087A" w:rsidR="00F477C0" w:rsidRPr="00660292" w:rsidRDefault="00F477C0">
          <w:pPr>
            <w:pStyle w:val="TOCHeading"/>
            <w:rPr>
              <w:rFonts w:ascii="Arial" w:hAnsi="Arial" w:cs="Arial"/>
              <w:color w:val="000000" w:themeColor="text1"/>
            </w:rPr>
          </w:pPr>
          <w:r w:rsidRPr="00660292">
            <w:rPr>
              <w:rFonts w:ascii="Arial" w:hAnsi="Arial" w:cs="Arial"/>
              <w:color w:val="000000" w:themeColor="text1"/>
            </w:rPr>
            <w:t>Contents</w:t>
          </w:r>
        </w:p>
        <w:p w14:paraId="61AEC241" w14:textId="406587E2" w:rsidR="00FF03DF" w:rsidRPr="00660292" w:rsidRDefault="00F477C0" w:rsidP="00660292">
          <w:pPr>
            <w:pStyle w:val="TOC1"/>
            <w:rPr>
              <w:rFonts w:ascii="Arial" w:hAnsi="Arial" w:cs="Arial"/>
            </w:rPr>
          </w:pPr>
          <w:r w:rsidRPr="00660292">
            <w:rPr>
              <w:rFonts w:ascii="Arial" w:hAnsi="Arial" w:cs="Arial"/>
            </w:rPr>
            <w:fldChar w:fldCharType="begin"/>
          </w:r>
          <w:r w:rsidRPr="00660292">
            <w:rPr>
              <w:rFonts w:ascii="Arial" w:hAnsi="Arial" w:cs="Arial"/>
            </w:rPr>
            <w:instrText xml:space="preserve"> TOC \o "1-3" \h \z \u </w:instrText>
          </w:r>
          <w:r w:rsidRPr="00660292">
            <w:rPr>
              <w:rFonts w:ascii="Arial" w:hAnsi="Arial" w:cs="Arial"/>
            </w:rPr>
            <w:fldChar w:fldCharType="separate"/>
          </w:r>
          <w:hyperlink w:anchor="_Toc228563685" w:history="1">
            <w:r w:rsidR="00FF03DF" w:rsidRPr="00660292">
              <w:rPr>
                <w:rStyle w:val="Hyperlink"/>
                <w:rFonts w:ascii="Arial" w:hAnsi="Arial" w:cs="Arial"/>
              </w:rPr>
              <w:t>CHAPTER 1: INTRODUCTION</w:t>
            </w:r>
            <w:r w:rsidR="00FF03DF" w:rsidRPr="00660292">
              <w:rPr>
                <w:rFonts w:ascii="Arial" w:hAnsi="Arial" w:cs="Arial"/>
                <w:webHidden/>
              </w:rPr>
              <w:tab/>
            </w:r>
            <w:r w:rsidR="00FF03DF" w:rsidRPr="00660292">
              <w:rPr>
                <w:rFonts w:ascii="Arial" w:hAnsi="Arial" w:cs="Arial"/>
                <w:webHidden/>
              </w:rPr>
              <w:fldChar w:fldCharType="begin"/>
            </w:r>
            <w:r w:rsidR="00FF03DF" w:rsidRPr="00660292">
              <w:rPr>
                <w:rFonts w:ascii="Arial" w:hAnsi="Arial" w:cs="Arial"/>
                <w:webHidden/>
              </w:rPr>
              <w:instrText xml:space="preserve"> PAGEREF _Toc228563685 \h </w:instrText>
            </w:r>
            <w:r w:rsidR="00FF03DF" w:rsidRPr="00660292">
              <w:rPr>
                <w:rFonts w:ascii="Arial" w:hAnsi="Arial" w:cs="Arial"/>
                <w:webHidden/>
              </w:rPr>
            </w:r>
            <w:r w:rsidR="00FF03DF" w:rsidRPr="00660292">
              <w:rPr>
                <w:rFonts w:ascii="Arial" w:hAnsi="Arial" w:cs="Arial"/>
                <w:webHidden/>
              </w:rPr>
              <w:fldChar w:fldCharType="separate"/>
            </w:r>
            <w:r w:rsidR="00054099">
              <w:rPr>
                <w:rFonts w:ascii="Arial" w:hAnsi="Arial" w:cs="Arial"/>
                <w:webHidden/>
              </w:rPr>
              <w:t>4</w:t>
            </w:r>
            <w:r w:rsidR="00FF03DF" w:rsidRPr="00660292">
              <w:rPr>
                <w:rFonts w:ascii="Arial" w:hAnsi="Arial" w:cs="Arial"/>
                <w:webHidden/>
              </w:rPr>
              <w:fldChar w:fldCharType="end"/>
            </w:r>
          </w:hyperlink>
        </w:p>
        <w:p w14:paraId="085F283C" w14:textId="0651B939" w:rsidR="00FF03DF" w:rsidRPr="00660292" w:rsidRDefault="00FF03DF" w:rsidP="00660292">
          <w:pPr>
            <w:pStyle w:val="TOC2"/>
          </w:pPr>
          <w:hyperlink w:anchor="_Toc228563686" w:history="1">
            <w:r w:rsidRPr="00660292">
              <w:rPr>
                <w:rStyle w:val="Hyperlink"/>
              </w:rPr>
              <w:t>1.1 Background and Problem Statement</w:t>
            </w:r>
            <w:r w:rsidRPr="00660292">
              <w:rPr>
                <w:webHidden/>
              </w:rPr>
              <w:tab/>
            </w:r>
            <w:r w:rsidRPr="00660292">
              <w:rPr>
                <w:webHidden/>
              </w:rPr>
              <w:fldChar w:fldCharType="begin"/>
            </w:r>
            <w:r w:rsidRPr="00660292">
              <w:rPr>
                <w:webHidden/>
              </w:rPr>
              <w:instrText xml:space="preserve"> PAGEREF _Toc228563686 \h </w:instrText>
            </w:r>
            <w:r w:rsidRPr="00660292">
              <w:rPr>
                <w:webHidden/>
              </w:rPr>
            </w:r>
            <w:r w:rsidRPr="00660292">
              <w:rPr>
                <w:webHidden/>
              </w:rPr>
              <w:fldChar w:fldCharType="separate"/>
            </w:r>
            <w:r w:rsidR="00054099">
              <w:rPr>
                <w:webHidden/>
              </w:rPr>
              <w:t>4</w:t>
            </w:r>
            <w:r w:rsidRPr="00660292">
              <w:rPr>
                <w:webHidden/>
              </w:rPr>
              <w:fldChar w:fldCharType="end"/>
            </w:r>
          </w:hyperlink>
        </w:p>
        <w:p w14:paraId="4597397F" w14:textId="4BB5DEA3" w:rsidR="00FF03DF" w:rsidRPr="00660292" w:rsidRDefault="00FF03DF" w:rsidP="00660292">
          <w:pPr>
            <w:pStyle w:val="TOC2"/>
          </w:pPr>
          <w:hyperlink w:anchor="_Toc228563687" w:history="1">
            <w:r w:rsidRPr="00660292">
              <w:rPr>
                <w:rStyle w:val="Hyperlink"/>
              </w:rPr>
              <w:t>1.2 Research Aim</w:t>
            </w:r>
            <w:r w:rsidRPr="00660292">
              <w:rPr>
                <w:webHidden/>
              </w:rPr>
              <w:tab/>
            </w:r>
            <w:r w:rsidRPr="00660292">
              <w:rPr>
                <w:webHidden/>
              </w:rPr>
              <w:fldChar w:fldCharType="begin"/>
            </w:r>
            <w:r w:rsidRPr="00660292">
              <w:rPr>
                <w:webHidden/>
              </w:rPr>
              <w:instrText xml:space="preserve"> PAGEREF _Toc228563687 \h </w:instrText>
            </w:r>
            <w:r w:rsidRPr="00660292">
              <w:rPr>
                <w:webHidden/>
              </w:rPr>
            </w:r>
            <w:r w:rsidRPr="00660292">
              <w:rPr>
                <w:webHidden/>
              </w:rPr>
              <w:fldChar w:fldCharType="separate"/>
            </w:r>
            <w:r w:rsidR="00054099">
              <w:rPr>
                <w:webHidden/>
              </w:rPr>
              <w:t>4</w:t>
            </w:r>
            <w:r w:rsidRPr="00660292">
              <w:rPr>
                <w:webHidden/>
              </w:rPr>
              <w:fldChar w:fldCharType="end"/>
            </w:r>
          </w:hyperlink>
        </w:p>
        <w:p w14:paraId="5585A3B6" w14:textId="0A42A6C7" w:rsidR="00FF03DF" w:rsidRPr="00660292" w:rsidRDefault="00FF03DF" w:rsidP="00660292">
          <w:pPr>
            <w:pStyle w:val="TOC2"/>
          </w:pPr>
          <w:hyperlink w:anchor="_Toc228563688" w:history="1">
            <w:r w:rsidRPr="00660292">
              <w:rPr>
                <w:rStyle w:val="Hyperlink"/>
              </w:rPr>
              <w:t>1.3 Research Objectives</w:t>
            </w:r>
            <w:r w:rsidRPr="00660292">
              <w:rPr>
                <w:webHidden/>
              </w:rPr>
              <w:tab/>
            </w:r>
            <w:r w:rsidRPr="00660292">
              <w:rPr>
                <w:webHidden/>
              </w:rPr>
              <w:fldChar w:fldCharType="begin"/>
            </w:r>
            <w:r w:rsidRPr="00660292">
              <w:rPr>
                <w:webHidden/>
              </w:rPr>
              <w:instrText xml:space="preserve"> PAGEREF _Toc228563688 \h </w:instrText>
            </w:r>
            <w:r w:rsidRPr="00660292">
              <w:rPr>
                <w:webHidden/>
              </w:rPr>
            </w:r>
            <w:r w:rsidRPr="00660292">
              <w:rPr>
                <w:webHidden/>
              </w:rPr>
              <w:fldChar w:fldCharType="separate"/>
            </w:r>
            <w:r w:rsidR="00054099">
              <w:rPr>
                <w:webHidden/>
              </w:rPr>
              <w:t>5</w:t>
            </w:r>
            <w:r w:rsidRPr="00660292">
              <w:rPr>
                <w:webHidden/>
              </w:rPr>
              <w:fldChar w:fldCharType="end"/>
            </w:r>
          </w:hyperlink>
        </w:p>
        <w:p w14:paraId="02E67083" w14:textId="22F050F0" w:rsidR="00FF03DF" w:rsidRPr="00660292" w:rsidRDefault="00FF03DF" w:rsidP="00660292">
          <w:pPr>
            <w:pStyle w:val="TOC2"/>
          </w:pPr>
          <w:hyperlink w:anchor="_Toc228563689" w:history="1">
            <w:r w:rsidRPr="00660292">
              <w:rPr>
                <w:rStyle w:val="Hyperlink"/>
              </w:rPr>
              <w:t>1.4 Research Questions</w:t>
            </w:r>
            <w:r w:rsidRPr="00660292">
              <w:rPr>
                <w:webHidden/>
              </w:rPr>
              <w:tab/>
            </w:r>
            <w:r w:rsidRPr="00660292">
              <w:rPr>
                <w:webHidden/>
              </w:rPr>
              <w:fldChar w:fldCharType="begin"/>
            </w:r>
            <w:r w:rsidRPr="00660292">
              <w:rPr>
                <w:webHidden/>
              </w:rPr>
              <w:instrText xml:space="preserve"> PAGEREF _Toc228563689 \h </w:instrText>
            </w:r>
            <w:r w:rsidRPr="00660292">
              <w:rPr>
                <w:webHidden/>
              </w:rPr>
            </w:r>
            <w:r w:rsidRPr="00660292">
              <w:rPr>
                <w:webHidden/>
              </w:rPr>
              <w:fldChar w:fldCharType="separate"/>
            </w:r>
            <w:r w:rsidR="00054099">
              <w:rPr>
                <w:webHidden/>
              </w:rPr>
              <w:t>5</w:t>
            </w:r>
            <w:r w:rsidRPr="00660292">
              <w:rPr>
                <w:webHidden/>
              </w:rPr>
              <w:fldChar w:fldCharType="end"/>
            </w:r>
          </w:hyperlink>
        </w:p>
        <w:p w14:paraId="5D76FA93" w14:textId="4ADE40AA" w:rsidR="00FF03DF" w:rsidRPr="00660292" w:rsidRDefault="00FF03DF" w:rsidP="00660292">
          <w:pPr>
            <w:pStyle w:val="TOC2"/>
          </w:pPr>
          <w:hyperlink w:anchor="_Toc228563690" w:history="1">
            <w:r w:rsidRPr="00660292">
              <w:rPr>
                <w:rStyle w:val="Hyperlink"/>
              </w:rPr>
              <w:t>Research scope</w:t>
            </w:r>
            <w:r w:rsidRPr="00660292">
              <w:rPr>
                <w:webHidden/>
              </w:rPr>
              <w:tab/>
            </w:r>
            <w:r w:rsidRPr="00660292">
              <w:rPr>
                <w:webHidden/>
              </w:rPr>
              <w:fldChar w:fldCharType="begin"/>
            </w:r>
            <w:r w:rsidRPr="00660292">
              <w:rPr>
                <w:webHidden/>
              </w:rPr>
              <w:instrText xml:space="preserve"> PAGEREF _Toc228563690 \h </w:instrText>
            </w:r>
            <w:r w:rsidRPr="00660292">
              <w:rPr>
                <w:webHidden/>
              </w:rPr>
            </w:r>
            <w:r w:rsidRPr="00660292">
              <w:rPr>
                <w:webHidden/>
              </w:rPr>
              <w:fldChar w:fldCharType="separate"/>
            </w:r>
            <w:r w:rsidR="00054099">
              <w:rPr>
                <w:webHidden/>
              </w:rPr>
              <w:t>5</w:t>
            </w:r>
            <w:r w:rsidRPr="00660292">
              <w:rPr>
                <w:webHidden/>
              </w:rPr>
              <w:fldChar w:fldCharType="end"/>
            </w:r>
          </w:hyperlink>
        </w:p>
        <w:p w14:paraId="3877C0F5" w14:textId="59EAFD09" w:rsidR="00FF03DF" w:rsidRPr="00660292" w:rsidRDefault="00FF03DF" w:rsidP="00660292">
          <w:pPr>
            <w:pStyle w:val="TOC2"/>
          </w:pPr>
          <w:hyperlink w:anchor="_Toc228563691" w:history="1">
            <w:r w:rsidRPr="00660292">
              <w:rPr>
                <w:rStyle w:val="Hyperlink"/>
              </w:rPr>
              <w:t>1.5 Significance and Relevance of the Study</w:t>
            </w:r>
            <w:r w:rsidRPr="00660292">
              <w:rPr>
                <w:webHidden/>
              </w:rPr>
              <w:tab/>
            </w:r>
            <w:r w:rsidRPr="00660292">
              <w:rPr>
                <w:webHidden/>
              </w:rPr>
              <w:fldChar w:fldCharType="begin"/>
            </w:r>
            <w:r w:rsidRPr="00660292">
              <w:rPr>
                <w:webHidden/>
              </w:rPr>
              <w:instrText xml:space="preserve"> PAGEREF _Toc228563691 \h </w:instrText>
            </w:r>
            <w:r w:rsidRPr="00660292">
              <w:rPr>
                <w:webHidden/>
              </w:rPr>
            </w:r>
            <w:r w:rsidRPr="00660292">
              <w:rPr>
                <w:webHidden/>
              </w:rPr>
              <w:fldChar w:fldCharType="separate"/>
            </w:r>
            <w:r w:rsidR="00054099">
              <w:rPr>
                <w:webHidden/>
              </w:rPr>
              <w:t>6</w:t>
            </w:r>
            <w:r w:rsidRPr="00660292">
              <w:rPr>
                <w:webHidden/>
              </w:rPr>
              <w:fldChar w:fldCharType="end"/>
            </w:r>
          </w:hyperlink>
        </w:p>
        <w:p w14:paraId="65324288" w14:textId="21B7D258" w:rsidR="00FF03DF" w:rsidRPr="00660292" w:rsidRDefault="00FF03DF" w:rsidP="00660292">
          <w:pPr>
            <w:pStyle w:val="TOC2"/>
          </w:pPr>
          <w:hyperlink w:anchor="_Toc228563692" w:history="1">
            <w:r w:rsidRPr="00660292">
              <w:rPr>
                <w:rStyle w:val="Hyperlink"/>
              </w:rPr>
              <w:t>1.6 Brief Research Methodology</w:t>
            </w:r>
            <w:r w:rsidRPr="00660292">
              <w:rPr>
                <w:webHidden/>
              </w:rPr>
              <w:tab/>
            </w:r>
            <w:r w:rsidRPr="00660292">
              <w:rPr>
                <w:webHidden/>
              </w:rPr>
              <w:fldChar w:fldCharType="begin"/>
            </w:r>
            <w:r w:rsidRPr="00660292">
              <w:rPr>
                <w:webHidden/>
              </w:rPr>
              <w:instrText xml:space="preserve"> PAGEREF _Toc228563692 \h </w:instrText>
            </w:r>
            <w:r w:rsidRPr="00660292">
              <w:rPr>
                <w:webHidden/>
              </w:rPr>
            </w:r>
            <w:r w:rsidRPr="00660292">
              <w:rPr>
                <w:webHidden/>
              </w:rPr>
              <w:fldChar w:fldCharType="separate"/>
            </w:r>
            <w:r w:rsidR="00054099">
              <w:rPr>
                <w:webHidden/>
              </w:rPr>
              <w:t>6</w:t>
            </w:r>
            <w:r w:rsidRPr="00660292">
              <w:rPr>
                <w:webHidden/>
              </w:rPr>
              <w:fldChar w:fldCharType="end"/>
            </w:r>
          </w:hyperlink>
        </w:p>
        <w:p w14:paraId="542F38D7" w14:textId="687289AA" w:rsidR="00FF03DF" w:rsidRPr="00660292" w:rsidRDefault="00FF03DF" w:rsidP="00660292">
          <w:pPr>
            <w:pStyle w:val="TOC2"/>
          </w:pPr>
          <w:hyperlink w:anchor="_Toc228563693" w:history="1">
            <w:r w:rsidRPr="00660292">
              <w:rPr>
                <w:rStyle w:val="Hyperlink"/>
              </w:rPr>
              <w:t>1.7 Structure of the Dissertation</w:t>
            </w:r>
            <w:r w:rsidRPr="00660292">
              <w:rPr>
                <w:webHidden/>
              </w:rPr>
              <w:tab/>
            </w:r>
            <w:r w:rsidRPr="00660292">
              <w:rPr>
                <w:webHidden/>
              </w:rPr>
              <w:fldChar w:fldCharType="begin"/>
            </w:r>
            <w:r w:rsidRPr="00660292">
              <w:rPr>
                <w:webHidden/>
              </w:rPr>
              <w:instrText xml:space="preserve"> PAGEREF _Toc228563693 \h </w:instrText>
            </w:r>
            <w:r w:rsidRPr="00660292">
              <w:rPr>
                <w:webHidden/>
              </w:rPr>
            </w:r>
            <w:r w:rsidRPr="00660292">
              <w:rPr>
                <w:webHidden/>
              </w:rPr>
              <w:fldChar w:fldCharType="separate"/>
            </w:r>
            <w:r w:rsidR="00054099">
              <w:rPr>
                <w:webHidden/>
              </w:rPr>
              <w:t>7</w:t>
            </w:r>
            <w:r w:rsidRPr="00660292">
              <w:rPr>
                <w:webHidden/>
              </w:rPr>
              <w:fldChar w:fldCharType="end"/>
            </w:r>
          </w:hyperlink>
        </w:p>
        <w:p w14:paraId="32A47D5A" w14:textId="3679B362" w:rsidR="00FF03DF" w:rsidRPr="00660292" w:rsidRDefault="00FF03DF" w:rsidP="00660292">
          <w:pPr>
            <w:pStyle w:val="TOC1"/>
            <w:rPr>
              <w:rFonts w:ascii="Arial" w:hAnsi="Arial" w:cs="Arial"/>
            </w:rPr>
          </w:pPr>
          <w:hyperlink w:anchor="_Toc228563694" w:history="1">
            <w:r w:rsidRPr="00660292">
              <w:rPr>
                <w:rStyle w:val="Hyperlink"/>
                <w:rFonts w:ascii="Arial" w:hAnsi="Arial" w:cs="Arial"/>
              </w:rPr>
              <w:t>CHAPTER 2: LITERATURE REVIEW</w:t>
            </w:r>
            <w:r w:rsidRPr="00660292">
              <w:rPr>
                <w:rFonts w:ascii="Arial" w:hAnsi="Arial" w:cs="Arial"/>
                <w:webHidden/>
              </w:rPr>
              <w:tab/>
            </w:r>
            <w:r w:rsidRPr="00660292">
              <w:rPr>
                <w:rFonts w:ascii="Arial" w:hAnsi="Arial" w:cs="Arial"/>
                <w:webHidden/>
              </w:rPr>
              <w:fldChar w:fldCharType="begin"/>
            </w:r>
            <w:r w:rsidRPr="00660292">
              <w:rPr>
                <w:rFonts w:ascii="Arial" w:hAnsi="Arial" w:cs="Arial"/>
                <w:webHidden/>
              </w:rPr>
              <w:instrText xml:space="preserve"> PAGEREF _Toc228563694 \h </w:instrText>
            </w:r>
            <w:r w:rsidRPr="00660292">
              <w:rPr>
                <w:rFonts w:ascii="Arial" w:hAnsi="Arial" w:cs="Arial"/>
                <w:webHidden/>
              </w:rPr>
            </w:r>
            <w:r w:rsidRPr="00660292">
              <w:rPr>
                <w:rFonts w:ascii="Arial" w:hAnsi="Arial" w:cs="Arial"/>
                <w:webHidden/>
              </w:rPr>
              <w:fldChar w:fldCharType="separate"/>
            </w:r>
            <w:r w:rsidR="00054099">
              <w:rPr>
                <w:rFonts w:ascii="Arial" w:hAnsi="Arial" w:cs="Arial"/>
                <w:webHidden/>
              </w:rPr>
              <w:t>8</w:t>
            </w:r>
            <w:r w:rsidRPr="00660292">
              <w:rPr>
                <w:rFonts w:ascii="Arial" w:hAnsi="Arial" w:cs="Arial"/>
                <w:webHidden/>
              </w:rPr>
              <w:fldChar w:fldCharType="end"/>
            </w:r>
          </w:hyperlink>
        </w:p>
        <w:p w14:paraId="6B69B917" w14:textId="6C90C033" w:rsidR="00FF03DF" w:rsidRPr="00660292" w:rsidRDefault="00FF03DF" w:rsidP="00660292">
          <w:pPr>
            <w:pStyle w:val="TOC2"/>
          </w:pPr>
          <w:hyperlink w:anchor="_Toc228563695" w:history="1">
            <w:r w:rsidRPr="00660292">
              <w:rPr>
                <w:rStyle w:val="Hyperlink"/>
              </w:rPr>
              <w:t>2.1 Introduction</w:t>
            </w:r>
            <w:r w:rsidRPr="00660292">
              <w:rPr>
                <w:webHidden/>
              </w:rPr>
              <w:tab/>
            </w:r>
            <w:r w:rsidRPr="00660292">
              <w:rPr>
                <w:webHidden/>
              </w:rPr>
              <w:fldChar w:fldCharType="begin"/>
            </w:r>
            <w:r w:rsidRPr="00660292">
              <w:rPr>
                <w:webHidden/>
              </w:rPr>
              <w:instrText xml:space="preserve"> PAGEREF _Toc228563695 \h </w:instrText>
            </w:r>
            <w:r w:rsidRPr="00660292">
              <w:rPr>
                <w:webHidden/>
              </w:rPr>
            </w:r>
            <w:r w:rsidRPr="00660292">
              <w:rPr>
                <w:webHidden/>
              </w:rPr>
              <w:fldChar w:fldCharType="separate"/>
            </w:r>
            <w:r w:rsidR="00054099">
              <w:rPr>
                <w:webHidden/>
              </w:rPr>
              <w:t>8</w:t>
            </w:r>
            <w:r w:rsidRPr="00660292">
              <w:rPr>
                <w:webHidden/>
              </w:rPr>
              <w:fldChar w:fldCharType="end"/>
            </w:r>
          </w:hyperlink>
        </w:p>
        <w:p w14:paraId="51EE8790" w14:textId="5CB3558C" w:rsidR="00FF03DF" w:rsidRPr="00660292" w:rsidRDefault="00FF03DF" w:rsidP="00660292">
          <w:pPr>
            <w:pStyle w:val="TOC2"/>
          </w:pPr>
          <w:hyperlink w:anchor="_Toc228563696" w:history="1">
            <w:r w:rsidRPr="00660292">
              <w:rPr>
                <w:rStyle w:val="Hyperlink"/>
              </w:rPr>
              <w:t>2.2 Research Areas and Critical Review</w:t>
            </w:r>
            <w:r w:rsidRPr="00660292">
              <w:rPr>
                <w:webHidden/>
              </w:rPr>
              <w:tab/>
            </w:r>
            <w:r w:rsidRPr="00660292">
              <w:rPr>
                <w:webHidden/>
              </w:rPr>
              <w:fldChar w:fldCharType="begin"/>
            </w:r>
            <w:r w:rsidRPr="00660292">
              <w:rPr>
                <w:webHidden/>
              </w:rPr>
              <w:instrText xml:space="preserve"> PAGEREF _Toc228563696 \h </w:instrText>
            </w:r>
            <w:r w:rsidRPr="00660292">
              <w:rPr>
                <w:webHidden/>
              </w:rPr>
            </w:r>
            <w:r w:rsidRPr="00660292">
              <w:rPr>
                <w:webHidden/>
              </w:rPr>
              <w:fldChar w:fldCharType="separate"/>
            </w:r>
            <w:r w:rsidR="00054099">
              <w:rPr>
                <w:webHidden/>
              </w:rPr>
              <w:t>9</w:t>
            </w:r>
            <w:r w:rsidRPr="00660292">
              <w:rPr>
                <w:webHidden/>
              </w:rPr>
              <w:fldChar w:fldCharType="end"/>
            </w:r>
          </w:hyperlink>
        </w:p>
        <w:p w14:paraId="46D381D8" w14:textId="7C343FBE" w:rsidR="00FF03DF" w:rsidRPr="00660292" w:rsidRDefault="00FF03DF" w:rsidP="00660292">
          <w:pPr>
            <w:pStyle w:val="TOC2"/>
          </w:pPr>
          <w:hyperlink w:anchor="_Toc228563697" w:history="1">
            <w:r w:rsidRPr="00660292">
              <w:rPr>
                <w:rStyle w:val="Hyperlink"/>
              </w:rPr>
              <w:t>2.2.1 Conceptual Foundations of Employee Engagement</w:t>
            </w:r>
            <w:r w:rsidRPr="00660292">
              <w:rPr>
                <w:webHidden/>
              </w:rPr>
              <w:tab/>
            </w:r>
            <w:r w:rsidRPr="00660292">
              <w:rPr>
                <w:webHidden/>
              </w:rPr>
              <w:fldChar w:fldCharType="begin"/>
            </w:r>
            <w:r w:rsidRPr="00660292">
              <w:rPr>
                <w:webHidden/>
              </w:rPr>
              <w:instrText xml:space="preserve"> PAGEREF _Toc228563697 \h </w:instrText>
            </w:r>
            <w:r w:rsidRPr="00660292">
              <w:rPr>
                <w:webHidden/>
              </w:rPr>
            </w:r>
            <w:r w:rsidRPr="00660292">
              <w:rPr>
                <w:webHidden/>
              </w:rPr>
              <w:fldChar w:fldCharType="separate"/>
            </w:r>
            <w:r w:rsidR="00054099">
              <w:rPr>
                <w:webHidden/>
              </w:rPr>
              <w:t>9</w:t>
            </w:r>
            <w:r w:rsidRPr="00660292">
              <w:rPr>
                <w:webHidden/>
              </w:rPr>
              <w:fldChar w:fldCharType="end"/>
            </w:r>
          </w:hyperlink>
        </w:p>
        <w:p w14:paraId="3B290FD7" w14:textId="701CA20D" w:rsidR="00FF03DF" w:rsidRPr="00660292" w:rsidRDefault="00FF03DF" w:rsidP="00660292">
          <w:pPr>
            <w:pStyle w:val="TOC2"/>
          </w:pPr>
          <w:hyperlink w:anchor="_Toc228563698" w:history="1">
            <w:r w:rsidRPr="00660292">
              <w:rPr>
                <w:rStyle w:val="Hyperlink"/>
              </w:rPr>
              <w:t>2.2.2 Employee Engagement as a Managerial Strategy</w:t>
            </w:r>
            <w:r w:rsidRPr="00660292">
              <w:rPr>
                <w:webHidden/>
              </w:rPr>
              <w:tab/>
            </w:r>
            <w:r w:rsidRPr="00660292">
              <w:rPr>
                <w:webHidden/>
              </w:rPr>
              <w:fldChar w:fldCharType="begin"/>
            </w:r>
            <w:r w:rsidRPr="00660292">
              <w:rPr>
                <w:webHidden/>
              </w:rPr>
              <w:instrText xml:space="preserve"> PAGEREF _Toc228563698 \h </w:instrText>
            </w:r>
            <w:r w:rsidRPr="00660292">
              <w:rPr>
                <w:webHidden/>
              </w:rPr>
            </w:r>
            <w:r w:rsidRPr="00660292">
              <w:rPr>
                <w:webHidden/>
              </w:rPr>
              <w:fldChar w:fldCharType="separate"/>
            </w:r>
            <w:r w:rsidR="00054099">
              <w:rPr>
                <w:webHidden/>
              </w:rPr>
              <w:t>10</w:t>
            </w:r>
            <w:r w:rsidRPr="00660292">
              <w:rPr>
                <w:webHidden/>
              </w:rPr>
              <w:fldChar w:fldCharType="end"/>
            </w:r>
          </w:hyperlink>
        </w:p>
        <w:p w14:paraId="315172D0" w14:textId="38D1D95D" w:rsidR="00FF03DF" w:rsidRPr="00660292" w:rsidRDefault="00FF03DF" w:rsidP="00660292">
          <w:pPr>
            <w:pStyle w:val="TOC2"/>
          </w:pPr>
          <w:hyperlink w:anchor="_Toc228563699" w:history="1">
            <w:r w:rsidRPr="00660292">
              <w:rPr>
                <w:rStyle w:val="Hyperlink"/>
              </w:rPr>
              <w:t>2.2.3 Employee Engagement and Staff Retention</w:t>
            </w:r>
            <w:r w:rsidRPr="00660292">
              <w:rPr>
                <w:webHidden/>
              </w:rPr>
              <w:tab/>
            </w:r>
            <w:r w:rsidRPr="00660292">
              <w:rPr>
                <w:webHidden/>
              </w:rPr>
              <w:fldChar w:fldCharType="begin"/>
            </w:r>
            <w:r w:rsidRPr="00660292">
              <w:rPr>
                <w:webHidden/>
              </w:rPr>
              <w:instrText xml:space="preserve"> PAGEREF _Toc228563699 \h </w:instrText>
            </w:r>
            <w:r w:rsidRPr="00660292">
              <w:rPr>
                <w:webHidden/>
              </w:rPr>
            </w:r>
            <w:r w:rsidRPr="00660292">
              <w:rPr>
                <w:webHidden/>
              </w:rPr>
              <w:fldChar w:fldCharType="separate"/>
            </w:r>
            <w:r w:rsidR="00054099">
              <w:rPr>
                <w:webHidden/>
              </w:rPr>
              <w:t>10</w:t>
            </w:r>
            <w:r w:rsidRPr="00660292">
              <w:rPr>
                <w:webHidden/>
              </w:rPr>
              <w:fldChar w:fldCharType="end"/>
            </w:r>
          </w:hyperlink>
        </w:p>
        <w:p w14:paraId="1CAE68E3" w14:textId="02CF8626" w:rsidR="00FF03DF" w:rsidRPr="00660292" w:rsidRDefault="00FF03DF" w:rsidP="00660292">
          <w:pPr>
            <w:pStyle w:val="TOC2"/>
          </w:pPr>
          <w:hyperlink w:anchor="_Toc228563700" w:history="1">
            <w:r w:rsidRPr="00660292">
              <w:rPr>
                <w:rStyle w:val="Hyperlink"/>
              </w:rPr>
              <w:t>2.2.4 Critical HRM and Labour Process Perspectives</w:t>
            </w:r>
            <w:r w:rsidRPr="00660292">
              <w:rPr>
                <w:webHidden/>
              </w:rPr>
              <w:tab/>
            </w:r>
            <w:r w:rsidRPr="00660292">
              <w:rPr>
                <w:webHidden/>
              </w:rPr>
              <w:fldChar w:fldCharType="begin"/>
            </w:r>
            <w:r w:rsidRPr="00660292">
              <w:rPr>
                <w:webHidden/>
              </w:rPr>
              <w:instrText xml:space="preserve"> PAGEREF _Toc228563700 \h </w:instrText>
            </w:r>
            <w:r w:rsidRPr="00660292">
              <w:rPr>
                <w:webHidden/>
              </w:rPr>
            </w:r>
            <w:r w:rsidRPr="00660292">
              <w:rPr>
                <w:webHidden/>
              </w:rPr>
              <w:fldChar w:fldCharType="separate"/>
            </w:r>
            <w:r w:rsidR="00054099">
              <w:rPr>
                <w:webHidden/>
              </w:rPr>
              <w:t>11</w:t>
            </w:r>
            <w:r w:rsidRPr="00660292">
              <w:rPr>
                <w:webHidden/>
              </w:rPr>
              <w:fldChar w:fldCharType="end"/>
            </w:r>
          </w:hyperlink>
        </w:p>
        <w:p w14:paraId="69FA7F57" w14:textId="144CC34B" w:rsidR="00FF03DF" w:rsidRPr="00660292" w:rsidRDefault="00FF03DF" w:rsidP="00660292">
          <w:pPr>
            <w:pStyle w:val="TOC2"/>
          </w:pPr>
          <w:hyperlink w:anchor="_Toc228563701" w:history="1">
            <w:r w:rsidRPr="00660292">
              <w:rPr>
                <w:rStyle w:val="Hyperlink"/>
              </w:rPr>
              <w:t>2.3 Conceptual Framework</w:t>
            </w:r>
            <w:r w:rsidRPr="00660292">
              <w:rPr>
                <w:webHidden/>
              </w:rPr>
              <w:tab/>
            </w:r>
            <w:r w:rsidRPr="00660292">
              <w:rPr>
                <w:webHidden/>
              </w:rPr>
              <w:fldChar w:fldCharType="begin"/>
            </w:r>
            <w:r w:rsidRPr="00660292">
              <w:rPr>
                <w:webHidden/>
              </w:rPr>
              <w:instrText xml:space="preserve"> PAGEREF _Toc228563701 \h </w:instrText>
            </w:r>
            <w:r w:rsidRPr="00660292">
              <w:rPr>
                <w:webHidden/>
              </w:rPr>
            </w:r>
            <w:r w:rsidRPr="00660292">
              <w:rPr>
                <w:webHidden/>
              </w:rPr>
              <w:fldChar w:fldCharType="separate"/>
            </w:r>
            <w:r w:rsidR="00054099">
              <w:rPr>
                <w:webHidden/>
              </w:rPr>
              <w:t>12</w:t>
            </w:r>
            <w:r w:rsidRPr="00660292">
              <w:rPr>
                <w:webHidden/>
              </w:rPr>
              <w:fldChar w:fldCharType="end"/>
            </w:r>
          </w:hyperlink>
        </w:p>
        <w:p w14:paraId="49F41342" w14:textId="3A9AD5F9" w:rsidR="00FF03DF" w:rsidRPr="00660292" w:rsidRDefault="00FF03DF" w:rsidP="00660292">
          <w:pPr>
            <w:pStyle w:val="TOC2"/>
          </w:pPr>
          <w:hyperlink w:anchor="_Toc228563702" w:history="1">
            <w:r w:rsidRPr="00660292">
              <w:rPr>
                <w:rStyle w:val="Hyperlink"/>
              </w:rPr>
              <w:t>2.4 Conclusion of Chapter</w:t>
            </w:r>
            <w:r w:rsidRPr="00660292">
              <w:rPr>
                <w:webHidden/>
              </w:rPr>
              <w:tab/>
            </w:r>
            <w:r w:rsidRPr="00660292">
              <w:rPr>
                <w:webHidden/>
              </w:rPr>
              <w:fldChar w:fldCharType="begin"/>
            </w:r>
            <w:r w:rsidRPr="00660292">
              <w:rPr>
                <w:webHidden/>
              </w:rPr>
              <w:instrText xml:space="preserve"> PAGEREF _Toc228563702 \h </w:instrText>
            </w:r>
            <w:r w:rsidRPr="00660292">
              <w:rPr>
                <w:webHidden/>
              </w:rPr>
            </w:r>
            <w:r w:rsidRPr="00660292">
              <w:rPr>
                <w:webHidden/>
              </w:rPr>
              <w:fldChar w:fldCharType="separate"/>
            </w:r>
            <w:r w:rsidR="00054099">
              <w:rPr>
                <w:webHidden/>
              </w:rPr>
              <w:t>13</w:t>
            </w:r>
            <w:r w:rsidRPr="00660292">
              <w:rPr>
                <w:webHidden/>
              </w:rPr>
              <w:fldChar w:fldCharType="end"/>
            </w:r>
          </w:hyperlink>
        </w:p>
        <w:p w14:paraId="33939EF9" w14:textId="490BD41F" w:rsidR="00FF03DF" w:rsidRPr="00660292" w:rsidRDefault="00FF03DF" w:rsidP="00660292">
          <w:pPr>
            <w:pStyle w:val="TOC1"/>
            <w:rPr>
              <w:rFonts w:ascii="Arial" w:hAnsi="Arial" w:cs="Arial"/>
            </w:rPr>
          </w:pPr>
          <w:hyperlink w:anchor="_Toc228563703" w:history="1">
            <w:r w:rsidRPr="00660292">
              <w:rPr>
                <w:rStyle w:val="Hyperlink"/>
                <w:rFonts w:ascii="Arial" w:hAnsi="Arial" w:cs="Arial"/>
              </w:rPr>
              <w:t>CHAPTER 3: RESEARCH METHODOLOGY</w:t>
            </w:r>
            <w:r w:rsidRPr="00660292">
              <w:rPr>
                <w:rFonts w:ascii="Arial" w:hAnsi="Arial" w:cs="Arial"/>
                <w:webHidden/>
              </w:rPr>
              <w:tab/>
            </w:r>
            <w:r w:rsidRPr="00660292">
              <w:rPr>
                <w:rFonts w:ascii="Arial" w:hAnsi="Arial" w:cs="Arial"/>
                <w:webHidden/>
              </w:rPr>
              <w:fldChar w:fldCharType="begin"/>
            </w:r>
            <w:r w:rsidRPr="00660292">
              <w:rPr>
                <w:rFonts w:ascii="Arial" w:hAnsi="Arial" w:cs="Arial"/>
                <w:webHidden/>
              </w:rPr>
              <w:instrText xml:space="preserve"> PAGEREF _Toc228563703 \h </w:instrText>
            </w:r>
            <w:r w:rsidRPr="00660292">
              <w:rPr>
                <w:rFonts w:ascii="Arial" w:hAnsi="Arial" w:cs="Arial"/>
                <w:webHidden/>
              </w:rPr>
            </w:r>
            <w:r w:rsidRPr="00660292">
              <w:rPr>
                <w:rFonts w:ascii="Arial" w:hAnsi="Arial" w:cs="Arial"/>
                <w:webHidden/>
              </w:rPr>
              <w:fldChar w:fldCharType="separate"/>
            </w:r>
            <w:r w:rsidR="00054099">
              <w:rPr>
                <w:rFonts w:ascii="Arial" w:hAnsi="Arial" w:cs="Arial"/>
                <w:webHidden/>
              </w:rPr>
              <w:t>14</w:t>
            </w:r>
            <w:r w:rsidRPr="00660292">
              <w:rPr>
                <w:rFonts w:ascii="Arial" w:hAnsi="Arial" w:cs="Arial"/>
                <w:webHidden/>
              </w:rPr>
              <w:fldChar w:fldCharType="end"/>
            </w:r>
          </w:hyperlink>
        </w:p>
        <w:p w14:paraId="414681AF" w14:textId="487868E5" w:rsidR="00FF03DF" w:rsidRPr="00660292" w:rsidRDefault="00FF03DF" w:rsidP="00660292">
          <w:pPr>
            <w:pStyle w:val="TOC2"/>
          </w:pPr>
          <w:hyperlink w:anchor="_Toc228563704" w:history="1">
            <w:r w:rsidRPr="00660292">
              <w:rPr>
                <w:rStyle w:val="Hyperlink"/>
              </w:rPr>
              <w:t>3.1 Introduction</w:t>
            </w:r>
            <w:r w:rsidRPr="00660292">
              <w:rPr>
                <w:webHidden/>
              </w:rPr>
              <w:tab/>
            </w:r>
            <w:r w:rsidRPr="00660292">
              <w:rPr>
                <w:webHidden/>
              </w:rPr>
              <w:fldChar w:fldCharType="begin"/>
            </w:r>
            <w:r w:rsidRPr="00660292">
              <w:rPr>
                <w:webHidden/>
              </w:rPr>
              <w:instrText xml:space="preserve"> PAGEREF _Toc228563704 \h </w:instrText>
            </w:r>
            <w:r w:rsidRPr="00660292">
              <w:rPr>
                <w:webHidden/>
              </w:rPr>
            </w:r>
            <w:r w:rsidRPr="00660292">
              <w:rPr>
                <w:webHidden/>
              </w:rPr>
              <w:fldChar w:fldCharType="separate"/>
            </w:r>
            <w:r w:rsidR="00054099">
              <w:rPr>
                <w:webHidden/>
              </w:rPr>
              <w:t>14</w:t>
            </w:r>
            <w:r w:rsidRPr="00660292">
              <w:rPr>
                <w:webHidden/>
              </w:rPr>
              <w:fldChar w:fldCharType="end"/>
            </w:r>
          </w:hyperlink>
        </w:p>
        <w:p w14:paraId="48E9FE80" w14:textId="3F12E34F" w:rsidR="00FF03DF" w:rsidRPr="00660292" w:rsidRDefault="00FF03DF" w:rsidP="00660292">
          <w:pPr>
            <w:pStyle w:val="TOC2"/>
          </w:pPr>
          <w:hyperlink w:anchor="_Toc228563705" w:history="1">
            <w:r w:rsidRPr="00660292">
              <w:rPr>
                <w:rStyle w:val="Hyperlink"/>
              </w:rPr>
              <w:t>3.2 Research Philosophy and Assumptions</w:t>
            </w:r>
            <w:r w:rsidRPr="00660292">
              <w:rPr>
                <w:webHidden/>
              </w:rPr>
              <w:tab/>
            </w:r>
            <w:r w:rsidRPr="00660292">
              <w:rPr>
                <w:webHidden/>
              </w:rPr>
              <w:fldChar w:fldCharType="begin"/>
            </w:r>
            <w:r w:rsidRPr="00660292">
              <w:rPr>
                <w:webHidden/>
              </w:rPr>
              <w:instrText xml:space="preserve"> PAGEREF _Toc228563705 \h </w:instrText>
            </w:r>
            <w:r w:rsidRPr="00660292">
              <w:rPr>
                <w:webHidden/>
              </w:rPr>
            </w:r>
            <w:r w:rsidRPr="00660292">
              <w:rPr>
                <w:webHidden/>
              </w:rPr>
              <w:fldChar w:fldCharType="separate"/>
            </w:r>
            <w:r w:rsidR="00054099">
              <w:rPr>
                <w:webHidden/>
              </w:rPr>
              <w:t>14</w:t>
            </w:r>
            <w:r w:rsidRPr="00660292">
              <w:rPr>
                <w:webHidden/>
              </w:rPr>
              <w:fldChar w:fldCharType="end"/>
            </w:r>
          </w:hyperlink>
        </w:p>
        <w:p w14:paraId="53D54BDE" w14:textId="66CEADC1" w:rsidR="00FF03DF" w:rsidRPr="00660292" w:rsidRDefault="00FF03DF" w:rsidP="00660292">
          <w:pPr>
            <w:pStyle w:val="TOC2"/>
          </w:pPr>
          <w:hyperlink w:anchor="_Toc228563706" w:history="1">
            <w:r w:rsidRPr="00660292">
              <w:rPr>
                <w:rStyle w:val="Hyperlink"/>
              </w:rPr>
              <w:t>3.3 Research Design</w:t>
            </w:r>
            <w:r w:rsidRPr="00660292">
              <w:rPr>
                <w:webHidden/>
              </w:rPr>
              <w:tab/>
            </w:r>
            <w:r w:rsidRPr="00660292">
              <w:rPr>
                <w:webHidden/>
              </w:rPr>
              <w:fldChar w:fldCharType="begin"/>
            </w:r>
            <w:r w:rsidRPr="00660292">
              <w:rPr>
                <w:webHidden/>
              </w:rPr>
              <w:instrText xml:space="preserve"> PAGEREF _Toc228563706 \h </w:instrText>
            </w:r>
            <w:r w:rsidRPr="00660292">
              <w:rPr>
                <w:webHidden/>
              </w:rPr>
            </w:r>
            <w:r w:rsidRPr="00660292">
              <w:rPr>
                <w:webHidden/>
              </w:rPr>
              <w:fldChar w:fldCharType="separate"/>
            </w:r>
            <w:r w:rsidR="00054099">
              <w:rPr>
                <w:webHidden/>
              </w:rPr>
              <w:t>15</w:t>
            </w:r>
            <w:r w:rsidRPr="00660292">
              <w:rPr>
                <w:webHidden/>
              </w:rPr>
              <w:fldChar w:fldCharType="end"/>
            </w:r>
          </w:hyperlink>
        </w:p>
        <w:p w14:paraId="38CC558C" w14:textId="290D6A55" w:rsidR="00FF03DF" w:rsidRPr="00660292" w:rsidRDefault="00FF03DF" w:rsidP="00660292">
          <w:pPr>
            <w:pStyle w:val="TOC2"/>
          </w:pPr>
          <w:hyperlink w:anchor="_Toc228563707" w:history="1">
            <w:r w:rsidRPr="00660292">
              <w:rPr>
                <w:rStyle w:val="Hyperlink"/>
              </w:rPr>
              <w:t>3.4 Research Approach</w:t>
            </w:r>
            <w:r w:rsidRPr="00660292">
              <w:rPr>
                <w:webHidden/>
              </w:rPr>
              <w:tab/>
            </w:r>
            <w:r w:rsidRPr="00660292">
              <w:rPr>
                <w:webHidden/>
              </w:rPr>
              <w:fldChar w:fldCharType="begin"/>
            </w:r>
            <w:r w:rsidRPr="00660292">
              <w:rPr>
                <w:webHidden/>
              </w:rPr>
              <w:instrText xml:space="preserve"> PAGEREF _Toc228563707 \h </w:instrText>
            </w:r>
            <w:r w:rsidRPr="00660292">
              <w:rPr>
                <w:webHidden/>
              </w:rPr>
            </w:r>
            <w:r w:rsidRPr="00660292">
              <w:rPr>
                <w:webHidden/>
              </w:rPr>
              <w:fldChar w:fldCharType="separate"/>
            </w:r>
            <w:r w:rsidR="00054099">
              <w:rPr>
                <w:webHidden/>
              </w:rPr>
              <w:t>16</w:t>
            </w:r>
            <w:r w:rsidRPr="00660292">
              <w:rPr>
                <w:webHidden/>
              </w:rPr>
              <w:fldChar w:fldCharType="end"/>
            </w:r>
          </w:hyperlink>
        </w:p>
        <w:p w14:paraId="11FAA3CB" w14:textId="42969D97" w:rsidR="00FF03DF" w:rsidRPr="00660292" w:rsidRDefault="00FF03DF" w:rsidP="00660292">
          <w:pPr>
            <w:pStyle w:val="TOC2"/>
          </w:pPr>
          <w:hyperlink w:anchor="_Toc228563708" w:history="1">
            <w:r w:rsidRPr="00660292">
              <w:rPr>
                <w:rStyle w:val="Hyperlink"/>
              </w:rPr>
              <w:t>3.5 Data Collection Methods</w:t>
            </w:r>
            <w:r w:rsidRPr="00660292">
              <w:rPr>
                <w:webHidden/>
              </w:rPr>
              <w:tab/>
            </w:r>
            <w:r w:rsidRPr="00660292">
              <w:rPr>
                <w:webHidden/>
              </w:rPr>
              <w:fldChar w:fldCharType="begin"/>
            </w:r>
            <w:r w:rsidRPr="00660292">
              <w:rPr>
                <w:webHidden/>
              </w:rPr>
              <w:instrText xml:space="preserve"> PAGEREF _Toc228563708 \h </w:instrText>
            </w:r>
            <w:r w:rsidRPr="00660292">
              <w:rPr>
                <w:webHidden/>
              </w:rPr>
            </w:r>
            <w:r w:rsidRPr="00660292">
              <w:rPr>
                <w:webHidden/>
              </w:rPr>
              <w:fldChar w:fldCharType="separate"/>
            </w:r>
            <w:r w:rsidR="00054099">
              <w:rPr>
                <w:webHidden/>
              </w:rPr>
              <w:t>17</w:t>
            </w:r>
            <w:r w:rsidRPr="00660292">
              <w:rPr>
                <w:webHidden/>
              </w:rPr>
              <w:fldChar w:fldCharType="end"/>
            </w:r>
          </w:hyperlink>
        </w:p>
        <w:p w14:paraId="576A649B" w14:textId="3A669FAE" w:rsidR="00FF03DF" w:rsidRPr="00660292" w:rsidRDefault="00FF03DF" w:rsidP="00660292">
          <w:pPr>
            <w:pStyle w:val="TOC2"/>
          </w:pPr>
          <w:hyperlink w:anchor="_Toc228563709" w:history="1">
            <w:r w:rsidRPr="00660292">
              <w:rPr>
                <w:rStyle w:val="Hyperlink"/>
              </w:rPr>
              <w:t>3.6 Data Analysis</w:t>
            </w:r>
            <w:r w:rsidRPr="00660292">
              <w:rPr>
                <w:webHidden/>
              </w:rPr>
              <w:tab/>
            </w:r>
            <w:r w:rsidRPr="00660292">
              <w:rPr>
                <w:webHidden/>
              </w:rPr>
              <w:fldChar w:fldCharType="begin"/>
            </w:r>
            <w:r w:rsidRPr="00660292">
              <w:rPr>
                <w:webHidden/>
              </w:rPr>
              <w:instrText xml:space="preserve"> PAGEREF _Toc228563709 \h </w:instrText>
            </w:r>
            <w:r w:rsidRPr="00660292">
              <w:rPr>
                <w:webHidden/>
              </w:rPr>
            </w:r>
            <w:r w:rsidRPr="00660292">
              <w:rPr>
                <w:webHidden/>
              </w:rPr>
              <w:fldChar w:fldCharType="separate"/>
            </w:r>
            <w:r w:rsidR="00054099">
              <w:rPr>
                <w:webHidden/>
              </w:rPr>
              <w:t>18</w:t>
            </w:r>
            <w:r w:rsidRPr="00660292">
              <w:rPr>
                <w:webHidden/>
              </w:rPr>
              <w:fldChar w:fldCharType="end"/>
            </w:r>
          </w:hyperlink>
        </w:p>
        <w:p w14:paraId="27A2818D" w14:textId="1A8DF39F" w:rsidR="00FF03DF" w:rsidRPr="00660292" w:rsidRDefault="00FF03DF" w:rsidP="00660292">
          <w:pPr>
            <w:pStyle w:val="TOC2"/>
          </w:pPr>
          <w:hyperlink w:anchor="_Toc228563710" w:history="1">
            <w:r w:rsidRPr="00660292">
              <w:rPr>
                <w:rStyle w:val="Hyperlink"/>
              </w:rPr>
              <w:t>3.7 Ethical Considerations</w:t>
            </w:r>
            <w:r w:rsidRPr="00660292">
              <w:rPr>
                <w:webHidden/>
              </w:rPr>
              <w:tab/>
            </w:r>
            <w:r w:rsidRPr="00660292">
              <w:rPr>
                <w:webHidden/>
              </w:rPr>
              <w:fldChar w:fldCharType="begin"/>
            </w:r>
            <w:r w:rsidRPr="00660292">
              <w:rPr>
                <w:webHidden/>
              </w:rPr>
              <w:instrText xml:space="preserve"> PAGEREF _Toc228563710 \h </w:instrText>
            </w:r>
            <w:r w:rsidRPr="00660292">
              <w:rPr>
                <w:webHidden/>
              </w:rPr>
            </w:r>
            <w:r w:rsidRPr="00660292">
              <w:rPr>
                <w:webHidden/>
              </w:rPr>
              <w:fldChar w:fldCharType="separate"/>
            </w:r>
            <w:r w:rsidR="00054099">
              <w:rPr>
                <w:webHidden/>
              </w:rPr>
              <w:t>20</w:t>
            </w:r>
            <w:r w:rsidRPr="00660292">
              <w:rPr>
                <w:webHidden/>
              </w:rPr>
              <w:fldChar w:fldCharType="end"/>
            </w:r>
          </w:hyperlink>
        </w:p>
        <w:p w14:paraId="2050BFA3" w14:textId="6B735349" w:rsidR="00FF03DF" w:rsidRPr="00660292" w:rsidRDefault="00FF03DF" w:rsidP="00660292">
          <w:pPr>
            <w:pStyle w:val="TOC2"/>
          </w:pPr>
          <w:hyperlink w:anchor="_Toc228563711" w:history="1">
            <w:r w:rsidRPr="00660292">
              <w:rPr>
                <w:rStyle w:val="Hyperlink"/>
              </w:rPr>
              <w:t>3.8 Conclusion</w:t>
            </w:r>
            <w:r w:rsidRPr="00660292">
              <w:rPr>
                <w:webHidden/>
              </w:rPr>
              <w:tab/>
            </w:r>
            <w:r w:rsidRPr="00660292">
              <w:rPr>
                <w:webHidden/>
              </w:rPr>
              <w:fldChar w:fldCharType="begin"/>
            </w:r>
            <w:r w:rsidRPr="00660292">
              <w:rPr>
                <w:webHidden/>
              </w:rPr>
              <w:instrText xml:space="preserve"> PAGEREF _Toc228563711 \h </w:instrText>
            </w:r>
            <w:r w:rsidRPr="00660292">
              <w:rPr>
                <w:webHidden/>
              </w:rPr>
            </w:r>
            <w:r w:rsidRPr="00660292">
              <w:rPr>
                <w:webHidden/>
              </w:rPr>
              <w:fldChar w:fldCharType="separate"/>
            </w:r>
            <w:r w:rsidR="00054099">
              <w:rPr>
                <w:webHidden/>
              </w:rPr>
              <w:t>21</w:t>
            </w:r>
            <w:r w:rsidRPr="00660292">
              <w:rPr>
                <w:webHidden/>
              </w:rPr>
              <w:fldChar w:fldCharType="end"/>
            </w:r>
          </w:hyperlink>
        </w:p>
        <w:p w14:paraId="54D499A5" w14:textId="48C7A77F" w:rsidR="00FF03DF" w:rsidRPr="00660292" w:rsidRDefault="00FF03DF" w:rsidP="00660292">
          <w:pPr>
            <w:pStyle w:val="TOC1"/>
            <w:rPr>
              <w:rFonts w:ascii="Arial" w:hAnsi="Arial" w:cs="Arial"/>
            </w:rPr>
          </w:pPr>
          <w:hyperlink w:anchor="_Toc228563712" w:history="1">
            <w:r w:rsidRPr="00660292">
              <w:rPr>
                <w:rStyle w:val="Hyperlink"/>
                <w:rFonts w:ascii="Arial" w:hAnsi="Arial" w:cs="Arial"/>
              </w:rPr>
              <w:t>CHAPTER 4: FINDINGS, ANALYSIS AND DISCUSSION</w:t>
            </w:r>
            <w:r w:rsidRPr="00660292">
              <w:rPr>
                <w:rFonts w:ascii="Arial" w:hAnsi="Arial" w:cs="Arial"/>
                <w:webHidden/>
              </w:rPr>
              <w:tab/>
            </w:r>
            <w:r w:rsidRPr="00660292">
              <w:rPr>
                <w:rFonts w:ascii="Arial" w:hAnsi="Arial" w:cs="Arial"/>
                <w:webHidden/>
              </w:rPr>
              <w:fldChar w:fldCharType="begin"/>
            </w:r>
            <w:r w:rsidRPr="00660292">
              <w:rPr>
                <w:rFonts w:ascii="Arial" w:hAnsi="Arial" w:cs="Arial"/>
                <w:webHidden/>
              </w:rPr>
              <w:instrText xml:space="preserve"> PAGEREF _Toc228563712 \h </w:instrText>
            </w:r>
            <w:r w:rsidRPr="00660292">
              <w:rPr>
                <w:rFonts w:ascii="Arial" w:hAnsi="Arial" w:cs="Arial"/>
                <w:webHidden/>
              </w:rPr>
            </w:r>
            <w:r w:rsidRPr="00660292">
              <w:rPr>
                <w:rFonts w:ascii="Arial" w:hAnsi="Arial" w:cs="Arial"/>
                <w:webHidden/>
              </w:rPr>
              <w:fldChar w:fldCharType="separate"/>
            </w:r>
            <w:r w:rsidR="00054099">
              <w:rPr>
                <w:rFonts w:ascii="Arial" w:hAnsi="Arial" w:cs="Arial"/>
                <w:webHidden/>
              </w:rPr>
              <w:t>22</w:t>
            </w:r>
            <w:r w:rsidRPr="00660292">
              <w:rPr>
                <w:rFonts w:ascii="Arial" w:hAnsi="Arial" w:cs="Arial"/>
                <w:webHidden/>
              </w:rPr>
              <w:fldChar w:fldCharType="end"/>
            </w:r>
          </w:hyperlink>
        </w:p>
        <w:p w14:paraId="7B172914" w14:textId="6CDCC472" w:rsidR="00FF03DF" w:rsidRPr="00660292" w:rsidRDefault="00FF03DF" w:rsidP="00660292">
          <w:pPr>
            <w:pStyle w:val="TOC2"/>
          </w:pPr>
          <w:hyperlink w:anchor="_Toc228563713" w:history="1">
            <w:r w:rsidRPr="00660292">
              <w:rPr>
                <w:rStyle w:val="Hyperlink"/>
              </w:rPr>
              <w:t>4.1 Introduction</w:t>
            </w:r>
            <w:r w:rsidRPr="00660292">
              <w:rPr>
                <w:webHidden/>
              </w:rPr>
              <w:tab/>
            </w:r>
            <w:r w:rsidRPr="00660292">
              <w:rPr>
                <w:webHidden/>
              </w:rPr>
              <w:fldChar w:fldCharType="begin"/>
            </w:r>
            <w:r w:rsidRPr="00660292">
              <w:rPr>
                <w:webHidden/>
              </w:rPr>
              <w:instrText xml:space="preserve"> PAGEREF _Toc228563713 \h </w:instrText>
            </w:r>
            <w:r w:rsidRPr="00660292">
              <w:rPr>
                <w:webHidden/>
              </w:rPr>
            </w:r>
            <w:r w:rsidRPr="00660292">
              <w:rPr>
                <w:webHidden/>
              </w:rPr>
              <w:fldChar w:fldCharType="separate"/>
            </w:r>
            <w:r w:rsidR="00054099">
              <w:rPr>
                <w:webHidden/>
              </w:rPr>
              <w:t>22</w:t>
            </w:r>
            <w:r w:rsidRPr="00660292">
              <w:rPr>
                <w:webHidden/>
              </w:rPr>
              <w:fldChar w:fldCharType="end"/>
            </w:r>
          </w:hyperlink>
        </w:p>
        <w:p w14:paraId="428FD1D0" w14:textId="15F19C74" w:rsidR="00FF03DF" w:rsidRPr="00660292" w:rsidRDefault="00FF03DF" w:rsidP="00660292">
          <w:pPr>
            <w:pStyle w:val="TOC2"/>
          </w:pPr>
          <w:hyperlink w:anchor="_Toc228563714" w:history="1">
            <w:r w:rsidRPr="00660292">
              <w:rPr>
                <w:rStyle w:val="Hyperlink"/>
              </w:rPr>
              <w:t>4.2 Overview of Themes</w:t>
            </w:r>
            <w:r w:rsidRPr="00660292">
              <w:rPr>
                <w:webHidden/>
              </w:rPr>
              <w:tab/>
            </w:r>
            <w:r w:rsidRPr="00660292">
              <w:rPr>
                <w:webHidden/>
              </w:rPr>
              <w:fldChar w:fldCharType="begin"/>
            </w:r>
            <w:r w:rsidRPr="00660292">
              <w:rPr>
                <w:webHidden/>
              </w:rPr>
              <w:instrText xml:space="preserve"> PAGEREF _Toc228563714 \h </w:instrText>
            </w:r>
            <w:r w:rsidRPr="00660292">
              <w:rPr>
                <w:webHidden/>
              </w:rPr>
            </w:r>
            <w:r w:rsidRPr="00660292">
              <w:rPr>
                <w:webHidden/>
              </w:rPr>
              <w:fldChar w:fldCharType="separate"/>
            </w:r>
            <w:r w:rsidR="00054099">
              <w:rPr>
                <w:webHidden/>
              </w:rPr>
              <w:t>23</w:t>
            </w:r>
            <w:r w:rsidRPr="00660292">
              <w:rPr>
                <w:webHidden/>
              </w:rPr>
              <w:fldChar w:fldCharType="end"/>
            </w:r>
          </w:hyperlink>
        </w:p>
        <w:p w14:paraId="2270E19F" w14:textId="0EBAD030" w:rsidR="00FF03DF" w:rsidRPr="00660292" w:rsidRDefault="00FF03DF" w:rsidP="00660292">
          <w:pPr>
            <w:pStyle w:val="TOC2"/>
          </w:pPr>
          <w:hyperlink w:anchor="_Toc228563715" w:history="1">
            <w:r w:rsidRPr="00660292">
              <w:rPr>
                <w:rStyle w:val="Hyperlink"/>
              </w:rPr>
              <w:t>4.3 Work Intensity and Job Pressure</w:t>
            </w:r>
            <w:r w:rsidRPr="00660292">
              <w:rPr>
                <w:webHidden/>
              </w:rPr>
              <w:tab/>
            </w:r>
            <w:r w:rsidRPr="00660292">
              <w:rPr>
                <w:webHidden/>
              </w:rPr>
              <w:fldChar w:fldCharType="begin"/>
            </w:r>
            <w:r w:rsidRPr="00660292">
              <w:rPr>
                <w:webHidden/>
              </w:rPr>
              <w:instrText xml:space="preserve"> PAGEREF _Toc228563715 \h </w:instrText>
            </w:r>
            <w:r w:rsidRPr="00660292">
              <w:rPr>
                <w:webHidden/>
              </w:rPr>
            </w:r>
            <w:r w:rsidRPr="00660292">
              <w:rPr>
                <w:webHidden/>
              </w:rPr>
              <w:fldChar w:fldCharType="separate"/>
            </w:r>
            <w:r w:rsidR="00054099">
              <w:rPr>
                <w:webHidden/>
              </w:rPr>
              <w:t>24</w:t>
            </w:r>
            <w:r w:rsidRPr="00660292">
              <w:rPr>
                <w:webHidden/>
              </w:rPr>
              <w:fldChar w:fldCharType="end"/>
            </w:r>
          </w:hyperlink>
        </w:p>
        <w:p w14:paraId="5F8C480F" w14:textId="4486F3D2" w:rsidR="00FF03DF" w:rsidRPr="00660292" w:rsidRDefault="00FF03DF" w:rsidP="00660292">
          <w:pPr>
            <w:pStyle w:val="TOC2"/>
          </w:pPr>
          <w:hyperlink w:anchor="_Toc228563716" w:history="1">
            <w:r w:rsidRPr="00660292">
              <w:rPr>
                <w:rStyle w:val="Hyperlink"/>
              </w:rPr>
              <w:t>4.4 Regulatory and Managerial Control</w:t>
            </w:r>
            <w:r w:rsidRPr="00660292">
              <w:rPr>
                <w:webHidden/>
              </w:rPr>
              <w:tab/>
            </w:r>
            <w:r w:rsidRPr="00660292">
              <w:rPr>
                <w:webHidden/>
              </w:rPr>
              <w:fldChar w:fldCharType="begin"/>
            </w:r>
            <w:r w:rsidRPr="00660292">
              <w:rPr>
                <w:webHidden/>
              </w:rPr>
              <w:instrText xml:space="preserve"> PAGEREF _Toc228563716 \h </w:instrText>
            </w:r>
            <w:r w:rsidRPr="00660292">
              <w:rPr>
                <w:webHidden/>
              </w:rPr>
            </w:r>
            <w:r w:rsidRPr="00660292">
              <w:rPr>
                <w:webHidden/>
              </w:rPr>
              <w:fldChar w:fldCharType="separate"/>
            </w:r>
            <w:r w:rsidR="00054099">
              <w:rPr>
                <w:webHidden/>
              </w:rPr>
              <w:t>25</w:t>
            </w:r>
            <w:r w:rsidRPr="00660292">
              <w:rPr>
                <w:webHidden/>
              </w:rPr>
              <w:fldChar w:fldCharType="end"/>
            </w:r>
          </w:hyperlink>
        </w:p>
        <w:p w14:paraId="23B5433D" w14:textId="3F96B788" w:rsidR="00FF03DF" w:rsidRPr="00660292" w:rsidRDefault="00FF03DF" w:rsidP="00660292">
          <w:pPr>
            <w:pStyle w:val="TOC2"/>
          </w:pPr>
          <w:hyperlink w:anchor="_Toc228563717" w:history="1">
            <w:r w:rsidRPr="00660292">
              <w:rPr>
                <w:rStyle w:val="Hyperlink"/>
              </w:rPr>
              <w:t>4.5 Limited Autonomy and Employee Voice</w:t>
            </w:r>
            <w:r w:rsidRPr="00660292">
              <w:rPr>
                <w:webHidden/>
              </w:rPr>
              <w:tab/>
            </w:r>
            <w:r w:rsidRPr="00660292">
              <w:rPr>
                <w:webHidden/>
              </w:rPr>
              <w:fldChar w:fldCharType="begin"/>
            </w:r>
            <w:r w:rsidRPr="00660292">
              <w:rPr>
                <w:webHidden/>
              </w:rPr>
              <w:instrText xml:space="preserve"> PAGEREF _Toc228563717 \h </w:instrText>
            </w:r>
            <w:r w:rsidRPr="00660292">
              <w:rPr>
                <w:webHidden/>
              </w:rPr>
            </w:r>
            <w:r w:rsidRPr="00660292">
              <w:rPr>
                <w:webHidden/>
              </w:rPr>
              <w:fldChar w:fldCharType="separate"/>
            </w:r>
            <w:r w:rsidR="00054099">
              <w:rPr>
                <w:webHidden/>
              </w:rPr>
              <w:t>25</w:t>
            </w:r>
            <w:r w:rsidRPr="00660292">
              <w:rPr>
                <w:webHidden/>
              </w:rPr>
              <w:fldChar w:fldCharType="end"/>
            </w:r>
          </w:hyperlink>
        </w:p>
        <w:p w14:paraId="7BE14230" w14:textId="2337DCBB" w:rsidR="00FF03DF" w:rsidRPr="00660292" w:rsidRDefault="00FF03DF" w:rsidP="00660292">
          <w:pPr>
            <w:pStyle w:val="TOC2"/>
          </w:pPr>
          <w:hyperlink w:anchor="_Toc228563718" w:history="1">
            <w:r w:rsidRPr="00660292">
              <w:rPr>
                <w:rStyle w:val="Hyperlink"/>
              </w:rPr>
              <w:t>4.6 Engagement as a Managerial Strategy</w:t>
            </w:r>
            <w:r w:rsidRPr="00660292">
              <w:rPr>
                <w:webHidden/>
              </w:rPr>
              <w:tab/>
            </w:r>
            <w:r w:rsidRPr="00660292">
              <w:rPr>
                <w:webHidden/>
              </w:rPr>
              <w:fldChar w:fldCharType="begin"/>
            </w:r>
            <w:r w:rsidRPr="00660292">
              <w:rPr>
                <w:webHidden/>
              </w:rPr>
              <w:instrText xml:space="preserve"> PAGEREF _Toc228563718 \h </w:instrText>
            </w:r>
            <w:r w:rsidRPr="00660292">
              <w:rPr>
                <w:webHidden/>
              </w:rPr>
            </w:r>
            <w:r w:rsidRPr="00660292">
              <w:rPr>
                <w:webHidden/>
              </w:rPr>
              <w:fldChar w:fldCharType="separate"/>
            </w:r>
            <w:r w:rsidR="00054099">
              <w:rPr>
                <w:webHidden/>
              </w:rPr>
              <w:t>26</w:t>
            </w:r>
            <w:r w:rsidRPr="00660292">
              <w:rPr>
                <w:webHidden/>
              </w:rPr>
              <w:fldChar w:fldCharType="end"/>
            </w:r>
          </w:hyperlink>
        </w:p>
        <w:p w14:paraId="0BB53323" w14:textId="60434128" w:rsidR="00FF03DF" w:rsidRPr="00660292" w:rsidRDefault="00FF03DF" w:rsidP="00660292">
          <w:pPr>
            <w:pStyle w:val="TOC2"/>
          </w:pPr>
          <w:hyperlink w:anchor="_Toc228563719" w:history="1">
            <w:r w:rsidRPr="00660292">
              <w:rPr>
                <w:rStyle w:val="Hyperlink"/>
              </w:rPr>
              <w:t>4.7 Gap Between Engagement Rhetoric and Employee Reality</w:t>
            </w:r>
            <w:r w:rsidRPr="00660292">
              <w:rPr>
                <w:webHidden/>
              </w:rPr>
              <w:tab/>
            </w:r>
            <w:r w:rsidRPr="00660292">
              <w:rPr>
                <w:webHidden/>
              </w:rPr>
              <w:fldChar w:fldCharType="begin"/>
            </w:r>
            <w:r w:rsidRPr="00660292">
              <w:rPr>
                <w:webHidden/>
              </w:rPr>
              <w:instrText xml:space="preserve"> PAGEREF _Toc228563719 \h </w:instrText>
            </w:r>
            <w:r w:rsidRPr="00660292">
              <w:rPr>
                <w:webHidden/>
              </w:rPr>
            </w:r>
            <w:r w:rsidRPr="00660292">
              <w:rPr>
                <w:webHidden/>
              </w:rPr>
              <w:fldChar w:fldCharType="separate"/>
            </w:r>
            <w:r w:rsidR="00054099">
              <w:rPr>
                <w:webHidden/>
              </w:rPr>
              <w:t>26</w:t>
            </w:r>
            <w:r w:rsidRPr="00660292">
              <w:rPr>
                <w:webHidden/>
              </w:rPr>
              <w:fldChar w:fldCharType="end"/>
            </w:r>
          </w:hyperlink>
        </w:p>
        <w:p w14:paraId="41777764" w14:textId="1AD5B4E0" w:rsidR="00FF03DF" w:rsidRPr="00660292" w:rsidRDefault="00FF03DF" w:rsidP="00660292">
          <w:pPr>
            <w:pStyle w:val="TOC2"/>
          </w:pPr>
          <w:hyperlink w:anchor="_Toc228563720" w:history="1">
            <w:r w:rsidRPr="00660292">
              <w:rPr>
                <w:rStyle w:val="Hyperlink"/>
              </w:rPr>
              <w:t>4.8 Discussion of Findings</w:t>
            </w:r>
            <w:r w:rsidRPr="00660292">
              <w:rPr>
                <w:webHidden/>
              </w:rPr>
              <w:tab/>
            </w:r>
            <w:r w:rsidRPr="00660292">
              <w:rPr>
                <w:webHidden/>
              </w:rPr>
              <w:fldChar w:fldCharType="begin"/>
            </w:r>
            <w:r w:rsidRPr="00660292">
              <w:rPr>
                <w:webHidden/>
              </w:rPr>
              <w:instrText xml:space="preserve"> PAGEREF _Toc228563720 \h </w:instrText>
            </w:r>
            <w:r w:rsidRPr="00660292">
              <w:rPr>
                <w:webHidden/>
              </w:rPr>
            </w:r>
            <w:r w:rsidRPr="00660292">
              <w:rPr>
                <w:webHidden/>
              </w:rPr>
              <w:fldChar w:fldCharType="separate"/>
            </w:r>
            <w:r w:rsidR="00054099">
              <w:rPr>
                <w:webHidden/>
              </w:rPr>
              <w:t>27</w:t>
            </w:r>
            <w:r w:rsidRPr="00660292">
              <w:rPr>
                <w:webHidden/>
              </w:rPr>
              <w:fldChar w:fldCharType="end"/>
            </w:r>
          </w:hyperlink>
        </w:p>
        <w:p w14:paraId="1F2C2194" w14:textId="46EEFE1C" w:rsidR="00FF03DF" w:rsidRPr="00660292" w:rsidRDefault="00FF03DF" w:rsidP="00660292">
          <w:pPr>
            <w:pStyle w:val="TOC1"/>
            <w:rPr>
              <w:rFonts w:ascii="Arial" w:hAnsi="Arial" w:cs="Arial"/>
            </w:rPr>
          </w:pPr>
          <w:hyperlink w:anchor="_Toc228563721" w:history="1">
            <w:r w:rsidRPr="00660292">
              <w:rPr>
                <w:rStyle w:val="Hyperlink"/>
                <w:rFonts w:ascii="Arial" w:hAnsi="Arial" w:cs="Arial"/>
              </w:rPr>
              <w:t>CHAPTER 5: CONCLUSIONS AND RECOMMENDATIONS</w:t>
            </w:r>
            <w:r w:rsidRPr="00660292">
              <w:rPr>
                <w:rFonts w:ascii="Arial" w:hAnsi="Arial" w:cs="Arial"/>
                <w:webHidden/>
              </w:rPr>
              <w:tab/>
            </w:r>
            <w:r w:rsidRPr="00660292">
              <w:rPr>
                <w:rFonts w:ascii="Arial" w:hAnsi="Arial" w:cs="Arial"/>
                <w:webHidden/>
              </w:rPr>
              <w:fldChar w:fldCharType="begin"/>
            </w:r>
            <w:r w:rsidRPr="00660292">
              <w:rPr>
                <w:rFonts w:ascii="Arial" w:hAnsi="Arial" w:cs="Arial"/>
                <w:webHidden/>
              </w:rPr>
              <w:instrText xml:space="preserve"> PAGEREF _Toc228563721 \h </w:instrText>
            </w:r>
            <w:r w:rsidRPr="00660292">
              <w:rPr>
                <w:rFonts w:ascii="Arial" w:hAnsi="Arial" w:cs="Arial"/>
                <w:webHidden/>
              </w:rPr>
            </w:r>
            <w:r w:rsidRPr="00660292">
              <w:rPr>
                <w:rFonts w:ascii="Arial" w:hAnsi="Arial" w:cs="Arial"/>
                <w:webHidden/>
              </w:rPr>
              <w:fldChar w:fldCharType="separate"/>
            </w:r>
            <w:r w:rsidR="00054099">
              <w:rPr>
                <w:rFonts w:ascii="Arial" w:hAnsi="Arial" w:cs="Arial"/>
                <w:webHidden/>
              </w:rPr>
              <w:t>29</w:t>
            </w:r>
            <w:r w:rsidRPr="00660292">
              <w:rPr>
                <w:rFonts w:ascii="Arial" w:hAnsi="Arial" w:cs="Arial"/>
                <w:webHidden/>
              </w:rPr>
              <w:fldChar w:fldCharType="end"/>
            </w:r>
          </w:hyperlink>
        </w:p>
        <w:p w14:paraId="7B10F3F8" w14:textId="7A2F9CA4" w:rsidR="00FF03DF" w:rsidRPr="00660292" w:rsidRDefault="00FF03DF" w:rsidP="00660292">
          <w:pPr>
            <w:pStyle w:val="TOC2"/>
          </w:pPr>
          <w:hyperlink w:anchor="_Toc228563722" w:history="1">
            <w:r w:rsidRPr="00660292">
              <w:rPr>
                <w:rStyle w:val="Hyperlink"/>
              </w:rPr>
              <w:t>5.1 Introduction</w:t>
            </w:r>
            <w:r w:rsidRPr="00660292">
              <w:rPr>
                <w:webHidden/>
              </w:rPr>
              <w:tab/>
            </w:r>
            <w:r w:rsidRPr="00660292">
              <w:rPr>
                <w:webHidden/>
              </w:rPr>
              <w:fldChar w:fldCharType="begin"/>
            </w:r>
            <w:r w:rsidRPr="00660292">
              <w:rPr>
                <w:webHidden/>
              </w:rPr>
              <w:instrText xml:space="preserve"> PAGEREF _Toc228563722 \h </w:instrText>
            </w:r>
            <w:r w:rsidRPr="00660292">
              <w:rPr>
                <w:webHidden/>
              </w:rPr>
            </w:r>
            <w:r w:rsidRPr="00660292">
              <w:rPr>
                <w:webHidden/>
              </w:rPr>
              <w:fldChar w:fldCharType="separate"/>
            </w:r>
            <w:r w:rsidR="00054099">
              <w:rPr>
                <w:webHidden/>
              </w:rPr>
              <w:t>29</w:t>
            </w:r>
            <w:r w:rsidRPr="00660292">
              <w:rPr>
                <w:webHidden/>
              </w:rPr>
              <w:fldChar w:fldCharType="end"/>
            </w:r>
          </w:hyperlink>
        </w:p>
        <w:p w14:paraId="546C5CB1" w14:textId="5C6D2E21" w:rsidR="00FF03DF" w:rsidRPr="00660292" w:rsidRDefault="00FF03DF" w:rsidP="00660292">
          <w:pPr>
            <w:pStyle w:val="TOC2"/>
          </w:pPr>
          <w:hyperlink w:anchor="_Toc228563723" w:history="1">
            <w:r w:rsidRPr="00660292">
              <w:rPr>
                <w:rStyle w:val="Hyperlink"/>
              </w:rPr>
              <w:t>5.2 Summary of Main Findings</w:t>
            </w:r>
            <w:r w:rsidRPr="00660292">
              <w:rPr>
                <w:webHidden/>
              </w:rPr>
              <w:tab/>
            </w:r>
            <w:r w:rsidRPr="00660292">
              <w:rPr>
                <w:webHidden/>
              </w:rPr>
              <w:fldChar w:fldCharType="begin"/>
            </w:r>
            <w:r w:rsidRPr="00660292">
              <w:rPr>
                <w:webHidden/>
              </w:rPr>
              <w:instrText xml:space="preserve"> PAGEREF _Toc228563723 \h </w:instrText>
            </w:r>
            <w:r w:rsidRPr="00660292">
              <w:rPr>
                <w:webHidden/>
              </w:rPr>
            </w:r>
            <w:r w:rsidRPr="00660292">
              <w:rPr>
                <w:webHidden/>
              </w:rPr>
              <w:fldChar w:fldCharType="separate"/>
            </w:r>
            <w:r w:rsidR="00054099">
              <w:rPr>
                <w:webHidden/>
              </w:rPr>
              <w:t>30</w:t>
            </w:r>
            <w:r w:rsidRPr="00660292">
              <w:rPr>
                <w:webHidden/>
              </w:rPr>
              <w:fldChar w:fldCharType="end"/>
            </w:r>
          </w:hyperlink>
        </w:p>
        <w:p w14:paraId="5C2CC5D8" w14:textId="66364D46" w:rsidR="00FF03DF" w:rsidRPr="00660292" w:rsidRDefault="00FF03DF" w:rsidP="00660292">
          <w:pPr>
            <w:pStyle w:val="TOC2"/>
          </w:pPr>
          <w:hyperlink w:anchor="_Toc228563724" w:history="1">
            <w:r w:rsidRPr="00660292">
              <w:rPr>
                <w:rStyle w:val="Hyperlink"/>
              </w:rPr>
              <w:t>5.3 Conclusions in Relation to Research Questions</w:t>
            </w:r>
            <w:r w:rsidRPr="00660292">
              <w:rPr>
                <w:webHidden/>
              </w:rPr>
              <w:tab/>
            </w:r>
            <w:r w:rsidRPr="00660292">
              <w:rPr>
                <w:webHidden/>
              </w:rPr>
              <w:fldChar w:fldCharType="begin"/>
            </w:r>
            <w:r w:rsidRPr="00660292">
              <w:rPr>
                <w:webHidden/>
              </w:rPr>
              <w:instrText xml:space="preserve"> PAGEREF _Toc228563724 \h </w:instrText>
            </w:r>
            <w:r w:rsidRPr="00660292">
              <w:rPr>
                <w:webHidden/>
              </w:rPr>
            </w:r>
            <w:r w:rsidRPr="00660292">
              <w:rPr>
                <w:webHidden/>
              </w:rPr>
              <w:fldChar w:fldCharType="separate"/>
            </w:r>
            <w:r w:rsidR="00054099">
              <w:rPr>
                <w:webHidden/>
              </w:rPr>
              <w:t>31</w:t>
            </w:r>
            <w:r w:rsidRPr="00660292">
              <w:rPr>
                <w:webHidden/>
              </w:rPr>
              <w:fldChar w:fldCharType="end"/>
            </w:r>
          </w:hyperlink>
        </w:p>
        <w:p w14:paraId="3CAEDD9D" w14:textId="262EFB7E" w:rsidR="00FF03DF" w:rsidRPr="00660292" w:rsidRDefault="00FF03DF" w:rsidP="00660292">
          <w:pPr>
            <w:pStyle w:val="TOC2"/>
          </w:pPr>
          <w:hyperlink w:anchor="_Toc228563725" w:history="1">
            <w:r w:rsidRPr="00660292">
              <w:rPr>
                <w:rStyle w:val="Hyperlink"/>
              </w:rPr>
              <w:t>5.4 Overall Conclusion</w:t>
            </w:r>
            <w:r w:rsidRPr="00660292">
              <w:rPr>
                <w:webHidden/>
              </w:rPr>
              <w:tab/>
            </w:r>
            <w:r w:rsidRPr="00660292">
              <w:rPr>
                <w:webHidden/>
              </w:rPr>
              <w:fldChar w:fldCharType="begin"/>
            </w:r>
            <w:r w:rsidRPr="00660292">
              <w:rPr>
                <w:webHidden/>
              </w:rPr>
              <w:instrText xml:space="preserve"> PAGEREF _Toc228563725 \h </w:instrText>
            </w:r>
            <w:r w:rsidRPr="00660292">
              <w:rPr>
                <w:webHidden/>
              </w:rPr>
            </w:r>
            <w:r w:rsidRPr="00660292">
              <w:rPr>
                <w:webHidden/>
              </w:rPr>
              <w:fldChar w:fldCharType="separate"/>
            </w:r>
            <w:r w:rsidR="00054099">
              <w:rPr>
                <w:webHidden/>
              </w:rPr>
              <w:t>33</w:t>
            </w:r>
            <w:r w:rsidRPr="00660292">
              <w:rPr>
                <w:webHidden/>
              </w:rPr>
              <w:fldChar w:fldCharType="end"/>
            </w:r>
          </w:hyperlink>
        </w:p>
        <w:p w14:paraId="1B78AA54" w14:textId="33E2A241" w:rsidR="00FF03DF" w:rsidRPr="00660292" w:rsidRDefault="00FF03DF" w:rsidP="00660292">
          <w:pPr>
            <w:pStyle w:val="TOC2"/>
          </w:pPr>
          <w:hyperlink w:anchor="_Toc228563726" w:history="1">
            <w:r w:rsidRPr="00660292">
              <w:rPr>
                <w:rStyle w:val="Hyperlink"/>
              </w:rPr>
              <w:t>5.5 Recommendations</w:t>
            </w:r>
            <w:r w:rsidRPr="00660292">
              <w:rPr>
                <w:webHidden/>
              </w:rPr>
              <w:tab/>
            </w:r>
            <w:r w:rsidRPr="00660292">
              <w:rPr>
                <w:webHidden/>
              </w:rPr>
              <w:fldChar w:fldCharType="begin"/>
            </w:r>
            <w:r w:rsidRPr="00660292">
              <w:rPr>
                <w:webHidden/>
              </w:rPr>
              <w:instrText xml:space="preserve"> PAGEREF _Toc228563726 \h </w:instrText>
            </w:r>
            <w:r w:rsidRPr="00660292">
              <w:rPr>
                <w:webHidden/>
              </w:rPr>
            </w:r>
            <w:r w:rsidRPr="00660292">
              <w:rPr>
                <w:webHidden/>
              </w:rPr>
              <w:fldChar w:fldCharType="separate"/>
            </w:r>
            <w:r w:rsidR="00054099">
              <w:rPr>
                <w:webHidden/>
              </w:rPr>
              <w:t>35</w:t>
            </w:r>
            <w:r w:rsidRPr="00660292">
              <w:rPr>
                <w:webHidden/>
              </w:rPr>
              <w:fldChar w:fldCharType="end"/>
            </w:r>
          </w:hyperlink>
        </w:p>
        <w:p w14:paraId="7F2B0744" w14:textId="6DC43193" w:rsidR="00FF03DF" w:rsidRPr="00660292" w:rsidRDefault="00FF03DF" w:rsidP="00660292">
          <w:pPr>
            <w:pStyle w:val="TOC2"/>
          </w:pPr>
          <w:hyperlink w:anchor="_Toc228563727" w:history="1">
            <w:r w:rsidRPr="00660292">
              <w:rPr>
                <w:rStyle w:val="Hyperlink"/>
              </w:rPr>
              <w:t>5.6 Implications of Findings</w:t>
            </w:r>
            <w:r w:rsidRPr="00660292">
              <w:rPr>
                <w:webHidden/>
              </w:rPr>
              <w:tab/>
            </w:r>
            <w:r w:rsidRPr="00660292">
              <w:rPr>
                <w:webHidden/>
              </w:rPr>
              <w:fldChar w:fldCharType="begin"/>
            </w:r>
            <w:r w:rsidRPr="00660292">
              <w:rPr>
                <w:webHidden/>
              </w:rPr>
              <w:instrText xml:space="preserve"> PAGEREF _Toc228563727 \h </w:instrText>
            </w:r>
            <w:r w:rsidRPr="00660292">
              <w:rPr>
                <w:webHidden/>
              </w:rPr>
            </w:r>
            <w:r w:rsidRPr="00660292">
              <w:rPr>
                <w:webHidden/>
              </w:rPr>
              <w:fldChar w:fldCharType="separate"/>
            </w:r>
            <w:r w:rsidR="00054099">
              <w:rPr>
                <w:webHidden/>
              </w:rPr>
              <w:t>39</w:t>
            </w:r>
            <w:r w:rsidRPr="00660292">
              <w:rPr>
                <w:webHidden/>
              </w:rPr>
              <w:fldChar w:fldCharType="end"/>
            </w:r>
          </w:hyperlink>
        </w:p>
        <w:p w14:paraId="30C2C918" w14:textId="10E6D0FB" w:rsidR="00FF03DF" w:rsidRPr="00660292" w:rsidRDefault="00FF03DF" w:rsidP="00660292">
          <w:pPr>
            <w:pStyle w:val="TOC2"/>
          </w:pPr>
          <w:hyperlink w:anchor="_Toc228563728" w:history="1">
            <w:r w:rsidRPr="00660292">
              <w:rPr>
                <w:rStyle w:val="Hyperlink"/>
              </w:rPr>
              <w:t>5.7 Limitations of the Study</w:t>
            </w:r>
            <w:r w:rsidRPr="00660292">
              <w:rPr>
                <w:webHidden/>
              </w:rPr>
              <w:tab/>
            </w:r>
            <w:r w:rsidRPr="00660292">
              <w:rPr>
                <w:webHidden/>
              </w:rPr>
              <w:fldChar w:fldCharType="begin"/>
            </w:r>
            <w:r w:rsidRPr="00660292">
              <w:rPr>
                <w:webHidden/>
              </w:rPr>
              <w:instrText xml:space="preserve"> PAGEREF _Toc228563728 \h </w:instrText>
            </w:r>
            <w:r w:rsidRPr="00660292">
              <w:rPr>
                <w:webHidden/>
              </w:rPr>
            </w:r>
            <w:r w:rsidRPr="00660292">
              <w:rPr>
                <w:webHidden/>
              </w:rPr>
              <w:fldChar w:fldCharType="separate"/>
            </w:r>
            <w:r w:rsidR="00054099">
              <w:rPr>
                <w:webHidden/>
              </w:rPr>
              <w:t>39</w:t>
            </w:r>
            <w:r w:rsidRPr="00660292">
              <w:rPr>
                <w:webHidden/>
              </w:rPr>
              <w:fldChar w:fldCharType="end"/>
            </w:r>
          </w:hyperlink>
        </w:p>
        <w:p w14:paraId="3BA96E44" w14:textId="4C3DFDF6" w:rsidR="00FF03DF" w:rsidRPr="00660292" w:rsidRDefault="00FF03DF" w:rsidP="00660292">
          <w:pPr>
            <w:pStyle w:val="TOC2"/>
          </w:pPr>
          <w:hyperlink w:anchor="_Toc228563729" w:history="1">
            <w:r w:rsidRPr="00660292">
              <w:rPr>
                <w:rStyle w:val="Hyperlink"/>
              </w:rPr>
              <w:t>5.8 Recommendations for Future Research</w:t>
            </w:r>
            <w:r w:rsidRPr="00660292">
              <w:rPr>
                <w:webHidden/>
              </w:rPr>
              <w:tab/>
            </w:r>
            <w:r w:rsidRPr="00660292">
              <w:rPr>
                <w:webHidden/>
              </w:rPr>
              <w:fldChar w:fldCharType="begin"/>
            </w:r>
            <w:r w:rsidRPr="00660292">
              <w:rPr>
                <w:webHidden/>
              </w:rPr>
              <w:instrText xml:space="preserve"> PAGEREF _Toc228563729 \h </w:instrText>
            </w:r>
            <w:r w:rsidRPr="00660292">
              <w:rPr>
                <w:webHidden/>
              </w:rPr>
            </w:r>
            <w:r w:rsidRPr="00660292">
              <w:rPr>
                <w:webHidden/>
              </w:rPr>
              <w:fldChar w:fldCharType="separate"/>
            </w:r>
            <w:r w:rsidR="00054099">
              <w:rPr>
                <w:webHidden/>
              </w:rPr>
              <w:t>39</w:t>
            </w:r>
            <w:r w:rsidRPr="00660292">
              <w:rPr>
                <w:webHidden/>
              </w:rPr>
              <w:fldChar w:fldCharType="end"/>
            </w:r>
          </w:hyperlink>
        </w:p>
        <w:p w14:paraId="6DF80AA8" w14:textId="22832ACB" w:rsidR="00FF03DF" w:rsidRPr="00660292" w:rsidRDefault="00FF03DF" w:rsidP="00660292">
          <w:pPr>
            <w:pStyle w:val="TOC2"/>
          </w:pPr>
          <w:hyperlink w:anchor="_Toc228563730" w:history="1">
            <w:r w:rsidRPr="00660292">
              <w:rPr>
                <w:rStyle w:val="Hyperlink"/>
                <w:b/>
                <w:bCs/>
              </w:rPr>
              <w:t>REFERENCES</w:t>
            </w:r>
            <w:r w:rsidRPr="00660292">
              <w:rPr>
                <w:webHidden/>
              </w:rPr>
              <w:tab/>
            </w:r>
            <w:r w:rsidRPr="00660292">
              <w:rPr>
                <w:webHidden/>
              </w:rPr>
              <w:fldChar w:fldCharType="begin"/>
            </w:r>
            <w:r w:rsidRPr="00660292">
              <w:rPr>
                <w:webHidden/>
              </w:rPr>
              <w:instrText xml:space="preserve"> PAGEREF _Toc228563730 \h </w:instrText>
            </w:r>
            <w:r w:rsidRPr="00660292">
              <w:rPr>
                <w:webHidden/>
              </w:rPr>
            </w:r>
            <w:r w:rsidRPr="00660292">
              <w:rPr>
                <w:webHidden/>
              </w:rPr>
              <w:fldChar w:fldCharType="separate"/>
            </w:r>
            <w:r w:rsidR="00054099">
              <w:rPr>
                <w:webHidden/>
              </w:rPr>
              <w:t>40</w:t>
            </w:r>
            <w:r w:rsidRPr="00660292">
              <w:rPr>
                <w:webHidden/>
              </w:rPr>
              <w:fldChar w:fldCharType="end"/>
            </w:r>
          </w:hyperlink>
        </w:p>
        <w:p w14:paraId="13B97278" w14:textId="5FBDB4B5" w:rsidR="00F477C0" w:rsidRPr="00660292" w:rsidRDefault="00F477C0">
          <w:pPr>
            <w:rPr>
              <w:rFonts w:ascii="Arial" w:hAnsi="Arial" w:cs="Arial"/>
            </w:rPr>
          </w:pPr>
          <w:r w:rsidRPr="00660292">
            <w:rPr>
              <w:rFonts w:ascii="Arial" w:hAnsi="Arial" w:cs="Arial"/>
              <w:b/>
              <w:bCs/>
            </w:rPr>
            <w:fldChar w:fldCharType="end"/>
          </w:r>
        </w:p>
      </w:sdtContent>
    </w:sdt>
    <w:p w14:paraId="03547A0B" w14:textId="7C898F99" w:rsidR="00580D6C" w:rsidRPr="00660292" w:rsidRDefault="00580D6C" w:rsidP="00FF03DF">
      <w:pPr>
        <w:rPr>
          <w:rFonts w:ascii="Arial" w:hAnsi="Arial" w:cs="Arial"/>
          <w:b/>
          <w:bCs/>
          <w:color w:val="000000" w:themeColor="text1"/>
          <w:sz w:val="28"/>
          <w:szCs w:val="28"/>
        </w:rPr>
      </w:pPr>
    </w:p>
    <w:p w14:paraId="2FF314B0" w14:textId="77777777" w:rsidR="0023120F" w:rsidRDefault="0023120F" w:rsidP="00FF03DF">
      <w:pPr>
        <w:rPr>
          <w:rFonts w:ascii="Arial" w:hAnsi="Arial" w:cs="Arial"/>
          <w:b/>
          <w:bCs/>
          <w:color w:val="000000" w:themeColor="text1"/>
          <w:sz w:val="28"/>
          <w:szCs w:val="28"/>
        </w:rPr>
      </w:pPr>
    </w:p>
    <w:p w14:paraId="521061F1" w14:textId="77777777" w:rsidR="0023120F" w:rsidRDefault="0023120F" w:rsidP="00FF03DF">
      <w:pPr>
        <w:rPr>
          <w:rFonts w:ascii="Arial" w:hAnsi="Arial" w:cs="Arial"/>
          <w:b/>
          <w:bCs/>
          <w:color w:val="000000" w:themeColor="text1"/>
          <w:sz w:val="28"/>
          <w:szCs w:val="28"/>
        </w:rPr>
      </w:pPr>
    </w:p>
    <w:p w14:paraId="3D815EC9" w14:textId="77777777" w:rsidR="0023120F" w:rsidRDefault="0023120F" w:rsidP="00FF03DF">
      <w:pPr>
        <w:rPr>
          <w:rFonts w:ascii="Arial" w:hAnsi="Arial" w:cs="Arial"/>
          <w:b/>
          <w:bCs/>
          <w:color w:val="000000" w:themeColor="text1"/>
          <w:sz w:val="28"/>
          <w:szCs w:val="28"/>
        </w:rPr>
      </w:pPr>
    </w:p>
    <w:p w14:paraId="784775C2" w14:textId="77777777" w:rsidR="0023120F" w:rsidRDefault="0023120F" w:rsidP="00FF03DF">
      <w:pPr>
        <w:rPr>
          <w:rFonts w:ascii="Arial" w:hAnsi="Arial" w:cs="Arial"/>
          <w:b/>
          <w:bCs/>
          <w:color w:val="000000" w:themeColor="text1"/>
          <w:sz w:val="28"/>
          <w:szCs w:val="28"/>
        </w:rPr>
      </w:pPr>
    </w:p>
    <w:p w14:paraId="2430DA93" w14:textId="77777777" w:rsidR="0023120F" w:rsidRDefault="0023120F" w:rsidP="00FF03DF">
      <w:pPr>
        <w:rPr>
          <w:rFonts w:ascii="Arial" w:hAnsi="Arial" w:cs="Arial"/>
          <w:b/>
          <w:bCs/>
          <w:color w:val="000000" w:themeColor="text1"/>
          <w:sz w:val="28"/>
          <w:szCs w:val="28"/>
        </w:rPr>
      </w:pPr>
    </w:p>
    <w:p w14:paraId="1427C9B7" w14:textId="77777777" w:rsidR="0023120F" w:rsidRDefault="0023120F" w:rsidP="00FF03DF">
      <w:pPr>
        <w:rPr>
          <w:rFonts w:ascii="Arial" w:hAnsi="Arial" w:cs="Arial"/>
          <w:b/>
          <w:bCs/>
          <w:color w:val="000000" w:themeColor="text1"/>
          <w:sz w:val="28"/>
          <w:szCs w:val="28"/>
        </w:rPr>
      </w:pPr>
    </w:p>
    <w:p w14:paraId="3FC7160B" w14:textId="77777777" w:rsidR="0023120F" w:rsidRDefault="0023120F" w:rsidP="00FF03DF">
      <w:pPr>
        <w:rPr>
          <w:rFonts w:ascii="Arial" w:hAnsi="Arial" w:cs="Arial"/>
          <w:b/>
          <w:bCs/>
          <w:color w:val="000000" w:themeColor="text1"/>
          <w:sz w:val="28"/>
          <w:szCs w:val="28"/>
        </w:rPr>
      </w:pPr>
    </w:p>
    <w:p w14:paraId="5A9C2330" w14:textId="77777777" w:rsidR="0023120F" w:rsidRDefault="0023120F" w:rsidP="00FF03DF">
      <w:pPr>
        <w:rPr>
          <w:rFonts w:ascii="Arial" w:hAnsi="Arial" w:cs="Arial"/>
          <w:b/>
          <w:bCs/>
          <w:color w:val="000000" w:themeColor="text1"/>
          <w:sz w:val="28"/>
          <w:szCs w:val="28"/>
        </w:rPr>
      </w:pPr>
    </w:p>
    <w:p w14:paraId="162D8E33" w14:textId="77777777" w:rsidR="0023120F" w:rsidRDefault="0023120F" w:rsidP="00FF03DF">
      <w:pPr>
        <w:rPr>
          <w:rFonts w:ascii="Arial" w:hAnsi="Arial" w:cs="Arial"/>
          <w:b/>
          <w:bCs/>
          <w:color w:val="000000" w:themeColor="text1"/>
          <w:sz w:val="28"/>
          <w:szCs w:val="28"/>
        </w:rPr>
      </w:pPr>
    </w:p>
    <w:p w14:paraId="5C1A773B" w14:textId="77777777" w:rsidR="0023120F" w:rsidRDefault="0023120F" w:rsidP="00FF03DF">
      <w:pPr>
        <w:rPr>
          <w:rFonts w:ascii="Arial" w:hAnsi="Arial" w:cs="Arial"/>
          <w:b/>
          <w:bCs/>
          <w:color w:val="000000" w:themeColor="text1"/>
          <w:sz w:val="28"/>
          <w:szCs w:val="28"/>
        </w:rPr>
      </w:pPr>
    </w:p>
    <w:p w14:paraId="4ACC033C" w14:textId="77777777" w:rsidR="0023120F" w:rsidRDefault="0023120F" w:rsidP="00FF03DF">
      <w:pPr>
        <w:rPr>
          <w:rFonts w:ascii="Arial" w:hAnsi="Arial" w:cs="Arial"/>
          <w:b/>
          <w:bCs/>
          <w:color w:val="000000" w:themeColor="text1"/>
          <w:sz w:val="28"/>
          <w:szCs w:val="28"/>
        </w:rPr>
      </w:pPr>
    </w:p>
    <w:p w14:paraId="6667BC8B" w14:textId="77777777" w:rsidR="0023120F" w:rsidRDefault="0023120F" w:rsidP="00FF03DF">
      <w:pPr>
        <w:rPr>
          <w:rFonts w:ascii="Arial" w:hAnsi="Arial" w:cs="Arial"/>
          <w:b/>
          <w:bCs/>
          <w:color w:val="000000" w:themeColor="text1"/>
          <w:sz w:val="28"/>
          <w:szCs w:val="28"/>
        </w:rPr>
      </w:pPr>
    </w:p>
    <w:p w14:paraId="52F7BA28" w14:textId="77777777" w:rsidR="0023120F" w:rsidRDefault="0023120F" w:rsidP="00FF03DF">
      <w:pPr>
        <w:rPr>
          <w:rFonts w:ascii="Arial" w:hAnsi="Arial" w:cs="Arial"/>
          <w:b/>
          <w:bCs/>
          <w:color w:val="000000" w:themeColor="text1"/>
          <w:sz w:val="28"/>
          <w:szCs w:val="28"/>
        </w:rPr>
      </w:pPr>
    </w:p>
    <w:p w14:paraId="5BCDD6BC" w14:textId="77777777" w:rsidR="0023120F" w:rsidRDefault="0023120F" w:rsidP="00FF03DF">
      <w:pPr>
        <w:rPr>
          <w:rFonts w:ascii="Arial" w:hAnsi="Arial" w:cs="Arial"/>
          <w:b/>
          <w:bCs/>
          <w:color w:val="000000" w:themeColor="text1"/>
          <w:sz w:val="28"/>
          <w:szCs w:val="28"/>
        </w:rPr>
      </w:pPr>
    </w:p>
    <w:p w14:paraId="58C361DC" w14:textId="77777777" w:rsidR="00660292" w:rsidRDefault="00660292" w:rsidP="00FF03DF">
      <w:pPr>
        <w:rPr>
          <w:rFonts w:ascii="Arial" w:hAnsi="Arial" w:cs="Arial"/>
          <w:b/>
          <w:bCs/>
          <w:color w:val="000000" w:themeColor="text1"/>
          <w:sz w:val="28"/>
          <w:szCs w:val="28"/>
        </w:rPr>
      </w:pPr>
    </w:p>
    <w:p w14:paraId="663D519A" w14:textId="77777777" w:rsidR="0023120F" w:rsidRDefault="0023120F" w:rsidP="00FF03DF">
      <w:pPr>
        <w:rPr>
          <w:rFonts w:ascii="Arial" w:hAnsi="Arial" w:cs="Arial"/>
          <w:b/>
          <w:bCs/>
          <w:color w:val="000000" w:themeColor="text1"/>
          <w:sz w:val="28"/>
          <w:szCs w:val="28"/>
        </w:rPr>
      </w:pPr>
    </w:p>
    <w:p w14:paraId="3D443337" w14:textId="77777777" w:rsidR="0023120F" w:rsidRDefault="0023120F" w:rsidP="00FF03DF">
      <w:pPr>
        <w:rPr>
          <w:rFonts w:ascii="Arial" w:hAnsi="Arial" w:cs="Arial"/>
          <w:b/>
          <w:bCs/>
          <w:color w:val="000000" w:themeColor="text1"/>
          <w:sz w:val="28"/>
          <w:szCs w:val="28"/>
        </w:rPr>
      </w:pPr>
    </w:p>
    <w:p w14:paraId="4764DE9A" w14:textId="77777777" w:rsidR="0023120F" w:rsidRPr="00FF03DF" w:rsidRDefault="0023120F" w:rsidP="00FF03DF">
      <w:pPr>
        <w:rPr>
          <w:rFonts w:ascii="Arial" w:hAnsi="Arial" w:cs="Arial"/>
          <w:b/>
          <w:bCs/>
          <w:color w:val="000000" w:themeColor="text1"/>
          <w:sz w:val="28"/>
          <w:szCs w:val="28"/>
        </w:rPr>
      </w:pPr>
    </w:p>
    <w:p w14:paraId="207CA4FD" w14:textId="6EE5DCCC" w:rsidR="00B471FF" w:rsidRPr="00FF03DF" w:rsidRDefault="00B471FF" w:rsidP="00FF03DF">
      <w:pPr>
        <w:rPr>
          <w:rFonts w:ascii="Arial" w:hAnsi="Arial" w:cs="Arial"/>
          <w:b/>
          <w:bCs/>
          <w:color w:val="000000" w:themeColor="text1"/>
          <w:sz w:val="28"/>
          <w:szCs w:val="28"/>
        </w:rPr>
      </w:pPr>
      <w:bookmarkStart w:id="0" w:name="_Toc228563685"/>
      <w:r w:rsidRPr="00FF03DF">
        <w:rPr>
          <w:rFonts w:ascii="Arial" w:hAnsi="Arial" w:cs="Arial"/>
          <w:b/>
          <w:bCs/>
          <w:color w:val="000000" w:themeColor="text1"/>
          <w:sz w:val="28"/>
          <w:szCs w:val="28"/>
        </w:rPr>
        <w:lastRenderedPageBreak/>
        <w:t>CHAPTER 1: INTRODUCTION</w:t>
      </w:r>
      <w:bookmarkEnd w:id="0"/>
    </w:p>
    <w:p w14:paraId="68D23B33" w14:textId="77777777" w:rsidR="00B471FF" w:rsidRPr="00FF03DF" w:rsidRDefault="00B471FF" w:rsidP="00FF03DF">
      <w:pPr>
        <w:rPr>
          <w:rFonts w:ascii="Arial" w:hAnsi="Arial" w:cs="Arial"/>
          <w:b/>
          <w:bCs/>
          <w:color w:val="000000" w:themeColor="text1"/>
          <w:sz w:val="24"/>
          <w:szCs w:val="24"/>
        </w:rPr>
      </w:pPr>
      <w:bookmarkStart w:id="1" w:name="_Toc228563686"/>
      <w:r w:rsidRPr="00FF03DF">
        <w:rPr>
          <w:rFonts w:ascii="Arial" w:hAnsi="Arial" w:cs="Arial"/>
          <w:b/>
          <w:bCs/>
          <w:color w:val="000000" w:themeColor="text1"/>
          <w:sz w:val="24"/>
          <w:szCs w:val="24"/>
        </w:rPr>
        <w:t>1.1 Background and Problem Statement</w:t>
      </w:r>
      <w:bookmarkEnd w:id="1"/>
    </w:p>
    <w:p w14:paraId="643603B1" w14:textId="0207A086" w:rsidR="00B471FF" w:rsidRDefault="00B471FF" w:rsidP="00B471FF">
      <w:pPr>
        <w:jc w:val="both"/>
        <w:rPr>
          <w:rFonts w:ascii="Arial" w:hAnsi="Arial" w:cs="Arial"/>
        </w:rPr>
      </w:pPr>
      <w:r>
        <w:rPr>
          <w:rFonts w:ascii="Arial" w:hAnsi="Arial" w:cs="Arial"/>
        </w:rPr>
        <w:t xml:space="preserve">The pharmaceutical logistics sector in the United Kingdom operates in one of the most heavily regulated business environments, where every organisation must adhere to strict Good Distribution Practice (GDP) rules governing the storage, handling, and transportation of medicines (European Commission, 2013; MHRA, 2022). In this field, companies are not only bound by these regulations but also pressured by </w:t>
      </w:r>
      <w:r w:rsidR="00E2343F">
        <w:rPr>
          <w:rFonts w:ascii="Arial" w:hAnsi="Arial" w:cs="Arial"/>
        </w:rPr>
        <w:t>volatile demand, cost constraints, and workforce challenges</w:t>
      </w:r>
      <w:r>
        <w:rPr>
          <w:rFonts w:ascii="Arial" w:hAnsi="Arial" w:cs="Arial"/>
        </w:rPr>
        <w:t xml:space="preserve"> (Torrington et al., 2020; CIPD, 2023). Because of this, the success of operations depends not only on technology or systems but also, and maybe more so, on the dependability and performance of the people doing the work on the ground.</w:t>
      </w:r>
    </w:p>
    <w:p w14:paraId="07389A49" w14:textId="79A5E920" w:rsidR="00B471FF" w:rsidRDefault="00B471FF" w:rsidP="00B471FF">
      <w:pPr>
        <w:jc w:val="both"/>
        <w:rPr>
          <w:rFonts w:ascii="Arial" w:hAnsi="Arial" w:cs="Arial"/>
        </w:rPr>
      </w:pPr>
      <w:r>
        <w:rPr>
          <w:rFonts w:ascii="Arial" w:hAnsi="Arial" w:cs="Arial"/>
        </w:rPr>
        <w:t xml:space="preserve">Companies like Movianto UK and DHL Supply Chain Healthcare </w:t>
      </w:r>
      <w:r w:rsidR="00E2343F">
        <w:rPr>
          <w:rFonts w:ascii="Arial" w:hAnsi="Arial" w:cs="Arial"/>
        </w:rPr>
        <w:t xml:space="preserve">play a crucial role in keeping the UK healthcare system functioning by ensuring </w:t>
      </w:r>
      <w:r>
        <w:rPr>
          <w:rFonts w:ascii="Arial" w:hAnsi="Arial" w:cs="Arial"/>
        </w:rPr>
        <w:t>medicines reach their destinations safely and on time. Their daily operations rely on warehouse operatives, drivers, and supervisors who must follow strict procedures, undergo constant monitoring, and comply with compliance checks. These controls are necessary for safety and regulatory purposes, yet they often lead to heavy workloads, limited independence, and repetitive routines (Nickson, 2013; Thompson, 2011). Even though these roles are essential, they are often associated with shift work, job insecurity, and limited opportunities for employees to express their views. Over time, such conditions can erode morale and satisfaction, leading to higher turnover (CIPD, 2023).</w:t>
      </w:r>
    </w:p>
    <w:p w14:paraId="21839519" w14:textId="77777777" w:rsidR="00B471FF" w:rsidRDefault="00B471FF" w:rsidP="00B471FF">
      <w:pPr>
        <w:jc w:val="both"/>
        <w:rPr>
          <w:rFonts w:ascii="Arial" w:hAnsi="Arial" w:cs="Arial"/>
        </w:rPr>
      </w:pPr>
      <w:r>
        <w:rPr>
          <w:rFonts w:ascii="Arial" w:hAnsi="Arial" w:cs="Arial"/>
        </w:rPr>
        <w:t>High turnover is not just a human problem; it disrupts service flow, raises recruitment and training costs, and threatens compliance in a field where experience matters deeply. To address these issues, many organisations have turned to employee engagement as a key part of their HRM strategies. Engagement programs are often advertised as ways to boost motivation, commitment, and retention (Albrecht et al., 2015). However, there is still debate over whether these programs truly address the root causes of turnover or serve mainly as managerial tools to maintain performance without improving working conditions. Critics from the critical HRM perspective argue that engagement may mask deeper structural problems, such as workload pressure and management control, rather than addressing them (Legge, 2005; Thompson, 2011).</w:t>
      </w:r>
    </w:p>
    <w:p w14:paraId="4FFBAADC" w14:textId="77777777" w:rsidR="00B471FF" w:rsidRDefault="00B471FF" w:rsidP="00B471FF">
      <w:pPr>
        <w:jc w:val="both"/>
        <w:rPr>
          <w:rFonts w:ascii="Arial" w:hAnsi="Arial" w:cs="Arial"/>
        </w:rPr>
      </w:pPr>
      <w:r>
        <w:rPr>
          <w:rFonts w:ascii="Arial" w:hAnsi="Arial" w:cs="Arial"/>
        </w:rPr>
        <w:t>This study examines that tension by examining how engagement strategies are used in UK pharmaceutical logistics and how they relate to staff retention. Focusing on Movianto UK and DHL Supply Chain Healthcare, it explores whether engagement genuinely improves retention or if the rigid, regulated, and labour-heavy nature of the work limits its effects.</w:t>
      </w:r>
    </w:p>
    <w:p w14:paraId="04D69E68" w14:textId="77777777" w:rsidR="00B471FF" w:rsidRPr="0023120F" w:rsidRDefault="00B471FF" w:rsidP="00F477C0">
      <w:pPr>
        <w:pStyle w:val="Heading2"/>
        <w:rPr>
          <w:rFonts w:ascii="Arial" w:hAnsi="Arial" w:cs="Arial"/>
          <w:b/>
          <w:bCs/>
          <w:color w:val="000000" w:themeColor="text1"/>
          <w:sz w:val="24"/>
          <w:szCs w:val="24"/>
        </w:rPr>
      </w:pPr>
      <w:bookmarkStart w:id="2" w:name="_Toc228563687"/>
      <w:r w:rsidRPr="0023120F">
        <w:rPr>
          <w:rFonts w:ascii="Arial" w:hAnsi="Arial" w:cs="Arial"/>
          <w:b/>
          <w:bCs/>
          <w:color w:val="000000" w:themeColor="text1"/>
          <w:sz w:val="24"/>
          <w:szCs w:val="24"/>
        </w:rPr>
        <w:t>1.2 Research Aim</w:t>
      </w:r>
      <w:bookmarkEnd w:id="2"/>
    </w:p>
    <w:p w14:paraId="38879F26" w14:textId="6CED7686" w:rsidR="00B471FF" w:rsidRDefault="00B471FF" w:rsidP="00B471FF">
      <w:pPr>
        <w:jc w:val="both"/>
        <w:rPr>
          <w:rFonts w:ascii="Arial" w:hAnsi="Arial" w:cs="Arial"/>
        </w:rPr>
      </w:pPr>
      <w:r>
        <w:rPr>
          <w:rFonts w:ascii="Arial" w:hAnsi="Arial" w:cs="Arial"/>
        </w:rPr>
        <w:t xml:space="preserve">The main goal of this research is to critically explore the employee engagement strategies </w:t>
      </w:r>
      <w:r w:rsidR="00E2343F">
        <w:rPr>
          <w:rFonts w:ascii="Arial" w:hAnsi="Arial" w:cs="Arial"/>
        </w:rPr>
        <w:t xml:space="preserve">employed by Movianto UK and DHL Supply Chain Healthcare and assess how these strategies </w:t>
      </w:r>
      <w:r>
        <w:rPr>
          <w:rFonts w:ascii="Arial" w:hAnsi="Arial" w:cs="Arial"/>
        </w:rPr>
        <w:t>influence staff retention in the UK pharmaceutical logistics sector. The study avoids a purely managerial view, instead treating engagement as something socially and organisationally shaped by rules, management styles, and the structure of the work itself.</w:t>
      </w:r>
    </w:p>
    <w:p w14:paraId="45F14474" w14:textId="77777777" w:rsidR="00B471FF" w:rsidRDefault="00B471FF" w:rsidP="00B471FF">
      <w:pPr>
        <w:jc w:val="both"/>
        <w:rPr>
          <w:rFonts w:ascii="Arial" w:hAnsi="Arial" w:cs="Arial"/>
        </w:rPr>
      </w:pPr>
    </w:p>
    <w:p w14:paraId="53DBF333" w14:textId="77777777" w:rsidR="00B471FF" w:rsidRDefault="00B471FF" w:rsidP="00B471FF">
      <w:pPr>
        <w:jc w:val="both"/>
        <w:rPr>
          <w:rFonts w:ascii="Arial" w:hAnsi="Arial" w:cs="Arial"/>
        </w:rPr>
      </w:pPr>
    </w:p>
    <w:p w14:paraId="5677F6B3" w14:textId="77777777" w:rsidR="00E2343F" w:rsidRDefault="00E2343F" w:rsidP="00B471FF">
      <w:pPr>
        <w:jc w:val="both"/>
        <w:rPr>
          <w:rFonts w:ascii="Arial" w:hAnsi="Arial" w:cs="Arial"/>
        </w:rPr>
      </w:pPr>
    </w:p>
    <w:p w14:paraId="380DDC4C" w14:textId="77777777" w:rsidR="00B471FF" w:rsidRDefault="00B471FF" w:rsidP="00B471FF">
      <w:pPr>
        <w:jc w:val="both"/>
        <w:rPr>
          <w:rFonts w:ascii="Arial" w:hAnsi="Arial" w:cs="Arial"/>
        </w:rPr>
      </w:pPr>
    </w:p>
    <w:p w14:paraId="06C91140" w14:textId="77777777" w:rsidR="00B471FF" w:rsidRDefault="00B471FF" w:rsidP="00B471FF">
      <w:pPr>
        <w:jc w:val="both"/>
        <w:rPr>
          <w:rFonts w:ascii="Arial" w:hAnsi="Arial" w:cs="Arial"/>
        </w:rPr>
      </w:pPr>
    </w:p>
    <w:p w14:paraId="6AA77C38" w14:textId="77777777" w:rsidR="00B471FF" w:rsidRPr="0023120F" w:rsidRDefault="00B471FF" w:rsidP="00F477C0">
      <w:pPr>
        <w:pStyle w:val="Heading2"/>
        <w:rPr>
          <w:rFonts w:ascii="Arial" w:hAnsi="Arial" w:cs="Arial"/>
          <w:b/>
          <w:bCs/>
          <w:color w:val="000000" w:themeColor="text1"/>
          <w:sz w:val="24"/>
          <w:szCs w:val="24"/>
        </w:rPr>
      </w:pPr>
      <w:bookmarkStart w:id="3" w:name="_Toc228563688"/>
      <w:r w:rsidRPr="0023120F">
        <w:rPr>
          <w:rFonts w:ascii="Arial" w:hAnsi="Arial" w:cs="Arial"/>
          <w:b/>
          <w:bCs/>
          <w:color w:val="000000" w:themeColor="text1"/>
          <w:sz w:val="24"/>
          <w:szCs w:val="24"/>
        </w:rPr>
        <w:lastRenderedPageBreak/>
        <w:t>1.3 Research Objectives</w:t>
      </w:r>
      <w:bookmarkEnd w:id="3"/>
    </w:p>
    <w:p w14:paraId="3655647C" w14:textId="77777777" w:rsidR="00B471FF" w:rsidRDefault="00B471FF" w:rsidP="00B471FF">
      <w:pPr>
        <w:jc w:val="both"/>
        <w:rPr>
          <w:rFonts w:ascii="Arial" w:hAnsi="Arial" w:cs="Arial"/>
        </w:rPr>
      </w:pPr>
      <w:r>
        <w:rPr>
          <w:rFonts w:ascii="Arial" w:hAnsi="Arial" w:cs="Arial"/>
        </w:rPr>
        <w:t>To achieve the research aim, this study is guided by the following objectives:</w:t>
      </w:r>
    </w:p>
    <w:p w14:paraId="04FCB15B" w14:textId="1ECDBB88" w:rsidR="00B471FF" w:rsidRDefault="00B471FF" w:rsidP="00B471FF">
      <w:pPr>
        <w:numPr>
          <w:ilvl w:val="0"/>
          <w:numId w:val="1"/>
        </w:numPr>
        <w:suppressAutoHyphens/>
        <w:autoSpaceDN w:val="0"/>
        <w:spacing w:line="256" w:lineRule="auto"/>
        <w:jc w:val="both"/>
      </w:pPr>
      <w:r>
        <w:rPr>
          <w:rFonts w:ascii="Arial" w:hAnsi="Arial" w:cs="Arial"/>
          <w:b/>
          <w:bCs/>
        </w:rPr>
        <w:t xml:space="preserve">To critically examine how employee engagement strategies are </w:t>
      </w:r>
      <w:r w:rsidR="00CE00D7">
        <w:rPr>
          <w:rFonts w:ascii="Arial" w:hAnsi="Arial" w:cs="Arial"/>
          <w:b/>
          <w:bCs/>
        </w:rPr>
        <w:t>designed</w:t>
      </w:r>
      <w:commentRangeStart w:id="4"/>
      <w:r w:rsidR="0024517A">
        <w:rPr>
          <w:rFonts w:ascii="Arial" w:hAnsi="Arial" w:cs="Arial"/>
          <w:b/>
          <w:bCs/>
        </w:rPr>
        <w:t xml:space="preserve"> </w:t>
      </w:r>
      <w:commentRangeEnd w:id="4"/>
      <w:r w:rsidR="00C22EC3">
        <w:rPr>
          <w:rStyle w:val="CommentReference"/>
          <w:rFonts w:ascii="Arial" w:hAnsi="Arial" w:cs="Arial"/>
          <w:b/>
          <w:bCs/>
          <w:sz w:val="22"/>
          <w:szCs w:val="22"/>
        </w:rPr>
        <w:commentReference w:id="4"/>
      </w:r>
      <w:r>
        <w:rPr>
          <w:rFonts w:ascii="Arial" w:hAnsi="Arial" w:cs="Arial"/>
          <w:b/>
          <w:bCs/>
        </w:rPr>
        <w:t>and framed</w:t>
      </w:r>
      <w:r>
        <w:rPr>
          <w:rFonts w:ascii="Arial" w:hAnsi="Arial" w:cs="Arial"/>
        </w:rPr>
        <w:t xml:space="preserve"> within Movianto UK and DHL Supply Chain Healthcare.</w:t>
      </w:r>
    </w:p>
    <w:p w14:paraId="6D2CAE66" w14:textId="77777777" w:rsidR="00B471FF" w:rsidRDefault="00B471FF" w:rsidP="00B471FF">
      <w:pPr>
        <w:numPr>
          <w:ilvl w:val="0"/>
          <w:numId w:val="1"/>
        </w:numPr>
        <w:suppressAutoHyphens/>
        <w:autoSpaceDN w:val="0"/>
        <w:spacing w:line="256" w:lineRule="auto"/>
        <w:jc w:val="both"/>
      </w:pPr>
      <w:r>
        <w:rPr>
          <w:rFonts w:ascii="Arial" w:hAnsi="Arial" w:cs="Arial"/>
          <w:b/>
          <w:bCs/>
        </w:rPr>
        <w:t>To analyse the relationship between employee engagement strategies and staff retention outcomes</w:t>
      </w:r>
      <w:r>
        <w:rPr>
          <w:rFonts w:ascii="Arial" w:hAnsi="Arial" w:cs="Arial"/>
        </w:rPr>
        <w:t xml:space="preserve"> in both organisations.</w:t>
      </w:r>
    </w:p>
    <w:p w14:paraId="662B5DB0" w14:textId="77777777" w:rsidR="00B471FF" w:rsidRDefault="00B471FF" w:rsidP="00B471FF">
      <w:pPr>
        <w:numPr>
          <w:ilvl w:val="0"/>
          <w:numId w:val="1"/>
        </w:numPr>
        <w:suppressAutoHyphens/>
        <w:autoSpaceDN w:val="0"/>
        <w:spacing w:line="256" w:lineRule="auto"/>
        <w:jc w:val="both"/>
      </w:pPr>
      <w:r>
        <w:rPr>
          <w:rFonts w:ascii="Arial" w:hAnsi="Arial" w:cs="Arial"/>
          <w:b/>
          <w:bCs/>
        </w:rPr>
        <w:t>To compare engagement practices across Movianto UK and DHL Supply Chain Healthcare</w:t>
      </w:r>
      <w:r>
        <w:rPr>
          <w:rFonts w:ascii="Arial" w:hAnsi="Arial" w:cs="Arial"/>
        </w:rPr>
        <w:t xml:space="preserve"> to identify similarities and differences in how engagement is used and experienced within comparable regulatory and operational contexts.</w:t>
      </w:r>
    </w:p>
    <w:p w14:paraId="28B612AA" w14:textId="77777777" w:rsidR="00B471FF" w:rsidRDefault="00B471FF" w:rsidP="00B471FF">
      <w:pPr>
        <w:numPr>
          <w:ilvl w:val="0"/>
          <w:numId w:val="1"/>
        </w:numPr>
        <w:suppressAutoHyphens/>
        <w:autoSpaceDN w:val="0"/>
        <w:spacing w:line="256" w:lineRule="auto"/>
        <w:jc w:val="both"/>
      </w:pPr>
      <w:r>
        <w:rPr>
          <w:rFonts w:ascii="Arial" w:hAnsi="Arial" w:cs="Arial"/>
          <w:b/>
          <w:bCs/>
        </w:rPr>
        <w:t>To evaluate the extent to which engagement strategies address, overlook, or reinforce structural workplace conditions</w:t>
      </w:r>
      <w:r>
        <w:rPr>
          <w:rFonts w:ascii="Arial" w:hAnsi="Arial" w:cs="Arial"/>
        </w:rPr>
        <w:t>—including work intensity, performance monitoring, and job security—that influence employee retention in pharmaceutical logistics.</w:t>
      </w:r>
    </w:p>
    <w:p w14:paraId="6BF6C28C" w14:textId="77777777" w:rsidR="00B471FF" w:rsidRDefault="00B471FF" w:rsidP="00B471FF">
      <w:pPr>
        <w:numPr>
          <w:ilvl w:val="0"/>
          <w:numId w:val="1"/>
        </w:numPr>
        <w:suppressAutoHyphens/>
        <w:autoSpaceDN w:val="0"/>
        <w:spacing w:line="256" w:lineRule="auto"/>
        <w:jc w:val="both"/>
      </w:pPr>
      <w:r>
        <w:rPr>
          <w:rFonts w:ascii="Arial" w:hAnsi="Arial" w:cs="Arial"/>
          <w:b/>
          <w:bCs/>
        </w:rPr>
        <w:t>To develop contextually grounded recommendations</w:t>
      </w:r>
      <w:r>
        <w:rPr>
          <w:rFonts w:ascii="Arial" w:hAnsi="Arial" w:cs="Arial"/>
        </w:rPr>
        <w:t xml:space="preserve"> for improving staff retention that recognise the constraints of highly regulated, labour-intensive environments rather than relying on engagement rhetoric alone.</w:t>
      </w:r>
    </w:p>
    <w:p w14:paraId="749256F0" w14:textId="77777777" w:rsidR="00B471FF" w:rsidRPr="0023120F" w:rsidRDefault="00B471FF" w:rsidP="00F477C0">
      <w:pPr>
        <w:pStyle w:val="Heading2"/>
        <w:rPr>
          <w:rFonts w:ascii="Arial" w:hAnsi="Arial" w:cs="Arial"/>
          <w:b/>
          <w:bCs/>
          <w:color w:val="000000" w:themeColor="text1"/>
          <w:sz w:val="24"/>
          <w:szCs w:val="24"/>
        </w:rPr>
      </w:pPr>
      <w:bookmarkStart w:id="5" w:name="_Toc228563689"/>
      <w:r w:rsidRPr="0023120F">
        <w:rPr>
          <w:rFonts w:ascii="Arial" w:hAnsi="Arial" w:cs="Arial"/>
          <w:b/>
          <w:bCs/>
          <w:color w:val="000000" w:themeColor="text1"/>
          <w:sz w:val="24"/>
          <w:szCs w:val="24"/>
        </w:rPr>
        <w:t>1.4 Research Questions</w:t>
      </w:r>
      <w:bookmarkEnd w:id="5"/>
    </w:p>
    <w:p w14:paraId="2D1E2C8D" w14:textId="77777777" w:rsidR="00B471FF" w:rsidRDefault="00B471FF" w:rsidP="00B471FF">
      <w:pPr>
        <w:jc w:val="both"/>
        <w:rPr>
          <w:rFonts w:ascii="Arial" w:hAnsi="Arial" w:cs="Arial"/>
        </w:rPr>
      </w:pPr>
      <w:r>
        <w:rPr>
          <w:rFonts w:ascii="Arial" w:hAnsi="Arial" w:cs="Arial"/>
        </w:rPr>
        <w:t>To meet these aims, the study asks:</w:t>
      </w:r>
    </w:p>
    <w:p w14:paraId="799FDE55" w14:textId="77777777" w:rsidR="00B471FF" w:rsidRDefault="00B471FF" w:rsidP="00B471FF">
      <w:pPr>
        <w:numPr>
          <w:ilvl w:val="0"/>
          <w:numId w:val="2"/>
        </w:numPr>
        <w:suppressAutoHyphens/>
        <w:autoSpaceDN w:val="0"/>
        <w:spacing w:line="256" w:lineRule="auto"/>
        <w:jc w:val="both"/>
      </w:pPr>
      <w:r>
        <w:rPr>
          <w:rFonts w:ascii="Arial" w:hAnsi="Arial" w:cs="Arial"/>
          <w:b/>
          <w:bCs/>
        </w:rPr>
        <w:t xml:space="preserve">How are engagement strategies framed and represented </w:t>
      </w:r>
      <w:r>
        <w:rPr>
          <w:rFonts w:ascii="Arial" w:hAnsi="Arial" w:cs="Arial"/>
        </w:rPr>
        <w:t>within Movianto UK and DHL Supply Chain Healthcare?</w:t>
      </w:r>
    </w:p>
    <w:p w14:paraId="05215D2A" w14:textId="77777777" w:rsidR="00B471FF" w:rsidRDefault="00B471FF" w:rsidP="00B471FF">
      <w:pPr>
        <w:numPr>
          <w:ilvl w:val="0"/>
          <w:numId w:val="2"/>
        </w:numPr>
        <w:suppressAutoHyphens/>
        <w:autoSpaceDN w:val="0"/>
        <w:spacing w:line="256" w:lineRule="auto"/>
        <w:jc w:val="both"/>
      </w:pPr>
      <w:r>
        <w:rPr>
          <w:rFonts w:ascii="Arial" w:hAnsi="Arial" w:cs="Arial"/>
          <w:b/>
          <w:bCs/>
        </w:rPr>
        <w:t>What relationship can be identified between employee engagement strategies and staff retention outcomes</w:t>
      </w:r>
      <w:r>
        <w:rPr>
          <w:rFonts w:ascii="Arial" w:hAnsi="Arial" w:cs="Arial"/>
        </w:rPr>
        <w:t xml:space="preserve"> in Movianto UK and DHL Supply Chain Healthcare?</w:t>
      </w:r>
    </w:p>
    <w:p w14:paraId="6BFFD884" w14:textId="77777777" w:rsidR="00B471FF" w:rsidRDefault="00B471FF" w:rsidP="00B471FF">
      <w:pPr>
        <w:numPr>
          <w:ilvl w:val="0"/>
          <w:numId w:val="2"/>
        </w:numPr>
        <w:suppressAutoHyphens/>
        <w:autoSpaceDN w:val="0"/>
        <w:spacing w:line="256" w:lineRule="auto"/>
        <w:jc w:val="both"/>
      </w:pPr>
      <w:r>
        <w:rPr>
          <w:rFonts w:ascii="Arial" w:hAnsi="Arial" w:cs="Arial"/>
          <w:b/>
          <w:bCs/>
        </w:rPr>
        <w:t>What similarities and differences appear in the engagement strategies of Movianto UK and DHL Supply Chain Healthcare</w:t>
      </w:r>
      <w:r>
        <w:rPr>
          <w:rFonts w:ascii="Arial" w:hAnsi="Arial" w:cs="Arial"/>
        </w:rPr>
        <w:t xml:space="preserve"> within UK pharmaceutical logistics?</w:t>
      </w:r>
    </w:p>
    <w:p w14:paraId="51222C00" w14:textId="77777777" w:rsidR="00B471FF" w:rsidRDefault="00B471FF" w:rsidP="00B471FF">
      <w:pPr>
        <w:numPr>
          <w:ilvl w:val="0"/>
          <w:numId w:val="2"/>
        </w:numPr>
        <w:suppressAutoHyphens/>
        <w:autoSpaceDN w:val="0"/>
        <w:spacing w:line="256" w:lineRule="auto"/>
        <w:jc w:val="both"/>
      </w:pPr>
      <w:r>
        <w:rPr>
          <w:rFonts w:ascii="Arial" w:hAnsi="Arial" w:cs="Arial"/>
          <w:b/>
          <w:bCs/>
        </w:rPr>
        <w:t>To what extent do engagement strategies address, overlook, or reinforce structural workplace conditions</w:t>
      </w:r>
      <w:r>
        <w:rPr>
          <w:rFonts w:ascii="Arial" w:hAnsi="Arial" w:cs="Arial"/>
        </w:rPr>
        <w:t>—such as work intensity, monitoring, and job security—that shape retention?</w:t>
      </w:r>
    </w:p>
    <w:p w14:paraId="26FED325" w14:textId="77777777" w:rsidR="00B471FF" w:rsidRDefault="00B471FF" w:rsidP="00B471FF">
      <w:pPr>
        <w:jc w:val="both"/>
        <w:rPr>
          <w:rFonts w:ascii="Arial" w:hAnsi="Arial" w:cs="Arial"/>
        </w:rPr>
      </w:pPr>
      <w:r>
        <w:rPr>
          <w:rFonts w:ascii="Arial" w:hAnsi="Arial" w:cs="Arial"/>
        </w:rPr>
        <w:t>These questions aim to allow a critical and comparative discussion of engagement, exploring both management narratives and the underlying organisational realities.</w:t>
      </w:r>
    </w:p>
    <w:p w14:paraId="18F6EF70" w14:textId="77777777" w:rsidR="00B471FF" w:rsidRPr="0023120F" w:rsidRDefault="00B471FF" w:rsidP="00F477C0">
      <w:pPr>
        <w:pStyle w:val="Heading2"/>
        <w:rPr>
          <w:rFonts w:ascii="Arial" w:hAnsi="Arial" w:cs="Arial"/>
          <w:b/>
          <w:bCs/>
          <w:color w:val="000000" w:themeColor="text1"/>
          <w:sz w:val="24"/>
          <w:szCs w:val="24"/>
        </w:rPr>
      </w:pPr>
      <w:bookmarkStart w:id="6" w:name="_Toc228563690"/>
      <w:r w:rsidRPr="0023120F">
        <w:rPr>
          <w:rFonts w:ascii="Arial" w:hAnsi="Arial" w:cs="Arial"/>
          <w:b/>
          <w:bCs/>
          <w:color w:val="000000" w:themeColor="text1"/>
          <w:sz w:val="24"/>
          <w:szCs w:val="24"/>
        </w:rPr>
        <w:t>Research scope</w:t>
      </w:r>
      <w:bookmarkEnd w:id="6"/>
    </w:p>
    <w:p w14:paraId="544C499E" w14:textId="77777777" w:rsidR="00B471FF" w:rsidRDefault="00B471FF" w:rsidP="00B471FF">
      <w:pPr>
        <w:jc w:val="both"/>
        <w:rPr>
          <w:rFonts w:ascii="Arial" w:hAnsi="Arial" w:cs="Arial"/>
        </w:rPr>
      </w:pPr>
      <w:r>
        <w:rPr>
          <w:rFonts w:ascii="Arial" w:hAnsi="Arial" w:cs="Arial"/>
        </w:rPr>
        <w:t>The study moves beyond the common belief that more engagement automatically leads to better retention. Instead, it looks at how engagement strategies are designed, communicated, and presented in organisational materials and public data, and how these connect to actual retention and turnover patterns. It asks whether engagement programs truly build commitment or mainly act as tools of control in tightly regulated environments (Macey &amp; Schneider, 2008; Legge, 2005).</w:t>
      </w:r>
    </w:p>
    <w:p w14:paraId="0DB11981" w14:textId="77777777" w:rsidR="00B471FF" w:rsidRDefault="00B471FF" w:rsidP="00B471FF">
      <w:pPr>
        <w:jc w:val="both"/>
        <w:rPr>
          <w:rFonts w:ascii="Arial" w:hAnsi="Arial" w:cs="Arial"/>
        </w:rPr>
      </w:pPr>
      <w:r>
        <w:rPr>
          <w:rFonts w:ascii="Arial" w:hAnsi="Arial" w:cs="Arial"/>
        </w:rPr>
        <w:t>Using a comparative case study, the research identifies similarities and differences in engagement approaches across Movianto UK and DHL Supply Chain Healthcare. Even though both work under the same rules, they differ in size, structure, and management style. This comparison helps reveal how context shapes the link between engagement and retention (Yin, 2018).</w:t>
      </w:r>
    </w:p>
    <w:p w14:paraId="18E764EE" w14:textId="44F2F187" w:rsidR="002D2251" w:rsidRPr="002D2251" w:rsidRDefault="00660292" w:rsidP="002D2251">
      <w:pPr>
        <w:jc w:val="both"/>
        <w:rPr>
          <w:rFonts w:ascii="Arial" w:hAnsi="Arial" w:cs="Arial"/>
        </w:rPr>
      </w:pPr>
      <w:r>
        <w:rPr>
          <w:rFonts w:ascii="Arial" w:hAnsi="Arial" w:cs="Arial"/>
        </w:rPr>
        <w:lastRenderedPageBreak/>
        <w:t>This</w:t>
      </w:r>
      <w:r w:rsidR="002D2251" w:rsidRPr="002D2251">
        <w:rPr>
          <w:rFonts w:ascii="Arial" w:hAnsi="Arial" w:cs="Arial"/>
        </w:rPr>
        <w:t xml:space="preserve"> study contributes to critical </w:t>
      </w:r>
      <w:r w:rsidR="00E2343F">
        <w:rPr>
          <w:rFonts w:ascii="Arial" w:hAnsi="Arial" w:cs="Arial"/>
        </w:rPr>
        <w:t xml:space="preserve">debates in human resource management and the labour process </w:t>
      </w:r>
      <w:r w:rsidR="002D2251" w:rsidRPr="002D2251">
        <w:rPr>
          <w:rFonts w:ascii="Arial" w:hAnsi="Arial" w:cs="Arial"/>
        </w:rPr>
        <w:t xml:space="preserve">by situating engagement within the everyday realities of logistics work. </w:t>
      </w:r>
      <w:r w:rsidR="00E2343F">
        <w:rPr>
          <w:rFonts w:ascii="Arial" w:hAnsi="Arial" w:cs="Arial"/>
        </w:rPr>
        <w:t xml:space="preserve">Examining the gap between organisational discourse on engagement and the actual workplace structures, including workload, monitoring, and job security, </w:t>
      </w:r>
      <w:r w:rsidR="002D2251" w:rsidRPr="002D2251">
        <w:rPr>
          <w:rFonts w:ascii="Arial" w:hAnsi="Arial" w:cs="Arial"/>
        </w:rPr>
        <w:t xml:space="preserve">develops a grounded and contextually informed understanding of employee engagement and retention (Thompson </w:t>
      </w:r>
      <w:r w:rsidR="00AC42E4">
        <w:rPr>
          <w:rFonts w:ascii="Arial" w:hAnsi="Arial" w:cs="Arial"/>
        </w:rPr>
        <w:t xml:space="preserve">&amp; </w:t>
      </w:r>
      <w:r w:rsidR="002D2251" w:rsidRPr="002D2251">
        <w:rPr>
          <w:rFonts w:ascii="Arial" w:hAnsi="Arial" w:cs="Arial"/>
        </w:rPr>
        <w:t>Ackroyd, 1995; Thompson, 2011).</w:t>
      </w:r>
    </w:p>
    <w:p w14:paraId="5D12686A" w14:textId="77777777" w:rsidR="00B471FF" w:rsidRPr="0023120F" w:rsidRDefault="00B471FF" w:rsidP="00F477C0">
      <w:pPr>
        <w:pStyle w:val="Heading2"/>
        <w:rPr>
          <w:rFonts w:ascii="Arial" w:hAnsi="Arial" w:cs="Arial"/>
          <w:b/>
          <w:bCs/>
          <w:color w:val="000000" w:themeColor="text1"/>
          <w:sz w:val="24"/>
          <w:szCs w:val="24"/>
        </w:rPr>
      </w:pPr>
      <w:bookmarkStart w:id="7" w:name="_Toc228563691"/>
      <w:r w:rsidRPr="0023120F">
        <w:rPr>
          <w:rFonts w:ascii="Arial" w:hAnsi="Arial" w:cs="Arial"/>
          <w:b/>
          <w:bCs/>
          <w:color w:val="000000" w:themeColor="text1"/>
          <w:sz w:val="24"/>
          <w:szCs w:val="24"/>
        </w:rPr>
        <w:t>1.5 Significance and Relevance of the Study</w:t>
      </w:r>
      <w:bookmarkEnd w:id="7"/>
    </w:p>
    <w:p w14:paraId="263C94AF" w14:textId="77777777" w:rsidR="00B471FF" w:rsidRDefault="00B471FF" w:rsidP="00B471FF">
      <w:pPr>
        <w:jc w:val="both"/>
        <w:rPr>
          <w:rFonts w:ascii="Arial" w:hAnsi="Arial" w:cs="Arial"/>
        </w:rPr>
      </w:pPr>
      <w:r>
        <w:rPr>
          <w:rFonts w:ascii="Arial" w:hAnsi="Arial" w:cs="Arial"/>
        </w:rPr>
        <w:t>This study matters both academically and practically. It fills a research gap and offers insights for organisations operating in heavily regulated, labour-intensive industries. Academically, it adds to HRM and labour process discussions by questioning the usual managerial framing of engagement. While engagement is often presented as a universally positive tool for boosting motivation and performance (Albrecht et al., 2015), this study challenges that by situating it within the structural realities of pharmaceutical logistics.</w:t>
      </w:r>
    </w:p>
    <w:p w14:paraId="7D20BFCF" w14:textId="77777777" w:rsidR="00B471FF" w:rsidRDefault="00B471FF" w:rsidP="00B471FF">
      <w:pPr>
        <w:jc w:val="both"/>
        <w:rPr>
          <w:rFonts w:ascii="Arial" w:hAnsi="Arial" w:cs="Arial"/>
        </w:rPr>
      </w:pPr>
      <w:r>
        <w:rPr>
          <w:rFonts w:ascii="Arial" w:hAnsi="Arial" w:cs="Arial"/>
        </w:rPr>
        <w:t>By focusing on a sector marked by strict rules, constant monitoring, and limited autonomy, it extends critical HRM debates into a less-studied area (Legge, 2005; Thompson, 2011). The comparative design strengthens this by showing that engagement strategies can function differently even under similar regulation.</w:t>
      </w:r>
    </w:p>
    <w:p w14:paraId="6C6B57EA" w14:textId="77777777" w:rsidR="00B471FF" w:rsidRDefault="00B471FF" w:rsidP="00B471FF">
      <w:pPr>
        <w:jc w:val="both"/>
        <w:rPr>
          <w:rFonts w:ascii="Arial" w:hAnsi="Arial" w:cs="Arial"/>
        </w:rPr>
      </w:pPr>
      <w:r>
        <w:rPr>
          <w:rFonts w:ascii="Arial" w:hAnsi="Arial" w:cs="Arial"/>
        </w:rPr>
        <w:t>In practice, the study is useful for HR professionals, managers, and decision-makers in logistics and related sectors. High turnover creates operational, financial, and compliance risks, especially in industries where experience and consistency are vital (CIPD, 2023). By examining both the limits and the potential of engagement, the findings encourage organisations to move beyond symbolic gestures toward more realistic, structurally informed actions to improve retention.</w:t>
      </w:r>
    </w:p>
    <w:p w14:paraId="6D18A59D" w14:textId="77777777" w:rsidR="00B471FF" w:rsidRDefault="00B471FF" w:rsidP="00B471FF">
      <w:pPr>
        <w:jc w:val="both"/>
        <w:rPr>
          <w:rFonts w:ascii="Arial" w:hAnsi="Arial" w:cs="Arial"/>
        </w:rPr>
      </w:pPr>
      <w:r>
        <w:rPr>
          <w:rFonts w:ascii="Arial" w:hAnsi="Arial" w:cs="Arial"/>
        </w:rPr>
        <w:t>It also adds value by highlighting employee voices in secondary data, such as online reviews, which are often ignored in formal studies (Creswell, 2014). This helps balance how engagement is portrayed versus how it is experienced. Overall, the research helps both scholars and practitioners understand the complex link between engagement and retention in demanding work settings. By questioning easy assumptions and emphasising context, it supports the creation of more sustainable, ethically grounded ways to manage people in regulated industries.</w:t>
      </w:r>
    </w:p>
    <w:p w14:paraId="659670BE" w14:textId="77777777" w:rsidR="00B471FF" w:rsidRPr="0023120F" w:rsidRDefault="00B471FF" w:rsidP="00F477C0">
      <w:pPr>
        <w:pStyle w:val="Heading2"/>
        <w:rPr>
          <w:rFonts w:ascii="Arial" w:hAnsi="Arial" w:cs="Arial"/>
          <w:b/>
          <w:bCs/>
          <w:color w:val="000000" w:themeColor="text1"/>
          <w:sz w:val="24"/>
          <w:szCs w:val="24"/>
        </w:rPr>
      </w:pPr>
      <w:bookmarkStart w:id="8" w:name="_Toc228563692"/>
      <w:r w:rsidRPr="0023120F">
        <w:rPr>
          <w:rFonts w:ascii="Arial" w:hAnsi="Arial" w:cs="Arial"/>
          <w:b/>
          <w:bCs/>
          <w:color w:val="000000" w:themeColor="text1"/>
          <w:sz w:val="24"/>
          <w:szCs w:val="24"/>
        </w:rPr>
        <w:t>1.6 Brief Research Methodology</w:t>
      </w:r>
      <w:bookmarkEnd w:id="8"/>
    </w:p>
    <w:p w14:paraId="57701AD7" w14:textId="77777777" w:rsidR="00B471FF" w:rsidRDefault="00B471FF" w:rsidP="00B471FF">
      <w:pPr>
        <w:jc w:val="both"/>
        <w:rPr>
          <w:rFonts w:ascii="Arial" w:hAnsi="Arial" w:cs="Arial"/>
        </w:rPr>
      </w:pPr>
      <w:r>
        <w:rPr>
          <w:rFonts w:ascii="Arial" w:hAnsi="Arial" w:cs="Arial"/>
        </w:rPr>
        <w:t>The study uses a qualitative design within an interpretivist approach, which aligns with understanding how engagement is built, represented, and interpreted in organisations rather than measuring direct cause-and-effect links (Bryman, 2016; Creswell, 2014). It relies solely on qualitative secondary data, including company documents, reports, industry materials, academic work, and employee reviews from platforms like Glassdoor and Indeed. These sources allow exploration of both managerial narratives and employee perspectives on engagement and retention, without the researcher directly interfering (Johnston, 2017; Bryman, 2016).</w:t>
      </w:r>
    </w:p>
    <w:p w14:paraId="02C28094" w14:textId="7AF1F688" w:rsidR="00B471FF" w:rsidRDefault="00B471FF" w:rsidP="00B471FF">
      <w:pPr>
        <w:jc w:val="both"/>
        <w:rPr>
          <w:rFonts w:ascii="Arial" w:hAnsi="Arial" w:cs="Arial"/>
        </w:rPr>
      </w:pPr>
      <w:r>
        <w:rPr>
          <w:rFonts w:ascii="Arial" w:hAnsi="Arial" w:cs="Arial"/>
        </w:rPr>
        <w:t xml:space="preserve">A comparative case study approach is employed to examine </w:t>
      </w:r>
      <w:r w:rsidR="00E2343F">
        <w:rPr>
          <w:rFonts w:ascii="Arial" w:hAnsi="Arial" w:cs="Arial"/>
        </w:rPr>
        <w:t>the Healthcare Operations of Movianto UK and DHL Supply Chain</w:t>
      </w:r>
      <w:r>
        <w:rPr>
          <w:rFonts w:ascii="Arial" w:hAnsi="Arial" w:cs="Arial"/>
        </w:rPr>
        <w:t>.</w:t>
      </w:r>
    </w:p>
    <w:p w14:paraId="7ACB5267" w14:textId="77777777" w:rsidR="00B471FF" w:rsidRDefault="00B471FF" w:rsidP="00B471FF">
      <w:pPr>
        <w:jc w:val="both"/>
        <w:rPr>
          <w:rFonts w:ascii="Arial" w:hAnsi="Arial" w:cs="Arial"/>
        </w:rPr>
      </w:pPr>
      <w:r>
        <w:rPr>
          <w:rFonts w:ascii="Arial" w:hAnsi="Arial" w:cs="Arial"/>
        </w:rPr>
        <w:t xml:space="preserve">This design allows the researcher to observe both the shared and differing aspects of engagement strategies and retention experiences across the two organisations, which work under similar regulatory pressures but differ in size and management style (Yin, 2018). </w:t>
      </w:r>
    </w:p>
    <w:p w14:paraId="652532CD" w14:textId="77777777" w:rsidR="00B471FF" w:rsidRDefault="00B471FF" w:rsidP="00B471FF">
      <w:pPr>
        <w:jc w:val="both"/>
        <w:rPr>
          <w:rFonts w:ascii="Arial" w:hAnsi="Arial" w:cs="Arial"/>
        </w:rPr>
      </w:pPr>
      <w:r>
        <w:rPr>
          <w:rFonts w:ascii="Arial" w:hAnsi="Arial" w:cs="Arial"/>
        </w:rPr>
        <w:lastRenderedPageBreak/>
        <w:t>The data are examined through thematic analysis, following Braun and Clarke’s six-step framework. This method helps to systematically find recurring patterns, contradictions, and tensions in the data (Braun &amp; Clarke, 2006).</w:t>
      </w:r>
    </w:p>
    <w:p w14:paraId="5F1ADD47" w14:textId="13A9841B" w:rsidR="00B471FF" w:rsidRDefault="00C80FB8" w:rsidP="00B471FF">
      <w:pPr>
        <w:jc w:val="both"/>
        <w:rPr>
          <w:rFonts w:ascii="Arial" w:hAnsi="Arial" w:cs="Arial"/>
        </w:rPr>
      </w:pPr>
      <w:r w:rsidRPr="00C80FB8">
        <w:rPr>
          <w:rFonts w:ascii="Arial" w:hAnsi="Arial" w:cs="Arial"/>
        </w:rPr>
        <w:t>At times, thematic boundaries overlap, reflecting the complexity of qualitative interpretation</w:t>
      </w:r>
      <w:r w:rsidR="00B471FF">
        <w:rPr>
          <w:rFonts w:ascii="Arial" w:hAnsi="Arial" w:cs="Arial"/>
        </w:rPr>
        <w:t xml:space="preserve">, and it is not always clear whether a pattern is real or just noise, but that is part of the interpretive process. The analysis is guided by critical HRM and labour process theory, which </w:t>
      </w:r>
      <w:r>
        <w:rPr>
          <w:rFonts w:ascii="Arial" w:hAnsi="Arial" w:cs="Arial"/>
        </w:rPr>
        <w:t>helps</w:t>
      </w:r>
      <w:r w:rsidRPr="00C80FB8">
        <w:rPr>
          <w:rFonts w:ascii="Arial" w:hAnsi="Arial" w:cs="Arial"/>
        </w:rPr>
        <w:t>These challenges simplified models</w:t>
      </w:r>
      <w:r w:rsidR="00E2343F">
        <w:rPr>
          <w:rFonts w:ascii="Arial" w:hAnsi="Arial" w:cs="Arial"/>
        </w:rPr>
        <w:t xml:space="preserve"> situate engagement practices within the broader</w:t>
      </w:r>
      <w:r w:rsidR="00B471FF">
        <w:rPr>
          <w:rFonts w:ascii="Arial" w:hAnsi="Arial" w:cs="Arial"/>
        </w:rPr>
        <w:t xml:space="preserve"> context of work intensity, monitoring, and job security. There is a kind of circular logic here; the structure shapes engagement, and engagement supposedly reshapes the structure, though it rarely does in practice.</w:t>
      </w:r>
    </w:p>
    <w:p w14:paraId="24A7E1D5" w14:textId="77777777" w:rsidR="00B471FF" w:rsidRDefault="00B471FF" w:rsidP="00B471FF">
      <w:pPr>
        <w:jc w:val="both"/>
        <w:rPr>
          <w:rFonts w:ascii="Arial" w:hAnsi="Arial" w:cs="Arial"/>
        </w:rPr>
      </w:pPr>
      <w:r>
        <w:rPr>
          <w:rFonts w:ascii="Arial" w:hAnsi="Arial" w:cs="Arial"/>
        </w:rPr>
        <w:t>Overall, the chosen methodology aligns with the research aim and questions by facilitating a critical, context-sensitive examination of employee engagement and staff retention in the UK pharmaceutical logistics sector (Thompson &amp; Ackroyd, 1995; Thompson, 2011).</w:t>
      </w:r>
    </w:p>
    <w:p w14:paraId="578F7794" w14:textId="77777777" w:rsidR="00B471FF" w:rsidRPr="0023120F" w:rsidRDefault="00B471FF" w:rsidP="00F477C0">
      <w:pPr>
        <w:pStyle w:val="Heading2"/>
        <w:rPr>
          <w:rFonts w:ascii="Arial" w:hAnsi="Arial" w:cs="Arial"/>
          <w:b/>
          <w:bCs/>
          <w:color w:val="000000" w:themeColor="text1"/>
          <w:sz w:val="24"/>
          <w:szCs w:val="24"/>
        </w:rPr>
      </w:pPr>
      <w:bookmarkStart w:id="9" w:name="_Toc228563693"/>
      <w:r w:rsidRPr="0023120F">
        <w:rPr>
          <w:rFonts w:ascii="Arial" w:hAnsi="Arial" w:cs="Arial"/>
          <w:b/>
          <w:bCs/>
          <w:color w:val="000000" w:themeColor="text1"/>
          <w:sz w:val="24"/>
          <w:szCs w:val="24"/>
        </w:rPr>
        <w:t>1.7 Structure of the Dissertation</w:t>
      </w:r>
      <w:bookmarkEnd w:id="9"/>
    </w:p>
    <w:p w14:paraId="35EB4261" w14:textId="1ECCBACC" w:rsidR="00B471FF" w:rsidRDefault="00B471FF" w:rsidP="00B471FF">
      <w:r>
        <w:rPr>
          <w:rFonts w:ascii="Arial" w:hAnsi="Arial" w:cs="Arial"/>
        </w:rPr>
        <w:t>This dissertation is structured into five chapters.</w:t>
      </w:r>
      <w:r>
        <w:rPr>
          <w:rFonts w:ascii="Arial" w:hAnsi="Arial" w:cs="Arial"/>
        </w:rPr>
        <w:br/>
      </w:r>
      <w:r>
        <w:rPr>
          <w:rFonts w:ascii="Arial" w:hAnsi="Arial" w:cs="Arial"/>
          <w:b/>
          <w:bCs/>
        </w:rPr>
        <w:t>Chapter 1</w:t>
      </w:r>
      <w:r>
        <w:rPr>
          <w:rFonts w:ascii="Arial" w:hAnsi="Arial" w:cs="Arial"/>
        </w:rPr>
        <w:t xml:space="preserve"> introduces the research background, problem statement, aims, objectives, research questions, and methodological overview.</w:t>
      </w:r>
      <w:r>
        <w:rPr>
          <w:rFonts w:ascii="Arial" w:hAnsi="Arial" w:cs="Arial"/>
        </w:rPr>
        <w:br/>
      </w:r>
      <w:r>
        <w:rPr>
          <w:rFonts w:ascii="Arial" w:hAnsi="Arial" w:cs="Arial"/>
          <w:b/>
          <w:bCs/>
        </w:rPr>
        <w:t>Chapter 2</w:t>
      </w:r>
      <w:r>
        <w:rPr>
          <w:rFonts w:ascii="Arial" w:hAnsi="Arial" w:cs="Arial"/>
        </w:rPr>
        <w:t xml:space="preserve"> presents a critical review of the literature on employee engagement, staff retention, and relevant theoretical perspectives, leading to the development of a conceptual framework.</w:t>
      </w:r>
      <w:r>
        <w:rPr>
          <w:rFonts w:ascii="Arial" w:hAnsi="Arial" w:cs="Arial"/>
        </w:rPr>
        <w:br/>
      </w:r>
      <w:r>
        <w:rPr>
          <w:rFonts w:ascii="Arial" w:hAnsi="Arial" w:cs="Arial"/>
          <w:b/>
          <w:bCs/>
        </w:rPr>
        <w:t>Chapter 3</w:t>
      </w:r>
      <w:r>
        <w:rPr>
          <w:rFonts w:ascii="Arial" w:hAnsi="Arial" w:cs="Arial"/>
        </w:rPr>
        <w:t xml:space="preserve"> outlines the research methodology, including philosophical assumptions, research design, data collection methods, and ethical considerations.</w:t>
      </w:r>
      <w:r>
        <w:rPr>
          <w:rFonts w:ascii="Arial" w:hAnsi="Arial" w:cs="Arial"/>
        </w:rPr>
        <w:br/>
      </w:r>
      <w:r>
        <w:rPr>
          <w:rFonts w:ascii="Arial" w:hAnsi="Arial" w:cs="Arial"/>
          <w:b/>
          <w:bCs/>
        </w:rPr>
        <w:t xml:space="preserve">Chapter 4 </w:t>
      </w:r>
      <w:r>
        <w:rPr>
          <w:rFonts w:ascii="Arial" w:hAnsi="Arial" w:cs="Arial"/>
        </w:rPr>
        <w:t>presents and analyses the research findings, linking them to existing literature and theoretical debates.</w:t>
      </w:r>
      <w:r>
        <w:rPr>
          <w:rFonts w:ascii="Arial" w:hAnsi="Arial" w:cs="Arial"/>
        </w:rPr>
        <w:br/>
        <w:t xml:space="preserve">Finally, </w:t>
      </w:r>
      <w:r>
        <w:rPr>
          <w:rFonts w:ascii="Arial" w:hAnsi="Arial" w:cs="Arial"/>
          <w:b/>
          <w:bCs/>
        </w:rPr>
        <w:t>Chapter 5</w:t>
      </w:r>
      <w:r>
        <w:rPr>
          <w:rFonts w:ascii="Arial" w:hAnsi="Arial" w:cs="Arial"/>
        </w:rPr>
        <w:t xml:space="preserve"> summarises the key findings, draws conclusions </w:t>
      </w:r>
      <w:r w:rsidR="00E2343F">
        <w:rPr>
          <w:rFonts w:ascii="Arial" w:hAnsi="Arial" w:cs="Arial"/>
        </w:rPr>
        <w:t>regarding</w:t>
      </w:r>
      <w:r>
        <w:rPr>
          <w:rFonts w:ascii="Arial" w:hAnsi="Arial" w:cs="Arial"/>
        </w:rPr>
        <w:t xml:space="preserve"> the research questions, offers practical and theoretical recommendations, and identifies limitations and areas for future research.</w:t>
      </w:r>
    </w:p>
    <w:p w14:paraId="070386B6" w14:textId="1D5E665F" w:rsidR="00B471FF" w:rsidRDefault="00B471FF" w:rsidP="00B471FF">
      <w:pPr>
        <w:rPr>
          <w:rFonts w:ascii="Arial" w:hAnsi="Arial" w:cs="Arial"/>
          <w:b/>
          <w:bCs/>
        </w:rPr>
      </w:pPr>
    </w:p>
    <w:p w14:paraId="005C078D" w14:textId="77777777" w:rsidR="00B471FF" w:rsidRDefault="00B471FF" w:rsidP="00B471FF">
      <w:pPr>
        <w:rPr>
          <w:rFonts w:ascii="Arial" w:hAnsi="Arial" w:cs="Arial"/>
          <w:b/>
          <w:bCs/>
        </w:rPr>
      </w:pPr>
    </w:p>
    <w:p w14:paraId="6B314BE9" w14:textId="77777777" w:rsidR="00B471FF" w:rsidRDefault="00B471FF" w:rsidP="00B471FF">
      <w:pPr>
        <w:rPr>
          <w:rFonts w:ascii="Arial" w:hAnsi="Arial" w:cs="Arial"/>
          <w:b/>
          <w:bCs/>
        </w:rPr>
      </w:pPr>
    </w:p>
    <w:p w14:paraId="182E2092" w14:textId="77777777" w:rsidR="00B471FF" w:rsidRDefault="00B471FF" w:rsidP="00B471FF">
      <w:pPr>
        <w:rPr>
          <w:rFonts w:ascii="Arial" w:hAnsi="Arial" w:cs="Arial"/>
          <w:b/>
          <w:bCs/>
        </w:rPr>
      </w:pPr>
    </w:p>
    <w:p w14:paraId="01E164BE" w14:textId="77777777" w:rsidR="00B471FF" w:rsidRDefault="00B471FF" w:rsidP="00B471FF">
      <w:pPr>
        <w:rPr>
          <w:rFonts w:ascii="Arial" w:hAnsi="Arial" w:cs="Arial"/>
          <w:b/>
          <w:bCs/>
        </w:rPr>
      </w:pPr>
    </w:p>
    <w:p w14:paraId="11D02708" w14:textId="77777777" w:rsidR="00B471FF" w:rsidRDefault="00B471FF" w:rsidP="00B471FF">
      <w:pPr>
        <w:rPr>
          <w:rFonts w:ascii="Arial" w:hAnsi="Arial" w:cs="Arial"/>
          <w:b/>
          <w:bCs/>
        </w:rPr>
      </w:pPr>
    </w:p>
    <w:p w14:paraId="43239BA7" w14:textId="77777777" w:rsidR="00B471FF" w:rsidRDefault="00B471FF" w:rsidP="00B471FF">
      <w:pPr>
        <w:rPr>
          <w:rFonts w:ascii="Arial" w:hAnsi="Arial" w:cs="Arial"/>
          <w:b/>
          <w:bCs/>
        </w:rPr>
      </w:pPr>
    </w:p>
    <w:p w14:paraId="39C8FF74" w14:textId="77777777" w:rsidR="00B471FF" w:rsidRDefault="00B471FF" w:rsidP="00B471FF">
      <w:pPr>
        <w:rPr>
          <w:rFonts w:ascii="Arial" w:hAnsi="Arial" w:cs="Arial"/>
          <w:b/>
          <w:bCs/>
        </w:rPr>
      </w:pPr>
    </w:p>
    <w:p w14:paraId="772847A9" w14:textId="77777777" w:rsidR="00B471FF" w:rsidRDefault="00B471FF" w:rsidP="00B471FF">
      <w:pPr>
        <w:rPr>
          <w:rFonts w:ascii="Arial" w:hAnsi="Arial" w:cs="Arial"/>
          <w:b/>
          <w:bCs/>
        </w:rPr>
      </w:pPr>
    </w:p>
    <w:p w14:paraId="6C9AA342" w14:textId="77777777" w:rsidR="00B471FF" w:rsidRDefault="00B471FF" w:rsidP="00B471FF">
      <w:pPr>
        <w:rPr>
          <w:rFonts w:ascii="Arial" w:hAnsi="Arial" w:cs="Arial"/>
          <w:b/>
          <w:bCs/>
        </w:rPr>
      </w:pPr>
    </w:p>
    <w:p w14:paraId="61D5C9DF" w14:textId="77777777" w:rsidR="00B471FF" w:rsidRDefault="00B471FF" w:rsidP="00B471FF">
      <w:pPr>
        <w:rPr>
          <w:rFonts w:ascii="Arial" w:hAnsi="Arial" w:cs="Arial"/>
          <w:b/>
          <w:bCs/>
        </w:rPr>
      </w:pPr>
    </w:p>
    <w:p w14:paraId="1EDD4425" w14:textId="77777777" w:rsidR="00B471FF" w:rsidRDefault="00B471FF" w:rsidP="00B471FF">
      <w:pPr>
        <w:rPr>
          <w:rFonts w:ascii="Arial" w:hAnsi="Arial" w:cs="Arial"/>
          <w:b/>
          <w:bCs/>
        </w:rPr>
      </w:pPr>
    </w:p>
    <w:p w14:paraId="38155DB2" w14:textId="30B0BB05" w:rsidR="00EC5966" w:rsidRPr="00AE3C6F" w:rsidRDefault="00EC5966" w:rsidP="00F477C0">
      <w:pPr>
        <w:pStyle w:val="Heading1"/>
        <w:rPr>
          <w:rFonts w:ascii="Arial" w:hAnsi="Arial" w:cs="Arial"/>
          <w:b/>
          <w:bCs/>
          <w:color w:val="000000" w:themeColor="text1"/>
          <w:sz w:val="28"/>
          <w:szCs w:val="28"/>
        </w:rPr>
      </w:pPr>
      <w:bookmarkStart w:id="10" w:name="_Toc228563694"/>
      <w:r w:rsidRPr="00AE3C6F">
        <w:rPr>
          <w:rFonts w:ascii="Arial" w:hAnsi="Arial" w:cs="Arial"/>
          <w:b/>
          <w:bCs/>
          <w:color w:val="000000" w:themeColor="text1"/>
          <w:sz w:val="28"/>
          <w:szCs w:val="28"/>
        </w:rPr>
        <w:lastRenderedPageBreak/>
        <w:t>CHAPTER 2: LITERATURE REVIEW</w:t>
      </w:r>
      <w:bookmarkEnd w:id="10"/>
    </w:p>
    <w:p w14:paraId="04C3DC96" w14:textId="77777777" w:rsidR="00EC5966" w:rsidRPr="00AE3C6F" w:rsidRDefault="00EC5966" w:rsidP="00F477C0">
      <w:pPr>
        <w:pStyle w:val="Heading2"/>
        <w:rPr>
          <w:rFonts w:ascii="Arial" w:hAnsi="Arial" w:cs="Arial"/>
          <w:b/>
          <w:bCs/>
          <w:color w:val="000000" w:themeColor="text1"/>
          <w:sz w:val="24"/>
          <w:szCs w:val="24"/>
        </w:rPr>
      </w:pPr>
      <w:r w:rsidRPr="00AE3C6F">
        <w:rPr>
          <w:rFonts w:ascii="Arial" w:hAnsi="Arial" w:cs="Arial"/>
          <w:b/>
          <w:bCs/>
          <w:color w:val="000000" w:themeColor="text1"/>
          <w:sz w:val="24"/>
          <w:szCs w:val="24"/>
        </w:rPr>
        <w:t xml:space="preserve"> </w:t>
      </w:r>
      <w:bookmarkStart w:id="11" w:name="_Toc228563695"/>
      <w:r w:rsidRPr="00AE3C6F">
        <w:rPr>
          <w:rFonts w:ascii="Arial" w:hAnsi="Arial" w:cs="Arial"/>
          <w:b/>
          <w:bCs/>
          <w:color w:val="000000" w:themeColor="text1"/>
          <w:sz w:val="24"/>
          <w:szCs w:val="24"/>
        </w:rPr>
        <w:t>2.1 Introduction</w:t>
      </w:r>
      <w:bookmarkEnd w:id="11"/>
      <w:r w:rsidRPr="00AE3C6F">
        <w:rPr>
          <w:rFonts w:ascii="Arial" w:hAnsi="Arial" w:cs="Arial"/>
          <w:b/>
          <w:bCs/>
          <w:color w:val="000000" w:themeColor="text1"/>
          <w:sz w:val="24"/>
          <w:szCs w:val="24"/>
        </w:rPr>
        <w:t xml:space="preserve"> </w:t>
      </w:r>
    </w:p>
    <w:p w14:paraId="2D95C6D7" w14:textId="2DB5F48C" w:rsidR="00CA0FC4" w:rsidRPr="00CA0FC4" w:rsidRDefault="00CA0FC4" w:rsidP="00CA0FC4">
      <w:pPr>
        <w:jc w:val="both"/>
        <w:rPr>
          <w:rFonts w:ascii="Arial" w:hAnsi="Arial" w:cs="Arial"/>
        </w:rPr>
      </w:pPr>
      <w:r w:rsidRPr="00CA0FC4">
        <w:rPr>
          <w:rFonts w:ascii="Arial" w:hAnsi="Arial" w:cs="Arial"/>
        </w:rPr>
        <w:t xml:space="preserve">Employee engagement has, over recent decades, become a central concept within human resource management (HRM) research and practice. It is frequently associated with improved organisational performance, enhanced employee well-being, and reduced staff turnover (Albrecht et al., 2015). Despite its widespread adoption in both academic and professional contexts, the concept remains conceptually ambiguous. Different scholarly traditions, including psychological, managerial, and critical perspectives, interpret engagement in distinct ways, </w:t>
      </w:r>
      <w:r w:rsidR="00E2343F">
        <w:rPr>
          <w:rFonts w:ascii="Arial" w:hAnsi="Arial" w:cs="Arial"/>
        </w:rPr>
        <w:t>leading to ongoing</w:t>
      </w:r>
      <w:r w:rsidRPr="00CA0FC4">
        <w:rPr>
          <w:rFonts w:ascii="Arial" w:hAnsi="Arial" w:cs="Arial"/>
        </w:rPr>
        <w:t xml:space="preserve"> debate about its definition, measurement, and practical implications (Macey </w:t>
      </w:r>
      <w:r w:rsidR="00AC42E4">
        <w:rPr>
          <w:rFonts w:ascii="Arial" w:hAnsi="Arial" w:cs="Arial"/>
        </w:rPr>
        <w:t xml:space="preserve">&amp; </w:t>
      </w:r>
      <w:r w:rsidRPr="00CA0FC4">
        <w:rPr>
          <w:rFonts w:ascii="Arial" w:hAnsi="Arial" w:cs="Arial"/>
        </w:rPr>
        <w:t>Schneider, 2008). Although mainstream HRM literature often describes engagement as mutually beneficial for both organisations and employees, critical scholars have questioned whether engagement initiatives genuinely improve employees’ work experiences or primarily serve managerial interests (Legge, 2005; Thompson, 2011).</w:t>
      </w:r>
    </w:p>
    <w:p w14:paraId="734C73F7" w14:textId="4F5BE000" w:rsidR="00B471FF" w:rsidRDefault="00E2343F" w:rsidP="00EC5966">
      <w:pPr>
        <w:jc w:val="both"/>
        <w:rPr>
          <w:rFonts w:ascii="Arial" w:hAnsi="Arial" w:cs="Arial"/>
        </w:rPr>
      </w:pPr>
      <w:r>
        <w:rPr>
          <w:rFonts w:ascii="Arial" w:hAnsi="Arial" w:cs="Arial"/>
        </w:rPr>
        <w:t>This</w:t>
      </w:r>
      <w:r w:rsidR="00EC5966" w:rsidRPr="00EC5966">
        <w:rPr>
          <w:rFonts w:ascii="Arial" w:hAnsi="Arial" w:cs="Arial"/>
        </w:rPr>
        <w:t xml:space="preserve"> chapter critically reviews the literature on employee engagement and its relationship to staff retention, with particular attention to labour-intensive and highly regulated organisational contexts. It begins by examining the conceptual development of employee engagement, tracing its origins in psychological theory and its subsequent adoption as a strategic HRM practice. The review then considers empirical studies </w:t>
      </w:r>
      <w:r>
        <w:rPr>
          <w:rFonts w:ascii="Arial" w:hAnsi="Arial" w:cs="Arial"/>
        </w:rPr>
        <w:t>that link engagement to retention outcomes and analyses</w:t>
      </w:r>
      <w:r w:rsidR="00EC5966" w:rsidRPr="00EC5966">
        <w:rPr>
          <w:rFonts w:ascii="Arial" w:hAnsi="Arial" w:cs="Arial"/>
        </w:rPr>
        <w:t xml:space="preserve"> the theoretical mechanisms proposed to explain this relationship. The discussion subsequently introduces critical HRM and labour process perspectives, which conceptualise engagement not only as a motivational mechanism but also as a phenomenon shaped by organisational power relations and structural constraints. By integrating these perspectives, the chapter identifies a gap in existing research concerning the role of engagement within the UK pharmaceutical logistics sector, where regulatory demands, operational pressures, and workforce stability intersect. The chapter concludes by presenting a conceptual framework that </w:t>
      </w:r>
      <w:r w:rsidR="00EC5966">
        <w:rPr>
          <w:rFonts w:ascii="Arial" w:hAnsi="Arial" w:cs="Arial"/>
        </w:rPr>
        <w:t>integrates mainstream engagement theory with critical HRM perspectives to guide the empirical analyses conducted in subsequent</w:t>
      </w:r>
      <w:r w:rsidR="00EC5966" w:rsidRPr="00EC5966">
        <w:rPr>
          <w:rFonts w:ascii="Arial" w:hAnsi="Arial" w:cs="Arial"/>
        </w:rPr>
        <w:t xml:space="preserve"> chapters. </w:t>
      </w:r>
    </w:p>
    <w:p w14:paraId="2C341629" w14:textId="12AD3DF7" w:rsidR="00B471FF" w:rsidRDefault="00EC5966" w:rsidP="00EC5966">
      <w:pPr>
        <w:jc w:val="both"/>
        <w:rPr>
          <w:rFonts w:ascii="Arial" w:hAnsi="Arial" w:cs="Arial"/>
        </w:rPr>
      </w:pPr>
      <w:r w:rsidRPr="00EC5966">
        <w:rPr>
          <w:rFonts w:ascii="Arial" w:hAnsi="Arial" w:cs="Arial"/>
        </w:rPr>
        <w:t xml:space="preserve">The literature reviewed in this chapter was identified through a structured search of several academic databases, including </w:t>
      </w:r>
      <w:r w:rsidRPr="00EC5966">
        <w:rPr>
          <w:rFonts w:ascii="Arial" w:hAnsi="Arial" w:cs="Arial"/>
          <w:b/>
          <w:bCs/>
        </w:rPr>
        <w:t>Academic Search Complete, Business Source Complete, and Google Scholar</w:t>
      </w:r>
      <w:r w:rsidRPr="00EC5966">
        <w:rPr>
          <w:rFonts w:ascii="Arial" w:hAnsi="Arial" w:cs="Arial"/>
        </w:rPr>
        <w:t xml:space="preserve">. These databases were selected due to their extensive coverage of peer-reviewed literature in human resource management, organisational behaviour, and management studies. The literature search was guided by </w:t>
      </w:r>
      <w:r>
        <w:rPr>
          <w:rFonts w:ascii="Arial" w:hAnsi="Arial" w:cs="Arial"/>
        </w:rPr>
        <w:t>key terms related to the study's central themes</w:t>
      </w:r>
      <w:r w:rsidRPr="00EC5966">
        <w:rPr>
          <w:rFonts w:ascii="Arial" w:hAnsi="Arial" w:cs="Arial"/>
        </w:rPr>
        <w:t xml:space="preserve">, including employee engagement, staff retention, employee turnover, human resource management practices, labour process theory, and workplace control. These keywords were used both individually and in combination to capture a broad range of relevant academic discussions and empirical studies. To ensure the relevance and academic quality of the sources included, </w:t>
      </w:r>
      <w:r w:rsidR="00E2343F" w:rsidRPr="00EC5966">
        <w:rPr>
          <w:rFonts w:ascii="Arial" w:hAnsi="Arial" w:cs="Arial"/>
        </w:rPr>
        <w:t>several</w:t>
      </w:r>
      <w:r w:rsidRPr="00EC5966">
        <w:rPr>
          <w:rFonts w:ascii="Arial" w:hAnsi="Arial" w:cs="Arial"/>
        </w:rPr>
        <w:t xml:space="preserve"> inclusion and exclusion criteria were applied. Priority was given to peer-reviewed journal articles, academic books, and recognised industry reports that address employee engagement, retention, and HRM practices. Emphasis was placed on literature published within the last two decades to capture contemporary developments in engagement research, while also including seminal theoretical works where necessary to provide conceptual foundations (e.g., Kahn, 1990; Edwards, 1979). </w:t>
      </w:r>
    </w:p>
    <w:p w14:paraId="3DB525FA" w14:textId="1B2ED7AB" w:rsidR="00165D52" w:rsidRDefault="00EC5966" w:rsidP="00EC5966">
      <w:pPr>
        <w:jc w:val="both"/>
        <w:rPr>
          <w:rFonts w:ascii="Arial" w:hAnsi="Arial" w:cs="Arial"/>
        </w:rPr>
      </w:pPr>
      <w:r w:rsidRPr="00EC5966">
        <w:rPr>
          <w:rFonts w:ascii="Arial" w:hAnsi="Arial" w:cs="Arial"/>
        </w:rPr>
        <w:t xml:space="preserve">Sources that lacked academic credibility, were not directly related to engagement or retention, or did not contribute to the theoretical or empirical understanding of the topic were excluded. These criteria were applied to maintain the </w:t>
      </w:r>
      <w:r w:rsidR="00E2343F">
        <w:rPr>
          <w:rFonts w:ascii="Arial" w:hAnsi="Arial" w:cs="Arial"/>
        </w:rPr>
        <w:t>chapter's analytical focus and ensure that the review draws on</w:t>
      </w:r>
      <w:r w:rsidRPr="00EC5966">
        <w:rPr>
          <w:rFonts w:ascii="Arial" w:hAnsi="Arial" w:cs="Arial"/>
        </w:rPr>
        <w:t xml:space="preserve"> reliable and relevant scholarly contributions. </w:t>
      </w:r>
    </w:p>
    <w:p w14:paraId="545EEEA0" w14:textId="6DFA7DB3" w:rsidR="00EC5966" w:rsidRDefault="00EC5966" w:rsidP="00EC5966">
      <w:pPr>
        <w:jc w:val="both"/>
        <w:rPr>
          <w:rFonts w:ascii="Arial" w:hAnsi="Arial" w:cs="Arial"/>
        </w:rPr>
      </w:pPr>
      <w:r w:rsidRPr="00EC5966">
        <w:rPr>
          <w:rFonts w:ascii="Arial" w:hAnsi="Arial" w:cs="Arial"/>
        </w:rPr>
        <w:lastRenderedPageBreak/>
        <w:t xml:space="preserve">This chapter critically reviews the literature on employee engagement and its relationship to staff retention, with particular attention to labour-intensive and highly regulated organisational contexts. It begins by examining the conceptual development of employee engagement, tracing its origins in psychological theory and its subsequent adoption as a strategic HRM practice. </w:t>
      </w:r>
    </w:p>
    <w:p w14:paraId="2B6DAA2C" w14:textId="6F1471AB" w:rsidR="00EC5966" w:rsidRDefault="00EC5966" w:rsidP="00EC5966">
      <w:pPr>
        <w:jc w:val="both"/>
        <w:rPr>
          <w:rFonts w:ascii="Arial" w:hAnsi="Arial" w:cs="Arial"/>
        </w:rPr>
      </w:pPr>
      <w:r w:rsidRPr="00EC5966">
        <w:rPr>
          <w:rFonts w:ascii="Arial" w:hAnsi="Arial" w:cs="Arial"/>
        </w:rPr>
        <w:t xml:space="preserve">The review then considers empirical studies </w:t>
      </w:r>
      <w:r w:rsidR="00E2343F">
        <w:rPr>
          <w:rFonts w:ascii="Arial" w:hAnsi="Arial" w:cs="Arial"/>
        </w:rPr>
        <w:t>that link engagement to retention outcomes and analyses</w:t>
      </w:r>
      <w:r w:rsidRPr="00EC5966">
        <w:rPr>
          <w:rFonts w:ascii="Arial" w:hAnsi="Arial" w:cs="Arial"/>
        </w:rPr>
        <w:t xml:space="preserve"> the theoretical mechanisms proposed to explain this relationship. The discussion subsequently introduces critical HRM and labour process perspectives, which conceptualise engagement not only as a motivational mechanism but also as a phenomenon shaped by organisational power relations and structural constraints. By integrating these perspectives, the chapter identifies a gap in existing research concerning the role of engagement within the UK pharmaceutical logistics sector, where regulatory demands, operational pressures, and workforce stability intersect. The chapter concludes by presenting a conceptual framework that </w:t>
      </w:r>
      <w:r>
        <w:rPr>
          <w:rFonts w:ascii="Arial" w:hAnsi="Arial" w:cs="Arial"/>
        </w:rPr>
        <w:t>integrates mainstream engagement theory with critical HRM perspectives to guide the empirical analyses conducted in subsequent</w:t>
      </w:r>
      <w:r w:rsidRPr="00EC5966">
        <w:rPr>
          <w:rFonts w:ascii="Arial" w:hAnsi="Arial" w:cs="Arial"/>
        </w:rPr>
        <w:t xml:space="preserve"> chapters. </w:t>
      </w:r>
    </w:p>
    <w:p w14:paraId="36CD77C9" w14:textId="77777777" w:rsidR="00EC5966" w:rsidRPr="00AE3C6F" w:rsidRDefault="00EC5966" w:rsidP="00F477C0">
      <w:pPr>
        <w:pStyle w:val="Heading2"/>
        <w:rPr>
          <w:rFonts w:ascii="Arial" w:hAnsi="Arial" w:cs="Arial"/>
          <w:b/>
          <w:bCs/>
          <w:color w:val="000000" w:themeColor="text1"/>
          <w:sz w:val="24"/>
          <w:szCs w:val="24"/>
        </w:rPr>
      </w:pPr>
      <w:bookmarkStart w:id="12" w:name="_Toc228563696"/>
      <w:r w:rsidRPr="00AE3C6F">
        <w:rPr>
          <w:rFonts w:ascii="Arial" w:hAnsi="Arial" w:cs="Arial"/>
          <w:b/>
          <w:bCs/>
          <w:color w:val="000000" w:themeColor="text1"/>
          <w:sz w:val="24"/>
          <w:szCs w:val="24"/>
        </w:rPr>
        <w:t>2.2 Research Areas and Critical Review</w:t>
      </w:r>
      <w:bookmarkEnd w:id="12"/>
      <w:r w:rsidRPr="00AE3C6F">
        <w:rPr>
          <w:rFonts w:ascii="Arial" w:hAnsi="Arial" w:cs="Arial"/>
          <w:b/>
          <w:bCs/>
          <w:color w:val="000000" w:themeColor="text1"/>
          <w:sz w:val="24"/>
          <w:szCs w:val="24"/>
        </w:rPr>
        <w:t xml:space="preserve"> </w:t>
      </w:r>
    </w:p>
    <w:p w14:paraId="5945C901" w14:textId="7E598FF3" w:rsidR="00551089" w:rsidRPr="00AE3C6F" w:rsidRDefault="00EC5966" w:rsidP="00F477C0">
      <w:pPr>
        <w:pStyle w:val="Heading2"/>
        <w:rPr>
          <w:rFonts w:ascii="Arial" w:hAnsi="Arial" w:cs="Arial"/>
          <w:b/>
          <w:bCs/>
          <w:color w:val="000000" w:themeColor="text1"/>
          <w:sz w:val="22"/>
          <w:szCs w:val="22"/>
        </w:rPr>
      </w:pPr>
      <w:bookmarkStart w:id="13" w:name="_Toc228563697"/>
      <w:r w:rsidRPr="00AE3C6F">
        <w:rPr>
          <w:rFonts w:ascii="Arial" w:hAnsi="Arial" w:cs="Arial"/>
          <w:b/>
          <w:bCs/>
          <w:color w:val="000000" w:themeColor="text1"/>
          <w:sz w:val="22"/>
          <w:szCs w:val="22"/>
        </w:rPr>
        <w:t>2.2.1 Conceptual Foundations of Employee Engagement</w:t>
      </w:r>
      <w:bookmarkEnd w:id="13"/>
      <w:r w:rsidRPr="00AE3C6F">
        <w:rPr>
          <w:rFonts w:ascii="Arial" w:hAnsi="Arial" w:cs="Arial"/>
          <w:b/>
          <w:bCs/>
          <w:color w:val="000000" w:themeColor="text1"/>
          <w:sz w:val="22"/>
          <w:szCs w:val="22"/>
        </w:rPr>
        <w:t xml:space="preserve"> </w:t>
      </w:r>
    </w:p>
    <w:p w14:paraId="6A1E07C0" w14:textId="77777777" w:rsidR="00551089" w:rsidRDefault="00551089" w:rsidP="00551089">
      <w:pPr>
        <w:jc w:val="both"/>
        <w:rPr>
          <w:rFonts w:ascii="Arial" w:hAnsi="Arial" w:cs="Arial"/>
        </w:rPr>
      </w:pPr>
      <w:r w:rsidRPr="00A50854">
        <w:rPr>
          <w:rFonts w:ascii="Arial" w:hAnsi="Arial" w:cs="Arial"/>
        </w:rPr>
        <w:t xml:space="preserve">The </w:t>
      </w:r>
      <w:r>
        <w:rPr>
          <w:rFonts w:ascii="Arial" w:hAnsi="Arial" w:cs="Arial"/>
        </w:rPr>
        <w:t>discussion of employee engagement typically begins with Kahn (1990), who defined it as the way people bring their physical, emotional, and cognitive selves to</w:t>
      </w:r>
      <w:r w:rsidRPr="00A50854">
        <w:rPr>
          <w:rFonts w:ascii="Arial" w:hAnsi="Arial" w:cs="Arial"/>
        </w:rPr>
        <w:t xml:space="preserve"> their work roles. He argued that engagement depends on three psychological conditions: meaningfulness, safety, and availability. In simple terms, people tend to be more engaged when they find their work meaningful, feel safe doing it, and have enough energy or capacity to give their best. Later, researchers made the idea more measurable. Schaufeli et al. (2002) defined engagement as a state of vigour, dedication, and absorption, which could be tracked using the Utrecht Work Engagement Scale (UWES). </w:t>
      </w:r>
    </w:p>
    <w:p w14:paraId="409DFAD7" w14:textId="7ACEFFE2" w:rsidR="00551089" w:rsidRDefault="00551089" w:rsidP="00551089">
      <w:pPr>
        <w:jc w:val="both"/>
        <w:rPr>
          <w:rFonts w:ascii="Arial" w:hAnsi="Arial" w:cs="Arial"/>
        </w:rPr>
      </w:pPr>
      <w:r w:rsidRPr="00A50854">
        <w:rPr>
          <w:rFonts w:ascii="Arial" w:hAnsi="Arial" w:cs="Arial"/>
        </w:rPr>
        <w:t xml:space="preserve">This helped organisations </w:t>
      </w:r>
      <w:r>
        <w:rPr>
          <w:rFonts w:ascii="Arial" w:hAnsi="Arial" w:cs="Arial"/>
        </w:rPr>
        <w:t>quantify</w:t>
      </w:r>
      <w:r w:rsidRPr="00A50854">
        <w:rPr>
          <w:rFonts w:ascii="Arial" w:hAnsi="Arial" w:cs="Arial"/>
        </w:rPr>
        <w:t xml:space="preserve"> engagement, although it also risked oversimplifying the concept. Some scholars argue that </w:t>
      </w:r>
      <w:r>
        <w:rPr>
          <w:rFonts w:ascii="Arial" w:hAnsi="Arial" w:cs="Arial"/>
        </w:rPr>
        <w:t>an excessive focus on positive psychology obscures</w:t>
      </w:r>
      <w:r w:rsidRPr="00A50854">
        <w:rPr>
          <w:rFonts w:ascii="Arial" w:hAnsi="Arial" w:cs="Arial"/>
        </w:rPr>
        <w:t xml:space="preserve"> the broader picture. It can make engagement seem like an individual responsibility rather than something shaped by organisational conditions. Macey and Schneider (2008) also point out that engagement is often mixed up with job satisfaction, motivation, or commitment, which makes it harder to measure accurately. Engagement surveys, which are very common in corporate settings, sometimes capture what employees think they should say rather than how they truly feel. In workplaces where complaining </w:t>
      </w:r>
      <w:r>
        <w:rPr>
          <w:rFonts w:ascii="Arial" w:hAnsi="Arial" w:cs="Arial"/>
        </w:rPr>
        <w:t>is perceived as unsafe, high engagement scores may indicate</w:t>
      </w:r>
      <w:r w:rsidRPr="00A50854">
        <w:rPr>
          <w:rFonts w:ascii="Arial" w:hAnsi="Arial" w:cs="Arial"/>
        </w:rPr>
        <w:t xml:space="preserve"> </w:t>
      </w:r>
      <w:r>
        <w:rPr>
          <w:rFonts w:ascii="Arial" w:hAnsi="Arial" w:cs="Arial"/>
        </w:rPr>
        <w:t>that people have learned to maintain</w:t>
      </w:r>
      <w:r w:rsidRPr="00A50854">
        <w:rPr>
          <w:rFonts w:ascii="Arial" w:hAnsi="Arial" w:cs="Arial"/>
        </w:rPr>
        <w:t xml:space="preserve"> appearances. </w:t>
      </w:r>
    </w:p>
    <w:p w14:paraId="23139F8A" w14:textId="255DE967" w:rsidR="00551089" w:rsidRDefault="00551089" w:rsidP="00EC5966">
      <w:pPr>
        <w:jc w:val="both"/>
        <w:rPr>
          <w:rFonts w:ascii="Arial" w:hAnsi="Arial" w:cs="Arial"/>
        </w:rPr>
      </w:pPr>
      <w:r w:rsidRPr="00A50854">
        <w:rPr>
          <w:rFonts w:ascii="Arial" w:hAnsi="Arial" w:cs="Arial"/>
        </w:rPr>
        <w:t xml:space="preserve">The Job Demands and Resources (JD-R) model (Bakker </w:t>
      </w:r>
      <w:r w:rsidR="00AC42E4">
        <w:rPr>
          <w:rFonts w:ascii="Arial" w:hAnsi="Arial" w:cs="Arial"/>
        </w:rPr>
        <w:t>&amp;</w:t>
      </w:r>
      <w:r w:rsidRPr="00A50854">
        <w:rPr>
          <w:rFonts w:ascii="Arial" w:hAnsi="Arial" w:cs="Arial"/>
        </w:rPr>
        <w:t xml:space="preserve"> Demerouti, 2017) offers another perspective. It suggests that engagement </w:t>
      </w:r>
      <w:r>
        <w:rPr>
          <w:rFonts w:ascii="Arial" w:hAnsi="Arial" w:cs="Arial"/>
        </w:rPr>
        <w:t>arises from the balance between job demands, such as workload or time pressure, and job resources,</w:t>
      </w:r>
      <w:r w:rsidRPr="00A50854">
        <w:rPr>
          <w:rFonts w:ascii="Arial" w:hAnsi="Arial" w:cs="Arial"/>
        </w:rPr>
        <w:t xml:space="preserve"> such as autonomy, support, or growth opportunities. When resources </w:t>
      </w:r>
      <w:r>
        <w:rPr>
          <w:rFonts w:ascii="Arial" w:hAnsi="Arial" w:cs="Arial"/>
        </w:rPr>
        <w:t>exceed demand, engagement typically</w:t>
      </w:r>
      <w:r w:rsidRPr="00A50854">
        <w:rPr>
          <w:rFonts w:ascii="Arial" w:hAnsi="Arial" w:cs="Arial"/>
        </w:rPr>
        <w:t xml:space="preserve"> increases. However, in rigid or resource-poor environments, even the best-designed engagement programmes may not work as intended. This shows that context matters a great deal. Social exchange theory (Saks, 2006) provides yet another explanation. It suggests that employees respond to organisational support with higher levels of commitment, effort, and loyalty. In this sense, engagement can be seen as a reciprocal relationship between employees and the organisation. However, this view assumes that organisations consistently provide meaningful support and that employees perceive that support as genuine and valuable</w:t>
      </w:r>
      <w:r>
        <w:rPr>
          <w:rFonts w:ascii="Arial" w:hAnsi="Arial" w:cs="Arial"/>
        </w:rPr>
        <w:t>.</w:t>
      </w:r>
    </w:p>
    <w:p w14:paraId="7C92AAE7" w14:textId="77777777" w:rsidR="00551089" w:rsidRDefault="00551089" w:rsidP="00EC5966">
      <w:pPr>
        <w:jc w:val="both"/>
        <w:rPr>
          <w:rFonts w:ascii="Arial" w:hAnsi="Arial" w:cs="Arial"/>
        </w:rPr>
      </w:pPr>
    </w:p>
    <w:p w14:paraId="4E47DF63" w14:textId="4639A527" w:rsidR="00EC5966" w:rsidRDefault="00EC5966" w:rsidP="00EC5966">
      <w:pPr>
        <w:jc w:val="both"/>
        <w:rPr>
          <w:rFonts w:ascii="Arial" w:hAnsi="Arial" w:cs="Arial"/>
        </w:rPr>
      </w:pPr>
      <w:r w:rsidRPr="00EC5966">
        <w:rPr>
          <w:rFonts w:ascii="Arial" w:hAnsi="Arial" w:cs="Arial"/>
        </w:rPr>
        <w:lastRenderedPageBreak/>
        <w:t xml:space="preserve"> In practice, this assumption may not always hold, particularly in organisational contexts characterised by high operational pressures or limited resources. Consequently, while social exchange theory explains why engagement may contribute to retention, it offers less insight into situations where organisational support is constrained.</w:t>
      </w:r>
    </w:p>
    <w:p w14:paraId="10EFB538" w14:textId="1D1AF467" w:rsidR="00EC5966" w:rsidRPr="00AE3C6F" w:rsidRDefault="00EC5966" w:rsidP="00AE3C6F">
      <w:pPr>
        <w:jc w:val="both"/>
        <w:rPr>
          <w:rFonts w:ascii="Arial" w:hAnsi="Arial" w:cs="Arial"/>
        </w:rPr>
      </w:pPr>
      <w:r w:rsidRPr="00EC5966">
        <w:rPr>
          <w:rFonts w:ascii="Arial" w:hAnsi="Arial" w:cs="Arial"/>
        </w:rPr>
        <w:t xml:space="preserve"> This limitation highlights a gap in the literature </w:t>
      </w:r>
      <w:r w:rsidR="00E2343F">
        <w:rPr>
          <w:rFonts w:ascii="Arial" w:hAnsi="Arial" w:cs="Arial"/>
        </w:rPr>
        <w:t>on how engagement operates in contexts where structural conditions may limit</w:t>
      </w:r>
      <w:r w:rsidRPr="00EC5966">
        <w:rPr>
          <w:rFonts w:ascii="Arial" w:hAnsi="Arial" w:cs="Arial"/>
        </w:rPr>
        <w:t xml:space="preserve"> the organisation’s ability to provide such support.</w:t>
      </w:r>
    </w:p>
    <w:p w14:paraId="2031FF05" w14:textId="77777777" w:rsidR="00EC5966" w:rsidRPr="00AE3C6F" w:rsidRDefault="00EC5966" w:rsidP="00F477C0">
      <w:pPr>
        <w:pStyle w:val="Heading2"/>
        <w:rPr>
          <w:rFonts w:ascii="Arial" w:hAnsi="Arial" w:cs="Arial"/>
          <w:b/>
          <w:bCs/>
          <w:color w:val="000000" w:themeColor="text1"/>
          <w:sz w:val="22"/>
          <w:szCs w:val="22"/>
        </w:rPr>
      </w:pPr>
      <w:r w:rsidRPr="00AE3C6F">
        <w:rPr>
          <w:rFonts w:ascii="Arial" w:hAnsi="Arial" w:cs="Arial"/>
          <w:color w:val="000000" w:themeColor="text1"/>
          <w:sz w:val="22"/>
          <w:szCs w:val="22"/>
        </w:rPr>
        <w:t xml:space="preserve"> </w:t>
      </w:r>
      <w:bookmarkStart w:id="14" w:name="_Toc228563698"/>
      <w:r w:rsidRPr="00AE3C6F">
        <w:rPr>
          <w:rFonts w:ascii="Arial" w:hAnsi="Arial" w:cs="Arial"/>
          <w:b/>
          <w:bCs/>
          <w:color w:val="000000" w:themeColor="text1"/>
          <w:sz w:val="22"/>
          <w:szCs w:val="22"/>
        </w:rPr>
        <w:t>2.2.2 Employee Engagement as a Managerial Strategy</w:t>
      </w:r>
      <w:bookmarkEnd w:id="14"/>
    </w:p>
    <w:p w14:paraId="178770CF" w14:textId="77777777" w:rsidR="00551089" w:rsidRDefault="00EC5966" w:rsidP="00551089">
      <w:pPr>
        <w:jc w:val="both"/>
        <w:rPr>
          <w:rFonts w:ascii="Arial" w:hAnsi="Arial" w:cs="Arial"/>
        </w:rPr>
      </w:pPr>
      <w:r w:rsidRPr="00EC5966">
        <w:rPr>
          <w:rFonts w:ascii="Arial" w:hAnsi="Arial" w:cs="Arial"/>
        </w:rPr>
        <w:t xml:space="preserve"> </w:t>
      </w:r>
      <w:r w:rsidR="00551089" w:rsidRPr="00551089">
        <w:rPr>
          <w:rFonts w:ascii="Arial" w:hAnsi="Arial" w:cs="Arial"/>
        </w:rPr>
        <w:t xml:space="preserve">Over time, the concept of engagement evolved from a psychological construct into a managerial one. Organisations began to employ it strategically through recognition initiatives, performance management systems, and communication campaigns </w:t>
      </w:r>
      <w:r w:rsidR="00551089">
        <w:rPr>
          <w:rFonts w:ascii="Arial" w:hAnsi="Arial" w:cs="Arial"/>
        </w:rPr>
        <w:t>to enhance</w:t>
      </w:r>
      <w:r w:rsidR="00551089" w:rsidRPr="00551089">
        <w:rPr>
          <w:rFonts w:ascii="Arial" w:hAnsi="Arial" w:cs="Arial"/>
        </w:rPr>
        <w:t xml:space="preserve"> productivity and innovation (Albrecht et al., 2015). It is now frequently regarded as a mechanism for aligning employee attitudes and behaviours with organisational objectives. Within modern human resource management, engagement has become closely integrated with performance management, positioning it as both a motivational instrument and a coordination mechanism (Torrington et al., 2020). However, this intersection of empowerment and control can create tension. In contexts where performance is closely monitored, engagement initiatives often coexist with heightened managerial oversight rather than reduced control. </w:t>
      </w:r>
    </w:p>
    <w:p w14:paraId="648E5104" w14:textId="510C7692" w:rsidR="00EC5966" w:rsidRDefault="00551089" w:rsidP="00EC5966">
      <w:pPr>
        <w:jc w:val="both"/>
        <w:rPr>
          <w:rFonts w:ascii="Arial" w:hAnsi="Arial" w:cs="Arial"/>
        </w:rPr>
      </w:pPr>
      <w:r w:rsidRPr="00551089">
        <w:rPr>
          <w:rFonts w:ascii="Arial" w:hAnsi="Arial" w:cs="Arial"/>
        </w:rPr>
        <w:t xml:space="preserve">Critical scholars have drawn attention to these contradictions. Legge (2005) contends that human resource management promotes a rhetoric of mutual benefit while primarily advancing managerial interests. Similarly, Thompson (2011) argues that HRM can reframe increasing work demands as “empowerment”, thereby obscuring underlying power imbalances. Consequently, engagement programmes may encourage employees to internalise organisational goals without addressing the structural issues, such as excessive workloads or limited autonomy, that shape their work experience. This does not imply that engagement is </w:t>
      </w:r>
      <w:r w:rsidR="00193781" w:rsidRPr="00551089">
        <w:rPr>
          <w:rFonts w:ascii="Arial" w:hAnsi="Arial" w:cs="Arial"/>
        </w:rPr>
        <w:t>ineffective</w:t>
      </w:r>
      <w:r w:rsidR="00193781">
        <w:rPr>
          <w:rFonts w:ascii="Arial" w:hAnsi="Arial" w:cs="Arial"/>
        </w:rPr>
        <w:t>,</w:t>
      </w:r>
      <w:r w:rsidR="00193781" w:rsidRPr="00551089">
        <w:rPr>
          <w:rFonts w:ascii="Arial" w:hAnsi="Arial" w:cs="Arial"/>
        </w:rPr>
        <w:t xml:space="preserve"> rather</w:t>
      </w:r>
      <w:r w:rsidRPr="00551089">
        <w:rPr>
          <w:rFonts w:ascii="Arial" w:hAnsi="Arial" w:cs="Arial"/>
        </w:rPr>
        <w:t xml:space="preserve">, its outcomes </w:t>
      </w:r>
      <w:r>
        <w:rPr>
          <w:rFonts w:ascii="Arial" w:hAnsi="Arial" w:cs="Arial"/>
        </w:rPr>
        <w:t xml:space="preserve">depend heavily on the </w:t>
      </w:r>
      <w:r w:rsidRPr="00551089">
        <w:rPr>
          <w:rFonts w:ascii="Arial" w:hAnsi="Arial" w:cs="Arial"/>
        </w:rPr>
        <w:t>organisational context.</w:t>
      </w:r>
    </w:p>
    <w:p w14:paraId="67DB9243" w14:textId="77777777" w:rsidR="00EC5966" w:rsidRPr="00AE3C6F" w:rsidRDefault="00EC5966" w:rsidP="00F477C0">
      <w:pPr>
        <w:pStyle w:val="Heading2"/>
        <w:rPr>
          <w:rFonts w:ascii="Arial" w:hAnsi="Arial" w:cs="Arial"/>
          <w:b/>
          <w:bCs/>
          <w:color w:val="000000" w:themeColor="text1"/>
          <w:sz w:val="22"/>
          <w:szCs w:val="22"/>
        </w:rPr>
      </w:pPr>
      <w:r w:rsidRPr="00AE3C6F">
        <w:rPr>
          <w:rFonts w:ascii="Arial" w:hAnsi="Arial" w:cs="Arial"/>
          <w:b/>
          <w:bCs/>
          <w:color w:val="000000" w:themeColor="text1"/>
          <w:sz w:val="22"/>
          <w:szCs w:val="22"/>
        </w:rPr>
        <w:t xml:space="preserve"> </w:t>
      </w:r>
      <w:bookmarkStart w:id="15" w:name="_Toc228563699"/>
      <w:r w:rsidRPr="00AE3C6F">
        <w:rPr>
          <w:rFonts w:ascii="Arial" w:hAnsi="Arial" w:cs="Arial"/>
          <w:b/>
          <w:bCs/>
          <w:color w:val="000000" w:themeColor="text1"/>
          <w:sz w:val="22"/>
          <w:szCs w:val="22"/>
        </w:rPr>
        <w:t>2.2.3 Employee Engagement and Staff Retention</w:t>
      </w:r>
      <w:bookmarkEnd w:id="15"/>
      <w:r w:rsidRPr="00AE3C6F">
        <w:rPr>
          <w:rFonts w:ascii="Arial" w:hAnsi="Arial" w:cs="Arial"/>
          <w:b/>
          <w:bCs/>
          <w:color w:val="000000" w:themeColor="text1"/>
          <w:sz w:val="22"/>
          <w:szCs w:val="22"/>
        </w:rPr>
        <w:t xml:space="preserve"> </w:t>
      </w:r>
    </w:p>
    <w:p w14:paraId="2C3877BC" w14:textId="7BD7B2D4" w:rsidR="00193781" w:rsidRDefault="00193781" w:rsidP="00193781">
      <w:pPr>
        <w:jc w:val="both"/>
        <w:rPr>
          <w:rFonts w:ascii="Arial" w:hAnsi="Arial" w:cs="Arial"/>
        </w:rPr>
      </w:pPr>
      <w:r w:rsidRPr="00193781">
        <w:rPr>
          <w:rFonts w:ascii="Arial" w:hAnsi="Arial" w:cs="Arial"/>
        </w:rPr>
        <w:t>There is substantial evidence suggesting that engaged employees are less likely to quit. They tend to show stronger commitment, greater discretionary effort, and a lower inclination to seek jobs elsewhere (Albrecht et al., 2015). Reports from professional bodies</w:t>
      </w:r>
      <w:r w:rsidR="00E2343F">
        <w:rPr>
          <w:rFonts w:ascii="Arial" w:hAnsi="Arial" w:cs="Arial"/>
        </w:rPr>
        <w:t>, such as the CIPD (2023), support this view, highlighting</w:t>
      </w:r>
      <w:r w:rsidRPr="00193781">
        <w:rPr>
          <w:rFonts w:ascii="Arial" w:hAnsi="Arial" w:cs="Arial"/>
        </w:rPr>
        <w:t xml:space="preserve"> engagement as an important factor in reducing employee turnover. Social exchange theory also helps explain this pattern, as employees who feel supported by their organisation are more likely to remain loyal (Saks, 2006). However, the relationship between engagement and retention is more complex than it may appear. Many studies identify correlation rather than causation. </w:t>
      </w:r>
    </w:p>
    <w:p w14:paraId="296BBE10" w14:textId="63B0CDB9" w:rsidR="00193781" w:rsidRPr="00193781" w:rsidRDefault="00193781" w:rsidP="00193781">
      <w:pPr>
        <w:jc w:val="both"/>
        <w:rPr>
          <w:rFonts w:ascii="Arial" w:hAnsi="Arial" w:cs="Arial"/>
        </w:rPr>
      </w:pPr>
      <w:r w:rsidRPr="00193781">
        <w:rPr>
          <w:rFonts w:ascii="Arial" w:hAnsi="Arial" w:cs="Arial"/>
        </w:rPr>
        <w:t>Levels of engagement may be influenced by factors such as leadership quality, job security, or career development opportunities, all of which also affect retention (Bryman, 2016). External conditions, including labour market trends and the availability of alternative employment, can further diminish the impact of engagement on staff turnover. Therefore, viewing engagement as a guaranteed solution to retention issues oversimplifies reality. Employee retention is shaped by context</w:t>
      </w:r>
      <w:r>
        <w:rPr>
          <w:rFonts w:ascii="Arial" w:hAnsi="Arial" w:cs="Arial"/>
        </w:rPr>
        <w:t>,</w:t>
      </w:r>
      <w:r w:rsidRPr="00193781">
        <w:rPr>
          <w:rFonts w:ascii="Arial" w:hAnsi="Arial" w:cs="Arial"/>
        </w:rPr>
        <w:t xml:space="preserve"> and engagement interacts with broader organisational and economic factors.</w:t>
      </w:r>
    </w:p>
    <w:p w14:paraId="6FEA2429" w14:textId="0B0A671D" w:rsidR="00EC5966" w:rsidRDefault="00EC5966" w:rsidP="00F477C0">
      <w:pPr>
        <w:pStyle w:val="Heading2"/>
      </w:pPr>
    </w:p>
    <w:p w14:paraId="7C82D619" w14:textId="77777777" w:rsidR="00AE3C6F" w:rsidRPr="00AE3C6F" w:rsidRDefault="00AE3C6F" w:rsidP="00AE3C6F"/>
    <w:p w14:paraId="6D96F668" w14:textId="77777777" w:rsidR="00EC5966" w:rsidRPr="00AE3C6F" w:rsidRDefault="00EC5966" w:rsidP="00F477C0">
      <w:pPr>
        <w:pStyle w:val="Heading2"/>
        <w:rPr>
          <w:rFonts w:ascii="Arial" w:hAnsi="Arial" w:cs="Arial"/>
          <w:b/>
          <w:bCs/>
          <w:color w:val="000000" w:themeColor="text1"/>
          <w:sz w:val="22"/>
          <w:szCs w:val="22"/>
        </w:rPr>
      </w:pPr>
      <w:bookmarkStart w:id="16" w:name="_Toc228563700"/>
      <w:r w:rsidRPr="00AE3C6F">
        <w:rPr>
          <w:rFonts w:ascii="Arial" w:hAnsi="Arial" w:cs="Arial"/>
          <w:b/>
          <w:bCs/>
          <w:color w:val="000000" w:themeColor="text1"/>
          <w:sz w:val="22"/>
          <w:szCs w:val="22"/>
        </w:rPr>
        <w:lastRenderedPageBreak/>
        <w:t>2.2.4 Critical HRM and Labour Process Perspectives</w:t>
      </w:r>
      <w:bookmarkEnd w:id="16"/>
      <w:r w:rsidRPr="00AE3C6F">
        <w:rPr>
          <w:rFonts w:ascii="Arial" w:hAnsi="Arial" w:cs="Arial"/>
          <w:b/>
          <w:bCs/>
          <w:color w:val="000000" w:themeColor="text1"/>
          <w:sz w:val="22"/>
          <w:szCs w:val="22"/>
        </w:rPr>
        <w:t xml:space="preserve"> </w:t>
      </w:r>
    </w:p>
    <w:p w14:paraId="4AA030B4" w14:textId="623D1535" w:rsidR="00193781" w:rsidRDefault="00193781" w:rsidP="00193781">
      <w:pPr>
        <w:jc w:val="both"/>
        <w:rPr>
          <w:rFonts w:ascii="Arial" w:hAnsi="Arial" w:cs="Arial"/>
        </w:rPr>
      </w:pPr>
      <w:r w:rsidRPr="00A50854">
        <w:rPr>
          <w:rFonts w:ascii="Arial" w:hAnsi="Arial" w:cs="Arial"/>
        </w:rPr>
        <w:t xml:space="preserve">Critical human resource management (HRM) and Labour Process Theory (LPT) offer </w:t>
      </w:r>
      <w:r>
        <w:rPr>
          <w:rFonts w:ascii="Arial" w:hAnsi="Arial" w:cs="Arial"/>
        </w:rPr>
        <w:t>contrasting perspectives,</w:t>
      </w:r>
      <w:r w:rsidRPr="00A50854">
        <w:rPr>
          <w:rFonts w:ascii="Arial" w:hAnsi="Arial" w:cs="Arial"/>
        </w:rPr>
        <w:t xml:space="preserve"> focusing on power, control, and the underlying interests that shape work (Thompson </w:t>
      </w:r>
      <w:r w:rsidR="00AC42E4">
        <w:rPr>
          <w:rFonts w:ascii="Arial" w:hAnsi="Arial" w:cs="Arial"/>
        </w:rPr>
        <w:t xml:space="preserve">&amp; </w:t>
      </w:r>
      <w:r w:rsidRPr="00A50854">
        <w:rPr>
          <w:rFonts w:ascii="Arial" w:hAnsi="Arial" w:cs="Arial"/>
        </w:rPr>
        <w:t xml:space="preserve">Ackroyd, 1995). LPT, </w:t>
      </w:r>
      <w:r w:rsidR="00E2343F">
        <w:rPr>
          <w:rFonts w:ascii="Arial" w:hAnsi="Arial" w:cs="Arial"/>
        </w:rPr>
        <w:t>rooted</w:t>
      </w:r>
      <w:r w:rsidRPr="00A50854">
        <w:rPr>
          <w:rFonts w:ascii="Arial" w:hAnsi="Arial" w:cs="Arial"/>
        </w:rPr>
        <w:t xml:space="preserve"> in Marxist analysis, views organisations as systems designed to manage labour efficiently while maintaining worker cooperation. From this perspective, engagement initiatives can be interpreted as subtle forms of control that align employee behaviour with organisational goals without relying on overt coercion. Edwards (1979) identified three types of control: direct, bureaucratic, and normative. Normative control, which involves shaping employees’ values and identities, is particularly relevant in this context. Engagement programmes that emphasise shared values or emotional commitment can lead employees to self-regulate by aligning their sense of self with organisational expectations. This process is not necessarily manipulative, but it </w:t>
      </w:r>
      <w:r w:rsidR="00E2343F">
        <w:rPr>
          <w:rFonts w:ascii="Arial" w:hAnsi="Arial" w:cs="Arial"/>
        </w:rPr>
        <w:t>illustrates how engagement can function</w:t>
      </w:r>
      <w:r w:rsidRPr="00A50854">
        <w:rPr>
          <w:rFonts w:ascii="Arial" w:hAnsi="Arial" w:cs="Arial"/>
        </w:rPr>
        <w:t xml:space="preserve"> as a form of soft control.</w:t>
      </w:r>
    </w:p>
    <w:p w14:paraId="64E83922" w14:textId="77777777" w:rsidR="00193781" w:rsidRDefault="00193781" w:rsidP="00193781">
      <w:pPr>
        <w:jc w:val="both"/>
        <w:rPr>
          <w:rFonts w:ascii="Arial" w:hAnsi="Arial" w:cs="Arial"/>
        </w:rPr>
      </w:pPr>
      <w:r w:rsidRPr="00A50854">
        <w:rPr>
          <w:rFonts w:ascii="Arial" w:hAnsi="Arial" w:cs="Arial"/>
        </w:rPr>
        <w:t xml:space="preserve"> Critical HRM scholars such as Legge (2005) and Thompson (2011) question the assumption that engagement is always mutually beneficial. They argue that the rhetoric of HRM often conceals the fact that managerial priorities </w:t>
      </w:r>
      <w:r>
        <w:rPr>
          <w:rFonts w:ascii="Arial" w:hAnsi="Arial" w:cs="Arial"/>
        </w:rPr>
        <w:t>predominate</w:t>
      </w:r>
      <w:r w:rsidRPr="00A50854">
        <w:rPr>
          <w:rFonts w:ascii="Arial" w:hAnsi="Arial" w:cs="Arial"/>
        </w:rPr>
        <w:t xml:space="preserve">. As a result, engagement can make employees appear enthusiastic and self-motivated even when significant structural problems, such as excessive workloads or job insecurity, remain unresolved. More recent developments in labour process thinking have introduced the concept of neo-normative control (Fleming, 2017), in which organisations encourage employees to express authenticity and passion while still managing their identities from within. In such cases, individuals regulate themselves in ways that fit the organisation’s ideals. </w:t>
      </w:r>
    </w:p>
    <w:p w14:paraId="53B93DEF" w14:textId="643B9BF4" w:rsidR="00193781" w:rsidRDefault="00193781" w:rsidP="00193781">
      <w:pPr>
        <w:jc w:val="both"/>
        <w:rPr>
          <w:rFonts w:ascii="Arial" w:hAnsi="Arial" w:cs="Arial"/>
        </w:rPr>
      </w:pPr>
      <w:r w:rsidRPr="00A50854">
        <w:rPr>
          <w:rFonts w:ascii="Arial" w:hAnsi="Arial" w:cs="Arial"/>
        </w:rPr>
        <w:t>Engagement thus becomes not only a matter of motivation but also a means of shaping employees’ identities in the workplace. This perspective does not suggest that engagement is inherently negative</w:t>
      </w:r>
      <w:r>
        <w:rPr>
          <w:rFonts w:ascii="Arial" w:hAnsi="Arial" w:cs="Arial"/>
        </w:rPr>
        <w:t>; rather,</w:t>
      </w:r>
      <w:r w:rsidRPr="00A50854">
        <w:rPr>
          <w:rFonts w:ascii="Arial" w:hAnsi="Arial" w:cs="Arial"/>
        </w:rPr>
        <w:t xml:space="preserve"> it is complex and </w:t>
      </w:r>
      <w:r w:rsidR="009D3E55">
        <w:rPr>
          <w:rFonts w:ascii="Arial" w:hAnsi="Arial" w:cs="Arial"/>
        </w:rPr>
        <w:t>context-dependent</w:t>
      </w:r>
      <w:r w:rsidRPr="00A50854">
        <w:rPr>
          <w:rFonts w:ascii="Arial" w:hAnsi="Arial" w:cs="Arial"/>
        </w:rPr>
        <w:t>. In highly regulated and labour-intensive sectors, engagement initiatives often exist alongside strict procedures, close monitoring, and performance pressures. Employees may be encouraged to “bring their best selves” even while operating within structures that allow limited autonomy. The resulting tension between motivational rhetoric and structural constraint highlights the importance of examining engagement as both a managerial strategy and a manifestation of organisational power</w:t>
      </w:r>
      <w:r>
        <w:rPr>
          <w:rFonts w:ascii="Arial" w:hAnsi="Arial" w:cs="Arial"/>
        </w:rPr>
        <w:t>.</w:t>
      </w:r>
    </w:p>
    <w:p w14:paraId="1F99C988" w14:textId="77777777" w:rsidR="00AE3C6F" w:rsidRDefault="00AE3C6F" w:rsidP="00193781">
      <w:pPr>
        <w:jc w:val="both"/>
        <w:rPr>
          <w:rFonts w:ascii="Arial" w:hAnsi="Arial" w:cs="Arial"/>
        </w:rPr>
      </w:pPr>
    </w:p>
    <w:p w14:paraId="2FA500E5" w14:textId="77777777" w:rsidR="00AE3C6F" w:rsidRDefault="00AE3C6F" w:rsidP="00193781">
      <w:pPr>
        <w:jc w:val="both"/>
        <w:rPr>
          <w:rFonts w:ascii="Arial" w:hAnsi="Arial" w:cs="Arial"/>
        </w:rPr>
      </w:pPr>
    </w:p>
    <w:p w14:paraId="33C6B319" w14:textId="77777777" w:rsidR="00AE3C6F" w:rsidRDefault="00AE3C6F" w:rsidP="00193781">
      <w:pPr>
        <w:jc w:val="both"/>
        <w:rPr>
          <w:rFonts w:ascii="Arial" w:hAnsi="Arial" w:cs="Arial"/>
        </w:rPr>
      </w:pPr>
    </w:p>
    <w:p w14:paraId="4C3EBA6D" w14:textId="77777777" w:rsidR="00AE3C6F" w:rsidRDefault="00AE3C6F" w:rsidP="00193781">
      <w:pPr>
        <w:jc w:val="both"/>
        <w:rPr>
          <w:rFonts w:ascii="Arial" w:hAnsi="Arial" w:cs="Arial"/>
        </w:rPr>
      </w:pPr>
    </w:p>
    <w:p w14:paraId="3A3E4EA4" w14:textId="77777777" w:rsidR="00AE3C6F" w:rsidRDefault="00AE3C6F" w:rsidP="00193781">
      <w:pPr>
        <w:jc w:val="both"/>
        <w:rPr>
          <w:rFonts w:ascii="Arial" w:hAnsi="Arial" w:cs="Arial"/>
        </w:rPr>
      </w:pPr>
    </w:p>
    <w:p w14:paraId="6E821E4A" w14:textId="77777777" w:rsidR="00AE3C6F" w:rsidRDefault="00AE3C6F" w:rsidP="00193781">
      <w:pPr>
        <w:jc w:val="both"/>
        <w:rPr>
          <w:rFonts w:ascii="Arial" w:hAnsi="Arial" w:cs="Arial"/>
        </w:rPr>
      </w:pPr>
    </w:p>
    <w:p w14:paraId="37B03E9C" w14:textId="77777777" w:rsidR="00AE3C6F" w:rsidRDefault="00AE3C6F" w:rsidP="00193781">
      <w:pPr>
        <w:jc w:val="both"/>
        <w:rPr>
          <w:rFonts w:ascii="Arial" w:hAnsi="Arial" w:cs="Arial"/>
        </w:rPr>
      </w:pPr>
    </w:p>
    <w:p w14:paraId="6E9C6F53" w14:textId="77777777" w:rsidR="00AE3C6F" w:rsidRDefault="00AE3C6F" w:rsidP="00193781">
      <w:pPr>
        <w:jc w:val="both"/>
        <w:rPr>
          <w:rFonts w:ascii="Arial" w:hAnsi="Arial" w:cs="Arial"/>
        </w:rPr>
      </w:pPr>
    </w:p>
    <w:p w14:paraId="5DB93A1A" w14:textId="77777777" w:rsidR="00AE3C6F" w:rsidRPr="00A50854" w:rsidRDefault="00AE3C6F" w:rsidP="00193781">
      <w:pPr>
        <w:jc w:val="both"/>
        <w:rPr>
          <w:rFonts w:ascii="Arial" w:hAnsi="Arial" w:cs="Arial"/>
        </w:rPr>
      </w:pPr>
    </w:p>
    <w:p w14:paraId="57F8EAAD" w14:textId="77777777" w:rsidR="00193781" w:rsidRPr="00EC5966" w:rsidRDefault="00193781" w:rsidP="00EC5966">
      <w:pPr>
        <w:jc w:val="both"/>
        <w:rPr>
          <w:rFonts w:ascii="Arial" w:hAnsi="Arial" w:cs="Arial"/>
          <w:b/>
          <w:bCs/>
        </w:rPr>
      </w:pPr>
    </w:p>
    <w:p w14:paraId="15A3A303" w14:textId="77777777" w:rsidR="00EC5966" w:rsidRPr="00AE3C6F" w:rsidRDefault="00EC5966" w:rsidP="00F477C0">
      <w:pPr>
        <w:pStyle w:val="Heading2"/>
        <w:rPr>
          <w:rFonts w:ascii="Arial" w:hAnsi="Arial" w:cs="Arial"/>
          <w:b/>
          <w:bCs/>
          <w:color w:val="000000" w:themeColor="text1"/>
          <w:sz w:val="24"/>
          <w:szCs w:val="24"/>
        </w:rPr>
      </w:pPr>
      <w:bookmarkStart w:id="17" w:name="_Toc228563701"/>
      <w:r w:rsidRPr="00AE3C6F">
        <w:rPr>
          <w:rFonts w:ascii="Arial" w:hAnsi="Arial" w:cs="Arial"/>
          <w:b/>
          <w:bCs/>
          <w:color w:val="000000" w:themeColor="text1"/>
          <w:sz w:val="24"/>
          <w:szCs w:val="24"/>
        </w:rPr>
        <w:lastRenderedPageBreak/>
        <w:t>2.3 Conceptual Framework</w:t>
      </w:r>
      <w:bookmarkEnd w:id="17"/>
      <w:r w:rsidRPr="00AE3C6F">
        <w:rPr>
          <w:rFonts w:ascii="Arial" w:hAnsi="Arial" w:cs="Arial"/>
          <w:b/>
          <w:bCs/>
          <w:color w:val="000000" w:themeColor="text1"/>
          <w:sz w:val="24"/>
          <w:szCs w:val="24"/>
        </w:rPr>
        <w:t xml:space="preserve"> </w:t>
      </w:r>
    </w:p>
    <w:p w14:paraId="2F568387" w14:textId="77777777" w:rsidR="00B471FF" w:rsidRDefault="00EC5966" w:rsidP="00EC5966">
      <w:pPr>
        <w:jc w:val="both"/>
        <w:rPr>
          <w:rFonts w:ascii="Arial" w:hAnsi="Arial" w:cs="Arial"/>
        </w:rPr>
      </w:pPr>
      <w:r w:rsidRPr="00EC5966">
        <w:rPr>
          <w:rFonts w:ascii="Arial" w:hAnsi="Arial" w:cs="Arial"/>
        </w:rPr>
        <w:t>In response to the theoretical tensions identified in the preceding review, this study adopts a conceptual framework that positions employee engagement within the interaction between structural workplace conditions and staff retention outcomes. Rather than assuming a straightforward causal relationship between engagement initiatives and retention, the framework reflects the view that engagement practices are shaped by, and operate within, broader organisational and regulatory structures. Mainstream HRM literature frequently conceptualises this relationship in relatively linear terms:</w:t>
      </w:r>
    </w:p>
    <w:p w14:paraId="2381894A" w14:textId="77777777" w:rsidR="00B471FF" w:rsidRDefault="00EC5966" w:rsidP="00EC5966">
      <w:pPr>
        <w:jc w:val="both"/>
        <w:rPr>
          <w:rFonts w:ascii="Arial" w:hAnsi="Arial" w:cs="Arial"/>
        </w:rPr>
      </w:pPr>
      <w:r w:rsidRPr="00EC5966">
        <w:rPr>
          <w:rFonts w:ascii="Arial" w:hAnsi="Arial" w:cs="Arial"/>
        </w:rPr>
        <w:t xml:space="preserve"> </w:t>
      </w:r>
      <w:r w:rsidRPr="00EC5966">
        <w:rPr>
          <w:rFonts w:ascii="Arial" w:hAnsi="Arial" w:cs="Arial"/>
          <w:b/>
          <w:bCs/>
        </w:rPr>
        <w:t>Engagement Strategies → Increased Engagement → Improved Retention</w:t>
      </w:r>
      <w:r w:rsidRPr="00EC5966">
        <w:rPr>
          <w:rFonts w:ascii="Arial" w:hAnsi="Arial" w:cs="Arial"/>
        </w:rPr>
        <w:t xml:space="preserve"> </w:t>
      </w:r>
    </w:p>
    <w:p w14:paraId="4C09193A" w14:textId="34E797BC" w:rsidR="00EC5966" w:rsidRDefault="00454526" w:rsidP="00EC5966">
      <w:pPr>
        <w:jc w:val="both"/>
        <w:rPr>
          <w:rFonts w:ascii="Arial" w:hAnsi="Arial" w:cs="Arial"/>
        </w:rPr>
      </w:pPr>
      <w:r w:rsidRPr="00454526">
        <w:rPr>
          <w:rFonts w:ascii="Arial" w:hAnsi="Arial" w:cs="Arial"/>
        </w:rPr>
        <w:t>While this model offers conceptual simplicity, it may overlook the complexity of organisational realities. Critical perspectives suggest that structural conditions, including regulatory intensity, performance monitoring, workload demands, and job security, can directly influence both the design of engagement initiatives and their impact on retention outcomes (Thompson, 2011; Legge, 2005</w:t>
      </w:r>
      <w:r w:rsidR="00660292" w:rsidRPr="00454526">
        <w:rPr>
          <w:rFonts w:ascii="Arial" w:hAnsi="Arial" w:cs="Arial"/>
        </w:rPr>
        <w:t>).</w:t>
      </w:r>
      <w:r w:rsidR="00660292" w:rsidRPr="00EC5966">
        <w:rPr>
          <w:rFonts w:ascii="Arial" w:hAnsi="Arial" w:cs="Arial"/>
        </w:rPr>
        <w:t xml:space="preserve"> Engagement</w:t>
      </w:r>
      <w:r w:rsidR="00EC5966" w:rsidRPr="00EC5966">
        <w:rPr>
          <w:rFonts w:ascii="Arial" w:hAnsi="Arial" w:cs="Arial"/>
        </w:rPr>
        <w:t xml:space="preserve"> strategies, therefore, do not operate in isolation but are embedded within broader managerial and regulatory systems.</w:t>
      </w:r>
    </w:p>
    <w:p w14:paraId="374EF15A" w14:textId="1AA7F986" w:rsidR="00EC5966" w:rsidRDefault="00EC5966" w:rsidP="00EC5966">
      <w:pPr>
        <w:jc w:val="both"/>
        <w:rPr>
          <w:rFonts w:ascii="Arial" w:hAnsi="Arial" w:cs="Arial"/>
        </w:rPr>
      </w:pPr>
      <w:r w:rsidRPr="00EC5966">
        <w:rPr>
          <w:rFonts w:ascii="Arial" w:hAnsi="Arial" w:cs="Arial"/>
        </w:rPr>
        <w:t xml:space="preserve"> To reflect this complexity, the conceptual relationships guiding this study are illustrated in Figure 1. </w:t>
      </w:r>
    </w:p>
    <w:p w14:paraId="5FECDBE6" w14:textId="77777777" w:rsidR="00EC5966" w:rsidRDefault="00EC5966" w:rsidP="00EC5966">
      <w:pPr>
        <w:jc w:val="both"/>
        <w:rPr>
          <w:rFonts w:ascii="Arial" w:hAnsi="Arial" w:cs="Arial"/>
          <w:i/>
          <w:iCs/>
        </w:rPr>
      </w:pPr>
      <w:r w:rsidRPr="00B13384">
        <w:rPr>
          <w:rFonts w:ascii="Arial" w:hAnsi="Arial" w:cs="Arial"/>
          <w:noProof/>
        </w:rPr>
        <w:drawing>
          <wp:inline distT="0" distB="0" distL="0" distR="0" wp14:anchorId="5D0C758C" wp14:editId="42065D91">
            <wp:extent cx="4709169" cy="3557023"/>
            <wp:effectExtent l="0" t="0" r="0" b="5715"/>
            <wp:docPr id="1725777635" name="Picture 1" descr="A diagram of a workl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777635" name="Picture 1" descr="A diagram of a workloa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709169" cy="3557023"/>
                    </a:xfrm>
                    <a:prstGeom prst="rect">
                      <a:avLst/>
                    </a:prstGeom>
                  </pic:spPr>
                </pic:pic>
              </a:graphicData>
            </a:graphic>
          </wp:inline>
        </w:drawing>
      </w:r>
    </w:p>
    <w:p w14:paraId="16580497" w14:textId="20F91E42" w:rsidR="00EC5966" w:rsidRPr="00B471FF" w:rsidRDefault="00EC5966" w:rsidP="00EC5966">
      <w:pPr>
        <w:jc w:val="both"/>
        <w:rPr>
          <w:rFonts w:ascii="Arial" w:hAnsi="Arial" w:cs="Arial"/>
          <w:i/>
          <w:iCs/>
        </w:rPr>
      </w:pPr>
      <w:r w:rsidRPr="00B13384">
        <w:rPr>
          <w:rFonts w:ascii="Arial" w:hAnsi="Arial" w:cs="Arial"/>
          <w:i/>
          <w:iCs/>
        </w:rPr>
        <w:t xml:space="preserve">Figure 1: </w:t>
      </w:r>
      <w:r w:rsidRPr="00B13384">
        <w:rPr>
          <w:rFonts w:ascii="Arial" w:hAnsi="Arial" w:cs="Arial"/>
        </w:rPr>
        <w:t>Conceptual Framework of Employee Engagement, Structural Conditions, and Retention Outcomes (Author’s Own)</w:t>
      </w:r>
    </w:p>
    <w:p w14:paraId="02C19802" w14:textId="77777777" w:rsidR="00AE3C6F" w:rsidRDefault="00EC5966" w:rsidP="00EC5966">
      <w:pPr>
        <w:jc w:val="both"/>
        <w:rPr>
          <w:rFonts w:ascii="Arial" w:hAnsi="Arial" w:cs="Arial"/>
        </w:rPr>
      </w:pPr>
      <w:r w:rsidRPr="00EC5966">
        <w:rPr>
          <w:rFonts w:ascii="Arial" w:hAnsi="Arial" w:cs="Arial"/>
        </w:rPr>
        <w:t>Figure 1 integrates mainstream engagement theory with critical HRM perspectives. Consistent with psychological models of engagement (Kahn, 1990; Schaufeli et al., 2002), the framework acknowledges that engagement strategies may shape employee interpretations and behavioural responses. However, drawing on labour process scholarship (Legge, 2005; Thompson, 2011), the model recognises that structural workplace conditions influence both the form and effectiveness of engagement practices and may also directly impact retention outcomes.</w:t>
      </w:r>
    </w:p>
    <w:p w14:paraId="3EC9EB82" w14:textId="57F12C36" w:rsidR="00B471FF" w:rsidRPr="00AE3C6F" w:rsidRDefault="00EC5966" w:rsidP="00AE3C6F">
      <w:pPr>
        <w:jc w:val="both"/>
        <w:rPr>
          <w:rFonts w:ascii="Arial" w:hAnsi="Arial" w:cs="Arial"/>
        </w:rPr>
      </w:pPr>
      <w:r w:rsidRPr="00EC5966">
        <w:rPr>
          <w:rFonts w:ascii="Arial" w:hAnsi="Arial" w:cs="Arial"/>
        </w:rPr>
        <w:lastRenderedPageBreak/>
        <w:t xml:space="preserve"> Accordingly, this study conceptualises employee engagement not as an isolated causal mechanism but as a context-dependent organisational practice shaped by structural constraints. Engagement strategies are examined alongside structural workplace conditions, rather than independently from them. This framework enables a more nuanced exploration of whether engagement initiatives meaningfully address retention challenges or operate primarily within existing systems of managerial control. It also provides the analytical foundation for the methodological choices outlined in the following chapter.</w:t>
      </w:r>
    </w:p>
    <w:p w14:paraId="5763C118" w14:textId="77777777" w:rsidR="00EC5966" w:rsidRPr="00AE3C6F" w:rsidRDefault="00EC5966" w:rsidP="00F477C0">
      <w:pPr>
        <w:pStyle w:val="Heading2"/>
        <w:rPr>
          <w:rFonts w:ascii="Arial" w:hAnsi="Arial" w:cs="Arial"/>
          <w:b/>
          <w:bCs/>
          <w:color w:val="000000" w:themeColor="text1"/>
          <w:sz w:val="24"/>
          <w:szCs w:val="24"/>
        </w:rPr>
      </w:pPr>
      <w:r w:rsidRPr="00AE3C6F">
        <w:rPr>
          <w:rFonts w:ascii="Arial" w:hAnsi="Arial" w:cs="Arial"/>
          <w:b/>
          <w:bCs/>
          <w:color w:val="000000" w:themeColor="text1"/>
          <w:sz w:val="24"/>
          <w:szCs w:val="24"/>
        </w:rPr>
        <w:t xml:space="preserve"> </w:t>
      </w:r>
      <w:bookmarkStart w:id="18" w:name="_Toc228563702"/>
      <w:r w:rsidRPr="00AE3C6F">
        <w:rPr>
          <w:rFonts w:ascii="Arial" w:hAnsi="Arial" w:cs="Arial"/>
          <w:b/>
          <w:bCs/>
          <w:color w:val="000000" w:themeColor="text1"/>
          <w:sz w:val="24"/>
          <w:szCs w:val="24"/>
        </w:rPr>
        <w:t>2.4 Conclusion of Chapter</w:t>
      </w:r>
      <w:bookmarkEnd w:id="18"/>
      <w:r w:rsidRPr="00AE3C6F">
        <w:rPr>
          <w:rFonts w:ascii="Arial" w:hAnsi="Arial" w:cs="Arial"/>
          <w:b/>
          <w:bCs/>
          <w:color w:val="000000" w:themeColor="text1"/>
          <w:sz w:val="24"/>
          <w:szCs w:val="24"/>
        </w:rPr>
        <w:t xml:space="preserve"> </w:t>
      </w:r>
    </w:p>
    <w:p w14:paraId="2FFFE038" w14:textId="77777777" w:rsidR="00354DA4" w:rsidRDefault="00354DA4" w:rsidP="00354DA4">
      <w:pPr>
        <w:jc w:val="both"/>
        <w:rPr>
          <w:rFonts w:ascii="Arial" w:hAnsi="Arial" w:cs="Arial"/>
        </w:rPr>
      </w:pPr>
      <w:r w:rsidRPr="00354DA4">
        <w:rPr>
          <w:rFonts w:ascii="Arial" w:hAnsi="Arial" w:cs="Arial"/>
        </w:rPr>
        <w:t xml:space="preserve">This chapter has examined how employee engagement has been conceptualised and studied in relation to staff retention. Mainstream human resource management (HRM) literature often presents engagement as a positive organisational practice associated with improved performance and reduced employee turnover (Albrecht et al., 2015). Psychological models of engagement (Kahn, 1990; Schaufeli et al., 2002) emphasise the importance of meaningful work, energy, and commitment, suggesting that supportive organisational practices can strengthen employees’ attachment to their organisation. At the same time, managerial approaches increasingly frame engagement as a strategic tool for aligning employee attitudes and behaviours with organisational objectives (Torrington et al., 2020). However, critical HRM and labour process perspectives challenge the assumption that engagement initiatives are always mutually beneficial. Scholars such as Legge (2005) and Thompson (2011) argue that engagement practices may also function as forms of normative control, encouraging employees to internalise organisational expectations while leaving structural workplace pressures, including high workloads and restricted autonomy, largely unchanged. These perspectives highlight the need to view engagement not only as a motivational practice but also as a phenomenon shaped by organisational power relations and structural conditions. Despite the expanding body of research on employee engagement and retention, several gaps persist within the existing literature. </w:t>
      </w:r>
    </w:p>
    <w:p w14:paraId="11ECFC48" w14:textId="34C04500" w:rsidR="009C0E17" w:rsidRDefault="00354DA4" w:rsidP="00354DA4">
      <w:pPr>
        <w:jc w:val="both"/>
        <w:rPr>
          <w:rFonts w:ascii="Arial" w:hAnsi="Arial" w:cs="Arial"/>
        </w:rPr>
      </w:pPr>
      <w:r w:rsidRPr="00354DA4">
        <w:rPr>
          <w:rFonts w:ascii="Arial" w:hAnsi="Arial" w:cs="Arial"/>
        </w:rPr>
        <w:t xml:space="preserve">Much of the empirical research emphasises the positive relationship between engagement and </w:t>
      </w:r>
      <w:r w:rsidR="00E2343F" w:rsidRPr="00354DA4">
        <w:rPr>
          <w:rFonts w:ascii="Arial" w:hAnsi="Arial" w:cs="Arial"/>
        </w:rPr>
        <w:t>retention</w:t>
      </w:r>
      <w:r w:rsidR="00E2343F">
        <w:rPr>
          <w:rFonts w:ascii="Arial" w:hAnsi="Arial" w:cs="Arial"/>
        </w:rPr>
        <w:t>, but</w:t>
      </w:r>
      <w:r w:rsidRPr="00354DA4">
        <w:rPr>
          <w:rFonts w:ascii="Arial" w:hAnsi="Arial" w:cs="Arial"/>
        </w:rPr>
        <w:t xml:space="preserve"> often treats engagement as a straightforward causal factor</w:t>
      </w:r>
      <w:r w:rsidR="00E2343F">
        <w:rPr>
          <w:rFonts w:ascii="Arial" w:hAnsi="Arial" w:cs="Arial"/>
        </w:rPr>
        <w:t>, paying insufficient</w:t>
      </w:r>
      <w:r w:rsidRPr="00354DA4">
        <w:rPr>
          <w:rFonts w:ascii="Arial" w:hAnsi="Arial" w:cs="Arial"/>
        </w:rPr>
        <w:t xml:space="preserve"> attention to the organisational and structural contexts in which engagement initiatives are implemented. Furthermore, while critical HRM and labour process studies provide valuable insights into issues of power, control, and managerial interests, these perspectives are seldom integrated with mainstream engagement research. As a result, the interplay between engagement practices, workplace structures, and retention outcomes remains underexplored.</w:t>
      </w:r>
    </w:p>
    <w:p w14:paraId="3ADC5A75" w14:textId="69D893ED" w:rsidR="00354DA4" w:rsidRPr="00354DA4" w:rsidRDefault="00354DA4" w:rsidP="00354DA4">
      <w:pPr>
        <w:jc w:val="both"/>
        <w:rPr>
          <w:rFonts w:ascii="Arial" w:hAnsi="Arial" w:cs="Arial"/>
        </w:rPr>
      </w:pPr>
      <w:r w:rsidRPr="00354DA4">
        <w:rPr>
          <w:rFonts w:ascii="Arial" w:hAnsi="Arial" w:cs="Arial"/>
        </w:rPr>
        <w:t xml:space="preserve"> Additionally, there is limited empirical </w:t>
      </w:r>
      <w:r w:rsidR="00E2343F">
        <w:rPr>
          <w:rFonts w:ascii="Arial" w:hAnsi="Arial" w:cs="Arial"/>
        </w:rPr>
        <w:t>research on employee engagement in highly regulated,</w:t>
      </w:r>
      <w:r w:rsidRPr="00354DA4">
        <w:rPr>
          <w:rFonts w:ascii="Arial" w:hAnsi="Arial" w:cs="Arial"/>
        </w:rPr>
        <w:t xml:space="preserve"> operationally demanding sectors such as pharmaceutical logistics. In these environments, strict compliance requirements, operational pressures, and performance monitoring all influence how engagement initiatives are designed and experienced. Such structural factors affect both employee engagement and retention, yet they have received relatively little scholarly attention. To address these gaps, the present study adopts a context-sensitive approach that integrates mainstream engagement theory with critical HRM perspectives. By exploring how engagement practices operate within the structural conditions of UK pharmaceutical logistics organisations, this study aims to develop a more nuanced understanding of whether engagement strategies genuinely enhance staff retention or primarily function within existing managerial and regulatory constraints. The following chapter outlines the research methodology used to investigate these issues</w:t>
      </w:r>
      <w:r>
        <w:rPr>
          <w:rFonts w:ascii="Arial" w:hAnsi="Arial" w:cs="Arial"/>
        </w:rPr>
        <w:t>.</w:t>
      </w:r>
    </w:p>
    <w:p w14:paraId="268F61D3" w14:textId="77777777" w:rsidR="009076F0" w:rsidRDefault="009076F0" w:rsidP="00EC5966">
      <w:pPr>
        <w:jc w:val="both"/>
        <w:rPr>
          <w:rFonts w:ascii="Arial" w:hAnsi="Arial" w:cs="Arial"/>
        </w:rPr>
      </w:pPr>
    </w:p>
    <w:p w14:paraId="1216EDAB" w14:textId="77777777" w:rsidR="009076F0" w:rsidRDefault="009076F0" w:rsidP="00EC5966">
      <w:pPr>
        <w:jc w:val="both"/>
        <w:rPr>
          <w:rFonts w:ascii="Arial" w:hAnsi="Arial" w:cs="Arial"/>
        </w:rPr>
      </w:pPr>
    </w:p>
    <w:p w14:paraId="02522E18" w14:textId="77777777" w:rsidR="009076F0" w:rsidRPr="00AE3C6F" w:rsidRDefault="009076F0" w:rsidP="00FF03DF">
      <w:pPr>
        <w:pStyle w:val="Heading1"/>
        <w:rPr>
          <w:rFonts w:ascii="Arial" w:hAnsi="Arial" w:cs="Arial"/>
          <w:b/>
          <w:bCs/>
          <w:color w:val="000000" w:themeColor="text1"/>
          <w:sz w:val="28"/>
          <w:szCs w:val="28"/>
        </w:rPr>
      </w:pPr>
      <w:bookmarkStart w:id="19" w:name="_Toc228563703"/>
      <w:r w:rsidRPr="00AE3C6F">
        <w:rPr>
          <w:rFonts w:ascii="Arial" w:hAnsi="Arial" w:cs="Arial"/>
          <w:b/>
          <w:bCs/>
          <w:color w:val="000000" w:themeColor="text1"/>
          <w:sz w:val="28"/>
          <w:szCs w:val="28"/>
        </w:rPr>
        <w:t>CHAPTER 3: RESEARCH METHODOLOGY</w:t>
      </w:r>
      <w:bookmarkEnd w:id="19"/>
      <w:r w:rsidRPr="00AE3C6F">
        <w:rPr>
          <w:rFonts w:ascii="Arial" w:hAnsi="Arial" w:cs="Arial"/>
          <w:b/>
          <w:bCs/>
          <w:color w:val="000000" w:themeColor="text1"/>
          <w:sz w:val="28"/>
          <w:szCs w:val="28"/>
        </w:rPr>
        <w:t xml:space="preserve"> </w:t>
      </w:r>
    </w:p>
    <w:p w14:paraId="25BF027F" w14:textId="77777777" w:rsidR="009076F0" w:rsidRPr="00AE3C6F" w:rsidRDefault="009076F0" w:rsidP="00FF03DF">
      <w:pPr>
        <w:pStyle w:val="Heading2"/>
        <w:rPr>
          <w:rFonts w:ascii="Arial" w:hAnsi="Arial" w:cs="Arial"/>
          <w:b/>
          <w:bCs/>
          <w:color w:val="000000" w:themeColor="text1"/>
          <w:sz w:val="24"/>
          <w:szCs w:val="24"/>
        </w:rPr>
      </w:pPr>
      <w:bookmarkStart w:id="20" w:name="_Toc228563704"/>
      <w:r w:rsidRPr="00AE3C6F">
        <w:rPr>
          <w:rFonts w:ascii="Arial" w:hAnsi="Arial" w:cs="Arial"/>
          <w:b/>
          <w:bCs/>
          <w:color w:val="000000" w:themeColor="text1"/>
          <w:sz w:val="24"/>
          <w:szCs w:val="24"/>
        </w:rPr>
        <w:t>3.1 Introduction</w:t>
      </w:r>
      <w:bookmarkEnd w:id="20"/>
      <w:r w:rsidRPr="00AE3C6F">
        <w:rPr>
          <w:rFonts w:ascii="Arial" w:hAnsi="Arial" w:cs="Arial"/>
          <w:b/>
          <w:bCs/>
          <w:color w:val="000000" w:themeColor="text1"/>
          <w:sz w:val="24"/>
          <w:szCs w:val="24"/>
        </w:rPr>
        <w:t xml:space="preserve"> </w:t>
      </w:r>
    </w:p>
    <w:p w14:paraId="6467D5C5" w14:textId="5CFCA77D" w:rsidR="009C0E17" w:rsidRDefault="009076F0" w:rsidP="009076F0">
      <w:pPr>
        <w:jc w:val="both"/>
        <w:rPr>
          <w:rFonts w:ascii="Arial" w:hAnsi="Arial" w:cs="Arial"/>
        </w:rPr>
      </w:pPr>
      <w:r w:rsidRPr="00BD7517">
        <w:rPr>
          <w:rFonts w:ascii="Arial" w:hAnsi="Arial" w:cs="Arial"/>
        </w:rPr>
        <w:t xml:space="preserve">This chapter outlines the methodological framework used to investigate the relationship between employee engagement strategies and staff retention within the UK pharmaceutical logistics sector. Research methodology provides the foundation for explaining how a study is conducted and how its research questions are addressed </w:t>
      </w:r>
      <w:r w:rsidR="00E2343F">
        <w:rPr>
          <w:rFonts w:ascii="Arial" w:hAnsi="Arial" w:cs="Arial"/>
        </w:rPr>
        <w:t>systematically and credibly</w:t>
      </w:r>
      <w:r w:rsidRPr="00BD7517">
        <w:rPr>
          <w:rFonts w:ascii="Arial" w:hAnsi="Arial" w:cs="Arial"/>
        </w:rPr>
        <w:t xml:space="preserve"> (Bryman, 2016). Accordingly, this chapter explains and justifies the philosophical assumptions underpinning the research, the research design adopted, the research approach used, and the methods employed for data collection and analysis. It also discusses the ethical considerations </w:t>
      </w:r>
      <w:r w:rsidR="008C75E1">
        <w:rPr>
          <w:rFonts w:ascii="Arial" w:hAnsi="Arial" w:cs="Arial"/>
        </w:rPr>
        <w:t xml:space="preserve">and </w:t>
      </w:r>
      <w:r w:rsidR="00555A71">
        <w:rPr>
          <w:rFonts w:ascii="Arial" w:hAnsi="Arial" w:cs="Arial"/>
        </w:rPr>
        <w:t xml:space="preserve">methodological limitations </w:t>
      </w:r>
      <w:r w:rsidRPr="00BD7517">
        <w:rPr>
          <w:rFonts w:ascii="Arial" w:hAnsi="Arial" w:cs="Arial"/>
        </w:rPr>
        <w:t>guiding the research process. The methodological choices in this study are guided by the research aim of critically examining how employee engagement strategies are implemented and interpreted within organisations operating in highly regulated environments. Because employee engagement is influenced by organisational practices, managerial narratives, and employee experiences, the research adopts a qualitative</w:t>
      </w:r>
      <w:r w:rsidR="00E2343F">
        <w:rPr>
          <w:rFonts w:ascii="Arial" w:hAnsi="Arial" w:cs="Arial"/>
        </w:rPr>
        <w:t xml:space="preserve">, interpretivist approach to </w:t>
      </w:r>
      <w:r w:rsidR="008C7D0A">
        <w:rPr>
          <w:rFonts w:ascii="Arial" w:hAnsi="Arial" w:cs="Arial"/>
        </w:rPr>
        <w:t xml:space="preserve">explore these contextual dynamics in depth </w:t>
      </w:r>
      <w:r w:rsidRPr="00BD7517">
        <w:rPr>
          <w:rFonts w:ascii="Arial" w:hAnsi="Arial" w:cs="Arial"/>
        </w:rPr>
        <w:t xml:space="preserve">(Creswell, 2014; Bryman, 2016). To address the research objectives, the study employs a comparative case study design focusing on Movianto UK and DHL Supply Chain Healthcare. Case study research allows complex organisational phenomena to be examined within their real-life contexts, making it particularly appropriate for exploring management practices and workplace experiences (Yin, 2018). The research relies on qualitative secondary data sources, including organisational reports, industry publications, and employee review platforms such as Glassdoor and Indeed. These sources allow the study to examine both organisational representations of engagement and employee perspectives on workplace experiences. </w:t>
      </w:r>
    </w:p>
    <w:p w14:paraId="2BCF94D2" w14:textId="3387B96D" w:rsidR="009076F0" w:rsidRPr="00BD7517" w:rsidRDefault="009076F0" w:rsidP="009076F0">
      <w:pPr>
        <w:jc w:val="both"/>
        <w:rPr>
          <w:rFonts w:ascii="Arial" w:hAnsi="Arial" w:cs="Arial"/>
        </w:rPr>
      </w:pPr>
      <w:r w:rsidRPr="00BD7517">
        <w:rPr>
          <w:rFonts w:ascii="Arial" w:hAnsi="Arial" w:cs="Arial"/>
        </w:rPr>
        <w:t>The collected data are analysed using thematic analysis</w:t>
      </w:r>
      <w:r w:rsidR="00E2343F">
        <w:rPr>
          <w:rFonts w:ascii="Arial" w:hAnsi="Arial" w:cs="Arial"/>
        </w:rPr>
        <w:t>, following the framework proposed by Braun and Clarke (2006), which provides a systematic approach to identifying patterns and themes in</w:t>
      </w:r>
      <w:r w:rsidRPr="00BD7517">
        <w:rPr>
          <w:rFonts w:ascii="Arial" w:hAnsi="Arial" w:cs="Arial"/>
        </w:rPr>
        <w:t xml:space="preserve"> qualitative data. The following sections of this chapter justify the research philosophy adopted in the study, explain the research design and research approach, describe the data collection and analysis methods, and outline the ethical considerations </w:t>
      </w:r>
      <w:r w:rsidR="009335E2">
        <w:rPr>
          <w:rFonts w:ascii="Arial" w:hAnsi="Arial" w:cs="Arial"/>
        </w:rPr>
        <w:t xml:space="preserve">and methodological limitations </w:t>
      </w:r>
      <w:r w:rsidRPr="00BD7517">
        <w:rPr>
          <w:rFonts w:ascii="Arial" w:hAnsi="Arial" w:cs="Arial"/>
        </w:rPr>
        <w:t>that guided the research process.</w:t>
      </w:r>
    </w:p>
    <w:p w14:paraId="558CFCD7" w14:textId="77777777" w:rsidR="009076F0" w:rsidRPr="00AE3C6F" w:rsidRDefault="009076F0" w:rsidP="00FF03DF">
      <w:pPr>
        <w:pStyle w:val="Heading2"/>
        <w:rPr>
          <w:rFonts w:ascii="Arial" w:hAnsi="Arial" w:cs="Arial"/>
          <w:b/>
          <w:bCs/>
          <w:color w:val="000000" w:themeColor="text1"/>
          <w:sz w:val="24"/>
          <w:szCs w:val="24"/>
        </w:rPr>
      </w:pPr>
      <w:r w:rsidRPr="00AE3C6F">
        <w:rPr>
          <w:rFonts w:ascii="Arial" w:hAnsi="Arial" w:cs="Arial"/>
          <w:b/>
          <w:bCs/>
          <w:color w:val="000000" w:themeColor="text1"/>
          <w:sz w:val="24"/>
          <w:szCs w:val="24"/>
        </w:rPr>
        <w:t xml:space="preserve"> </w:t>
      </w:r>
      <w:bookmarkStart w:id="21" w:name="_Toc228563705"/>
      <w:r w:rsidRPr="00AE3C6F">
        <w:rPr>
          <w:rFonts w:ascii="Arial" w:hAnsi="Arial" w:cs="Arial"/>
          <w:b/>
          <w:bCs/>
          <w:color w:val="000000" w:themeColor="text1"/>
          <w:sz w:val="24"/>
          <w:szCs w:val="24"/>
        </w:rPr>
        <w:t>3.2 Research Philosophy and Assumptions</w:t>
      </w:r>
      <w:bookmarkEnd w:id="21"/>
      <w:r w:rsidRPr="00AE3C6F">
        <w:rPr>
          <w:rFonts w:ascii="Arial" w:hAnsi="Arial" w:cs="Arial"/>
          <w:b/>
          <w:bCs/>
          <w:color w:val="000000" w:themeColor="text1"/>
          <w:sz w:val="24"/>
          <w:szCs w:val="24"/>
        </w:rPr>
        <w:t xml:space="preserve"> </w:t>
      </w:r>
    </w:p>
    <w:p w14:paraId="40A97889" w14:textId="77777777" w:rsidR="00165D52" w:rsidRDefault="009076F0" w:rsidP="009076F0">
      <w:pPr>
        <w:jc w:val="both"/>
        <w:rPr>
          <w:rFonts w:ascii="Arial" w:hAnsi="Arial" w:cs="Arial"/>
        </w:rPr>
      </w:pPr>
      <w:r w:rsidRPr="00BD7517">
        <w:rPr>
          <w:rFonts w:ascii="Arial" w:hAnsi="Arial" w:cs="Arial"/>
        </w:rPr>
        <w:t xml:space="preserve">Research philosophy refers to the set of beliefs and assumptions that guide how knowledge is developed and interpreted within a study (Saunders, Lewis and Thornhill, 2019). It shapes the way researchers understand reality (ontology), how knowledge about that reality can be obtained (epistemology), and the role of values within the research process (axiology). Selecting an appropriate research philosophy is important because it influences the research design, data collection methods, and the interpretation of findings (Bryman, 2016). This study adopts an interpretivist research philosophy, which assumes that social phenomena are constructed through the meanings and interpretations individuals attach to their experiences (Creswell, 2014). Interpretivism contrasts with positivist approaches that seek objective measurement and causal relationships using quantitative methods. Instead, interpretivist research focuses on understanding the complexity of social realities and </w:t>
      </w:r>
      <w:r>
        <w:rPr>
          <w:rFonts w:ascii="Arial" w:hAnsi="Arial" w:cs="Arial"/>
        </w:rPr>
        <w:t>how</w:t>
      </w:r>
      <w:r w:rsidRPr="00BD7517">
        <w:rPr>
          <w:rFonts w:ascii="Arial" w:hAnsi="Arial" w:cs="Arial"/>
        </w:rPr>
        <w:t xml:space="preserve"> individuals perceive and interpret organisational practices (Bryman, 2016). </w:t>
      </w:r>
    </w:p>
    <w:p w14:paraId="2628249C" w14:textId="77777777" w:rsidR="009C0E17" w:rsidRDefault="009C0E17" w:rsidP="009076F0">
      <w:pPr>
        <w:jc w:val="both"/>
        <w:rPr>
          <w:rFonts w:ascii="Arial" w:hAnsi="Arial" w:cs="Arial"/>
        </w:rPr>
      </w:pPr>
    </w:p>
    <w:p w14:paraId="4F9E3F60" w14:textId="77777777" w:rsidR="009C0E17" w:rsidRDefault="009C0E17" w:rsidP="009076F0">
      <w:pPr>
        <w:jc w:val="both"/>
        <w:rPr>
          <w:rFonts w:ascii="Arial" w:hAnsi="Arial" w:cs="Arial"/>
        </w:rPr>
      </w:pPr>
    </w:p>
    <w:p w14:paraId="43339A15" w14:textId="77777777" w:rsidR="008C7D0A" w:rsidRDefault="008C7D0A" w:rsidP="009076F0">
      <w:pPr>
        <w:jc w:val="both"/>
        <w:rPr>
          <w:rFonts w:ascii="Arial" w:hAnsi="Arial" w:cs="Arial"/>
        </w:rPr>
      </w:pPr>
    </w:p>
    <w:p w14:paraId="20DD9AE6" w14:textId="4B0602E2" w:rsidR="009076F0" w:rsidRDefault="009076F0" w:rsidP="009076F0">
      <w:pPr>
        <w:jc w:val="both"/>
        <w:rPr>
          <w:rFonts w:ascii="Arial" w:hAnsi="Arial" w:cs="Arial"/>
        </w:rPr>
      </w:pPr>
      <w:r w:rsidRPr="00BD7517">
        <w:rPr>
          <w:rFonts w:ascii="Arial" w:hAnsi="Arial" w:cs="Arial"/>
        </w:rPr>
        <w:t>The interpretivist philosophy is particularly appropriate for this study because employee engagement is not a purely objective or measurable concept. Rather, it is shaped by organisational culture, managerial practices, and employee perceptions of their work environment. Engagement strategies may therefore be interpreted differently by organisations and employees, depending on the structural conditions and workplace experiences within specific contexts.</w:t>
      </w:r>
    </w:p>
    <w:p w14:paraId="1A013B0D" w14:textId="78E1517A" w:rsidR="009C0E17" w:rsidRDefault="009076F0" w:rsidP="009076F0">
      <w:pPr>
        <w:jc w:val="both"/>
        <w:rPr>
          <w:rFonts w:ascii="Arial" w:hAnsi="Arial" w:cs="Arial"/>
        </w:rPr>
      </w:pPr>
      <w:r w:rsidRPr="00BD7517">
        <w:rPr>
          <w:rFonts w:ascii="Arial" w:hAnsi="Arial" w:cs="Arial"/>
        </w:rPr>
        <w:t xml:space="preserve"> In the UK pharmaceutical logistics sector, employee engagement operates within a complex organisational environment characterised by strict regulatory requirements, operational pressures, and managerial control. Understanding how engagement strategies are framed and experienced within such environments requires an approach that recognises the socially constructed nature of organisational practices. </w:t>
      </w:r>
    </w:p>
    <w:p w14:paraId="1CCC9D4F" w14:textId="3AE70243" w:rsidR="009076F0" w:rsidRPr="00BD7517" w:rsidRDefault="009076F0" w:rsidP="009076F0">
      <w:pPr>
        <w:jc w:val="both"/>
        <w:rPr>
          <w:rFonts w:ascii="Arial" w:hAnsi="Arial" w:cs="Arial"/>
        </w:rPr>
      </w:pPr>
      <w:r w:rsidRPr="00BD7517">
        <w:rPr>
          <w:rFonts w:ascii="Arial" w:hAnsi="Arial" w:cs="Arial"/>
        </w:rPr>
        <w:t>An interpretivist perspective</w:t>
      </w:r>
      <w:r>
        <w:rPr>
          <w:rFonts w:ascii="Arial" w:hAnsi="Arial" w:cs="Arial"/>
        </w:rPr>
        <w:t>,</w:t>
      </w:r>
      <w:r w:rsidRPr="00BD7517">
        <w:rPr>
          <w:rFonts w:ascii="Arial" w:hAnsi="Arial" w:cs="Arial"/>
        </w:rPr>
        <w:t xml:space="preserve"> therefore</w:t>
      </w:r>
      <w:r>
        <w:rPr>
          <w:rFonts w:ascii="Arial" w:hAnsi="Arial" w:cs="Arial"/>
        </w:rPr>
        <w:t>,</w:t>
      </w:r>
      <w:r w:rsidRPr="00BD7517">
        <w:rPr>
          <w:rFonts w:ascii="Arial" w:hAnsi="Arial" w:cs="Arial"/>
        </w:rPr>
        <w:t xml:space="preserve"> allows the research to explore how engagement is represented in organisational discourse and how it relates to employee experiences of work and retention. From an ontological perspective, this research </w:t>
      </w:r>
      <w:r w:rsidR="00EC03AA">
        <w:rPr>
          <w:rFonts w:ascii="Arial" w:hAnsi="Arial" w:cs="Arial"/>
        </w:rPr>
        <w:t>adopts a constructivist view of social reality, whereby</w:t>
      </w:r>
      <w:r w:rsidRPr="00BD7517">
        <w:rPr>
          <w:rFonts w:ascii="Arial" w:hAnsi="Arial" w:cs="Arial"/>
        </w:rPr>
        <w:t xml:space="preserve"> organisational practices such as engagement are shaped by social interactions, organisational structures, and workplace relationships (Saunders, Lewis </w:t>
      </w:r>
      <w:r w:rsidR="00AC42E4">
        <w:rPr>
          <w:rFonts w:ascii="Arial" w:hAnsi="Arial" w:cs="Arial"/>
        </w:rPr>
        <w:t>&amp;</w:t>
      </w:r>
      <w:r w:rsidRPr="00BD7517">
        <w:rPr>
          <w:rFonts w:ascii="Arial" w:hAnsi="Arial" w:cs="Arial"/>
        </w:rPr>
        <w:t xml:space="preserve"> Thornhill, 2019). Epistemologically, the study assumes that knowledge about these phenomena can be developed through interpreting qualitative data derived from organisational documents, industry reports, and employee accounts. This approach enables the researcher to explore the meanings and interpretations attached to engagement practices rather than treating them as purely measurable variables. Overall, the interpretivist research philosophy provides an appropriate foundation for this study because it supports the exploration of employee engagement as a socially constructed organisational practice shaped by managerial strategies, regulatory structures, and employee experiences. This philosophical stance aligns with the study’s qualitative research design and supports the critical examination of engagement and staff retention within pharmaceutical logistics organisations. </w:t>
      </w:r>
    </w:p>
    <w:p w14:paraId="70BBAFB8" w14:textId="77777777" w:rsidR="009076F0" w:rsidRPr="00AE3C6F" w:rsidRDefault="009076F0" w:rsidP="00FF03DF">
      <w:pPr>
        <w:pStyle w:val="Heading2"/>
        <w:rPr>
          <w:rFonts w:ascii="Arial" w:hAnsi="Arial" w:cs="Arial"/>
          <w:b/>
          <w:bCs/>
          <w:color w:val="000000" w:themeColor="text1"/>
          <w:sz w:val="24"/>
          <w:szCs w:val="24"/>
        </w:rPr>
      </w:pPr>
      <w:bookmarkStart w:id="22" w:name="_Toc228563706"/>
      <w:r w:rsidRPr="00AE3C6F">
        <w:rPr>
          <w:rFonts w:ascii="Arial" w:hAnsi="Arial" w:cs="Arial"/>
          <w:b/>
          <w:bCs/>
          <w:color w:val="000000" w:themeColor="text1"/>
          <w:sz w:val="24"/>
          <w:szCs w:val="24"/>
        </w:rPr>
        <w:t>3.3 Research Design</w:t>
      </w:r>
      <w:bookmarkEnd w:id="22"/>
      <w:r w:rsidRPr="00AE3C6F">
        <w:rPr>
          <w:rFonts w:ascii="Arial" w:hAnsi="Arial" w:cs="Arial"/>
          <w:b/>
          <w:bCs/>
          <w:color w:val="000000" w:themeColor="text1"/>
          <w:sz w:val="24"/>
          <w:szCs w:val="24"/>
        </w:rPr>
        <w:t xml:space="preserve"> </w:t>
      </w:r>
    </w:p>
    <w:p w14:paraId="662DA0D0" w14:textId="0EF34E70" w:rsidR="009C0E17" w:rsidRDefault="009076F0" w:rsidP="009076F0">
      <w:pPr>
        <w:jc w:val="both"/>
        <w:rPr>
          <w:rFonts w:ascii="Arial" w:hAnsi="Arial" w:cs="Arial"/>
        </w:rPr>
      </w:pPr>
      <w:r w:rsidRPr="00BD7517">
        <w:rPr>
          <w:rFonts w:ascii="Arial" w:hAnsi="Arial" w:cs="Arial"/>
        </w:rPr>
        <w:t xml:space="preserve">Research design refers to the plan or framework that guides how a research study is conducted to answer its research questions </w:t>
      </w:r>
      <w:r w:rsidR="00E2343F">
        <w:rPr>
          <w:rFonts w:ascii="Arial" w:hAnsi="Arial" w:cs="Arial"/>
        </w:rPr>
        <w:t>systematically and coherently</w:t>
      </w:r>
      <w:r w:rsidRPr="00BD7517">
        <w:rPr>
          <w:rFonts w:ascii="Arial" w:hAnsi="Arial" w:cs="Arial"/>
        </w:rPr>
        <w:t xml:space="preserve"> (Bryman, 2016). It provides the structure for collecting, analysing, and interpreting data</w:t>
      </w:r>
      <w:r w:rsidR="00EC03AA">
        <w:rPr>
          <w:rFonts w:ascii="Arial" w:hAnsi="Arial" w:cs="Arial"/>
        </w:rPr>
        <w:t xml:space="preserve">, while ensuring that the chosen methods align with the study's research objectives and philosophical assumptions </w:t>
      </w:r>
      <w:r w:rsidRPr="00BD7517">
        <w:rPr>
          <w:rFonts w:ascii="Arial" w:hAnsi="Arial" w:cs="Arial"/>
        </w:rPr>
        <w:t xml:space="preserve">(Saunders, Lewis and Thornhill, 2019). This study adopts a qualitative research design, which is appropriate for exploring complex organisational phenomena and understanding how individuals interpret social realities within specific contexts (Creswell, 2014). Unlike quantitative research, which focuses on measurement and statistical analysis, qualitative research aims to develop a deeper understanding of meanings, experiences, and organisational processes. Given that employee engagement involves perceptions, interpretations, and organisational narratives, a qualitative design allows the study to explore how engagement strategies are framed and experienced within organisational environments. Within this qualitative framework, the research employs a comparative case study design focusing on two organisations operating in the UK pharmaceutical logistics sector: Movianto UK and DHL Supply Chain Healthcare. </w:t>
      </w:r>
    </w:p>
    <w:p w14:paraId="490BB8BD" w14:textId="77777777" w:rsidR="00AE3C6F" w:rsidRDefault="00AE3C6F" w:rsidP="009076F0">
      <w:pPr>
        <w:jc w:val="both"/>
        <w:rPr>
          <w:rFonts w:ascii="Arial" w:hAnsi="Arial" w:cs="Arial"/>
        </w:rPr>
      </w:pPr>
    </w:p>
    <w:p w14:paraId="5EB9B365" w14:textId="77777777" w:rsidR="00AE3C6F" w:rsidRDefault="00AE3C6F" w:rsidP="009076F0">
      <w:pPr>
        <w:jc w:val="both"/>
        <w:rPr>
          <w:rFonts w:ascii="Arial" w:hAnsi="Arial" w:cs="Arial"/>
        </w:rPr>
      </w:pPr>
    </w:p>
    <w:p w14:paraId="32A6AE90" w14:textId="13DB7BEB" w:rsidR="00165D52" w:rsidRDefault="009076F0" w:rsidP="009076F0">
      <w:pPr>
        <w:jc w:val="both"/>
        <w:rPr>
          <w:rFonts w:ascii="Arial" w:hAnsi="Arial" w:cs="Arial"/>
        </w:rPr>
      </w:pPr>
      <w:r w:rsidRPr="00BD7517">
        <w:rPr>
          <w:rFonts w:ascii="Arial" w:hAnsi="Arial" w:cs="Arial"/>
        </w:rPr>
        <w:lastRenderedPageBreak/>
        <w:t>Case study research enables the detailed investigation of contemporary organisational phenomena within their real-life contexts (Yin, 2018). This approach is particularly suitable when the boundaries between a phenomenon and its context are not clearly defined, as is the case with employee engagement, which is influenced by organisational structures, management practices, and workplace conditions.</w:t>
      </w:r>
    </w:p>
    <w:p w14:paraId="1B351987" w14:textId="646ACB74" w:rsidR="009076F0" w:rsidRDefault="009076F0" w:rsidP="009076F0">
      <w:pPr>
        <w:jc w:val="both"/>
        <w:rPr>
          <w:rFonts w:ascii="Arial" w:hAnsi="Arial" w:cs="Arial"/>
        </w:rPr>
      </w:pPr>
      <w:r w:rsidRPr="00BD7517">
        <w:rPr>
          <w:rFonts w:ascii="Arial" w:hAnsi="Arial" w:cs="Arial"/>
        </w:rPr>
        <w:t xml:space="preserve"> The comparative element of the design strengthens the research by </w:t>
      </w:r>
      <w:r w:rsidR="00E2343F">
        <w:rPr>
          <w:rFonts w:ascii="Arial" w:hAnsi="Arial" w:cs="Arial"/>
        </w:rPr>
        <w:t>enabling the identification and analysis of similarities and differences between the two organisations</w:t>
      </w:r>
      <w:r w:rsidRPr="00BD7517">
        <w:rPr>
          <w:rFonts w:ascii="Arial" w:hAnsi="Arial" w:cs="Arial"/>
        </w:rPr>
        <w:t>. Although both organisations operate under similar regulatory frameworks, they differ in organisational structure, management practices, and operational scale. Comparing these organisations</w:t>
      </w:r>
      <w:r>
        <w:rPr>
          <w:rFonts w:ascii="Arial" w:hAnsi="Arial" w:cs="Arial"/>
        </w:rPr>
        <w:t>,</w:t>
      </w:r>
      <w:r w:rsidRPr="00BD7517">
        <w:rPr>
          <w:rFonts w:ascii="Arial" w:hAnsi="Arial" w:cs="Arial"/>
        </w:rPr>
        <w:t xml:space="preserve"> therefore</w:t>
      </w:r>
      <w:r>
        <w:rPr>
          <w:rFonts w:ascii="Arial" w:hAnsi="Arial" w:cs="Arial"/>
        </w:rPr>
        <w:t>,</w:t>
      </w:r>
      <w:r w:rsidRPr="00BD7517">
        <w:rPr>
          <w:rFonts w:ascii="Arial" w:hAnsi="Arial" w:cs="Arial"/>
        </w:rPr>
        <w:t xml:space="preserve"> allows the study to explore how engagement strategies may operate differently even within comparable regulatory environments. </w:t>
      </w:r>
    </w:p>
    <w:p w14:paraId="6B5125BE" w14:textId="700C17AD" w:rsidR="009076F0" w:rsidRPr="00BD7517" w:rsidRDefault="009076F0" w:rsidP="009076F0">
      <w:pPr>
        <w:jc w:val="both"/>
        <w:rPr>
          <w:rFonts w:ascii="Arial" w:hAnsi="Arial" w:cs="Arial"/>
        </w:rPr>
      </w:pPr>
      <w:r w:rsidRPr="00BD7517">
        <w:rPr>
          <w:rFonts w:ascii="Arial" w:hAnsi="Arial" w:cs="Arial"/>
        </w:rPr>
        <w:t xml:space="preserve">This research design is therefore justified because it enables an in-depth and context-sensitive examination of employee engagement and staff retention within pharmaceutical logistics organisations. By analysing two comparable organisational cases, the study can explore how engagement strategies are implemented, interpreted, and experienced within real organisational settings while also identifying patterns and contrasts between the cases. Overall, the qualitative comparative case study design aligns with the </w:t>
      </w:r>
      <w:r w:rsidR="00E2343F">
        <w:rPr>
          <w:rFonts w:ascii="Arial" w:hAnsi="Arial" w:cs="Arial"/>
        </w:rPr>
        <w:t xml:space="preserve">research's interpretivist philosophy </w:t>
      </w:r>
      <w:r w:rsidRPr="00BD7517">
        <w:rPr>
          <w:rFonts w:ascii="Arial" w:hAnsi="Arial" w:cs="Arial"/>
        </w:rPr>
        <w:t>and supports the study’s aim of critically examining how employee engagement strategies interact with structural workplace conditions to influence staff retention.</w:t>
      </w:r>
    </w:p>
    <w:p w14:paraId="2321ECA0" w14:textId="77777777" w:rsidR="009076F0" w:rsidRPr="00AE3C6F" w:rsidRDefault="009076F0" w:rsidP="00FF03DF">
      <w:pPr>
        <w:pStyle w:val="Heading2"/>
        <w:rPr>
          <w:rFonts w:ascii="Arial" w:hAnsi="Arial" w:cs="Arial"/>
          <w:b/>
          <w:bCs/>
          <w:sz w:val="24"/>
          <w:szCs w:val="24"/>
        </w:rPr>
      </w:pPr>
      <w:r w:rsidRPr="008C7D0A">
        <w:t xml:space="preserve"> </w:t>
      </w:r>
      <w:bookmarkStart w:id="23" w:name="_Toc228563707"/>
      <w:r w:rsidRPr="00AE3C6F">
        <w:rPr>
          <w:rFonts w:ascii="Arial" w:hAnsi="Arial" w:cs="Arial"/>
          <w:b/>
          <w:bCs/>
          <w:color w:val="000000" w:themeColor="text1"/>
          <w:sz w:val="24"/>
          <w:szCs w:val="24"/>
        </w:rPr>
        <w:t>3.4 Research Approach</w:t>
      </w:r>
      <w:bookmarkEnd w:id="23"/>
    </w:p>
    <w:p w14:paraId="7427E8F3" w14:textId="2706504F" w:rsidR="00165D52" w:rsidRDefault="009076F0" w:rsidP="009076F0">
      <w:pPr>
        <w:jc w:val="both"/>
        <w:rPr>
          <w:rFonts w:ascii="Arial" w:hAnsi="Arial" w:cs="Arial"/>
        </w:rPr>
      </w:pPr>
      <w:r w:rsidRPr="00BD7517">
        <w:rPr>
          <w:rFonts w:ascii="Arial" w:hAnsi="Arial" w:cs="Arial"/>
        </w:rPr>
        <w:t xml:space="preserve">Research approach refers to the logical reasoning process used to link theory with empirical data to generate knowledge (Saunders, Lewis </w:t>
      </w:r>
      <w:r w:rsidR="00AC42E4">
        <w:rPr>
          <w:rFonts w:ascii="Arial" w:hAnsi="Arial" w:cs="Arial"/>
        </w:rPr>
        <w:t>&amp;</w:t>
      </w:r>
      <w:r w:rsidRPr="00BD7517">
        <w:rPr>
          <w:rFonts w:ascii="Arial" w:hAnsi="Arial" w:cs="Arial"/>
        </w:rPr>
        <w:t xml:space="preserve"> Thornhill, 2019). In social research, two primary approaches are commonly identified: deductive and inductive reasoning. A deductive approach typically begins with existing theory and develops hypotheses that are then tested through empirical data, often using quantitative methods. In contrast, an inductive approach starts with observations or data and develops patterns, themes, or theoretical insights from the analysis (Bryman, 2016). This study adopts an inductive research approach, </w:t>
      </w:r>
      <w:r w:rsidR="00E2343F">
        <w:rPr>
          <w:rFonts w:ascii="Arial" w:hAnsi="Arial" w:cs="Arial"/>
        </w:rPr>
        <w:t xml:space="preserve">consistent with the interpretivist philosophical position and a </w:t>
      </w:r>
      <w:r w:rsidRPr="00BD7517">
        <w:rPr>
          <w:rFonts w:ascii="Arial" w:hAnsi="Arial" w:cs="Arial"/>
        </w:rPr>
        <w:t xml:space="preserve">qualitative research design. The inductive approach allows the researcher to explore how employee engagement strategies are represented and interpreted within organisational contexts without imposing predetermined hypotheses. Instead, themes and patterns emerge from the analysis of qualitative data sources (Creswell, 2014). </w:t>
      </w:r>
    </w:p>
    <w:p w14:paraId="1D510E84" w14:textId="29DFD2D5" w:rsidR="00165D52" w:rsidRDefault="009076F0" w:rsidP="009076F0">
      <w:pPr>
        <w:jc w:val="both"/>
        <w:rPr>
          <w:rFonts w:ascii="Arial" w:hAnsi="Arial" w:cs="Arial"/>
        </w:rPr>
      </w:pPr>
      <w:r w:rsidRPr="00BD7517">
        <w:rPr>
          <w:rFonts w:ascii="Arial" w:hAnsi="Arial" w:cs="Arial"/>
        </w:rPr>
        <w:t>The use of an inductive approach is particularly appropriate for this research</w:t>
      </w:r>
      <w:r w:rsidR="00E2343F">
        <w:rPr>
          <w:rFonts w:ascii="Arial" w:hAnsi="Arial" w:cs="Arial"/>
        </w:rPr>
        <w:t>, as it seeks to understand the complex relationship between employee engagement strategies and staff retention in</w:t>
      </w:r>
      <w:r w:rsidRPr="00BD7517">
        <w:rPr>
          <w:rFonts w:ascii="Arial" w:hAnsi="Arial" w:cs="Arial"/>
        </w:rPr>
        <w:t xml:space="preserve"> the UK pharmaceutical logistics sector. Engagement practices are shaped by organisational structures, management practices, and employee experiences, meaning </w:t>
      </w:r>
      <w:r w:rsidR="00E2343F">
        <w:rPr>
          <w:rFonts w:ascii="Arial" w:hAnsi="Arial" w:cs="Arial"/>
        </w:rPr>
        <w:t xml:space="preserve">the phenomenon cannot be easily </w:t>
      </w:r>
      <w:r w:rsidRPr="00BD7517">
        <w:rPr>
          <w:rFonts w:ascii="Arial" w:hAnsi="Arial" w:cs="Arial"/>
        </w:rPr>
        <w:t xml:space="preserve">reduced to measurable variables or simple cause-and-effect relationships. </w:t>
      </w:r>
    </w:p>
    <w:p w14:paraId="6ADFDC40" w14:textId="77777777" w:rsidR="00003CFC" w:rsidRDefault="009076F0" w:rsidP="009076F0">
      <w:pPr>
        <w:jc w:val="both"/>
        <w:rPr>
          <w:rFonts w:ascii="Arial" w:hAnsi="Arial" w:cs="Arial"/>
        </w:rPr>
      </w:pPr>
      <w:r w:rsidRPr="00BD7517">
        <w:rPr>
          <w:rFonts w:ascii="Arial" w:hAnsi="Arial" w:cs="Arial"/>
        </w:rPr>
        <w:t>An inductive approach</w:t>
      </w:r>
      <w:r>
        <w:rPr>
          <w:rFonts w:ascii="Arial" w:hAnsi="Arial" w:cs="Arial"/>
        </w:rPr>
        <w:t>,</w:t>
      </w:r>
      <w:r w:rsidRPr="00BD7517">
        <w:rPr>
          <w:rFonts w:ascii="Arial" w:hAnsi="Arial" w:cs="Arial"/>
        </w:rPr>
        <w:t xml:space="preserve"> therefore</w:t>
      </w:r>
      <w:r>
        <w:rPr>
          <w:rFonts w:ascii="Arial" w:hAnsi="Arial" w:cs="Arial"/>
        </w:rPr>
        <w:t>,</w:t>
      </w:r>
      <w:r w:rsidRPr="00BD7517">
        <w:rPr>
          <w:rFonts w:ascii="Arial" w:hAnsi="Arial" w:cs="Arial"/>
        </w:rPr>
        <w:t xml:space="preserve"> enables the researcher to explore how these factors interact within specific organisational contexts. Furthermore, the inductive approach supports the study’s critical analytical perspective, which </w:t>
      </w:r>
      <w:r w:rsidR="00E2343F">
        <w:rPr>
          <w:rFonts w:ascii="Arial" w:hAnsi="Arial" w:cs="Arial"/>
        </w:rPr>
        <w:t>examines how engagement strategies operate within broader structural conditions, including</w:t>
      </w:r>
      <w:r w:rsidRPr="00BD7517">
        <w:rPr>
          <w:rFonts w:ascii="Arial" w:hAnsi="Arial" w:cs="Arial"/>
        </w:rPr>
        <w:t xml:space="preserve"> regulatory requirements, performance monitoring, and work intensity. By allowing interpretations to emerge from the data, the research can identify patterns, tensions, and contradictions between organisational narratives of engagement and employee-reported experiences. </w:t>
      </w:r>
    </w:p>
    <w:p w14:paraId="1CC22F5C" w14:textId="77777777" w:rsidR="00003CFC" w:rsidRDefault="00003CFC" w:rsidP="009076F0">
      <w:pPr>
        <w:jc w:val="both"/>
        <w:rPr>
          <w:rFonts w:ascii="Arial" w:hAnsi="Arial" w:cs="Arial"/>
        </w:rPr>
      </w:pPr>
    </w:p>
    <w:p w14:paraId="677F80AD" w14:textId="13DAC8C9" w:rsidR="009076F0" w:rsidRDefault="00003CFC" w:rsidP="009076F0">
      <w:pPr>
        <w:jc w:val="both"/>
        <w:rPr>
          <w:rFonts w:ascii="Arial" w:hAnsi="Arial" w:cs="Arial"/>
        </w:rPr>
      </w:pPr>
      <w:r>
        <w:rPr>
          <w:rFonts w:ascii="Arial" w:hAnsi="Arial" w:cs="Arial"/>
        </w:rPr>
        <w:lastRenderedPageBreak/>
        <w:t>T</w:t>
      </w:r>
      <w:r w:rsidR="009076F0" w:rsidRPr="00BD7517">
        <w:rPr>
          <w:rFonts w:ascii="Arial" w:hAnsi="Arial" w:cs="Arial"/>
        </w:rPr>
        <w:t>he inductive research approach is justified because it enables a flexible and exploratory investigation of employee engagement and staff retention within complex organisational environments. This approach aligns with the interpretivist research philosophy, the qualitative research design, and the use of thematic analysis for interpreting the collected data.</w:t>
      </w:r>
    </w:p>
    <w:p w14:paraId="581DD7BC" w14:textId="77777777" w:rsidR="00C6228C" w:rsidRPr="00BD7517" w:rsidRDefault="00C6228C" w:rsidP="009076F0">
      <w:pPr>
        <w:jc w:val="both"/>
        <w:rPr>
          <w:rFonts w:ascii="Arial" w:hAnsi="Arial" w:cs="Arial"/>
        </w:rPr>
      </w:pPr>
    </w:p>
    <w:p w14:paraId="38165C8C" w14:textId="6C00AD27" w:rsidR="005139FE" w:rsidRPr="00003CFC" w:rsidRDefault="009076F0" w:rsidP="00FF03DF">
      <w:pPr>
        <w:pStyle w:val="Heading2"/>
        <w:rPr>
          <w:rFonts w:ascii="Arial" w:hAnsi="Arial" w:cs="Arial"/>
          <w:b/>
          <w:bCs/>
          <w:color w:val="000000" w:themeColor="text1"/>
          <w:sz w:val="24"/>
          <w:szCs w:val="24"/>
        </w:rPr>
      </w:pPr>
      <w:r w:rsidRPr="00003CFC">
        <w:rPr>
          <w:rFonts w:ascii="Arial" w:hAnsi="Arial" w:cs="Arial"/>
          <w:b/>
          <w:bCs/>
          <w:color w:val="000000" w:themeColor="text1"/>
          <w:sz w:val="24"/>
          <w:szCs w:val="24"/>
        </w:rPr>
        <w:t xml:space="preserve"> </w:t>
      </w:r>
      <w:bookmarkStart w:id="24" w:name="_Toc228563708"/>
      <w:r w:rsidRPr="00003CFC">
        <w:rPr>
          <w:rFonts w:ascii="Arial" w:hAnsi="Arial" w:cs="Arial"/>
          <w:b/>
          <w:bCs/>
          <w:color w:val="000000" w:themeColor="text1"/>
          <w:sz w:val="24"/>
          <w:szCs w:val="24"/>
        </w:rPr>
        <w:t>3.5 Data Collection Methods</w:t>
      </w:r>
      <w:bookmarkEnd w:id="24"/>
      <w:r w:rsidRPr="00003CFC">
        <w:rPr>
          <w:rFonts w:ascii="Arial" w:hAnsi="Arial" w:cs="Arial"/>
          <w:b/>
          <w:bCs/>
          <w:color w:val="000000" w:themeColor="text1"/>
          <w:sz w:val="24"/>
          <w:szCs w:val="24"/>
        </w:rPr>
        <w:t xml:space="preserve"> </w:t>
      </w:r>
    </w:p>
    <w:p w14:paraId="4CE94113" w14:textId="77777777" w:rsidR="005139FE" w:rsidRPr="00A50854" w:rsidRDefault="005139FE" w:rsidP="00F5567A">
      <w:pPr>
        <w:jc w:val="both"/>
        <w:rPr>
          <w:rFonts w:ascii="Arial" w:hAnsi="Arial" w:cs="Arial"/>
        </w:rPr>
      </w:pPr>
      <w:r w:rsidRPr="00A50854">
        <w:rPr>
          <w:rFonts w:ascii="Arial" w:hAnsi="Arial" w:cs="Arial"/>
        </w:rPr>
        <w:t>This study adopts a qualitative secondary data collection strategy to investigate employee engagement strategies and staff retention within the UK pharmaceutical logistics sector. Secondary data refers to data that have been previously collected for purposes other than the current research but are re-analysed to address new research questions (Johnston, 2017). The use of secondary data is particularly appropriate for this study as it allows access to a wide range of organisational and employee perspectives without directly intervening in the research setting. The data were collected from multiple sources to ensure breadth, depth, and credibility. These sources include: Organisational documents, such as annual reports, corporate communications, and policy statements from Movianto UK and DHL Supply Chain Healthcare Industry and professional reports, including publications from bodies such as the Chartered Institute of Personnel and Development (CIPD) and the Medicines and Healthcare products Regulatory Agency (MHRA) Academic literature, including peer-reviewed journal articles and books on employee engagement, staff retention, and human resource management Employee-generated content, particularly online reviews from platforms such as Glassdoor and Indeed The inclusion of both organisational and employee-generated sources is intentional and reflects the interpretivist aim of capturing multiple perspectives.</w:t>
      </w:r>
    </w:p>
    <w:p w14:paraId="2B72440E" w14:textId="63671434" w:rsidR="005139FE" w:rsidRPr="00A50854" w:rsidRDefault="005139FE" w:rsidP="00F5567A">
      <w:pPr>
        <w:jc w:val="both"/>
        <w:rPr>
          <w:rFonts w:ascii="Arial" w:hAnsi="Arial" w:cs="Arial"/>
        </w:rPr>
      </w:pPr>
      <w:r w:rsidRPr="00A50854">
        <w:rPr>
          <w:rFonts w:ascii="Arial" w:hAnsi="Arial" w:cs="Arial"/>
        </w:rPr>
        <w:t xml:space="preserve"> Organisational documents typically present engagement strategies in a formalised and often positive manner, reflecting managerial intentions and corporate narratives. In contrast, employee reviews provide insight into how these strategies are experienced in practice, often revealing discrepancies between organisational rhetoric and lived experience (Creswell, 2014; Bryman, 2016). To enhance the credibility and validity of the data, this study employs data triangulation, which involves comparing information from different sources to identify patterns and inconsistencies (Bryman, 2016). For example, engagement initiatives described in company reports were compared with employee feedback to assess whether </w:t>
      </w:r>
      <w:r w:rsidR="00E2343F">
        <w:rPr>
          <w:rFonts w:ascii="Arial" w:hAnsi="Arial" w:cs="Arial"/>
        </w:rPr>
        <w:t>they were</w:t>
      </w:r>
      <w:r w:rsidRPr="00A50854">
        <w:rPr>
          <w:rFonts w:ascii="Arial" w:hAnsi="Arial" w:cs="Arial"/>
        </w:rPr>
        <w:t xml:space="preserve"> perceived as meaningful or merely symbolic.</w:t>
      </w:r>
    </w:p>
    <w:p w14:paraId="59A991DE" w14:textId="2869A510" w:rsidR="005139FE" w:rsidRPr="00A50854" w:rsidRDefault="005139FE" w:rsidP="00F5567A">
      <w:pPr>
        <w:jc w:val="both"/>
        <w:rPr>
          <w:rFonts w:ascii="Arial" w:hAnsi="Arial" w:cs="Arial"/>
        </w:rPr>
      </w:pPr>
      <w:r w:rsidRPr="00A50854">
        <w:rPr>
          <w:rFonts w:ascii="Arial" w:hAnsi="Arial" w:cs="Arial"/>
        </w:rPr>
        <w:t xml:space="preserve"> </w:t>
      </w:r>
      <w:r w:rsidR="00EC03AA">
        <w:rPr>
          <w:rFonts w:ascii="Arial" w:hAnsi="Arial" w:cs="Arial"/>
        </w:rPr>
        <w:t>Several criteria, including relevance, credibility, and recency, guided the selection of data sources</w:t>
      </w:r>
      <w:r w:rsidRPr="00A50854">
        <w:rPr>
          <w:rFonts w:ascii="Arial" w:hAnsi="Arial" w:cs="Arial"/>
        </w:rPr>
        <w:t xml:space="preserve">. Priority was given to peer-reviewed academic literature and reputable institutional reports to ensure theoretical rigour. Similarly, employee review data were selected based on their relevance to the organisations studied and their ability to provide insight into engagement and retention experiences. However, the use of secondary data also presents certain limitations. Since the data were not originally collected for research purposes, they may reflect organisational bias or individual subjectivity (Johnston, 2017). For instance, company documents may emphasise positive aspects of engagement strategies, while </w:t>
      </w:r>
      <w:r w:rsidR="00EC03AA">
        <w:rPr>
          <w:rFonts w:ascii="Arial" w:hAnsi="Arial" w:cs="Arial"/>
        </w:rPr>
        <w:t>extreme experiences may disproportionately influence employee reviews</w:t>
      </w:r>
      <w:r w:rsidRPr="00A50854">
        <w:rPr>
          <w:rFonts w:ascii="Arial" w:hAnsi="Arial" w:cs="Arial"/>
        </w:rPr>
        <w:t>. To mitigate these issues, the study integrates multiple data sources and adopts a critical analytical perspective.</w:t>
      </w:r>
      <w:r w:rsidR="00DB3174">
        <w:rPr>
          <w:rFonts w:ascii="Arial" w:hAnsi="Arial" w:cs="Arial"/>
        </w:rPr>
        <w:t>T</w:t>
      </w:r>
      <w:r w:rsidRPr="00A50854">
        <w:rPr>
          <w:rFonts w:ascii="Arial" w:hAnsi="Arial" w:cs="Arial"/>
        </w:rPr>
        <w:t>he use of qualitative secondary data is appropriate for this research as it enables a context-rich, non-intrusive, and critically informed exploration of employee engagement and staff retention within a highly regulated and operationally complex sector.</w:t>
      </w:r>
    </w:p>
    <w:p w14:paraId="594DE81C" w14:textId="77777777" w:rsidR="005139FE" w:rsidRPr="00A50854" w:rsidRDefault="005139FE" w:rsidP="00F5567A">
      <w:pPr>
        <w:jc w:val="both"/>
        <w:rPr>
          <w:rFonts w:ascii="Arial" w:hAnsi="Arial" w:cs="Arial"/>
        </w:rPr>
      </w:pPr>
    </w:p>
    <w:p w14:paraId="7DC34E93" w14:textId="77777777" w:rsidR="00C6228C" w:rsidRPr="00AA0954" w:rsidRDefault="00C6228C" w:rsidP="00C6228C">
      <w:pPr>
        <w:jc w:val="both"/>
        <w:rPr>
          <w:rFonts w:ascii="Arial" w:hAnsi="Arial" w:cs="Arial"/>
        </w:rPr>
      </w:pPr>
    </w:p>
    <w:p w14:paraId="4CF1E181" w14:textId="2A2448E3" w:rsidR="005139FE" w:rsidRPr="00003CFC" w:rsidRDefault="005139FE" w:rsidP="00FF03DF">
      <w:pPr>
        <w:pStyle w:val="Heading2"/>
        <w:rPr>
          <w:rFonts w:ascii="Arial" w:hAnsi="Arial" w:cs="Arial"/>
          <w:b/>
          <w:bCs/>
          <w:color w:val="000000" w:themeColor="text1"/>
          <w:sz w:val="24"/>
          <w:szCs w:val="24"/>
        </w:rPr>
      </w:pPr>
      <w:bookmarkStart w:id="25" w:name="_Toc228563709"/>
      <w:r w:rsidRPr="00003CFC">
        <w:rPr>
          <w:rFonts w:ascii="Arial" w:hAnsi="Arial" w:cs="Arial"/>
          <w:b/>
          <w:bCs/>
          <w:color w:val="000000" w:themeColor="text1"/>
          <w:sz w:val="24"/>
          <w:szCs w:val="24"/>
        </w:rPr>
        <w:lastRenderedPageBreak/>
        <w:t>3.6 Data Analysis</w:t>
      </w:r>
      <w:bookmarkEnd w:id="25"/>
    </w:p>
    <w:p w14:paraId="124B8C25" w14:textId="5E3DF844" w:rsidR="005139FE" w:rsidRPr="00A50854" w:rsidRDefault="005139FE" w:rsidP="00F5567A">
      <w:pPr>
        <w:jc w:val="both"/>
        <w:rPr>
          <w:rFonts w:ascii="Arial" w:hAnsi="Arial" w:cs="Arial"/>
        </w:rPr>
      </w:pPr>
      <w:r w:rsidRPr="00A50854">
        <w:rPr>
          <w:rFonts w:ascii="Arial" w:hAnsi="Arial" w:cs="Arial"/>
        </w:rPr>
        <w:t>Data Analysis Data analysis in qualitative research involves the systematic examination and interpretation of textual data to identify patterns, themes, and meanings relevant to the research objectives (Saunders, Lewis and Thornhill, 2019). In this study, qualitative data were analysed using thematic analysis, following the framework developed by Virginia Braun and Victoria Clarke (2006). Thematic analysis was selected because it provides a flexible yet rigorous method for analysing qualitative data within an interpretivist research paradigm. It enables the researcher to identify recurring patterns across diverse data sources while remaining sensitive to context, language, and meaning (Braun and Clarke, 2006). This makes it particularly suitable for examining how employee engagement is both represented in organisational discourse and experienced by employees.</w:t>
      </w:r>
    </w:p>
    <w:p w14:paraId="774C1FA2" w14:textId="77777777" w:rsidR="005139FE" w:rsidRPr="00A50854" w:rsidRDefault="005139FE" w:rsidP="00F5567A">
      <w:pPr>
        <w:jc w:val="both"/>
        <w:rPr>
          <w:rFonts w:ascii="Arial" w:hAnsi="Arial" w:cs="Arial"/>
        </w:rPr>
      </w:pPr>
      <w:r w:rsidRPr="00A50854">
        <w:rPr>
          <w:rFonts w:ascii="Arial" w:hAnsi="Arial" w:cs="Arial"/>
        </w:rPr>
        <w:t xml:space="preserve"> The analysis followed six key stages: </w:t>
      </w:r>
    </w:p>
    <w:p w14:paraId="7ECBE870" w14:textId="77777777" w:rsidR="00AA0954" w:rsidRPr="00A50854" w:rsidRDefault="005139FE" w:rsidP="005139FE">
      <w:pPr>
        <w:rPr>
          <w:rFonts w:ascii="Arial" w:hAnsi="Arial" w:cs="Arial"/>
          <w:b/>
          <w:bCs/>
        </w:rPr>
      </w:pPr>
      <w:r w:rsidRPr="00A50854">
        <w:rPr>
          <w:rFonts w:ascii="Arial" w:hAnsi="Arial" w:cs="Arial"/>
          <w:b/>
          <w:bCs/>
        </w:rPr>
        <w:t>1. Familiarisation with the data</w:t>
      </w:r>
    </w:p>
    <w:p w14:paraId="3E6692E5" w14:textId="651D4B05" w:rsidR="005139FE" w:rsidRPr="00A50854" w:rsidRDefault="005139FE" w:rsidP="00F5567A">
      <w:pPr>
        <w:jc w:val="both"/>
        <w:rPr>
          <w:rFonts w:ascii="Arial" w:hAnsi="Arial" w:cs="Arial"/>
        </w:rPr>
      </w:pPr>
      <w:r w:rsidRPr="00A50854">
        <w:rPr>
          <w:rFonts w:ascii="Arial" w:hAnsi="Arial" w:cs="Arial"/>
        </w:rPr>
        <w:t xml:space="preserve"> All collected materials, including organisational reports, industry publications, and employee reviews, were read repeatedly to develop a deep understanding of their content, tone, and context. This stage is essential for identifying initial patterns and gaining insight into how engagement and retention are discussed across different sources (Braun </w:t>
      </w:r>
      <w:r w:rsidR="00AC42E4">
        <w:rPr>
          <w:rFonts w:ascii="Arial" w:hAnsi="Arial" w:cs="Arial"/>
        </w:rPr>
        <w:t xml:space="preserve">&amp; </w:t>
      </w:r>
      <w:r w:rsidRPr="00A50854">
        <w:rPr>
          <w:rFonts w:ascii="Arial" w:hAnsi="Arial" w:cs="Arial"/>
        </w:rPr>
        <w:t>Clarke, 2006).</w:t>
      </w:r>
    </w:p>
    <w:p w14:paraId="4BEE8C95" w14:textId="77777777" w:rsidR="00AA0954" w:rsidRPr="00A50854" w:rsidRDefault="005139FE" w:rsidP="005139FE">
      <w:pPr>
        <w:rPr>
          <w:rFonts w:ascii="Arial" w:hAnsi="Arial" w:cs="Arial"/>
          <w:b/>
          <w:bCs/>
        </w:rPr>
      </w:pPr>
      <w:r w:rsidRPr="00A50854">
        <w:rPr>
          <w:rFonts w:ascii="Arial" w:hAnsi="Arial" w:cs="Arial"/>
        </w:rPr>
        <w:t xml:space="preserve"> </w:t>
      </w:r>
      <w:r w:rsidRPr="00A50854">
        <w:rPr>
          <w:rFonts w:ascii="Arial" w:hAnsi="Arial" w:cs="Arial"/>
          <w:b/>
          <w:bCs/>
        </w:rPr>
        <w:t>2. Generating initial codes</w:t>
      </w:r>
    </w:p>
    <w:p w14:paraId="001E3D94" w14:textId="0D95EE95" w:rsidR="005139FE" w:rsidRDefault="005139FE" w:rsidP="00F5567A">
      <w:pPr>
        <w:jc w:val="both"/>
        <w:rPr>
          <w:rFonts w:ascii="Arial" w:hAnsi="Arial" w:cs="Arial"/>
        </w:rPr>
      </w:pPr>
      <w:r w:rsidRPr="00A50854">
        <w:rPr>
          <w:rFonts w:ascii="Arial" w:hAnsi="Arial" w:cs="Arial"/>
        </w:rPr>
        <w:t xml:space="preserve"> Relevant segments of the data were systematically coded. Coding involved identifying key phrases, ideas, and concepts related to employee engagement, management practices, and staff retention. This process was both data-driven (inductive) and informed by existing theoretical concepts (Bryman, 2016). </w:t>
      </w:r>
    </w:p>
    <w:p w14:paraId="6A384CD1" w14:textId="77777777" w:rsidR="000126D8" w:rsidRPr="000126D8" w:rsidRDefault="000126D8" w:rsidP="00F5567A">
      <w:pPr>
        <w:jc w:val="both"/>
        <w:rPr>
          <w:rFonts w:ascii="Arial" w:hAnsi="Arial" w:cs="Arial"/>
        </w:rPr>
      </w:pPr>
      <w:r w:rsidRPr="000126D8">
        <w:rPr>
          <w:rFonts w:ascii="Arial" w:hAnsi="Arial" w:cs="Arial"/>
        </w:rPr>
        <w:t>To enhance transparency, the coding process involved systematically identifying recurring concepts across the dataset. Initial codes were developed by highlighting frequently occurring ideas in organisational documents and employee reviews. For example, references to “high workload”, “time pressure”, and “long shifts” were coded under workload intensity, while mentions of “strict procedures” and “monitoring” were coded under managerial control. This process ensured that coding remained grounded in the data while capturing patterns relevant to the research questions.</w:t>
      </w:r>
    </w:p>
    <w:tbl>
      <w:tblPr>
        <w:tblStyle w:val="TableGrid"/>
        <w:tblW w:w="0" w:type="auto"/>
        <w:tblLook w:val="04A0" w:firstRow="1" w:lastRow="0" w:firstColumn="1" w:lastColumn="0" w:noHBand="0" w:noVBand="1"/>
      </w:tblPr>
      <w:tblGrid>
        <w:gridCol w:w="9016"/>
      </w:tblGrid>
      <w:tr w:rsidR="000126D8" w:rsidRPr="00093187" w14:paraId="556FAB9D" w14:textId="77777777" w:rsidTr="00A930D6">
        <w:tc>
          <w:tcPr>
            <w:tcW w:w="9016" w:type="dxa"/>
          </w:tcPr>
          <w:p w14:paraId="1679B05D" w14:textId="134340E8" w:rsidR="000126D8" w:rsidRPr="00093187" w:rsidRDefault="000126D8" w:rsidP="00A930D6">
            <w:r w:rsidRPr="00093187">
              <w:t xml:space="preserve">Table </w:t>
            </w:r>
            <w:r>
              <w:t>1</w:t>
            </w:r>
            <w:r w:rsidRPr="00093187">
              <w:t>: Example of Coding and Theme Development</w:t>
            </w:r>
          </w:p>
        </w:tc>
      </w:tr>
      <w:tr w:rsidR="000126D8" w14:paraId="0028FB24" w14:textId="77777777" w:rsidTr="00A930D6">
        <w:tc>
          <w:tcPr>
            <w:tcW w:w="9016" w:type="dxa"/>
          </w:tcPr>
          <w:tbl>
            <w:tblPr>
              <w:tblStyle w:val="TableGrid"/>
              <w:tblW w:w="0" w:type="auto"/>
              <w:tblLook w:val="04A0" w:firstRow="1" w:lastRow="0" w:firstColumn="1" w:lastColumn="0" w:noHBand="0" w:noVBand="1"/>
            </w:tblPr>
            <w:tblGrid>
              <w:gridCol w:w="3142"/>
              <w:gridCol w:w="2528"/>
              <w:gridCol w:w="3120"/>
            </w:tblGrid>
            <w:tr w:rsidR="000126D8" w:rsidRPr="00093187" w14:paraId="00BCE866" w14:textId="77777777" w:rsidTr="00A930D6">
              <w:tc>
                <w:tcPr>
                  <w:tcW w:w="0" w:type="auto"/>
                  <w:hideMark/>
                </w:tcPr>
                <w:p w14:paraId="381778FB" w14:textId="77777777" w:rsidR="000126D8" w:rsidRPr="00093187" w:rsidRDefault="000126D8" w:rsidP="00A930D6">
                  <w:pPr>
                    <w:spacing w:after="160" w:line="259" w:lineRule="auto"/>
                    <w:rPr>
                      <w:b/>
                      <w:bCs/>
                    </w:rPr>
                  </w:pPr>
                  <w:r w:rsidRPr="00093187">
                    <w:rPr>
                      <w:b/>
                      <w:bCs/>
                    </w:rPr>
                    <w:t>Initial Codes</w:t>
                  </w:r>
                </w:p>
              </w:tc>
              <w:tc>
                <w:tcPr>
                  <w:tcW w:w="0" w:type="auto"/>
                  <w:hideMark/>
                </w:tcPr>
                <w:p w14:paraId="778911F1" w14:textId="77777777" w:rsidR="000126D8" w:rsidRPr="00093187" w:rsidRDefault="000126D8" w:rsidP="00A930D6">
                  <w:pPr>
                    <w:spacing w:after="160" w:line="259" w:lineRule="auto"/>
                    <w:rPr>
                      <w:b/>
                      <w:bCs/>
                    </w:rPr>
                  </w:pPr>
                  <w:r w:rsidRPr="00093187">
                    <w:rPr>
                      <w:b/>
                      <w:bCs/>
                    </w:rPr>
                    <w:t>Category</w:t>
                  </w:r>
                </w:p>
              </w:tc>
              <w:tc>
                <w:tcPr>
                  <w:tcW w:w="0" w:type="auto"/>
                  <w:hideMark/>
                </w:tcPr>
                <w:p w14:paraId="608245CE" w14:textId="77777777" w:rsidR="000126D8" w:rsidRPr="00093187" w:rsidRDefault="000126D8" w:rsidP="00A930D6">
                  <w:pPr>
                    <w:spacing w:after="160" w:line="259" w:lineRule="auto"/>
                    <w:rPr>
                      <w:b/>
                      <w:bCs/>
                    </w:rPr>
                  </w:pPr>
                  <w:r w:rsidRPr="00093187">
                    <w:rPr>
                      <w:b/>
                      <w:bCs/>
                    </w:rPr>
                    <w:t>Final Theme</w:t>
                  </w:r>
                </w:p>
              </w:tc>
            </w:tr>
            <w:tr w:rsidR="000126D8" w:rsidRPr="00093187" w14:paraId="130A4971" w14:textId="77777777" w:rsidTr="00A930D6">
              <w:tc>
                <w:tcPr>
                  <w:tcW w:w="0" w:type="auto"/>
                  <w:hideMark/>
                </w:tcPr>
                <w:p w14:paraId="6A2C4E7E" w14:textId="77777777" w:rsidR="000126D8" w:rsidRPr="00093187" w:rsidRDefault="000126D8" w:rsidP="00A930D6">
                  <w:pPr>
                    <w:spacing w:after="160" w:line="259" w:lineRule="auto"/>
                  </w:pPr>
                  <w:r w:rsidRPr="00093187">
                    <w:t>High workload, time pressure, shifts</w:t>
                  </w:r>
                </w:p>
              </w:tc>
              <w:tc>
                <w:tcPr>
                  <w:tcW w:w="0" w:type="auto"/>
                  <w:hideMark/>
                </w:tcPr>
                <w:p w14:paraId="40CC35E1" w14:textId="77777777" w:rsidR="000126D8" w:rsidRPr="00093187" w:rsidRDefault="000126D8" w:rsidP="00A930D6">
                  <w:pPr>
                    <w:spacing w:after="160" w:line="259" w:lineRule="auto"/>
                  </w:pPr>
                  <w:r w:rsidRPr="00093187">
                    <w:t>Work demands</w:t>
                  </w:r>
                </w:p>
              </w:tc>
              <w:tc>
                <w:tcPr>
                  <w:tcW w:w="0" w:type="auto"/>
                  <w:hideMark/>
                </w:tcPr>
                <w:p w14:paraId="753BD293" w14:textId="77777777" w:rsidR="000126D8" w:rsidRPr="00093187" w:rsidRDefault="000126D8" w:rsidP="00A930D6">
                  <w:pPr>
                    <w:spacing w:after="160" w:line="259" w:lineRule="auto"/>
                  </w:pPr>
                  <w:r w:rsidRPr="00093187">
                    <w:t>Work Intensity and Job Pressure</w:t>
                  </w:r>
                </w:p>
              </w:tc>
            </w:tr>
            <w:tr w:rsidR="000126D8" w:rsidRPr="00093187" w14:paraId="0F93386E" w14:textId="77777777" w:rsidTr="00A930D6">
              <w:tc>
                <w:tcPr>
                  <w:tcW w:w="0" w:type="auto"/>
                  <w:hideMark/>
                </w:tcPr>
                <w:p w14:paraId="0CB0273B" w14:textId="77777777" w:rsidR="000126D8" w:rsidRPr="00093187" w:rsidRDefault="000126D8" w:rsidP="00A930D6">
                  <w:pPr>
                    <w:spacing w:after="160" w:line="259" w:lineRule="auto"/>
                  </w:pPr>
                  <w:r w:rsidRPr="00093187">
                    <w:t>Monitoring, strict rules, compliance</w:t>
                  </w:r>
                </w:p>
              </w:tc>
              <w:tc>
                <w:tcPr>
                  <w:tcW w:w="0" w:type="auto"/>
                  <w:hideMark/>
                </w:tcPr>
                <w:p w14:paraId="5CDDB83B" w14:textId="77777777" w:rsidR="000126D8" w:rsidRPr="00093187" w:rsidRDefault="000126D8" w:rsidP="00A930D6">
                  <w:pPr>
                    <w:spacing w:after="160" w:line="259" w:lineRule="auto"/>
                  </w:pPr>
                  <w:r w:rsidRPr="00093187">
                    <w:t>Managerial control</w:t>
                  </w:r>
                </w:p>
              </w:tc>
              <w:tc>
                <w:tcPr>
                  <w:tcW w:w="0" w:type="auto"/>
                  <w:hideMark/>
                </w:tcPr>
                <w:p w14:paraId="40F1994F" w14:textId="77777777" w:rsidR="000126D8" w:rsidRPr="00093187" w:rsidRDefault="000126D8" w:rsidP="00A930D6">
                  <w:pPr>
                    <w:spacing w:after="160" w:line="259" w:lineRule="auto"/>
                  </w:pPr>
                  <w:r w:rsidRPr="00093187">
                    <w:t>Regulatory and Managerial Control</w:t>
                  </w:r>
                </w:p>
              </w:tc>
            </w:tr>
            <w:tr w:rsidR="000126D8" w:rsidRPr="00093187" w14:paraId="76D760DC" w14:textId="77777777" w:rsidTr="00A930D6">
              <w:tc>
                <w:tcPr>
                  <w:tcW w:w="0" w:type="auto"/>
                  <w:hideMark/>
                </w:tcPr>
                <w:p w14:paraId="1DE88770" w14:textId="77777777" w:rsidR="000126D8" w:rsidRPr="00093187" w:rsidRDefault="000126D8" w:rsidP="00A930D6">
                  <w:pPr>
                    <w:spacing w:after="160" w:line="259" w:lineRule="auto"/>
                  </w:pPr>
                  <w:r w:rsidRPr="00093187">
                    <w:t>Lack of voice, low autonomy</w:t>
                  </w:r>
                </w:p>
              </w:tc>
              <w:tc>
                <w:tcPr>
                  <w:tcW w:w="0" w:type="auto"/>
                  <w:hideMark/>
                </w:tcPr>
                <w:p w14:paraId="7CA0A55B" w14:textId="77777777" w:rsidR="000126D8" w:rsidRPr="00093187" w:rsidRDefault="000126D8" w:rsidP="00A930D6">
                  <w:pPr>
                    <w:spacing w:after="160" w:line="259" w:lineRule="auto"/>
                  </w:pPr>
                  <w:r w:rsidRPr="00093187">
                    <w:t>Limited employee influence</w:t>
                  </w:r>
                </w:p>
              </w:tc>
              <w:tc>
                <w:tcPr>
                  <w:tcW w:w="0" w:type="auto"/>
                  <w:hideMark/>
                </w:tcPr>
                <w:p w14:paraId="39F493D0" w14:textId="77777777" w:rsidR="000126D8" w:rsidRPr="00093187" w:rsidRDefault="000126D8" w:rsidP="00A930D6">
                  <w:pPr>
                    <w:spacing w:after="160" w:line="259" w:lineRule="auto"/>
                  </w:pPr>
                  <w:r w:rsidRPr="00093187">
                    <w:t>Restricted Autonomy</w:t>
                  </w:r>
                </w:p>
              </w:tc>
            </w:tr>
            <w:tr w:rsidR="000126D8" w:rsidRPr="00093187" w14:paraId="3E6FB0F6" w14:textId="77777777" w:rsidTr="00A930D6">
              <w:tc>
                <w:tcPr>
                  <w:tcW w:w="0" w:type="auto"/>
                  <w:hideMark/>
                </w:tcPr>
                <w:p w14:paraId="3FABD102" w14:textId="77777777" w:rsidR="000126D8" w:rsidRPr="00093187" w:rsidRDefault="000126D8" w:rsidP="00A930D6">
                  <w:pPr>
                    <w:spacing w:after="160" w:line="259" w:lineRule="auto"/>
                  </w:pPr>
                  <w:r w:rsidRPr="00093187">
                    <w:t>Engagement initiatives, recognition</w:t>
                  </w:r>
                </w:p>
              </w:tc>
              <w:tc>
                <w:tcPr>
                  <w:tcW w:w="0" w:type="auto"/>
                  <w:hideMark/>
                </w:tcPr>
                <w:p w14:paraId="3D7E0195" w14:textId="77777777" w:rsidR="000126D8" w:rsidRPr="00093187" w:rsidRDefault="000126D8" w:rsidP="00A930D6">
                  <w:pPr>
                    <w:spacing w:after="160" w:line="259" w:lineRule="auto"/>
                  </w:pPr>
                  <w:r w:rsidRPr="00093187">
                    <w:t>HR practices</w:t>
                  </w:r>
                </w:p>
              </w:tc>
              <w:tc>
                <w:tcPr>
                  <w:tcW w:w="0" w:type="auto"/>
                  <w:hideMark/>
                </w:tcPr>
                <w:p w14:paraId="260F9263" w14:textId="77777777" w:rsidR="000126D8" w:rsidRPr="00093187" w:rsidRDefault="000126D8" w:rsidP="00A930D6">
                  <w:pPr>
                    <w:spacing w:after="160" w:line="259" w:lineRule="auto"/>
                  </w:pPr>
                  <w:r w:rsidRPr="00093187">
                    <w:t>Engagement as Managerial Strategy</w:t>
                  </w:r>
                </w:p>
              </w:tc>
            </w:tr>
            <w:tr w:rsidR="000126D8" w:rsidRPr="00093187" w14:paraId="6FE99C55" w14:textId="77777777" w:rsidTr="00A930D6">
              <w:tc>
                <w:tcPr>
                  <w:tcW w:w="0" w:type="auto"/>
                  <w:hideMark/>
                </w:tcPr>
                <w:p w14:paraId="5DE4B4C4" w14:textId="77777777" w:rsidR="000126D8" w:rsidRPr="00093187" w:rsidRDefault="000126D8" w:rsidP="00A930D6">
                  <w:pPr>
                    <w:spacing w:after="160" w:line="259" w:lineRule="auto"/>
                  </w:pPr>
                  <w:r w:rsidRPr="00093187">
                    <w:t>Positive vs negative experiences</w:t>
                  </w:r>
                </w:p>
              </w:tc>
              <w:tc>
                <w:tcPr>
                  <w:tcW w:w="0" w:type="auto"/>
                  <w:hideMark/>
                </w:tcPr>
                <w:p w14:paraId="29F7B685" w14:textId="77777777" w:rsidR="000126D8" w:rsidRPr="00093187" w:rsidRDefault="000126D8" w:rsidP="00A930D6">
                  <w:pPr>
                    <w:spacing w:after="160" w:line="259" w:lineRule="auto"/>
                  </w:pPr>
                  <w:r w:rsidRPr="00093187">
                    <w:t>Employee perceptions</w:t>
                  </w:r>
                </w:p>
              </w:tc>
              <w:tc>
                <w:tcPr>
                  <w:tcW w:w="0" w:type="auto"/>
                  <w:hideMark/>
                </w:tcPr>
                <w:p w14:paraId="1F21D4B3" w14:textId="77777777" w:rsidR="000126D8" w:rsidRPr="00093187" w:rsidRDefault="000126D8" w:rsidP="00A930D6">
                  <w:pPr>
                    <w:spacing w:after="160" w:line="259" w:lineRule="auto"/>
                  </w:pPr>
                  <w:r w:rsidRPr="00093187">
                    <w:t>Gap Between Rhetoric and Reality</w:t>
                  </w:r>
                </w:p>
              </w:tc>
            </w:tr>
          </w:tbl>
          <w:p w14:paraId="701F69C1" w14:textId="77777777" w:rsidR="000126D8" w:rsidRDefault="000126D8" w:rsidP="00A930D6"/>
        </w:tc>
      </w:tr>
    </w:tbl>
    <w:p w14:paraId="566BB300" w14:textId="60D588FA" w:rsidR="000126D8" w:rsidRPr="00A50854" w:rsidRDefault="000126D8" w:rsidP="00F5567A">
      <w:pPr>
        <w:jc w:val="both"/>
        <w:rPr>
          <w:rFonts w:ascii="Arial" w:hAnsi="Arial" w:cs="Arial"/>
        </w:rPr>
      </w:pPr>
      <w:r w:rsidRPr="000126D8">
        <w:rPr>
          <w:rFonts w:ascii="Arial" w:hAnsi="Arial" w:cs="Arial"/>
        </w:rPr>
        <w:lastRenderedPageBreak/>
        <w:t>This table illustrates how raw data were systematically coded and grouped into broader analytical themes. The progression from initial codes to final themes reflects an iterative process in which patterns were continuously refined and aligned with the research questions and theoretical framework. This approach enhances the transparency and rigour of the analysis by clearly demonstrating how interpretations were developed from the data.</w:t>
      </w:r>
    </w:p>
    <w:p w14:paraId="69B01B62" w14:textId="77777777" w:rsidR="00AA0954" w:rsidRPr="00A50854" w:rsidRDefault="005139FE" w:rsidP="005139FE">
      <w:pPr>
        <w:rPr>
          <w:rFonts w:ascii="Arial" w:hAnsi="Arial" w:cs="Arial"/>
          <w:b/>
          <w:bCs/>
        </w:rPr>
      </w:pPr>
      <w:r w:rsidRPr="00A50854">
        <w:rPr>
          <w:rFonts w:ascii="Arial" w:hAnsi="Arial" w:cs="Arial"/>
          <w:b/>
          <w:bCs/>
        </w:rPr>
        <w:t>3. Searching for themes</w:t>
      </w:r>
    </w:p>
    <w:p w14:paraId="232CF6D6" w14:textId="0D434B65" w:rsidR="005139FE" w:rsidRPr="00A50854" w:rsidRDefault="005139FE" w:rsidP="00F5567A">
      <w:pPr>
        <w:jc w:val="both"/>
        <w:rPr>
          <w:rFonts w:ascii="Arial" w:hAnsi="Arial" w:cs="Arial"/>
        </w:rPr>
      </w:pPr>
      <w:r w:rsidRPr="00A50854">
        <w:rPr>
          <w:rFonts w:ascii="Arial" w:hAnsi="Arial" w:cs="Arial"/>
        </w:rPr>
        <w:t xml:space="preserve"> Codes were grouped into broader themes that captured recurring patterns across the dataset. For example, themes emerged around managerial narratives of engagement, employee perceptions of workload and autonomy, and tensions between engagement rhetoric and workplace realities. </w:t>
      </w:r>
    </w:p>
    <w:p w14:paraId="2C6761E8" w14:textId="77777777" w:rsidR="00AA0954" w:rsidRPr="00A50854" w:rsidRDefault="005139FE" w:rsidP="005139FE">
      <w:pPr>
        <w:rPr>
          <w:rFonts w:ascii="Arial" w:hAnsi="Arial" w:cs="Arial"/>
          <w:b/>
          <w:bCs/>
        </w:rPr>
      </w:pPr>
      <w:r w:rsidRPr="00A50854">
        <w:rPr>
          <w:rFonts w:ascii="Arial" w:hAnsi="Arial" w:cs="Arial"/>
          <w:b/>
          <w:bCs/>
        </w:rPr>
        <w:t>4. Reviewing themes</w:t>
      </w:r>
    </w:p>
    <w:p w14:paraId="0F063FB2" w14:textId="5D51F66B" w:rsidR="005139FE" w:rsidRPr="00A50854" w:rsidRDefault="005139FE" w:rsidP="00F5567A">
      <w:pPr>
        <w:jc w:val="both"/>
        <w:rPr>
          <w:rFonts w:ascii="Arial" w:hAnsi="Arial" w:cs="Arial"/>
        </w:rPr>
      </w:pPr>
      <w:r w:rsidRPr="00A50854">
        <w:rPr>
          <w:rFonts w:ascii="Arial" w:hAnsi="Arial" w:cs="Arial"/>
        </w:rPr>
        <w:t xml:space="preserve"> The identified themes were refined and evaluated to ensure they accurately represented the data and were internally consistent. This involved comparing themes across different data sources to identify similarities and contradictions. </w:t>
      </w:r>
    </w:p>
    <w:p w14:paraId="62F97173" w14:textId="77777777" w:rsidR="00AA0954" w:rsidRPr="00A50854" w:rsidRDefault="005139FE" w:rsidP="005139FE">
      <w:pPr>
        <w:rPr>
          <w:rFonts w:ascii="Arial" w:hAnsi="Arial" w:cs="Arial"/>
          <w:b/>
          <w:bCs/>
        </w:rPr>
      </w:pPr>
      <w:r w:rsidRPr="00A50854">
        <w:rPr>
          <w:rFonts w:ascii="Arial" w:hAnsi="Arial" w:cs="Arial"/>
          <w:b/>
          <w:bCs/>
        </w:rPr>
        <w:t xml:space="preserve">5. Defining and naming themes </w:t>
      </w:r>
    </w:p>
    <w:p w14:paraId="7DC64A41" w14:textId="6DEE1DC8" w:rsidR="005139FE" w:rsidRPr="00A50854" w:rsidRDefault="005139FE" w:rsidP="00F5567A">
      <w:pPr>
        <w:jc w:val="both"/>
        <w:rPr>
          <w:rFonts w:ascii="Arial" w:hAnsi="Arial" w:cs="Arial"/>
        </w:rPr>
      </w:pPr>
      <w:r w:rsidRPr="00A50854">
        <w:rPr>
          <w:rFonts w:ascii="Arial" w:hAnsi="Arial" w:cs="Arial"/>
        </w:rPr>
        <w:t>Each theme was clearly defined and named to reflect its core meaning and relevance to the research questions. This step ensured clarity and coherence in the presentation of findings.</w:t>
      </w:r>
    </w:p>
    <w:p w14:paraId="5692761A" w14:textId="77777777" w:rsidR="00AA0954" w:rsidRPr="00A50854" w:rsidRDefault="005139FE" w:rsidP="005139FE">
      <w:pPr>
        <w:rPr>
          <w:rFonts w:ascii="Arial" w:hAnsi="Arial" w:cs="Arial"/>
          <w:b/>
          <w:bCs/>
        </w:rPr>
      </w:pPr>
      <w:r w:rsidRPr="00A50854">
        <w:rPr>
          <w:rFonts w:ascii="Arial" w:hAnsi="Arial" w:cs="Arial"/>
        </w:rPr>
        <w:t xml:space="preserve"> </w:t>
      </w:r>
      <w:r w:rsidRPr="00A50854">
        <w:rPr>
          <w:rFonts w:ascii="Arial" w:hAnsi="Arial" w:cs="Arial"/>
          <w:b/>
          <w:bCs/>
        </w:rPr>
        <w:t>6. Interpretation and theoretical integration</w:t>
      </w:r>
    </w:p>
    <w:p w14:paraId="35E832E9" w14:textId="7EC8D42B" w:rsidR="00AA0954" w:rsidRDefault="005139FE" w:rsidP="00F5567A">
      <w:pPr>
        <w:jc w:val="both"/>
        <w:rPr>
          <w:rFonts w:ascii="Arial" w:hAnsi="Arial" w:cs="Arial"/>
        </w:rPr>
      </w:pPr>
      <w:r w:rsidRPr="00A50854">
        <w:rPr>
          <w:rFonts w:ascii="Arial" w:hAnsi="Arial" w:cs="Arial"/>
        </w:rPr>
        <w:t xml:space="preserve"> The final themes were interpreted in relation to established theoretical frameworks, including the Job Demands–Resources model (Bakker and Demerouti, 2017), social exchange theory (Saks, 2006), and critical HRM perspectives (Legge, 2005; Thompson, 2011). This theoretical integration </w:t>
      </w:r>
      <w:r w:rsidR="00E2343F">
        <w:rPr>
          <w:rFonts w:ascii="Arial" w:hAnsi="Arial" w:cs="Arial"/>
        </w:rPr>
        <w:t>deepens the study's analytical rigour</w:t>
      </w:r>
      <w:r w:rsidRPr="00A50854">
        <w:rPr>
          <w:rFonts w:ascii="Arial" w:hAnsi="Arial" w:cs="Arial"/>
        </w:rPr>
        <w:t xml:space="preserve"> by linking empirical findings to existing academic debates. A key feature of the analysis is the comparative approach between organisational and employee-generated data</w:t>
      </w:r>
      <w:r w:rsidR="00AA0954">
        <w:rPr>
          <w:rFonts w:ascii="Arial" w:hAnsi="Arial" w:cs="Arial"/>
        </w:rPr>
        <w:t>.</w:t>
      </w:r>
    </w:p>
    <w:p w14:paraId="43D33AF5" w14:textId="7C101C63" w:rsidR="00AA0954" w:rsidRPr="00A50854" w:rsidRDefault="005139FE" w:rsidP="00F5567A">
      <w:pPr>
        <w:jc w:val="both"/>
        <w:rPr>
          <w:rFonts w:ascii="Arial" w:hAnsi="Arial" w:cs="Arial"/>
        </w:rPr>
      </w:pPr>
      <w:r w:rsidRPr="00A50854">
        <w:rPr>
          <w:rFonts w:ascii="Arial" w:hAnsi="Arial" w:cs="Arial"/>
        </w:rPr>
        <w:t xml:space="preserve">This allows the study to identify potential gaps between managerial intentions and employee experiences, which is central to the research aim. For example, engagement initiatives presented as empowering in organisational documents may be interpreted differently by employees working under </w:t>
      </w:r>
      <w:r w:rsidR="00E2343F">
        <w:rPr>
          <w:rFonts w:ascii="Arial" w:hAnsi="Arial" w:cs="Arial"/>
        </w:rPr>
        <w:t>high workloads</w:t>
      </w:r>
      <w:r w:rsidRPr="00A50854">
        <w:rPr>
          <w:rFonts w:ascii="Arial" w:hAnsi="Arial" w:cs="Arial"/>
        </w:rPr>
        <w:t xml:space="preserve"> and monitoring. The analysis process was iterative and reflexive, meaning that themes were continuously reviewed and refined as new insights emerged.</w:t>
      </w:r>
    </w:p>
    <w:p w14:paraId="3B1BA177" w14:textId="58A55743" w:rsidR="005139FE" w:rsidRPr="00A50854" w:rsidRDefault="005139FE" w:rsidP="00F5567A">
      <w:pPr>
        <w:jc w:val="both"/>
        <w:rPr>
          <w:rFonts w:ascii="Arial" w:hAnsi="Arial" w:cs="Arial"/>
        </w:rPr>
      </w:pPr>
      <w:r w:rsidRPr="00A50854">
        <w:rPr>
          <w:rFonts w:ascii="Arial" w:hAnsi="Arial" w:cs="Arial"/>
        </w:rPr>
        <w:t xml:space="preserve"> This reflects the interpretivist nature of the research, where understanding develops through ongoing interaction with the data (Creswell, 2014). To enhance the rigour and trustworthiness of the analysis, several strategies were employed. These include maintaining a clear audit trail of coding decisions, ensuring transparency in theme development, and grounding interpretations in multiple data sources. Such practices contribute to the reliability and validity of qualitative research findings (Bryman, 2016). </w:t>
      </w:r>
      <w:r w:rsidR="00660292">
        <w:rPr>
          <w:rFonts w:ascii="Arial" w:hAnsi="Arial" w:cs="Arial"/>
        </w:rPr>
        <w:t>Thematic</w:t>
      </w:r>
      <w:r w:rsidRPr="00A50854">
        <w:rPr>
          <w:rFonts w:ascii="Arial" w:hAnsi="Arial" w:cs="Arial"/>
        </w:rPr>
        <w:t xml:space="preserve"> analysis provides a systematic, transparent, and theoretically informed approach to analysing qualitative data. It enables the study to uncover complex relationships between employee engagement strategies and staff retention while accounting for the structural and organisational contexts in which these practices operate.</w:t>
      </w:r>
    </w:p>
    <w:p w14:paraId="70692902" w14:textId="77777777" w:rsidR="00C6228C" w:rsidRDefault="00C6228C" w:rsidP="00C6228C">
      <w:pPr>
        <w:jc w:val="both"/>
        <w:rPr>
          <w:rFonts w:ascii="Arial" w:hAnsi="Arial" w:cs="Arial"/>
        </w:rPr>
      </w:pPr>
    </w:p>
    <w:p w14:paraId="2DFF4289" w14:textId="77777777" w:rsidR="000126D8" w:rsidRDefault="000126D8" w:rsidP="00C6228C">
      <w:pPr>
        <w:jc w:val="both"/>
        <w:rPr>
          <w:rFonts w:ascii="Arial" w:hAnsi="Arial" w:cs="Arial"/>
        </w:rPr>
      </w:pPr>
    </w:p>
    <w:p w14:paraId="373FDED5" w14:textId="77777777" w:rsidR="000126D8" w:rsidRPr="00FF03DF" w:rsidRDefault="000126D8" w:rsidP="00FF03DF">
      <w:pPr>
        <w:pStyle w:val="Heading2"/>
      </w:pPr>
    </w:p>
    <w:p w14:paraId="1FE91A10" w14:textId="1DC87AC5" w:rsidR="009076F0" w:rsidRPr="00003CFC" w:rsidRDefault="009076F0" w:rsidP="00FF03DF">
      <w:pPr>
        <w:pStyle w:val="Heading2"/>
        <w:rPr>
          <w:rFonts w:ascii="Arial" w:hAnsi="Arial" w:cs="Arial"/>
          <w:b/>
          <w:bCs/>
          <w:color w:val="000000" w:themeColor="text1"/>
          <w:sz w:val="24"/>
          <w:szCs w:val="24"/>
        </w:rPr>
      </w:pPr>
      <w:bookmarkStart w:id="26" w:name="_Toc228563710"/>
      <w:r w:rsidRPr="00003CFC">
        <w:rPr>
          <w:rFonts w:ascii="Arial" w:hAnsi="Arial" w:cs="Arial"/>
          <w:b/>
          <w:bCs/>
          <w:color w:val="000000" w:themeColor="text1"/>
          <w:sz w:val="24"/>
          <w:szCs w:val="24"/>
        </w:rPr>
        <w:t>3.</w:t>
      </w:r>
      <w:r w:rsidR="00E76808" w:rsidRPr="00003CFC">
        <w:rPr>
          <w:rFonts w:ascii="Arial" w:hAnsi="Arial" w:cs="Arial"/>
          <w:b/>
          <w:bCs/>
          <w:color w:val="000000" w:themeColor="text1"/>
          <w:sz w:val="24"/>
          <w:szCs w:val="24"/>
        </w:rPr>
        <w:t>7</w:t>
      </w:r>
      <w:r w:rsidRPr="00003CFC">
        <w:rPr>
          <w:rFonts w:ascii="Arial" w:hAnsi="Arial" w:cs="Arial"/>
          <w:b/>
          <w:bCs/>
          <w:color w:val="000000" w:themeColor="text1"/>
          <w:sz w:val="24"/>
          <w:szCs w:val="24"/>
        </w:rPr>
        <w:t xml:space="preserve"> Ethical Considerations</w:t>
      </w:r>
      <w:bookmarkEnd w:id="26"/>
      <w:r w:rsidRPr="00003CFC">
        <w:rPr>
          <w:rFonts w:ascii="Arial" w:hAnsi="Arial" w:cs="Arial"/>
          <w:b/>
          <w:bCs/>
          <w:color w:val="000000" w:themeColor="text1"/>
          <w:sz w:val="24"/>
          <w:szCs w:val="24"/>
        </w:rPr>
        <w:t xml:space="preserve"> </w:t>
      </w:r>
    </w:p>
    <w:p w14:paraId="1EEECC09" w14:textId="77777777" w:rsidR="000E77D2" w:rsidRDefault="000E77D2" w:rsidP="000E77D2">
      <w:pPr>
        <w:jc w:val="both"/>
        <w:rPr>
          <w:rFonts w:ascii="Arial" w:hAnsi="Arial" w:cs="Arial"/>
        </w:rPr>
      </w:pPr>
      <w:r w:rsidRPr="00A50854">
        <w:rPr>
          <w:rFonts w:ascii="Arial" w:hAnsi="Arial" w:cs="Arial"/>
        </w:rPr>
        <w:t>Every research design involves methodological limitations that can influence the scope and interpretation of findings. Because this study relies solely on qualitative secondary data, certain constraints were inevitable. One key limitation concerns the lack of control over the original data collection process. The organisational reports, industry publications, and online employee reviews analysed in this study were not produced for academic research purposes. As a result, the content may reflect specific organisational agendas or individual biases, which can limit the depth and consistency of available information (Bryman, 2016). Another limitation relates to data representativeness.</w:t>
      </w:r>
    </w:p>
    <w:p w14:paraId="3EC36A62" w14:textId="3BB25BC9" w:rsidR="000E77D2" w:rsidRDefault="000E77D2" w:rsidP="000E77D2">
      <w:pPr>
        <w:jc w:val="both"/>
        <w:rPr>
          <w:rFonts w:ascii="Arial" w:hAnsi="Arial" w:cs="Arial"/>
        </w:rPr>
      </w:pPr>
      <w:r w:rsidRPr="00A50854">
        <w:rPr>
          <w:rFonts w:ascii="Arial" w:hAnsi="Arial" w:cs="Arial"/>
        </w:rPr>
        <w:t xml:space="preserve"> Employee reviews from online platforms do not necessarily reflect the views of all employees within the organisations examined. Individuals who post reviews may hold particularly positive or negative experiences, leading to potential bias in the sample. In addition, company documents are likely to present engagement practices in a favourable light, which may not always correspond with employee realities. To mitigate these limitations, several strategies were adopted. First, the study used data triangulation by combining multiple secondary sources, including organisational publications, professional reports, and employee-generated content. This allowed for comparison between management narratives and employee perceptions, helping to identify inconsistencies and reduce single-source bias. Second, systematic thematic analysis (Braun and Clarke, 20</w:t>
      </w:r>
      <w:r w:rsidR="00C32036">
        <w:rPr>
          <w:rFonts w:ascii="Arial" w:hAnsi="Arial" w:cs="Arial"/>
        </w:rPr>
        <w:t>06</w:t>
      </w:r>
      <w:r w:rsidRPr="00A50854">
        <w:rPr>
          <w:rFonts w:ascii="Arial" w:hAnsi="Arial" w:cs="Arial"/>
        </w:rPr>
        <w:t xml:space="preserve">) was applied consistently across all data types to ensure that coding and theme development were transparent and replicable. </w:t>
      </w:r>
    </w:p>
    <w:p w14:paraId="6B386FA3" w14:textId="4B8797F5" w:rsidR="00AA0954" w:rsidRDefault="000E77D2" w:rsidP="000E77D2">
      <w:pPr>
        <w:jc w:val="both"/>
        <w:rPr>
          <w:rFonts w:ascii="Arial" w:hAnsi="Arial" w:cs="Arial"/>
        </w:rPr>
      </w:pPr>
      <w:r w:rsidRPr="00A50854">
        <w:rPr>
          <w:rFonts w:ascii="Arial" w:hAnsi="Arial" w:cs="Arial"/>
        </w:rPr>
        <w:t xml:space="preserve">This structured approach enhanced the reliability of the analysis by providing a clear audit trail of how findings were derived. Maintaining validity involved ensuring that interpretations remained grounded in the data. </w:t>
      </w:r>
      <w:r w:rsidR="00EC03AA">
        <w:rPr>
          <w:rFonts w:ascii="Arial" w:hAnsi="Arial" w:cs="Arial"/>
        </w:rPr>
        <w:t>Multiple examples from different data sources supported themes</w:t>
      </w:r>
      <w:r w:rsidRPr="00A50854">
        <w:rPr>
          <w:rFonts w:ascii="Arial" w:hAnsi="Arial" w:cs="Arial"/>
        </w:rPr>
        <w:t xml:space="preserve">, and findings were interpreted </w:t>
      </w:r>
      <w:r w:rsidR="00C32036">
        <w:rPr>
          <w:rFonts w:ascii="Arial" w:hAnsi="Arial" w:cs="Arial"/>
        </w:rPr>
        <w:t>considering</w:t>
      </w:r>
      <w:r w:rsidRPr="00A50854">
        <w:rPr>
          <w:rFonts w:ascii="Arial" w:hAnsi="Arial" w:cs="Arial"/>
        </w:rPr>
        <w:t xml:space="preserve"> established theoretical frameworks, such as the Job Demands–Resources model and social exchange theory. This theoretical triangulation helped strengthen the internal validity of the conclusions. Although the use of secondary qualitative data limits generalisability, the study focuses on analytical generalisation rather than statistical generalisation.</w:t>
      </w:r>
    </w:p>
    <w:p w14:paraId="771B1378" w14:textId="20B1AB15" w:rsidR="000E77D2" w:rsidRPr="009076F0" w:rsidRDefault="000E77D2" w:rsidP="009076F0">
      <w:pPr>
        <w:jc w:val="both"/>
        <w:rPr>
          <w:rFonts w:ascii="Arial" w:hAnsi="Arial" w:cs="Arial"/>
          <w:b/>
          <w:bCs/>
        </w:rPr>
      </w:pPr>
      <w:r w:rsidRPr="00A50854">
        <w:rPr>
          <w:rFonts w:ascii="Arial" w:hAnsi="Arial" w:cs="Arial"/>
        </w:rPr>
        <w:t xml:space="preserve"> The insights aim to deepen understanding of engagement and retention processes within the UK pharmaceutical logistics sector rather than produce universally applicable conclusions. The findings can, however, inform future studies and provide a conceptual basis for primary research in similar organisational contexts.</w:t>
      </w:r>
      <w:r w:rsidR="00660292">
        <w:rPr>
          <w:rFonts w:ascii="Arial" w:hAnsi="Arial" w:cs="Arial"/>
        </w:rPr>
        <w:t xml:space="preserve"> I</w:t>
      </w:r>
      <w:r w:rsidRPr="00A50854">
        <w:rPr>
          <w:rFonts w:ascii="Arial" w:hAnsi="Arial" w:cs="Arial"/>
        </w:rPr>
        <w:t>ntegrating diverse data sources, applying systematic analytical procedures, and maintaining transparency and theoretical consistency throughout the research process, this study strengthens the validity and reliability of its findings despite the inherent limitations of its data type and collection methods.</w:t>
      </w:r>
    </w:p>
    <w:p w14:paraId="1A7A92B5" w14:textId="77777777" w:rsidR="00B149BF" w:rsidRDefault="00B149BF" w:rsidP="009076F0">
      <w:pPr>
        <w:jc w:val="both"/>
        <w:rPr>
          <w:rFonts w:ascii="Arial" w:hAnsi="Arial" w:cs="Arial"/>
        </w:rPr>
      </w:pPr>
    </w:p>
    <w:p w14:paraId="1A6CB502" w14:textId="77777777" w:rsidR="00B149BF" w:rsidRDefault="00B149BF" w:rsidP="009076F0">
      <w:pPr>
        <w:jc w:val="both"/>
        <w:rPr>
          <w:rFonts w:ascii="Arial" w:hAnsi="Arial" w:cs="Arial"/>
        </w:rPr>
      </w:pPr>
    </w:p>
    <w:p w14:paraId="6D80033E" w14:textId="77777777" w:rsidR="00B149BF" w:rsidRDefault="00B149BF" w:rsidP="009076F0">
      <w:pPr>
        <w:jc w:val="both"/>
        <w:rPr>
          <w:rFonts w:ascii="Arial" w:hAnsi="Arial" w:cs="Arial"/>
        </w:rPr>
      </w:pPr>
    </w:p>
    <w:p w14:paraId="793936D9" w14:textId="77777777" w:rsidR="00B149BF" w:rsidRDefault="00B149BF" w:rsidP="009076F0">
      <w:pPr>
        <w:jc w:val="both"/>
        <w:rPr>
          <w:rFonts w:ascii="Arial" w:hAnsi="Arial" w:cs="Arial"/>
        </w:rPr>
      </w:pPr>
    </w:p>
    <w:p w14:paraId="729D30BD" w14:textId="77777777" w:rsidR="00B149BF" w:rsidRDefault="00B149BF" w:rsidP="009076F0">
      <w:pPr>
        <w:jc w:val="both"/>
        <w:rPr>
          <w:rFonts w:ascii="Arial" w:hAnsi="Arial" w:cs="Arial"/>
        </w:rPr>
      </w:pPr>
    </w:p>
    <w:p w14:paraId="10CF20A2" w14:textId="77777777" w:rsidR="00B149BF" w:rsidRDefault="00B149BF" w:rsidP="009076F0">
      <w:pPr>
        <w:jc w:val="both"/>
        <w:rPr>
          <w:rFonts w:ascii="Arial" w:hAnsi="Arial" w:cs="Arial"/>
        </w:rPr>
      </w:pPr>
    </w:p>
    <w:p w14:paraId="6022BE91" w14:textId="77777777" w:rsidR="00EA1584" w:rsidRDefault="00EA1584" w:rsidP="009076F0">
      <w:pPr>
        <w:jc w:val="both"/>
        <w:rPr>
          <w:rFonts w:ascii="Arial" w:hAnsi="Arial" w:cs="Arial"/>
        </w:rPr>
      </w:pPr>
    </w:p>
    <w:p w14:paraId="69D4A2E0" w14:textId="77777777" w:rsidR="009D1AE4" w:rsidRPr="00BD7517" w:rsidRDefault="009D1AE4" w:rsidP="009076F0">
      <w:pPr>
        <w:jc w:val="both"/>
        <w:rPr>
          <w:rFonts w:ascii="Arial" w:hAnsi="Arial" w:cs="Arial"/>
        </w:rPr>
      </w:pPr>
    </w:p>
    <w:p w14:paraId="3B924FC2" w14:textId="22F7DD73" w:rsidR="009076F0" w:rsidRPr="00003CFC" w:rsidRDefault="009076F0" w:rsidP="00FF03DF">
      <w:pPr>
        <w:pStyle w:val="Heading2"/>
        <w:rPr>
          <w:rFonts w:ascii="Arial" w:hAnsi="Arial" w:cs="Arial"/>
          <w:b/>
          <w:bCs/>
          <w:color w:val="000000" w:themeColor="text1"/>
          <w:sz w:val="24"/>
          <w:szCs w:val="24"/>
        </w:rPr>
      </w:pPr>
      <w:bookmarkStart w:id="27" w:name="_Toc228563711"/>
      <w:r w:rsidRPr="00003CFC">
        <w:rPr>
          <w:rFonts w:ascii="Arial" w:hAnsi="Arial" w:cs="Arial"/>
          <w:b/>
          <w:bCs/>
          <w:color w:val="000000" w:themeColor="text1"/>
          <w:sz w:val="24"/>
          <w:szCs w:val="24"/>
        </w:rPr>
        <w:t>3.</w:t>
      </w:r>
      <w:r w:rsidR="009D1AE4" w:rsidRPr="00003CFC">
        <w:rPr>
          <w:rFonts w:ascii="Arial" w:hAnsi="Arial" w:cs="Arial"/>
          <w:b/>
          <w:bCs/>
          <w:color w:val="000000" w:themeColor="text1"/>
          <w:sz w:val="24"/>
          <w:szCs w:val="24"/>
        </w:rPr>
        <w:t>8</w:t>
      </w:r>
      <w:r w:rsidRPr="00003CFC">
        <w:rPr>
          <w:rFonts w:ascii="Arial" w:hAnsi="Arial" w:cs="Arial"/>
          <w:b/>
          <w:bCs/>
          <w:color w:val="000000" w:themeColor="text1"/>
          <w:sz w:val="24"/>
          <w:szCs w:val="24"/>
        </w:rPr>
        <w:t xml:space="preserve"> Conclusion</w:t>
      </w:r>
      <w:bookmarkEnd w:id="27"/>
    </w:p>
    <w:p w14:paraId="0BBCB8F8" w14:textId="19F739C1" w:rsidR="00165D52" w:rsidRDefault="009076F0" w:rsidP="009076F0">
      <w:pPr>
        <w:jc w:val="both"/>
        <w:rPr>
          <w:rFonts w:ascii="Arial" w:hAnsi="Arial" w:cs="Arial"/>
        </w:rPr>
      </w:pPr>
      <w:r w:rsidRPr="00BD7517">
        <w:rPr>
          <w:rFonts w:ascii="Arial" w:hAnsi="Arial" w:cs="Arial"/>
        </w:rPr>
        <w:t xml:space="preserve">This chapter has outlined and justified the methodological framework used to investigate the relationship between employee engagement strategies and staff retention within the UK pharmaceutical logistics sector. It began by explaining the research philosophy underpinning the study, identifying interpretivism as the most appropriate philosophical position. This perspective recognises that organisational practices and employee experiences are socially constructed and therefore require interpretive analysis rather than purely objective measurement (Bryman, 2016; Creswell, 2014). </w:t>
      </w:r>
    </w:p>
    <w:p w14:paraId="76256643" w14:textId="1876FABA" w:rsidR="00165D52" w:rsidRDefault="009076F0" w:rsidP="009076F0">
      <w:pPr>
        <w:jc w:val="both"/>
        <w:rPr>
          <w:rFonts w:ascii="Arial" w:hAnsi="Arial" w:cs="Arial"/>
        </w:rPr>
      </w:pPr>
      <w:r w:rsidRPr="00BD7517">
        <w:rPr>
          <w:rFonts w:ascii="Arial" w:hAnsi="Arial" w:cs="Arial"/>
        </w:rPr>
        <w:t xml:space="preserve">The chapter then justified the qualitative research design adopted in the study, highlighting the suitability of a comparative case study approach for examining engagement strategies within real organisational contexts. By focusing on Movianto UK and DHL Supply Chain Healthcare, the research design enables a detailed comparison of engagement practices within organisations operating under similar regulatory conditions. The inductive research approach further supports the </w:t>
      </w:r>
      <w:r w:rsidR="00E2343F">
        <w:rPr>
          <w:rFonts w:ascii="Arial" w:hAnsi="Arial" w:cs="Arial"/>
        </w:rPr>
        <w:t xml:space="preserve">study's exploratory nature by allowing patterns and interpretations to emerge from the analysis of qualitative data rather than by </w:t>
      </w:r>
      <w:r w:rsidRPr="00BD7517">
        <w:rPr>
          <w:rFonts w:ascii="Arial" w:hAnsi="Arial" w:cs="Arial"/>
        </w:rPr>
        <w:t xml:space="preserve">testing predetermined hypotheses (Saunders, Lewis and Thornhill, 2019). The chapter also explained the data collection methods used in the research, which rely on qualitative secondary data sources such as organisational documents, industry reports, and employee reviews from platforms including Glassdoor and Indeed. These sources provide insights into both managerial representations of engagement strategies and employee experiences of workplace conditions and retention-related issues. </w:t>
      </w:r>
    </w:p>
    <w:p w14:paraId="770AA7DB" w14:textId="277D60ED" w:rsidR="009076F0" w:rsidRPr="00BD7517" w:rsidRDefault="009076F0" w:rsidP="009076F0">
      <w:pPr>
        <w:jc w:val="both"/>
        <w:rPr>
          <w:rFonts w:ascii="Arial" w:hAnsi="Arial" w:cs="Arial"/>
        </w:rPr>
      </w:pPr>
      <w:r w:rsidRPr="00BD7517">
        <w:rPr>
          <w:rFonts w:ascii="Arial" w:hAnsi="Arial" w:cs="Arial"/>
        </w:rPr>
        <w:t xml:space="preserve">The collected data are analysed using thematic analysis, which allows recurring themes and patterns within the data to be systematically identified and interpreted (Braun and Clarke, 2006). Finally, the chapter addressed the ethical considerations guiding the research process, including the responsible use of publicly available data, protection of individual anonymity, and adherence to academic integrity and proper referencing practices. Overall, the methodological choices adopted in this study align with the research aims and objectives by enabling a critical and context-sensitive examination of employee engagement and staff retention within pharmaceutical logistics organisations. The following chapter presents the </w:t>
      </w:r>
      <w:r w:rsidR="00EC03AA">
        <w:rPr>
          <w:rFonts w:ascii="Arial" w:hAnsi="Arial" w:cs="Arial"/>
        </w:rPr>
        <w:t>study's findings</w:t>
      </w:r>
      <w:r w:rsidRPr="00BD7517">
        <w:rPr>
          <w:rFonts w:ascii="Arial" w:hAnsi="Arial" w:cs="Arial"/>
        </w:rPr>
        <w:t xml:space="preserve"> and analyses the identified themes in relation to the theoretical perspectives discussed in the literature review.</w:t>
      </w:r>
    </w:p>
    <w:p w14:paraId="6ED6695A" w14:textId="77777777" w:rsidR="009076F0" w:rsidRPr="00BD7517" w:rsidRDefault="009076F0" w:rsidP="009076F0">
      <w:pPr>
        <w:jc w:val="both"/>
        <w:rPr>
          <w:rFonts w:ascii="Arial" w:hAnsi="Arial" w:cs="Arial"/>
        </w:rPr>
      </w:pPr>
    </w:p>
    <w:p w14:paraId="00D83ABE" w14:textId="77777777" w:rsidR="009076F0" w:rsidRDefault="009076F0" w:rsidP="00EC5966">
      <w:pPr>
        <w:jc w:val="both"/>
        <w:rPr>
          <w:rFonts w:ascii="Arial" w:hAnsi="Arial" w:cs="Arial"/>
        </w:rPr>
      </w:pPr>
    </w:p>
    <w:p w14:paraId="335C2EFC" w14:textId="77777777" w:rsidR="00B149BF" w:rsidRDefault="00B149BF" w:rsidP="00EC5966">
      <w:pPr>
        <w:jc w:val="both"/>
        <w:rPr>
          <w:rFonts w:ascii="Arial" w:hAnsi="Arial" w:cs="Arial"/>
        </w:rPr>
      </w:pPr>
    </w:p>
    <w:p w14:paraId="332E4E1F" w14:textId="77777777" w:rsidR="00B149BF" w:rsidRDefault="00B149BF" w:rsidP="00EC5966">
      <w:pPr>
        <w:jc w:val="both"/>
        <w:rPr>
          <w:rFonts w:ascii="Arial" w:hAnsi="Arial" w:cs="Arial"/>
        </w:rPr>
      </w:pPr>
    </w:p>
    <w:p w14:paraId="17B33517" w14:textId="77777777" w:rsidR="00B149BF" w:rsidRDefault="00B149BF" w:rsidP="00EC5966">
      <w:pPr>
        <w:jc w:val="both"/>
        <w:rPr>
          <w:rFonts w:ascii="Arial" w:hAnsi="Arial" w:cs="Arial"/>
        </w:rPr>
      </w:pPr>
    </w:p>
    <w:p w14:paraId="4AA887B0" w14:textId="77777777" w:rsidR="00B149BF" w:rsidRDefault="00B149BF" w:rsidP="00EC5966">
      <w:pPr>
        <w:jc w:val="both"/>
        <w:rPr>
          <w:rFonts w:ascii="Arial" w:hAnsi="Arial" w:cs="Arial"/>
        </w:rPr>
      </w:pPr>
    </w:p>
    <w:p w14:paraId="0EFCCB09" w14:textId="77777777" w:rsidR="00B149BF" w:rsidRDefault="00B149BF" w:rsidP="00EC5966">
      <w:pPr>
        <w:jc w:val="both"/>
        <w:rPr>
          <w:rFonts w:ascii="Arial" w:hAnsi="Arial" w:cs="Arial"/>
        </w:rPr>
      </w:pPr>
    </w:p>
    <w:p w14:paraId="61D05FC3" w14:textId="77777777" w:rsidR="00B149BF" w:rsidRDefault="00B149BF" w:rsidP="00EC5966">
      <w:pPr>
        <w:jc w:val="both"/>
        <w:rPr>
          <w:rFonts w:ascii="Arial" w:hAnsi="Arial" w:cs="Arial"/>
        </w:rPr>
      </w:pPr>
    </w:p>
    <w:p w14:paraId="049BAF96" w14:textId="77777777" w:rsidR="00B149BF" w:rsidRDefault="00B149BF" w:rsidP="00EC5966">
      <w:pPr>
        <w:jc w:val="both"/>
        <w:rPr>
          <w:rFonts w:ascii="Arial" w:hAnsi="Arial" w:cs="Arial"/>
        </w:rPr>
      </w:pPr>
    </w:p>
    <w:p w14:paraId="1A94CB04" w14:textId="77777777" w:rsidR="00BD44A6" w:rsidRDefault="00BD44A6" w:rsidP="00FF03DF">
      <w:pPr>
        <w:pStyle w:val="Heading1"/>
      </w:pPr>
    </w:p>
    <w:p w14:paraId="277F4751" w14:textId="77777777" w:rsidR="00BD44A6" w:rsidRPr="00003CFC" w:rsidRDefault="00BD44A6" w:rsidP="00FF03DF">
      <w:pPr>
        <w:pStyle w:val="Heading1"/>
        <w:rPr>
          <w:rFonts w:ascii="Arial" w:hAnsi="Arial" w:cs="Arial"/>
          <w:b/>
          <w:bCs/>
          <w:color w:val="000000" w:themeColor="text1"/>
          <w:sz w:val="28"/>
          <w:szCs w:val="28"/>
        </w:rPr>
      </w:pPr>
      <w:bookmarkStart w:id="28" w:name="_Toc228563712"/>
      <w:r w:rsidRPr="00003CFC">
        <w:rPr>
          <w:rFonts w:ascii="Arial" w:hAnsi="Arial" w:cs="Arial"/>
          <w:b/>
          <w:bCs/>
          <w:color w:val="000000" w:themeColor="text1"/>
          <w:sz w:val="28"/>
          <w:szCs w:val="28"/>
        </w:rPr>
        <w:t>CHAPTER 4: FINDINGS, ANALYSIS AND DISCUSSION</w:t>
      </w:r>
      <w:bookmarkEnd w:id="28"/>
    </w:p>
    <w:p w14:paraId="58DFB95A" w14:textId="77777777" w:rsidR="00BD44A6" w:rsidRPr="00003CFC" w:rsidRDefault="00BD44A6" w:rsidP="00FF03DF">
      <w:pPr>
        <w:pStyle w:val="Heading2"/>
        <w:rPr>
          <w:rFonts w:ascii="Arial" w:hAnsi="Arial" w:cs="Arial"/>
          <w:b/>
          <w:bCs/>
          <w:color w:val="000000" w:themeColor="text1"/>
          <w:sz w:val="24"/>
          <w:szCs w:val="24"/>
        </w:rPr>
      </w:pPr>
      <w:bookmarkStart w:id="29" w:name="_Toc228563713"/>
      <w:r w:rsidRPr="00003CFC">
        <w:rPr>
          <w:rFonts w:ascii="Arial" w:hAnsi="Arial" w:cs="Arial"/>
          <w:b/>
          <w:bCs/>
          <w:color w:val="000000" w:themeColor="text1"/>
          <w:sz w:val="24"/>
          <w:szCs w:val="24"/>
        </w:rPr>
        <w:t>4.1 Introduction</w:t>
      </w:r>
      <w:bookmarkEnd w:id="29"/>
    </w:p>
    <w:p w14:paraId="19D6A41D" w14:textId="3DEA59B5" w:rsidR="00BD44A6" w:rsidRDefault="00BD44A6" w:rsidP="00BD44A6">
      <w:pPr>
        <w:jc w:val="both"/>
        <w:rPr>
          <w:rFonts w:ascii="Arial" w:hAnsi="Arial" w:cs="Arial"/>
        </w:rPr>
      </w:pPr>
      <w:r>
        <w:rPr>
          <w:rFonts w:ascii="Arial" w:hAnsi="Arial" w:cs="Arial"/>
        </w:rPr>
        <w:t>This chapter presents and critically analyses the study's findings, drawing on qualitative secondary data from organisational documents, industry reports, and employee-generated reviews relating to Movianto UK and DHL Supply Chain Healthcare. Building on the methodological framework outlined in Chapter 3, the analysis adopts an interpretivist and inductive approach, enabling an in-depth exploration of how employee engagement strategies are constructed, represented, and experienced within the UK pharmaceutical logistics sector (Bryman, 2016; Creswell, 2014).</w:t>
      </w:r>
    </w:p>
    <w:p w14:paraId="259F1237" w14:textId="6F494B72" w:rsidR="00B149BF" w:rsidRDefault="00BD44A6" w:rsidP="00BD44A6">
      <w:pPr>
        <w:jc w:val="both"/>
        <w:rPr>
          <w:rFonts w:ascii="Arial" w:hAnsi="Arial" w:cs="Arial"/>
        </w:rPr>
      </w:pPr>
      <w:r>
        <w:rPr>
          <w:rFonts w:ascii="Arial" w:hAnsi="Arial" w:cs="Arial"/>
        </w:rPr>
        <w:t xml:space="preserve">The purpose of this chapter is to address the research aim and questions by examining the relationship between employee engagement strategies and staff retention </w:t>
      </w:r>
      <w:r w:rsidR="00E2343F">
        <w:rPr>
          <w:rFonts w:ascii="Arial" w:hAnsi="Arial" w:cs="Arial"/>
        </w:rPr>
        <w:t>in highly regulated,</w:t>
      </w:r>
      <w:r>
        <w:rPr>
          <w:rFonts w:ascii="Arial" w:hAnsi="Arial" w:cs="Arial"/>
        </w:rPr>
        <w:t xml:space="preserve"> labour-intensive organisational contexts. Rather than treating engagement as a straightforward managerial tool with predictable outcomes, the analysis recognises that engagement is socially constructed and shaped by organisational structures, managerial practices, and employee interpretations. </w:t>
      </w:r>
    </w:p>
    <w:p w14:paraId="5A62AE05" w14:textId="0101301A" w:rsidR="00BD44A6" w:rsidRDefault="00BD44A6" w:rsidP="00BD44A6">
      <w:pPr>
        <w:jc w:val="both"/>
        <w:rPr>
          <w:rFonts w:ascii="Arial" w:hAnsi="Arial" w:cs="Arial"/>
        </w:rPr>
      </w:pPr>
      <w:r>
        <w:rPr>
          <w:rFonts w:ascii="Arial" w:hAnsi="Arial" w:cs="Arial"/>
        </w:rPr>
        <w:t>This perspective aligns with the critical and context-sensitive approach developed in earlier chapters, particularly the conceptual framework presented in Chapter 2, which emphasises the interaction between engagement practices and structural workplace conditions.</w:t>
      </w:r>
    </w:p>
    <w:p w14:paraId="16BAEC95" w14:textId="77777777" w:rsidR="00BD44A6" w:rsidRDefault="00BD44A6" w:rsidP="00BD44A6">
      <w:pPr>
        <w:jc w:val="both"/>
        <w:rPr>
          <w:rFonts w:ascii="Arial" w:hAnsi="Arial" w:cs="Arial"/>
        </w:rPr>
      </w:pPr>
      <w:r>
        <w:rPr>
          <w:rFonts w:ascii="Arial" w:hAnsi="Arial" w:cs="Arial"/>
        </w:rPr>
        <w:t>The findings are derived through thematic analysis, following the six-phase framework proposed by Braun and Clarke (2006), which allows for the systematic identification of patterns, contradictions, and tensions across diverse data sources. The use of secondary qualitative data enables the study to capture both managerial narratives of engagement and employee perspectives on workplace experiences, thereby facilitating a comparative analysis between how engagement is presented and how it is lived in practice. This dual perspective is particularly important in addressing the research questions, as it reveals potential discrepancies between organisational discourse and employee realities.</w:t>
      </w:r>
    </w:p>
    <w:p w14:paraId="1C12BFC9" w14:textId="72B3B16B" w:rsidR="00BD44A6" w:rsidRDefault="00BD44A6" w:rsidP="00BD44A6">
      <w:pPr>
        <w:jc w:val="both"/>
        <w:rPr>
          <w:rFonts w:ascii="Arial" w:hAnsi="Arial" w:cs="Arial"/>
        </w:rPr>
      </w:pPr>
      <w:r>
        <w:rPr>
          <w:rFonts w:ascii="Arial" w:hAnsi="Arial" w:cs="Arial"/>
        </w:rPr>
        <w:t xml:space="preserve">Five key themes emerged from the analysis. The first theme explores how engagement is framed within organisational narratives, highlighting its positioning as a strategic HRM tool </w:t>
      </w:r>
      <w:r w:rsidR="00E2343F">
        <w:rPr>
          <w:rFonts w:ascii="Arial" w:hAnsi="Arial" w:cs="Arial"/>
        </w:rPr>
        <w:t>to improve</w:t>
      </w:r>
      <w:r>
        <w:rPr>
          <w:rFonts w:ascii="Arial" w:hAnsi="Arial" w:cs="Arial"/>
        </w:rPr>
        <w:t xml:space="preserve"> motivation, performance, and commitment. The second theme examines employee experiences of work, focusing on issues such as workload intensity, performance monitoring, and limited autonomy. The third theme identifies a gap between engagement rhetoric and employee reality, revealing tensions between organisational representations and lived experiences. The fourth theme analyses the relationship between engagement and staff retention, questioning the assumption that engagement automatically </w:t>
      </w:r>
      <w:r w:rsidR="00E2343F">
        <w:rPr>
          <w:rFonts w:ascii="Arial" w:hAnsi="Arial" w:cs="Arial"/>
        </w:rPr>
        <w:t>reduces</w:t>
      </w:r>
      <w:r>
        <w:rPr>
          <w:rFonts w:ascii="Arial" w:hAnsi="Arial" w:cs="Arial"/>
        </w:rPr>
        <w:t xml:space="preserve"> turnover. Finally, the fifth theme considers the role of structural workplace conditions, including regulatory requirements and operational pressures, in shaping both engagement practices and retention outcomes.</w:t>
      </w:r>
    </w:p>
    <w:p w14:paraId="3BE7A992" w14:textId="77777777" w:rsidR="00833281" w:rsidRDefault="00833281" w:rsidP="00BD44A6">
      <w:pPr>
        <w:jc w:val="both"/>
        <w:rPr>
          <w:rFonts w:ascii="Arial" w:hAnsi="Arial" w:cs="Arial"/>
        </w:rPr>
      </w:pPr>
    </w:p>
    <w:p w14:paraId="7990BDF6" w14:textId="77777777" w:rsidR="00833281" w:rsidRDefault="00833281" w:rsidP="00BD44A6">
      <w:pPr>
        <w:jc w:val="both"/>
        <w:rPr>
          <w:rFonts w:ascii="Arial" w:hAnsi="Arial" w:cs="Arial"/>
        </w:rPr>
      </w:pPr>
    </w:p>
    <w:p w14:paraId="0DCD8613" w14:textId="77777777" w:rsidR="00833281" w:rsidRDefault="00833281" w:rsidP="00BD44A6">
      <w:pPr>
        <w:jc w:val="both"/>
        <w:rPr>
          <w:rFonts w:ascii="Arial" w:hAnsi="Arial" w:cs="Arial"/>
        </w:rPr>
      </w:pPr>
    </w:p>
    <w:p w14:paraId="48FE021F" w14:textId="77777777" w:rsidR="00833281" w:rsidRDefault="00833281" w:rsidP="00BD44A6">
      <w:pPr>
        <w:jc w:val="both"/>
        <w:rPr>
          <w:rFonts w:ascii="Arial" w:hAnsi="Arial" w:cs="Arial"/>
        </w:rPr>
      </w:pPr>
    </w:p>
    <w:p w14:paraId="1C5ADD1C" w14:textId="77777777" w:rsidR="00833281" w:rsidRDefault="00833281" w:rsidP="00BD44A6">
      <w:pPr>
        <w:jc w:val="both"/>
        <w:rPr>
          <w:rFonts w:ascii="Arial" w:hAnsi="Arial" w:cs="Arial"/>
        </w:rPr>
      </w:pPr>
    </w:p>
    <w:p w14:paraId="16544994" w14:textId="46CFE813" w:rsidR="00BD44A6" w:rsidRDefault="00BD44A6" w:rsidP="00BD44A6">
      <w:pPr>
        <w:jc w:val="both"/>
        <w:rPr>
          <w:rFonts w:ascii="Arial" w:hAnsi="Arial" w:cs="Arial"/>
        </w:rPr>
      </w:pPr>
      <w:r>
        <w:rPr>
          <w:rFonts w:ascii="Arial" w:hAnsi="Arial" w:cs="Arial"/>
        </w:rPr>
        <w:t xml:space="preserve">This chapter not only presents the findings but also critically engages with them by linking empirical insights to the theoretical perspectives discussed in the literature review. In particular, the analysis draws on mainstream HRM literature, the Job Demands–Resources model, social exchange theory, and critical HRM and labour process perspectives to interpret the data and evaluate the effectiveness of engagement strategies (Albrecht et al., 2015; Bakker and Demerouti, 2017; Saks, 2006; Legge, 2005; Thompson, 2011). By integrating these perspectives, the chapter moves beyond descriptive reporting to </w:t>
      </w:r>
      <w:r w:rsidR="00EC03AA">
        <w:rPr>
          <w:rFonts w:ascii="Arial" w:hAnsi="Arial" w:cs="Arial"/>
        </w:rPr>
        <w:t>offer a deeper understanding of the complex,</w:t>
      </w:r>
      <w:r>
        <w:rPr>
          <w:rFonts w:ascii="Arial" w:hAnsi="Arial" w:cs="Arial"/>
        </w:rPr>
        <w:t xml:space="preserve"> context-dependent relationship between employee engagement and staff retention.</w:t>
      </w:r>
    </w:p>
    <w:p w14:paraId="3A977826" w14:textId="585651F0" w:rsidR="00BD44A6" w:rsidRDefault="00044666" w:rsidP="00BD44A6">
      <w:pPr>
        <w:jc w:val="both"/>
        <w:rPr>
          <w:rFonts w:ascii="Arial" w:hAnsi="Arial" w:cs="Arial"/>
        </w:rPr>
      </w:pPr>
      <w:r>
        <w:rPr>
          <w:rFonts w:ascii="Arial" w:hAnsi="Arial" w:cs="Arial"/>
        </w:rPr>
        <w:t>T</w:t>
      </w:r>
      <w:r w:rsidR="00BD44A6">
        <w:rPr>
          <w:rFonts w:ascii="Arial" w:hAnsi="Arial" w:cs="Arial"/>
        </w:rPr>
        <w:t>his chapter contributes to the study by demonstrating that employee engagement cannot be understood in isolation from the structural realities of work. Instead, it highlights the importance of examining how engagement operates within organisational systems characterised by regulation, control, and operational demands. The insights developed in this chapter form the basis for the conclusions and recommendations presented in Chapter 5.</w:t>
      </w:r>
    </w:p>
    <w:p w14:paraId="5FE92B49" w14:textId="77777777" w:rsidR="00BD44A6" w:rsidRPr="00003CFC" w:rsidRDefault="00BD44A6" w:rsidP="00FF03DF">
      <w:pPr>
        <w:pStyle w:val="Heading2"/>
        <w:rPr>
          <w:rFonts w:ascii="Arial" w:hAnsi="Arial" w:cs="Arial"/>
          <w:b/>
          <w:bCs/>
          <w:color w:val="000000" w:themeColor="text1"/>
          <w:sz w:val="24"/>
          <w:szCs w:val="24"/>
        </w:rPr>
      </w:pPr>
      <w:bookmarkStart w:id="30" w:name="_Toc228563714"/>
      <w:r w:rsidRPr="00003CFC">
        <w:rPr>
          <w:rFonts w:ascii="Arial" w:hAnsi="Arial" w:cs="Arial"/>
          <w:b/>
          <w:bCs/>
          <w:color w:val="000000" w:themeColor="text1"/>
          <w:sz w:val="24"/>
          <w:szCs w:val="24"/>
        </w:rPr>
        <w:t>4.2 Overview of Themes</w:t>
      </w:r>
      <w:bookmarkEnd w:id="30"/>
    </w:p>
    <w:p w14:paraId="0F630036" w14:textId="02A4CBEE" w:rsidR="00471E6F" w:rsidRDefault="00471E6F" w:rsidP="00471E6F">
      <w:pPr>
        <w:jc w:val="both"/>
        <w:rPr>
          <w:rFonts w:ascii="Arial" w:hAnsi="Arial" w:cs="Arial"/>
        </w:rPr>
      </w:pPr>
      <w:r w:rsidRPr="00A50854">
        <w:rPr>
          <w:rFonts w:ascii="Arial" w:hAnsi="Arial" w:cs="Arial"/>
        </w:rPr>
        <w:t xml:space="preserve">The thematic analysis </w:t>
      </w:r>
      <w:r w:rsidR="00EC03AA">
        <w:rPr>
          <w:rFonts w:ascii="Arial" w:hAnsi="Arial" w:cs="Arial"/>
        </w:rPr>
        <w:t>identified five key themes related to employee engagement and staff retention in</w:t>
      </w:r>
      <w:r w:rsidRPr="00A50854">
        <w:rPr>
          <w:rFonts w:ascii="Arial" w:hAnsi="Arial" w:cs="Arial"/>
        </w:rPr>
        <w:t xml:space="preserve"> the UK pharmaceutical logistics sector. These themes reflect recurring patterns across both organisational and employee-generated data. </w:t>
      </w:r>
    </w:p>
    <w:p w14:paraId="232A7303" w14:textId="5B34DBF9" w:rsidR="004356AB" w:rsidRPr="00383DF9" w:rsidRDefault="004356AB" w:rsidP="004356AB">
      <w:r w:rsidRPr="00383DF9">
        <w:rPr>
          <w:b/>
          <w:bCs/>
        </w:rPr>
        <w:t>Table 4.</w:t>
      </w:r>
      <w:r>
        <w:rPr>
          <w:b/>
          <w:bCs/>
        </w:rPr>
        <w:t>1</w:t>
      </w:r>
      <w:r w:rsidRPr="00383DF9">
        <w:rPr>
          <w:b/>
          <w:bCs/>
        </w:rPr>
        <w:t>: Thematic Matrix of Employee Engagement and Staff Retention</w:t>
      </w:r>
    </w:p>
    <w:tbl>
      <w:tblPr>
        <w:tblStyle w:val="TableGrid"/>
        <w:tblW w:w="0" w:type="auto"/>
        <w:tblLook w:val="04A0" w:firstRow="1" w:lastRow="0" w:firstColumn="1" w:lastColumn="0" w:noHBand="0" w:noVBand="1"/>
      </w:tblPr>
      <w:tblGrid>
        <w:gridCol w:w="1579"/>
        <w:gridCol w:w="1956"/>
        <w:gridCol w:w="1785"/>
        <w:gridCol w:w="1787"/>
        <w:gridCol w:w="1909"/>
      </w:tblGrid>
      <w:tr w:rsidR="004356AB" w:rsidRPr="00383DF9" w14:paraId="465E6604" w14:textId="77777777" w:rsidTr="00681721">
        <w:tc>
          <w:tcPr>
            <w:tcW w:w="0" w:type="auto"/>
            <w:hideMark/>
          </w:tcPr>
          <w:p w14:paraId="2E8AF104" w14:textId="77777777" w:rsidR="004356AB" w:rsidRPr="00383DF9" w:rsidRDefault="004356AB" w:rsidP="00681721">
            <w:pPr>
              <w:spacing w:after="160" w:line="259" w:lineRule="auto"/>
              <w:rPr>
                <w:rFonts w:ascii="Arial" w:hAnsi="Arial" w:cs="Arial"/>
                <w:b/>
                <w:bCs/>
              </w:rPr>
            </w:pPr>
            <w:r w:rsidRPr="00383DF9">
              <w:rPr>
                <w:rFonts w:ascii="Arial" w:hAnsi="Arial" w:cs="Arial"/>
                <w:b/>
                <w:bCs/>
              </w:rPr>
              <w:t>Theme</w:t>
            </w:r>
          </w:p>
        </w:tc>
        <w:tc>
          <w:tcPr>
            <w:tcW w:w="0" w:type="auto"/>
            <w:hideMark/>
          </w:tcPr>
          <w:p w14:paraId="234CDF67" w14:textId="77777777" w:rsidR="004356AB" w:rsidRPr="00383DF9" w:rsidRDefault="004356AB" w:rsidP="00681721">
            <w:pPr>
              <w:spacing w:after="160" w:line="259" w:lineRule="auto"/>
              <w:rPr>
                <w:rFonts w:ascii="Arial" w:hAnsi="Arial" w:cs="Arial"/>
                <w:b/>
                <w:bCs/>
              </w:rPr>
            </w:pPr>
            <w:r w:rsidRPr="00383DF9">
              <w:rPr>
                <w:rFonts w:ascii="Arial" w:hAnsi="Arial" w:cs="Arial"/>
                <w:b/>
                <w:bCs/>
              </w:rPr>
              <w:t>Organisational Narrative (What companies say)</w:t>
            </w:r>
          </w:p>
        </w:tc>
        <w:tc>
          <w:tcPr>
            <w:tcW w:w="0" w:type="auto"/>
            <w:hideMark/>
          </w:tcPr>
          <w:p w14:paraId="572327B1" w14:textId="77777777" w:rsidR="004356AB" w:rsidRPr="00383DF9" w:rsidRDefault="004356AB" w:rsidP="00681721">
            <w:pPr>
              <w:spacing w:after="160" w:line="259" w:lineRule="auto"/>
              <w:rPr>
                <w:rFonts w:ascii="Arial" w:hAnsi="Arial" w:cs="Arial"/>
                <w:b/>
                <w:bCs/>
              </w:rPr>
            </w:pPr>
            <w:r w:rsidRPr="00383DF9">
              <w:rPr>
                <w:rFonts w:ascii="Arial" w:hAnsi="Arial" w:cs="Arial"/>
                <w:b/>
                <w:bCs/>
              </w:rPr>
              <w:t>Employee Experience (What employees say)</w:t>
            </w:r>
          </w:p>
        </w:tc>
        <w:tc>
          <w:tcPr>
            <w:tcW w:w="0" w:type="auto"/>
            <w:hideMark/>
          </w:tcPr>
          <w:p w14:paraId="7AB690C2" w14:textId="77777777" w:rsidR="004356AB" w:rsidRPr="00383DF9" w:rsidRDefault="004356AB" w:rsidP="00681721">
            <w:pPr>
              <w:spacing w:after="160" w:line="259" w:lineRule="auto"/>
              <w:rPr>
                <w:rFonts w:ascii="Arial" w:hAnsi="Arial" w:cs="Arial"/>
                <w:b/>
                <w:bCs/>
              </w:rPr>
            </w:pPr>
            <w:r w:rsidRPr="00383DF9">
              <w:rPr>
                <w:rFonts w:ascii="Arial" w:hAnsi="Arial" w:cs="Arial"/>
                <w:b/>
                <w:bCs/>
              </w:rPr>
              <w:t>Key Tension / Pattern</w:t>
            </w:r>
          </w:p>
        </w:tc>
        <w:tc>
          <w:tcPr>
            <w:tcW w:w="0" w:type="auto"/>
            <w:hideMark/>
          </w:tcPr>
          <w:p w14:paraId="48DC4C0D" w14:textId="77777777" w:rsidR="004356AB" w:rsidRPr="00383DF9" w:rsidRDefault="004356AB" w:rsidP="00681721">
            <w:pPr>
              <w:spacing w:after="160" w:line="259" w:lineRule="auto"/>
              <w:rPr>
                <w:rFonts w:ascii="Arial" w:hAnsi="Arial" w:cs="Arial"/>
                <w:b/>
                <w:bCs/>
              </w:rPr>
            </w:pPr>
            <w:r w:rsidRPr="00383DF9">
              <w:rPr>
                <w:rFonts w:ascii="Arial" w:hAnsi="Arial" w:cs="Arial"/>
                <w:b/>
                <w:bCs/>
              </w:rPr>
              <w:t>Theoretical Interpretation</w:t>
            </w:r>
          </w:p>
        </w:tc>
      </w:tr>
      <w:tr w:rsidR="004356AB" w:rsidRPr="00383DF9" w14:paraId="569E6CB5" w14:textId="77777777" w:rsidTr="00681721">
        <w:tc>
          <w:tcPr>
            <w:tcW w:w="0" w:type="auto"/>
            <w:hideMark/>
          </w:tcPr>
          <w:p w14:paraId="2E7C7262" w14:textId="77777777" w:rsidR="004356AB" w:rsidRPr="00383DF9" w:rsidRDefault="004356AB" w:rsidP="00681721">
            <w:pPr>
              <w:spacing w:after="160" w:line="259" w:lineRule="auto"/>
              <w:rPr>
                <w:rFonts w:ascii="Arial" w:hAnsi="Arial" w:cs="Arial"/>
              </w:rPr>
            </w:pPr>
            <w:r w:rsidRPr="00383DF9">
              <w:rPr>
                <w:rFonts w:ascii="Arial" w:hAnsi="Arial" w:cs="Arial"/>
              </w:rPr>
              <w:t>Work Intensity and Job Pressure</w:t>
            </w:r>
          </w:p>
        </w:tc>
        <w:tc>
          <w:tcPr>
            <w:tcW w:w="0" w:type="auto"/>
            <w:hideMark/>
          </w:tcPr>
          <w:p w14:paraId="773CE5A7" w14:textId="77777777" w:rsidR="004356AB" w:rsidRPr="00383DF9" w:rsidRDefault="004356AB" w:rsidP="00681721">
            <w:pPr>
              <w:spacing w:after="160" w:line="259" w:lineRule="auto"/>
              <w:rPr>
                <w:rFonts w:ascii="Arial" w:hAnsi="Arial" w:cs="Arial"/>
              </w:rPr>
            </w:pPr>
            <w:r w:rsidRPr="00383DF9">
              <w:rPr>
                <w:rFonts w:ascii="Arial" w:hAnsi="Arial" w:cs="Arial"/>
              </w:rPr>
              <w:t>Emphasis on efficiency, productivity, and meeting targets</w:t>
            </w:r>
          </w:p>
        </w:tc>
        <w:tc>
          <w:tcPr>
            <w:tcW w:w="0" w:type="auto"/>
            <w:hideMark/>
          </w:tcPr>
          <w:p w14:paraId="76431F84" w14:textId="77777777" w:rsidR="004356AB" w:rsidRPr="00383DF9" w:rsidRDefault="004356AB" w:rsidP="00681721">
            <w:pPr>
              <w:spacing w:after="160" w:line="259" w:lineRule="auto"/>
              <w:rPr>
                <w:rFonts w:ascii="Arial" w:hAnsi="Arial" w:cs="Arial"/>
              </w:rPr>
            </w:pPr>
            <w:r w:rsidRPr="00383DF9">
              <w:rPr>
                <w:rFonts w:ascii="Arial" w:hAnsi="Arial" w:cs="Arial"/>
              </w:rPr>
              <w:t>High workload, long hours, stress, pressure</w:t>
            </w:r>
          </w:p>
        </w:tc>
        <w:tc>
          <w:tcPr>
            <w:tcW w:w="0" w:type="auto"/>
            <w:hideMark/>
          </w:tcPr>
          <w:p w14:paraId="081D01DE" w14:textId="77777777" w:rsidR="004356AB" w:rsidRPr="00383DF9" w:rsidRDefault="004356AB" w:rsidP="00681721">
            <w:pPr>
              <w:spacing w:after="160" w:line="259" w:lineRule="auto"/>
              <w:rPr>
                <w:rFonts w:ascii="Arial" w:hAnsi="Arial" w:cs="Arial"/>
              </w:rPr>
            </w:pPr>
            <w:r w:rsidRPr="00383DF9">
              <w:rPr>
                <w:rFonts w:ascii="Arial" w:hAnsi="Arial" w:cs="Arial"/>
              </w:rPr>
              <w:t>Performance expectations vs employee wellbeing</w:t>
            </w:r>
          </w:p>
        </w:tc>
        <w:tc>
          <w:tcPr>
            <w:tcW w:w="0" w:type="auto"/>
            <w:hideMark/>
          </w:tcPr>
          <w:p w14:paraId="5BDD5F50" w14:textId="77777777" w:rsidR="004356AB" w:rsidRPr="00383DF9" w:rsidRDefault="004356AB" w:rsidP="00681721">
            <w:pPr>
              <w:spacing w:after="160" w:line="259" w:lineRule="auto"/>
              <w:rPr>
                <w:rFonts w:ascii="Arial" w:hAnsi="Arial" w:cs="Arial"/>
              </w:rPr>
            </w:pPr>
            <w:r w:rsidRPr="00383DF9">
              <w:rPr>
                <w:rFonts w:ascii="Arial" w:hAnsi="Arial" w:cs="Arial"/>
              </w:rPr>
              <w:t>JD-R Model (Bakker &amp; Demerouti, 2017) – high demands reduce engagement</w:t>
            </w:r>
          </w:p>
        </w:tc>
      </w:tr>
      <w:tr w:rsidR="004356AB" w:rsidRPr="00383DF9" w14:paraId="2EF75077" w14:textId="77777777" w:rsidTr="00681721">
        <w:tc>
          <w:tcPr>
            <w:tcW w:w="0" w:type="auto"/>
            <w:hideMark/>
          </w:tcPr>
          <w:p w14:paraId="16BD4422" w14:textId="77777777" w:rsidR="004356AB" w:rsidRPr="00383DF9" w:rsidRDefault="004356AB" w:rsidP="00681721">
            <w:pPr>
              <w:spacing w:after="160" w:line="259" w:lineRule="auto"/>
              <w:rPr>
                <w:rFonts w:ascii="Arial" w:hAnsi="Arial" w:cs="Arial"/>
              </w:rPr>
            </w:pPr>
            <w:r w:rsidRPr="00383DF9">
              <w:rPr>
                <w:rFonts w:ascii="Arial" w:hAnsi="Arial" w:cs="Arial"/>
              </w:rPr>
              <w:t>Regulatory and Managerial Control</w:t>
            </w:r>
          </w:p>
        </w:tc>
        <w:tc>
          <w:tcPr>
            <w:tcW w:w="0" w:type="auto"/>
            <w:hideMark/>
          </w:tcPr>
          <w:p w14:paraId="75EB80CC" w14:textId="77777777" w:rsidR="004356AB" w:rsidRPr="00383DF9" w:rsidRDefault="004356AB" w:rsidP="00681721">
            <w:pPr>
              <w:spacing w:after="160" w:line="259" w:lineRule="auto"/>
              <w:rPr>
                <w:rFonts w:ascii="Arial" w:hAnsi="Arial" w:cs="Arial"/>
              </w:rPr>
            </w:pPr>
            <w:r w:rsidRPr="00383DF9">
              <w:rPr>
                <w:rFonts w:ascii="Arial" w:hAnsi="Arial" w:cs="Arial"/>
              </w:rPr>
              <w:t>Focus on compliance, accuracy, and strict procedures</w:t>
            </w:r>
          </w:p>
        </w:tc>
        <w:tc>
          <w:tcPr>
            <w:tcW w:w="0" w:type="auto"/>
            <w:hideMark/>
          </w:tcPr>
          <w:p w14:paraId="66B91801" w14:textId="77777777" w:rsidR="004356AB" w:rsidRPr="00383DF9" w:rsidRDefault="004356AB" w:rsidP="00681721">
            <w:pPr>
              <w:spacing w:after="160" w:line="259" w:lineRule="auto"/>
              <w:rPr>
                <w:rFonts w:ascii="Arial" w:hAnsi="Arial" w:cs="Arial"/>
              </w:rPr>
            </w:pPr>
            <w:r w:rsidRPr="00383DF9">
              <w:rPr>
                <w:rFonts w:ascii="Arial" w:hAnsi="Arial" w:cs="Arial"/>
              </w:rPr>
              <w:t>Constant monitoring, lack of flexibility</w:t>
            </w:r>
          </w:p>
        </w:tc>
        <w:tc>
          <w:tcPr>
            <w:tcW w:w="0" w:type="auto"/>
            <w:hideMark/>
          </w:tcPr>
          <w:p w14:paraId="65DACEFB" w14:textId="77777777" w:rsidR="004356AB" w:rsidRPr="00383DF9" w:rsidRDefault="004356AB" w:rsidP="00681721">
            <w:pPr>
              <w:spacing w:after="160" w:line="259" w:lineRule="auto"/>
              <w:rPr>
                <w:rFonts w:ascii="Arial" w:hAnsi="Arial" w:cs="Arial"/>
              </w:rPr>
            </w:pPr>
            <w:r w:rsidRPr="00383DF9">
              <w:rPr>
                <w:rFonts w:ascii="Arial" w:hAnsi="Arial" w:cs="Arial"/>
              </w:rPr>
              <w:t>Compliance requirements vs autonomy</w:t>
            </w:r>
          </w:p>
        </w:tc>
        <w:tc>
          <w:tcPr>
            <w:tcW w:w="0" w:type="auto"/>
            <w:hideMark/>
          </w:tcPr>
          <w:p w14:paraId="16434D40" w14:textId="77777777" w:rsidR="004356AB" w:rsidRPr="00383DF9" w:rsidRDefault="004356AB" w:rsidP="00681721">
            <w:pPr>
              <w:spacing w:after="160" w:line="259" w:lineRule="auto"/>
              <w:rPr>
                <w:rFonts w:ascii="Arial" w:hAnsi="Arial" w:cs="Arial"/>
              </w:rPr>
            </w:pPr>
            <w:r w:rsidRPr="00383DF9">
              <w:rPr>
                <w:rFonts w:ascii="Arial" w:hAnsi="Arial" w:cs="Arial"/>
              </w:rPr>
              <w:t>Labour Process Theory (Edwards, 1979) – direct &amp; bureaucratic control</w:t>
            </w:r>
          </w:p>
        </w:tc>
      </w:tr>
      <w:tr w:rsidR="004356AB" w:rsidRPr="00383DF9" w14:paraId="4C695FAB" w14:textId="77777777" w:rsidTr="00681721">
        <w:tc>
          <w:tcPr>
            <w:tcW w:w="0" w:type="auto"/>
            <w:hideMark/>
          </w:tcPr>
          <w:p w14:paraId="60D6B241" w14:textId="77777777" w:rsidR="004356AB" w:rsidRPr="00383DF9" w:rsidRDefault="004356AB" w:rsidP="00681721">
            <w:pPr>
              <w:spacing w:after="160" w:line="259" w:lineRule="auto"/>
              <w:rPr>
                <w:rFonts w:ascii="Arial" w:hAnsi="Arial" w:cs="Arial"/>
              </w:rPr>
            </w:pPr>
            <w:r w:rsidRPr="00383DF9">
              <w:rPr>
                <w:rFonts w:ascii="Arial" w:hAnsi="Arial" w:cs="Arial"/>
              </w:rPr>
              <w:t>Limited Autonomy and Employee Voice</w:t>
            </w:r>
          </w:p>
        </w:tc>
        <w:tc>
          <w:tcPr>
            <w:tcW w:w="0" w:type="auto"/>
            <w:hideMark/>
          </w:tcPr>
          <w:p w14:paraId="27815D54" w14:textId="77777777" w:rsidR="004356AB" w:rsidRPr="00383DF9" w:rsidRDefault="004356AB" w:rsidP="00681721">
            <w:pPr>
              <w:spacing w:after="160" w:line="259" w:lineRule="auto"/>
              <w:rPr>
                <w:rFonts w:ascii="Arial" w:hAnsi="Arial" w:cs="Arial"/>
              </w:rPr>
            </w:pPr>
            <w:r w:rsidRPr="00383DF9">
              <w:rPr>
                <w:rFonts w:ascii="Arial" w:hAnsi="Arial" w:cs="Arial"/>
              </w:rPr>
              <w:t>Claims of employee involvement and open communication</w:t>
            </w:r>
          </w:p>
        </w:tc>
        <w:tc>
          <w:tcPr>
            <w:tcW w:w="0" w:type="auto"/>
            <w:hideMark/>
          </w:tcPr>
          <w:p w14:paraId="28E620B4" w14:textId="77777777" w:rsidR="004356AB" w:rsidRPr="00383DF9" w:rsidRDefault="004356AB" w:rsidP="00681721">
            <w:pPr>
              <w:spacing w:after="160" w:line="259" w:lineRule="auto"/>
              <w:rPr>
                <w:rFonts w:ascii="Arial" w:hAnsi="Arial" w:cs="Arial"/>
              </w:rPr>
            </w:pPr>
            <w:r w:rsidRPr="00383DF9">
              <w:rPr>
                <w:rFonts w:ascii="Arial" w:hAnsi="Arial" w:cs="Arial"/>
              </w:rPr>
              <w:t>Little say in decisions, weak feedback systems</w:t>
            </w:r>
          </w:p>
        </w:tc>
        <w:tc>
          <w:tcPr>
            <w:tcW w:w="0" w:type="auto"/>
            <w:hideMark/>
          </w:tcPr>
          <w:p w14:paraId="1F817448" w14:textId="77777777" w:rsidR="004356AB" w:rsidRPr="00383DF9" w:rsidRDefault="004356AB" w:rsidP="00681721">
            <w:pPr>
              <w:spacing w:after="160" w:line="259" w:lineRule="auto"/>
              <w:rPr>
                <w:rFonts w:ascii="Arial" w:hAnsi="Arial" w:cs="Arial"/>
              </w:rPr>
            </w:pPr>
            <w:r w:rsidRPr="00383DF9">
              <w:rPr>
                <w:rFonts w:ascii="Arial" w:hAnsi="Arial" w:cs="Arial"/>
              </w:rPr>
              <w:t>Participation rhetoric vs limited influence</w:t>
            </w:r>
          </w:p>
        </w:tc>
        <w:tc>
          <w:tcPr>
            <w:tcW w:w="0" w:type="auto"/>
            <w:hideMark/>
          </w:tcPr>
          <w:p w14:paraId="4456AE4C" w14:textId="77777777" w:rsidR="004356AB" w:rsidRPr="00383DF9" w:rsidRDefault="004356AB" w:rsidP="00681721">
            <w:pPr>
              <w:spacing w:after="160" w:line="259" w:lineRule="auto"/>
              <w:rPr>
                <w:rFonts w:ascii="Arial" w:hAnsi="Arial" w:cs="Arial"/>
              </w:rPr>
            </w:pPr>
            <w:r w:rsidRPr="00383DF9">
              <w:rPr>
                <w:rFonts w:ascii="Arial" w:hAnsi="Arial" w:cs="Arial"/>
              </w:rPr>
              <w:t>Critical HRM (Legge, 2005) – illusion of involvement</w:t>
            </w:r>
          </w:p>
        </w:tc>
      </w:tr>
      <w:tr w:rsidR="004356AB" w:rsidRPr="00383DF9" w14:paraId="695ADEF8" w14:textId="77777777" w:rsidTr="00681721">
        <w:tc>
          <w:tcPr>
            <w:tcW w:w="0" w:type="auto"/>
            <w:hideMark/>
          </w:tcPr>
          <w:p w14:paraId="0187F698" w14:textId="77777777" w:rsidR="004356AB" w:rsidRPr="00383DF9" w:rsidRDefault="004356AB" w:rsidP="00681721">
            <w:pPr>
              <w:spacing w:after="160" w:line="259" w:lineRule="auto"/>
              <w:rPr>
                <w:rFonts w:ascii="Arial" w:hAnsi="Arial" w:cs="Arial"/>
              </w:rPr>
            </w:pPr>
            <w:r w:rsidRPr="00383DF9">
              <w:rPr>
                <w:rFonts w:ascii="Arial" w:hAnsi="Arial" w:cs="Arial"/>
              </w:rPr>
              <w:lastRenderedPageBreak/>
              <w:t>Engagement as a Managerial Strategy</w:t>
            </w:r>
          </w:p>
        </w:tc>
        <w:tc>
          <w:tcPr>
            <w:tcW w:w="0" w:type="auto"/>
            <w:hideMark/>
          </w:tcPr>
          <w:p w14:paraId="580BE608" w14:textId="77777777" w:rsidR="004356AB" w:rsidRPr="00383DF9" w:rsidRDefault="004356AB" w:rsidP="00681721">
            <w:pPr>
              <w:spacing w:after="160" w:line="259" w:lineRule="auto"/>
              <w:rPr>
                <w:rFonts w:ascii="Arial" w:hAnsi="Arial" w:cs="Arial"/>
              </w:rPr>
            </w:pPr>
            <w:r w:rsidRPr="00383DF9">
              <w:rPr>
                <w:rFonts w:ascii="Arial" w:hAnsi="Arial" w:cs="Arial"/>
              </w:rPr>
              <w:t>Promotion of engagement initiatives and recognition schemes</w:t>
            </w:r>
          </w:p>
        </w:tc>
        <w:tc>
          <w:tcPr>
            <w:tcW w:w="0" w:type="auto"/>
            <w:hideMark/>
          </w:tcPr>
          <w:p w14:paraId="5B849F51" w14:textId="77777777" w:rsidR="004356AB" w:rsidRPr="00383DF9" w:rsidRDefault="004356AB" w:rsidP="00681721">
            <w:pPr>
              <w:spacing w:after="160" w:line="259" w:lineRule="auto"/>
              <w:rPr>
                <w:rFonts w:ascii="Arial" w:hAnsi="Arial" w:cs="Arial"/>
              </w:rPr>
            </w:pPr>
            <w:r w:rsidRPr="00383DF9">
              <w:rPr>
                <w:rFonts w:ascii="Arial" w:hAnsi="Arial" w:cs="Arial"/>
              </w:rPr>
              <w:t>Engagement seen as superficial or symbolic</w:t>
            </w:r>
          </w:p>
        </w:tc>
        <w:tc>
          <w:tcPr>
            <w:tcW w:w="0" w:type="auto"/>
            <w:hideMark/>
          </w:tcPr>
          <w:p w14:paraId="09E0C6A3" w14:textId="77777777" w:rsidR="004356AB" w:rsidRPr="00383DF9" w:rsidRDefault="004356AB" w:rsidP="00681721">
            <w:pPr>
              <w:spacing w:after="160" w:line="259" w:lineRule="auto"/>
              <w:rPr>
                <w:rFonts w:ascii="Arial" w:hAnsi="Arial" w:cs="Arial"/>
              </w:rPr>
            </w:pPr>
            <w:r w:rsidRPr="00383DF9">
              <w:rPr>
                <w:rFonts w:ascii="Arial" w:hAnsi="Arial" w:cs="Arial"/>
              </w:rPr>
              <w:t>Engagement discourse vs practical impact</w:t>
            </w:r>
          </w:p>
        </w:tc>
        <w:tc>
          <w:tcPr>
            <w:tcW w:w="0" w:type="auto"/>
            <w:hideMark/>
          </w:tcPr>
          <w:p w14:paraId="0F311763" w14:textId="77777777" w:rsidR="004356AB" w:rsidRPr="00383DF9" w:rsidRDefault="004356AB" w:rsidP="00681721">
            <w:pPr>
              <w:spacing w:after="160" w:line="259" w:lineRule="auto"/>
              <w:rPr>
                <w:rFonts w:ascii="Arial" w:hAnsi="Arial" w:cs="Arial"/>
              </w:rPr>
            </w:pPr>
            <w:r w:rsidRPr="00383DF9">
              <w:rPr>
                <w:rFonts w:ascii="Arial" w:hAnsi="Arial" w:cs="Arial"/>
              </w:rPr>
              <w:t>Strategic HRM (Torrington et al., 2020) – alignment tool</w:t>
            </w:r>
          </w:p>
        </w:tc>
      </w:tr>
      <w:tr w:rsidR="004356AB" w:rsidRPr="00383DF9" w14:paraId="71195C01" w14:textId="77777777" w:rsidTr="00681721">
        <w:tc>
          <w:tcPr>
            <w:tcW w:w="0" w:type="auto"/>
            <w:hideMark/>
          </w:tcPr>
          <w:p w14:paraId="5E28BE29" w14:textId="77777777" w:rsidR="004356AB" w:rsidRPr="00383DF9" w:rsidRDefault="004356AB" w:rsidP="00681721">
            <w:pPr>
              <w:spacing w:after="160" w:line="259" w:lineRule="auto"/>
              <w:rPr>
                <w:rFonts w:ascii="Arial" w:hAnsi="Arial" w:cs="Arial"/>
              </w:rPr>
            </w:pPr>
            <w:r w:rsidRPr="00383DF9">
              <w:rPr>
                <w:rFonts w:ascii="Arial" w:hAnsi="Arial" w:cs="Arial"/>
              </w:rPr>
              <w:t>Gap Between Rhetoric and Reality</w:t>
            </w:r>
          </w:p>
        </w:tc>
        <w:tc>
          <w:tcPr>
            <w:tcW w:w="0" w:type="auto"/>
            <w:hideMark/>
          </w:tcPr>
          <w:p w14:paraId="5C142494" w14:textId="77777777" w:rsidR="004356AB" w:rsidRPr="00383DF9" w:rsidRDefault="004356AB" w:rsidP="00681721">
            <w:pPr>
              <w:spacing w:after="160" w:line="259" w:lineRule="auto"/>
              <w:rPr>
                <w:rFonts w:ascii="Arial" w:hAnsi="Arial" w:cs="Arial"/>
              </w:rPr>
            </w:pPr>
            <w:r w:rsidRPr="00383DF9">
              <w:rPr>
                <w:rFonts w:ascii="Arial" w:hAnsi="Arial" w:cs="Arial"/>
              </w:rPr>
              <w:t>Emphasis on wellbeing, support, and positive culture</w:t>
            </w:r>
          </w:p>
        </w:tc>
        <w:tc>
          <w:tcPr>
            <w:tcW w:w="0" w:type="auto"/>
            <w:hideMark/>
          </w:tcPr>
          <w:p w14:paraId="0BCC1B02" w14:textId="77777777" w:rsidR="004356AB" w:rsidRPr="00383DF9" w:rsidRDefault="004356AB" w:rsidP="00681721">
            <w:pPr>
              <w:spacing w:after="160" w:line="259" w:lineRule="auto"/>
              <w:rPr>
                <w:rFonts w:ascii="Arial" w:hAnsi="Arial" w:cs="Arial"/>
              </w:rPr>
            </w:pPr>
            <w:r w:rsidRPr="00383DF9">
              <w:rPr>
                <w:rFonts w:ascii="Arial" w:hAnsi="Arial" w:cs="Arial"/>
              </w:rPr>
              <w:t>Contradictory experiences of pressure and dissatisfaction</w:t>
            </w:r>
          </w:p>
        </w:tc>
        <w:tc>
          <w:tcPr>
            <w:tcW w:w="0" w:type="auto"/>
            <w:hideMark/>
          </w:tcPr>
          <w:p w14:paraId="3034DC04" w14:textId="77777777" w:rsidR="004356AB" w:rsidRPr="00383DF9" w:rsidRDefault="004356AB" w:rsidP="00681721">
            <w:pPr>
              <w:spacing w:after="160" w:line="259" w:lineRule="auto"/>
              <w:rPr>
                <w:rFonts w:ascii="Arial" w:hAnsi="Arial" w:cs="Arial"/>
              </w:rPr>
            </w:pPr>
            <w:r w:rsidRPr="00383DF9">
              <w:rPr>
                <w:rFonts w:ascii="Arial" w:hAnsi="Arial" w:cs="Arial"/>
              </w:rPr>
              <w:t>Organisational claims vs lived experience</w:t>
            </w:r>
          </w:p>
        </w:tc>
        <w:tc>
          <w:tcPr>
            <w:tcW w:w="0" w:type="auto"/>
            <w:hideMark/>
          </w:tcPr>
          <w:p w14:paraId="76E95972" w14:textId="77777777" w:rsidR="004356AB" w:rsidRPr="00383DF9" w:rsidRDefault="004356AB" w:rsidP="00681721">
            <w:pPr>
              <w:spacing w:after="160" w:line="259" w:lineRule="auto"/>
              <w:rPr>
                <w:rFonts w:ascii="Arial" w:hAnsi="Arial" w:cs="Arial"/>
              </w:rPr>
            </w:pPr>
            <w:r w:rsidRPr="00383DF9">
              <w:rPr>
                <w:rFonts w:ascii="Arial" w:hAnsi="Arial" w:cs="Arial"/>
              </w:rPr>
              <w:t>Normative Control (Thompson, 2011; Fleming, 2017)</w:t>
            </w:r>
          </w:p>
        </w:tc>
      </w:tr>
    </w:tbl>
    <w:p w14:paraId="74EB7A49" w14:textId="77777777" w:rsidR="004356AB" w:rsidRDefault="004356AB" w:rsidP="004356AB">
      <w:pPr>
        <w:rPr>
          <w:rFonts w:ascii="Arial" w:hAnsi="Arial" w:cs="Arial"/>
        </w:rPr>
      </w:pPr>
    </w:p>
    <w:p w14:paraId="2BBD95D9" w14:textId="0B58E88C" w:rsidR="004356AB" w:rsidRPr="00003CFC" w:rsidRDefault="004356AB" w:rsidP="00003CFC">
      <w:pPr>
        <w:jc w:val="both"/>
        <w:rPr>
          <w:rFonts w:ascii="Arial" w:hAnsi="Arial" w:cs="Arial"/>
        </w:rPr>
      </w:pPr>
      <w:r w:rsidRPr="004356AB">
        <w:rPr>
          <w:rFonts w:ascii="Arial" w:hAnsi="Arial" w:cs="Arial"/>
        </w:rPr>
        <w:t>The thematic matrix provides a comparative overview of how employee engagement is constructed and experienced across organisational and employee-generated data. By contrasting organisational narratives with employee experiences, the matrix highlights consistent tensions between engagement rhetoric and workplace reality. These tensions reveal that engagement strategies are not experienced uniformly but are shaped by structural conditions such as workload, regulatory pressure, and managerial control. The matrix also demonstrates how each theme aligns with established theoretical perspectives, reinforcing the study’s conceptual framework and supporting a critical interpretation of engagement within highly regulated organisational contexts.</w:t>
      </w:r>
    </w:p>
    <w:p w14:paraId="1B6A5A9D" w14:textId="732D7923" w:rsidR="00BD44A6" w:rsidRPr="00003CFC" w:rsidRDefault="00E324FB" w:rsidP="00FF03DF">
      <w:pPr>
        <w:pStyle w:val="Heading2"/>
        <w:rPr>
          <w:rFonts w:ascii="Arial" w:hAnsi="Arial" w:cs="Arial"/>
          <w:b/>
          <w:bCs/>
          <w:color w:val="000000" w:themeColor="text1"/>
          <w:sz w:val="24"/>
          <w:szCs w:val="24"/>
        </w:rPr>
      </w:pPr>
      <w:bookmarkStart w:id="31" w:name="_Toc228563715"/>
      <w:r w:rsidRPr="00003CFC">
        <w:rPr>
          <w:rFonts w:ascii="Arial" w:hAnsi="Arial" w:cs="Arial"/>
          <w:b/>
          <w:bCs/>
          <w:color w:val="000000" w:themeColor="text1"/>
          <w:sz w:val="24"/>
          <w:szCs w:val="24"/>
        </w:rPr>
        <w:t>4.3 Work Intensity and Job Pressure</w:t>
      </w:r>
      <w:bookmarkEnd w:id="31"/>
    </w:p>
    <w:p w14:paraId="3A96F889" w14:textId="12A07C46" w:rsidR="00E324FB" w:rsidRDefault="00E324FB" w:rsidP="00F5567A">
      <w:pPr>
        <w:jc w:val="both"/>
        <w:rPr>
          <w:rFonts w:ascii="Arial" w:hAnsi="Arial" w:cs="Arial"/>
        </w:rPr>
      </w:pPr>
      <w:r w:rsidRPr="00E324FB">
        <w:rPr>
          <w:rFonts w:ascii="Arial" w:hAnsi="Arial" w:cs="Arial"/>
        </w:rPr>
        <w:t xml:space="preserve">The findings indicate that employees </w:t>
      </w:r>
      <w:r w:rsidR="00EC03AA">
        <w:rPr>
          <w:rFonts w:ascii="Arial" w:hAnsi="Arial" w:cs="Arial"/>
        </w:rPr>
        <w:t>in pharmaceutical logistics frequently experience high workloads</w:t>
      </w:r>
      <w:r w:rsidRPr="00E324FB">
        <w:rPr>
          <w:rFonts w:ascii="Arial" w:hAnsi="Arial" w:cs="Arial"/>
        </w:rPr>
        <w:t xml:space="preserve"> and operational pressure. This pattern is consistently reflected in employee-generated data, particularly online reviews. </w:t>
      </w:r>
    </w:p>
    <w:p w14:paraId="00239076" w14:textId="2D04C17A" w:rsidR="008C78A5" w:rsidRPr="008C78A5" w:rsidRDefault="008C78A5" w:rsidP="008C78A5">
      <w:pPr>
        <w:rPr>
          <w:rFonts w:ascii="Arial" w:hAnsi="Arial" w:cs="Arial"/>
          <w:b/>
          <w:bCs/>
        </w:rPr>
      </w:pPr>
      <w:r w:rsidRPr="008C78A5">
        <w:rPr>
          <w:rFonts w:ascii="Arial" w:hAnsi="Arial" w:cs="Arial"/>
          <w:b/>
          <w:bCs/>
        </w:rPr>
        <w:t>Table 4.</w:t>
      </w:r>
      <w:r w:rsidR="004356AB">
        <w:rPr>
          <w:rFonts w:ascii="Arial" w:hAnsi="Arial" w:cs="Arial"/>
          <w:b/>
          <w:bCs/>
        </w:rPr>
        <w:t>2</w:t>
      </w:r>
      <w:r w:rsidRPr="008C78A5">
        <w:rPr>
          <w:rFonts w:ascii="Arial" w:hAnsi="Arial" w:cs="Arial"/>
          <w:b/>
          <w:bCs/>
        </w:rPr>
        <w:t>: Evidence for Work Intensity and Job Pressure</w:t>
      </w:r>
    </w:p>
    <w:tbl>
      <w:tblPr>
        <w:tblStyle w:val="TableGrid"/>
        <w:tblW w:w="0" w:type="auto"/>
        <w:tblLook w:val="04A0" w:firstRow="1" w:lastRow="0" w:firstColumn="1" w:lastColumn="0" w:noHBand="0" w:noVBand="1"/>
      </w:tblPr>
      <w:tblGrid>
        <w:gridCol w:w="1847"/>
        <w:gridCol w:w="2878"/>
        <w:gridCol w:w="2424"/>
        <w:gridCol w:w="1867"/>
      </w:tblGrid>
      <w:tr w:rsidR="008C78A5" w:rsidRPr="008C78A5" w14:paraId="20EFEB6C" w14:textId="77777777" w:rsidTr="008C78A5">
        <w:tc>
          <w:tcPr>
            <w:tcW w:w="0" w:type="auto"/>
            <w:hideMark/>
          </w:tcPr>
          <w:p w14:paraId="6F69A142" w14:textId="77777777" w:rsidR="008C78A5" w:rsidRPr="008C78A5" w:rsidRDefault="008C78A5" w:rsidP="008C78A5">
            <w:pPr>
              <w:spacing w:after="160" w:line="259" w:lineRule="auto"/>
              <w:rPr>
                <w:rFonts w:ascii="Arial" w:hAnsi="Arial" w:cs="Arial"/>
                <w:b/>
                <w:bCs/>
              </w:rPr>
            </w:pPr>
            <w:r w:rsidRPr="008C78A5">
              <w:rPr>
                <w:rFonts w:ascii="Arial" w:hAnsi="Arial" w:cs="Arial"/>
                <w:b/>
                <w:bCs/>
              </w:rPr>
              <w:t>Data Source</w:t>
            </w:r>
          </w:p>
        </w:tc>
        <w:tc>
          <w:tcPr>
            <w:tcW w:w="0" w:type="auto"/>
            <w:hideMark/>
          </w:tcPr>
          <w:p w14:paraId="425C4921" w14:textId="77777777" w:rsidR="008C78A5" w:rsidRPr="008C78A5" w:rsidRDefault="008C78A5" w:rsidP="008C78A5">
            <w:pPr>
              <w:spacing w:after="160" w:line="259" w:lineRule="auto"/>
              <w:rPr>
                <w:rFonts w:ascii="Arial" w:hAnsi="Arial" w:cs="Arial"/>
                <w:b/>
                <w:bCs/>
              </w:rPr>
            </w:pPr>
            <w:r w:rsidRPr="008C78A5">
              <w:rPr>
                <w:rFonts w:ascii="Arial" w:hAnsi="Arial" w:cs="Arial"/>
                <w:b/>
                <w:bCs/>
              </w:rPr>
              <w:t>Extract (Evidence)</w:t>
            </w:r>
          </w:p>
        </w:tc>
        <w:tc>
          <w:tcPr>
            <w:tcW w:w="0" w:type="auto"/>
            <w:hideMark/>
          </w:tcPr>
          <w:p w14:paraId="696E4B48" w14:textId="77777777" w:rsidR="008C78A5" w:rsidRPr="008C78A5" w:rsidRDefault="008C78A5" w:rsidP="008C78A5">
            <w:pPr>
              <w:spacing w:after="160" w:line="259" w:lineRule="auto"/>
              <w:rPr>
                <w:rFonts w:ascii="Arial" w:hAnsi="Arial" w:cs="Arial"/>
                <w:b/>
                <w:bCs/>
              </w:rPr>
            </w:pPr>
            <w:r w:rsidRPr="008C78A5">
              <w:rPr>
                <w:rFonts w:ascii="Arial" w:hAnsi="Arial" w:cs="Arial"/>
                <w:b/>
                <w:bCs/>
              </w:rPr>
              <w:t>Interpretation</w:t>
            </w:r>
          </w:p>
        </w:tc>
        <w:tc>
          <w:tcPr>
            <w:tcW w:w="0" w:type="auto"/>
            <w:hideMark/>
          </w:tcPr>
          <w:p w14:paraId="474AF042" w14:textId="77777777" w:rsidR="008C78A5" w:rsidRPr="008C78A5" w:rsidRDefault="008C78A5" w:rsidP="008C78A5">
            <w:pPr>
              <w:spacing w:after="160" w:line="259" w:lineRule="auto"/>
              <w:rPr>
                <w:rFonts w:ascii="Arial" w:hAnsi="Arial" w:cs="Arial"/>
                <w:b/>
                <w:bCs/>
              </w:rPr>
            </w:pPr>
            <w:r w:rsidRPr="008C78A5">
              <w:rPr>
                <w:rFonts w:ascii="Arial" w:hAnsi="Arial" w:cs="Arial"/>
                <w:b/>
                <w:bCs/>
              </w:rPr>
              <w:t>Theoretical Link</w:t>
            </w:r>
          </w:p>
        </w:tc>
      </w:tr>
      <w:tr w:rsidR="008C78A5" w:rsidRPr="008C78A5" w14:paraId="36663E7D" w14:textId="77777777" w:rsidTr="008C78A5">
        <w:tc>
          <w:tcPr>
            <w:tcW w:w="0" w:type="auto"/>
            <w:hideMark/>
          </w:tcPr>
          <w:p w14:paraId="2F2740BD" w14:textId="77777777" w:rsidR="008C78A5" w:rsidRPr="008C78A5" w:rsidRDefault="008C78A5" w:rsidP="008C78A5">
            <w:pPr>
              <w:spacing w:after="160" w:line="259" w:lineRule="auto"/>
              <w:rPr>
                <w:rFonts w:ascii="Arial" w:hAnsi="Arial" w:cs="Arial"/>
              </w:rPr>
            </w:pPr>
            <w:r w:rsidRPr="008C78A5">
              <w:rPr>
                <w:rFonts w:ascii="Arial" w:hAnsi="Arial" w:cs="Arial"/>
              </w:rPr>
              <w:t>Employee Review</w:t>
            </w:r>
          </w:p>
        </w:tc>
        <w:tc>
          <w:tcPr>
            <w:tcW w:w="0" w:type="auto"/>
            <w:hideMark/>
          </w:tcPr>
          <w:p w14:paraId="0FEB5679" w14:textId="77777777" w:rsidR="008C78A5" w:rsidRPr="008C78A5" w:rsidRDefault="008C78A5" w:rsidP="008C78A5">
            <w:pPr>
              <w:spacing w:after="160" w:line="259" w:lineRule="auto"/>
              <w:rPr>
                <w:rFonts w:ascii="Arial" w:hAnsi="Arial" w:cs="Arial"/>
              </w:rPr>
            </w:pPr>
            <w:r w:rsidRPr="008C78A5">
              <w:rPr>
                <w:rFonts w:ascii="Arial" w:hAnsi="Arial" w:cs="Arial"/>
              </w:rPr>
              <w:t>“Workload is very high, and you are expected to meet strict targets every shift.”</w:t>
            </w:r>
          </w:p>
        </w:tc>
        <w:tc>
          <w:tcPr>
            <w:tcW w:w="0" w:type="auto"/>
            <w:hideMark/>
          </w:tcPr>
          <w:p w14:paraId="52612231" w14:textId="77777777" w:rsidR="008C78A5" w:rsidRPr="008C78A5" w:rsidRDefault="008C78A5" w:rsidP="008C78A5">
            <w:pPr>
              <w:spacing w:after="160" w:line="259" w:lineRule="auto"/>
              <w:rPr>
                <w:rFonts w:ascii="Arial" w:hAnsi="Arial" w:cs="Arial"/>
              </w:rPr>
            </w:pPr>
            <w:r w:rsidRPr="008C78A5">
              <w:rPr>
                <w:rFonts w:ascii="Arial" w:hAnsi="Arial" w:cs="Arial"/>
              </w:rPr>
              <w:t>High performance pressure and demanding targets</w:t>
            </w:r>
          </w:p>
        </w:tc>
        <w:tc>
          <w:tcPr>
            <w:tcW w:w="0" w:type="auto"/>
            <w:hideMark/>
          </w:tcPr>
          <w:p w14:paraId="7369A184" w14:textId="77777777" w:rsidR="008C78A5" w:rsidRPr="008C78A5" w:rsidRDefault="008C78A5" w:rsidP="008C78A5">
            <w:pPr>
              <w:spacing w:after="160" w:line="259" w:lineRule="auto"/>
              <w:rPr>
                <w:rFonts w:ascii="Arial" w:hAnsi="Arial" w:cs="Arial"/>
              </w:rPr>
            </w:pPr>
            <w:r w:rsidRPr="008C78A5">
              <w:rPr>
                <w:rFonts w:ascii="Arial" w:hAnsi="Arial" w:cs="Arial"/>
              </w:rPr>
              <w:t>JD-R Model (high job demands)</w:t>
            </w:r>
          </w:p>
        </w:tc>
      </w:tr>
      <w:tr w:rsidR="008C78A5" w:rsidRPr="008C78A5" w14:paraId="5FB7C719" w14:textId="77777777" w:rsidTr="008C78A5">
        <w:tc>
          <w:tcPr>
            <w:tcW w:w="0" w:type="auto"/>
            <w:hideMark/>
          </w:tcPr>
          <w:p w14:paraId="0B780CDE" w14:textId="77777777" w:rsidR="008C78A5" w:rsidRPr="008C78A5" w:rsidRDefault="008C78A5" w:rsidP="008C78A5">
            <w:pPr>
              <w:spacing w:after="160" w:line="259" w:lineRule="auto"/>
              <w:rPr>
                <w:rFonts w:ascii="Arial" w:hAnsi="Arial" w:cs="Arial"/>
              </w:rPr>
            </w:pPr>
            <w:r w:rsidRPr="008C78A5">
              <w:rPr>
                <w:rFonts w:ascii="Arial" w:hAnsi="Arial" w:cs="Arial"/>
              </w:rPr>
              <w:t>Employee Review</w:t>
            </w:r>
          </w:p>
        </w:tc>
        <w:tc>
          <w:tcPr>
            <w:tcW w:w="0" w:type="auto"/>
            <w:hideMark/>
          </w:tcPr>
          <w:p w14:paraId="179250C1" w14:textId="77777777" w:rsidR="008C78A5" w:rsidRPr="008C78A5" w:rsidRDefault="008C78A5" w:rsidP="008C78A5">
            <w:pPr>
              <w:spacing w:after="160" w:line="259" w:lineRule="auto"/>
              <w:rPr>
                <w:rFonts w:ascii="Arial" w:hAnsi="Arial" w:cs="Arial"/>
              </w:rPr>
            </w:pPr>
            <w:r w:rsidRPr="008C78A5">
              <w:rPr>
                <w:rFonts w:ascii="Arial" w:hAnsi="Arial" w:cs="Arial"/>
              </w:rPr>
              <w:t>“Long hours and constant pressure make the job stressful.”</w:t>
            </w:r>
          </w:p>
        </w:tc>
        <w:tc>
          <w:tcPr>
            <w:tcW w:w="0" w:type="auto"/>
            <w:hideMark/>
          </w:tcPr>
          <w:p w14:paraId="6330C71D" w14:textId="77777777" w:rsidR="008C78A5" w:rsidRPr="008C78A5" w:rsidRDefault="008C78A5" w:rsidP="008C78A5">
            <w:pPr>
              <w:spacing w:after="160" w:line="259" w:lineRule="auto"/>
              <w:rPr>
                <w:rFonts w:ascii="Arial" w:hAnsi="Arial" w:cs="Arial"/>
              </w:rPr>
            </w:pPr>
            <w:r w:rsidRPr="008C78A5">
              <w:rPr>
                <w:rFonts w:ascii="Arial" w:hAnsi="Arial" w:cs="Arial"/>
              </w:rPr>
              <w:t>Sustained stress due to workload intensity</w:t>
            </w:r>
          </w:p>
        </w:tc>
        <w:tc>
          <w:tcPr>
            <w:tcW w:w="0" w:type="auto"/>
            <w:hideMark/>
          </w:tcPr>
          <w:p w14:paraId="61539CEB" w14:textId="77777777" w:rsidR="008C78A5" w:rsidRPr="008C78A5" w:rsidRDefault="008C78A5" w:rsidP="008C78A5">
            <w:pPr>
              <w:spacing w:after="160" w:line="259" w:lineRule="auto"/>
              <w:rPr>
                <w:rFonts w:ascii="Arial" w:hAnsi="Arial" w:cs="Arial"/>
              </w:rPr>
            </w:pPr>
            <w:r w:rsidRPr="008C78A5">
              <w:rPr>
                <w:rFonts w:ascii="Arial" w:hAnsi="Arial" w:cs="Arial"/>
              </w:rPr>
              <w:t>JD-R Model (burnout risk)</w:t>
            </w:r>
          </w:p>
        </w:tc>
      </w:tr>
      <w:tr w:rsidR="008C78A5" w:rsidRPr="008C78A5" w14:paraId="0ED847BA" w14:textId="77777777" w:rsidTr="008C78A5">
        <w:tc>
          <w:tcPr>
            <w:tcW w:w="0" w:type="auto"/>
            <w:hideMark/>
          </w:tcPr>
          <w:p w14:paraId="285E0138" w14:textId="77777777" w:rsidR="008C78A5" w:rsidRPr="008C78A5" w:rsidRDefault="008C78A5" w:rsidP="008C78A5">
            <w:pPr>
              <w:spacing w:after="160" w:line="259" w:lineRule="auto"/>
              <w:rPr>
                <w:rFonts w:ascii="Arial" w:hAnsi="Arial" w:cs="Arial"/>
              </w:rPr>
            </w:pPr>
            <w:r w:rsidRPr="008C78A5">
              <w:rPr>
                <w:rFonts w:ascii="Arial" w:hAnsi="Arial" w:cs="Arial"/>
              </w:rPr>
              <w:t>Organisational Narrative</w:t>
            </w:r>
          </w:p>
        </w:tc>
        <w:tc>
          <w:tcPr>
            <w:tcW w:w="0" w:type="auto"/>
            <w:hideMark/>
          </w:tcPr>
          <w:p w14:paraId="396193D7" w14:textId="77777777" w:rsidR="008C78A5" w:rsidRPr="008C78A5" w:rsidRDefault="008C78A5" w:rsidP="008C78A5">
            <w:pPr>
              <w:spacing w:after="160" w:line="259" w:lineRule="auto"/>
              <w:rPr>
                <w:rFonts w:ascii="Arial" w:hAnsi="Arial" w:cs="Arial"/>
              </w:rPr>
            </w:pPr>
            <w:r w:rsidRPr="008C78A5">
              <w:rPr>
                <w:rFonts w:ascii="Arial" w:hAnsi="Arial" w:cs="Arial"/>
              </w:rPr>
              <w:t>Emphasis on efficiency and strict performance targets</w:t>
            </w:r>
          </w:p>
        </w:tc>
        <w:tc>
          <w:tcPr>
            <w:tcW w:w="0" w:type="auto"/>
            <w:hideMark/>
          </w:tcPr>
          <w:p w14:paraId="6F71786B" w14:textId="77777777" w:rsidR="008C78A5" w:rsidRPr="008C78A5" w:rsidRDefault="008C78A5" w:rsidP="008C78A5">
            <w:pPr>
              <w:spacing w:after="160" w:line="259" w:lineRule="auto"/>
              <w:rPr>
                <w:rFonts w:ascii="Arial" w:hAnsi="Arial" w:cs="Arial"/>
              </w:rPr>
            </w:pPr>
            <w:r w:rsidRPr="008C78A5">
              <w:rPr>
                <w:rFonts w:ascii="Arial" w:hAnsi="Arial" w:cs="Arial"/>
              </w:rPr>
              <w:t>Focus on productivity over employee wellbeing</w:t>
            </w:r>
          </w:p>
        </w:tc>
        <w:tc>
          <w:tcPr>
            <w:tcW w:w="0" w:type="auto"/>
            <w:hideMark/>
          </w:tcPr>
          <w:p w14:paraId="6F258E7D" w14:textId="77777777" w:rsidR="008C78A5" w:rsidRPr="008C78A5" w:rsidRDefault="008C78A5" w:rsidP="008C78A5">
            <w:pPr>
              <w:spacing w:after="160" w:line="259" w:lineRule="auto"/>
              <w:rPr>
                <w:rFonts w:ascii="Arial" w:hAnsi="Arial" w:cs="Arial"/>
              </w:rPr>
            </w:pPr>
            <w:r w:rsidRPr="008C78A5">
              <w:rPr>
                <w:rFonts w:ascii="Arial" w:hAnsi="Arial" w:cs="Arial"/>
              </w:rPr>
              <w:t>HRM performance orientation</w:t>
            </w:r>
          </w:p>
        </w:tc>
      </w:tr>
    </w:tbl>
    <w:p w14:paraId="6336C1A8" w14:textId="77777777" w:rsidR="004356AB" w:rsidRDefault="004356AB" w:rsidP="00E324FB">
      <w:pPr>
        <w:rPr>
          <w:rFonts w:ascii="Arial" w:hAnsi="Arial" w:cs="Arial"/>
        </w:rPr>
      </w:pPr>
    </w:p>
    <w:p w14:paraId="5B1EE5F6" w14:textId="187F3591" w:rsidR="008C78A5" w:rsidRDefault="008C78A5" w:rsidP="00F5567A">
      <w:pPr>
        <w:jc w:val="both"/>
        <w:rPr>
          <w:rFonts w:ascii="Arial" w:hAnsi="Arial" w:cs="Arial"/>
        </w:rPr>
      </w:pPr>
      <w:r w:rsidRPr="008C78A5">
        <w:rPr>
          <w:rFonts w:ascii="Arial" w:hAnsi="Arial" w:cs="Arial"/>
        </w:rPr>
        <w:t xml:space="preserve">The table above demonstrates that work intensity is a consistent issue across employee accounts. While organisational narratives emphasise efficiency and service quality, employee experiences highlight the physical and psychological strain associated with these expectations. This imbalance between high job demands and limited resources supports the Job Demands–Resources (JD-R) model, suggesting that excessive demands can </w:t>
      </w:r>
      <w:r w:rsidR="00BD208E">
        <w:rPr>
          <w:rFonts w:ascii="Arial" w:hAnsi="Arial" w:cs="Arial"/>
        </w:rPr>
        <w:t>lead to reduced engagement and increased</w:t>
      </w:r>
      <w:r w:rsidRPr="008C78A5">
        <w:rPr>
          <w:rFonts w:ascii="Arial" w:hAnsi="Arial" w:cs="Arial"/>
        </w:rPr>
        <w:t xml:space="preserve"> turnover intentions.</w:t>
      </w:r>
    </w:p>
    <w:p w14:paraId="6120DA32" w14:textId="77777777" w:rsidR="00B149BF" w:rsidRPr="00E324FB" w:rsidRDefault="00B149BF" w:rsidP="00E324FB">
      <w:pPr>
        <w:rPr>
          <w:rFonts w:ascii="Arial" w:hAnsi="Arial" w:cs="Arial"/>
        </w:rPr>
      </w:pPr>
    </w:p>
    <w:p w14:paraId="6E22978D" w14:textId="4A1C27B5" w:rsidR="00E324FB" w:rsidRPr="00003CFC" w:rsidRDefault="00E324FB" w:rsidP="00FF03DF">
      <w:pPr>
        <w:pStyle w:val="Heading2"/>
        <w:rPr>
          <w:rFonts w:ascii="Arial" w:hAnsi="Arial" w:cs="Arial"/>
          <w:b/>
          <w:bCs/>
          <w:color w:val="000000" w:themeColor="text1"/>
          <w:sz w:val="24"/>
          <w:szCs w:val="24"/>
        </w:rPr>
      </w:pPr>
      <w:bookmarkStart w:id="32" w:name="_Toc228563716"/>
      <w:r w:rsidRPr="00003CFC">
        <w:rPr>
          <w:rFonts w:ascii="Arial" w:hAnsi="Arial" w:cs="Arial"/>
          <w:b/>
          <w:bCs/>
          <w:color w:val="000000" w:themeColor="text1"/>
          <w:sz w:val="24"/>
          <w:szCs w:val="24"/>
        </w:rPr>
        <w:t>4.4 Regulatory and Managerial Control</w:t>
      </w:r>
      <w:bookmarkEnd w:id="32"/>
    </w:p>
    <w:p w14:paraId="71A4AEE7" w14:textId="33ADE264" w:rsidR="004356AB" w:rsidRDefault="00E324FB" w:rsidP="00003CFC">
      <w:pPr>
        <w:jc w:val="both"/>
        <w:rPr>
          <w:rFonts w:ascii="Arial" w:hAnsi="Arial" w:cs="Arial"/>
        </w:rPr>
      </w:pPr>
      <w:r w:rsidRPr="00E324FB">
        <w:rPr>
          <w:rFonts w:ascii="Arial" w:hAnsi="Arial" w:cs="Arial"/>
        </w:rPr>
        <w:t>The analysis reveals that employee work is closely structured and monitored, reflecting both regulatory requirements and managerial control mechanisms. This is evident in both organisational narratives and employee experiences.</w:t>
      </w:r>
    </w:p>
    <w:p w14:paraId="4F891AA5" w14:textId="6C0357F5" w:rsidR="00BD208E" w:rsidRPr="00BD208E" w:rsidRDefault="00BD208E" w:rsidP="00BD208E">
      <w:pPr>
        <w:rPr>
          <w:rFonts w:ascii="Arial" w:hAnsi="Arial" w:cs="Arial"/>
          <w:b/>
          <w:bCs/>
        </w:rPr>
      </w:pPr>
      <w:r w:rsidRPr="00BD208E">
        <w:rPr>
          <w:rFonts w:ascii="Arial" w:hAnsi="Arial" w:cs="Arial"/>
          <w:b/>
          <w:bCs/>
        </w:rPr>
        <w:t>Table 4.</w:t>
      </w:r>
      <w:r w:rsidR="004356AB">
        <w:rPr>
          <w:rFonts w:ascii="Arial" w:hAnsi="Arial" w:cs="Arial"/>
          <w:b/>
          <w:bCs/>
        </w:rPr>
        <w:t>3</w:t>
      </w:r>
      <w:r w:rsidRPr="00BD208E">
        <w:rPr>
          <w:rFonts w:ascii="Arial" w:hAnsi="Arial" w:cs="Arial"/>
          <w:b/>
          <w:bCs/>
        </w:rPr>
        <w:t>: Evidence for Regulatory and Managerial Control</w:t>
      </w:r>
    </w:p>
    <w:tbl>
      <w:tblPr>
        <w:tblStyle w:val="TableGrid"/>
        <w:tblW w:w="0" w:type="auto"/>
        <w:tblLook w:val="04A0" w:firstRow="1" w:lastRow="0" w:firstColumn="1" w:lastColumn="0" w:noHBand="0" w:noVBand="1"/>
      </w:tblPr>
      <w:tblGrid>
        <w:gridCol w:w="1761"/>
        <w:gridCol w:w="2219"/>
        <w:gridCol w:w="2282"/>
        <w:gridCol w:w="2754"/>
      </w:tblGrid>
      <w:tr w:rsidR="00BD208E" w:rsidRPr="00BD208E" w14:paraId="027C7EFC" w14:textId="77777777" w:rsidTr="00BD208E">
        <w:tc>
          <w:tcPr>
            <w:tcW w:w="0" w:type="auto"/>
            <w:hideMark/>
          </w:tcPr>
          <w:p w14:paraId="59D005C7"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Data Source</w:t>
            </w:r>
          </w:p>
        </w:tc>
        <w:tc>
          <w:tcPr>
            <w:tcW w:w="0" w:type="auto"/>
            <w:hideMark/>
          </w:tcPr>
          <w:p w14:paraId="1C7A9B55"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Extract</w:t>
            </w:r>
          </w:p>
        </w:tc>
        <w:tc>
          <w:tcPr>
            <w:tcW w:w="0" w:type="auto"/>
            <w:hideMark/>
          </w:tcPr>
          <w:p w14:paraId="26A5BEE8"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Interpretation</w:t>
            </w:r>
          </w:p>
        </w:tc>
        <w:tc>
          <w:tcPr>
            <w:tcW w:w="0" w:type="auto"/>
            <w:hideMark/>
          </w:tcPr>
          <w:p w14:paraId="3F999882"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Theoretical Link</w:t>
            </w:r>
          </w:p>
        </w:tc>
      </w:tr>
      <w:tr w:rsidR="00BD208E" w:rsidRPr="00BD208E" w14:paraId="6828E3C3" w14:textId="77777777" w:rsidTr="00BD208E">
        <w:tc>
          <w:tcPr>
            <w:tcW w:w="0" w:type="auto"/>
            <w:hideMark/>
          </w:tcPr>
          <w:p w14:paraId="7D202F28"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56BE18C7" w14:textId="77777777" w:rsidR="00BD208E" w:rsidRPr="00BD208E" w:rsidRDefault="00BD208E" w:rsidP="00BD208E">
            <w:pPr>
              <w:spacing w:after="160" w:line="259" w:lineRule="auto"/>
              <w:rPr>
                <w:rFonts w:ascii="Arial" w:hAnsi="Arial" w:cs="Arial"/>
              </w:rPr>
            </w:pPr>
            <w:r w:rsidRPr="00BD208E">
              <w:rPr>
                <w:rFonts w:ascii="Arial" w:hAnsi="Arial" w:cs="Arial"/>
              </w:rPr>
              <w:t>“You are constantly monitored…”</w:t>
            </w:r>
          </w:p>
        </w:tc>
        <w:tc>
          <w:tcPr>
            <w:tcW w:w="0" w:type="auto"/>
            <w:hideMark/>
          </w:tcPr>
          <w:p w14:paraId="55C975D0" w14:textId="77777777" w:rsidR="00BD208E" w:rsidRPr="00BD208E" w:rsidRDefault="00BD208E" w:rsidP="00BD208E">
            <w:pPr>
              <w:spacing w:after="160" w:line="259" w:lineRule="auto"/>
              <w:rPr>
                <w:rFonts w:ascii="Arial" w:hAnsi="Arial" w:cs="Arial"/>
              </w:rPr>
            </w:pPr>
            <w:r w:rsidRPr="00BD208E">
              <w:rPr>
                <w:rFonts w:ascii="Arial" w:hAnsi="Arial" w:cs="Arial"/>
              </w:rPr>
              <w:t>Continuous surveillance of employees</w:t>
            </w:r>
          </w:p>
        </w:tc>
        <w:tc>
          <w:tcPr>
            <w:tcW w:w="0" w:type="auto"/>
            <w:hideMark/>
          </w:tcPr>
          <w:p w14:paraId="2CB99F81" w14:textId="77777777" w:rsidR="00BD208E" w:rsidRPr="00BD208E" w:rsidRDefault="00BD208E" w:rsidP="00BD208E">
            <w:pPr>
              <w:spacing w:after="160" w:line="259" w:lineRule="auto"/>
              <w:rPr>
                <w:rFonts w:ascii="Arial" w:hAnsi="Arial" w:cs="Arial"/>
              </w:rPr>
            </w:pPr>
            <w:r w:rsidRPr="00BD208E">
              <w:rPr>
                <w:rFonts w:ascii="Arial" w:hAnsi="Arial" w:cs="Arial"/>
              </w:rPr>
              <w:t>Labour Process Theory (direct control)</w:t>
            </w:r>
          </w:p>
        </w:tc>
      </w:tr>
      <w:tr w:rsidR="00BD208E" w:rsidRPr="00BD208E" w14:paraId="3ECF4C0C" w14:textId="77777777" w:rsidTr="00BD208E">
        <w:tc>
          <w:tcPr>
            <w:tcW w:w="0" w:type="auto"/>
            <w:hideMark/>
          </w:tcPr>
          <w:p w14:paraId="03B6B01F"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128F478B" w14:textId="77777777" w:rsidR="00BD208E" w:rsidRPr="00BD208E" w:rsidRDefault="00BD208E" w:rsidP="00BD208E">
            <w:pPr>
              <w:spacing w:after="160" w:line="259" w:lineRule="auto"/>
              <w:rPr>
                <w:rFonts w:ascii="Arial" w:hAnsi="Arial" w:cs="Arial"/>
              </w:rPr>
            </w:pPr>
            <w:r w:rsidRPr="00BD208E">
              <w:rPr>
                <w:rFonts w:ascii="Arial" w:hAnsi="Arial" w:cs="Arial"/>
              </w:rPr>
              <w:t>“Strict procedures for everything”</w:t>
            </w:r>
          </w:p>
        </w:tc>
        <w:tc>
          <w:tcPr>
            <w:tcW w:w="0" w:type="auto"/>
            <w:hideMark/>
          </w:tcPr>
          <w:p w14:paraId="1DB84E67" w14:textId="77777777" w:rsidR="00BD208E" w:rsidRPr="00BD208E" w:rsidRDefault="00BD208E" w:rsidP="00BD208E">
            <w:pPr>
              <w:spacing w:after="160" w:line="259" w:lineRule="auto"/>
              <w:rPr>
                <w:rFonts w:ascii="Arial" w:hAnsi="Arial" w:cs="Arial"/>
              </w:rPr>
            </w:pPr>
            <w:r w:rsidRPr="00BD208E">
              <w:rPr>
                <w:rFonts w:ascii="Arial" w:hAnsi="Arial" w:cs="Arial"/>
              </w:rPr>
              <w:t>Limited flexibility in how work is performed</w:t>
            </w:r>
          </w:p>
        </w:tc>
        <w:tc>
          <w:tcPr>
            <w:tcW w:w="0" w:type="auto"/>
            <w:hideMark/>
          </w:tcPr>
          <w:p w14:paraId="42A49405" w14:textId="77777777" w:rsidR="00BD208E" w:rsidRPr="00BD208E" w:rsidRDefault="00BD208E" w:rsidP="00BD208E">
            <w:pPr>
              <w:spacing w:after="160" w:line="259" w:lineRule="auto"/>
              <w:rPr>
                <w:rFonts w:ascii="Arial" w:hAnsi="Arial" w:cs="Arial"/>
              </w:rPr>
            </w:pPr>
            <w:r w:rsidRPr="00BD208E">
              <w:rPr>
                <w:rFonts w:ascii="Arial" w:hAnsi="Arial" w:cs="Arial"/>
              </w:rPr>
              <w:t>Bureaucratic control</w:t>
            </w:r>
          </w:p>
        </w:tc>
      </w:tr>
      <w:tr w:rsidR="00BD208E" w:rsidRPr="00BD208E" w14:paraId="266D9E86" w14:textId="77777777" w:rsidTr="00BD208E">
        <w:tc>
          <w:tcPr>
            <w:tcW w:w="0" w:type="auto"/>
            <w:hideMark/>
          </w:tcPr>
          <w:p w14:paraId="31A54619" w14:textId="77777777" w:rsidR="00BD208E" w:rsidRPr="00BD208E" w:rsidRDefault="00BD208E" w:rsidP="00BD208E">
            <w:pPr>
              <w:spacing w:after="160" w:line="259" w:lineRule="auto"/>
              <w:rPr>
                <w:rFonts w:ascii="Arial" w:hAnsi="Arial" w:cs="Arial"/>
              </w:rPr>
            </w:pPr>
            <w:r w:rsidRPr="00BD208E">
              <w:rPr>
                <w:rFonts w:ascii="Arial" w:hAnsi="Arial" w:cs="Arial"/>
              </w:rPr>
              <w:t>Organisational Data</w:t>
            </w:r>
          </w:p>
        </w:tc>
        <w:tc>
          <w:tcPr>
            <w:tcW w:w="0" w:type="auto"/>
            <w:hideMark/>
          </w:tcPr>
          <w:p w14:paraId="2C7EE97A" w14:textId="77777777" w:rsidR="00BD208E" w:rsidRPr="00BD208E" w:rsidRDefault="00BD208E" w:rsidP="00BD208E">
            <w:pPr>
              <w:spacing w:after="160" w:line="259" w:lineRule="auto"/>
              <w:rPr>
                <w:rFonts w:ascii="Arial" w:hAnsi="Arial" w:cs="Arial"/>
              </w:rPr>
            </w:pPr>
            <w:r w:rsidRPr="00BD208E">
              <w:rPr>
                <w:rFonts w:ascii="Arial" w:hAnsi="Arial" w:cs="Arial"/>
              </w:rPr>
              <w:t>Strong focus on compliance and procedures</w:t>
            </w:r>
          </w:p>
        </w:tc>
        <w:tc>
          <w:tcPr>
            <w:tcW w:w="0" w:type="auto"/>
            <w:hideMark/>
          </w:tcPr>
          <w:p w14:paraId="1BCFB03C" w14:textId="77777777" w:rsidR="00BD208E" w:rsidRPr="00BD208E" w:rsidRDefault="00BD208E" w:rsidP="00BD208E">
            <w:pPr>
              <w:spacing w:after="160" w:line="259" w:lineRule="auto"/>
              <w:rPr>
                <w:rFonts w:ascii="Arial" w:hAnsi="Arial" w:cs="Arial"/>
              </w:rPr>
            </w:pPr>
            <w:r w:rsidRPr="00BD208E">
              <w:rPr>
                <w:rFonts w:ascii="Arial" w:hAnsi="Arial" w:cs="Arial"/>
              </w:rPr>
              <w:t>Regulation drives control systems</w:t>
            </w:r>
          </w:p>
        </w:tc>
        <w:tc>
          <w:tcPr>
            <w:tcW w:w="0" w:type="auto"/>
            <w:hideMark/>
          </w:tcPr>
          <w:p w14:paraId="09A8A925" w14:textId="77777777" w:rsidR="00BD208E" w:rsidRPr="00BD208E" w:rsidRDefault="00BD208E" w:rsidP="00BD208E">
            <w:pPr>
              <w:spacing w:after="160" w:line="259" w:lineRule="auto"/>
              <w:rPr>
                <w:rFonts w:ascii="Arial" w:hAnsi="Arial" w:cs="Arial"/>
              </w:rPr>
            </w:pPr>
            <w:r w:rsidRPr="00BD208E">
              <w:rPr>
                <w:rFonts w:ascii="Arial" w:hAnsi="Arial" w:cs="Arial"/>
              </w:rPr>
              <w:t>Institutional/regulatory pressure</w:t>
            </w:r>
          </w:p>
        </w:tc>
      </w:tr>
    </w:tbl>
    <w:p w14:paraId="24906C4D" w14:textId="77777777" w:rsidR="00BD208E" w:rsidRPr="00E324FB" w:rsidRDefault="00BD208E" w:rsidP="00E324FB">
      <w:pPr>
        <w:rPr>
          <w:rFonts w:ascii="Arial" w:hAnsi="Arial" w:cs="Arial"/>
        </w:rPr>
      </w:pPr>
    </w:p>
    <w:p w14:paraId="01550CEA" w14:textId="05E999C4" w:rsidR="00B149BF" w:rsidRDefault="00BD208E" w:rsidP="00BD44A6">
      <w:pPr>
        <w:rPr>
          <w:rFonts w:ascii="Arial" w:hAnsi="Arial" w:cs="Arial"/>
        </w:rPr>
      </w:pPr>
      <w:r w:rsidRPr="00BD208E">
        <w:rPr>
          <w:rFonts w:ascii="Arial" w:hAnsi="Arial" w:cs="Arial"/>
        </w:rPr>
        <w:t>The table shows that control is embedded within both organisational systems and employee experiences. While such control is necessary for compliance in pharmaceutical logistics, it reduces employee discretion. From a labour process perspective, this reflects a combination of direct and bureaucratic control, where engagement operates within rather than replaces these structures.</w:t>
      </w:r>
    </w:p>
    <w:p w14:paraId="32647B47" w14:textId="77777777" w:rsidR="004356AB" w:rsidRPr="00003CFC" w:rsidRDefault="004356AB" w:rsidP="00BD44A6">
      <w:pPr>
        <w:rPr>
          <w:rFonts w:ascii="Arial" w:hAnsi="Arial" w:cs="Arial"/>
          <w:b/>
          <w:bCs/>
          <w:color w:val="000000" w:themeColor="text1"/>
          <w:sz w:val="24"/>
          <w:szCs w:val="24"/>
        </w:rPr>
      </w:pPr>
    </w:p>
    <w:p w14:paraId="6A46E6F1" w14:textId="353EB5D2" w:rsidR="00E324FB" w:rsidRPr="00003CFC" w:rsidRDefault="00E324FB" w:rsidP="00FF03DF">
      <w:pPr>
        <w:pStyle w:val="Heading2"/>
        <w:rPr>
          <w:rFonts w:ascii="Arial" w:hAnsi="Arial" w:cs="Arial"/>
          <w:b/>
          <w:bCs/>
          <w:color w:val="000000" w:themeColor="text1"/>
          <w:sz w:val="24"/>
          <w:szCs w:val="24"/>
        </w:rPr>
      </w:pPr>
      <w:bookmarkStart w:id="33" w:name="_Toc228563717"/>
      <w:r w:rsidRPr="00003CFC">
        <w:rPr>
          <w:rFonts w:ascii="Arial" w:hAnsi="Arial" w:cs="Arial"/>
          <w:b/>
          <w:bCs/>
          <w:color w:val="000000" w:themeColor="text1"/>
          <w:sz w:val="24"/>
          <w:szCs w:val="24"/>
        </w:rPr>
        <w:t>4.5 Limited Autonomy and Employee Voice</w:t>
      </w:r>
      <w:bookmarkEnd w:id="33"/>
    </w:p>
    <w:p w14:paraId="42DAF8B6" w14:textId="619615B2" w:rsidR="00E324FB" w:rsidRDefault="00E324FB" w:rsidP="00E324FB">
      <w:pPr>
        <w:rPr>
          <w:rFonts w:ascii="Arial" w:hAnsi="Arial" w:cs="Arial"/>
        </w:rPr>
      </w:pPr>
      <w:r w:rsidRPr="00E324FB">
        <w:rPr>
          <w:rFonts w:ascii="Arial" w:hAnsi="Arial" w:cs="Arial"/>
        </w:rPr>
        <w:t xml:space="preserve">A recurring theme across the data is the limited </w:t>
      </w:r>
      <w:r w:rsidR="00EC03AA">
        <w:rPr>
          <w:rFonts w:ascii="Arial" w:hAnsi="Arial" w:cs="Arial"/>
        </w:rPr>
        <w:t>autonomy employees experience</w:t>
      </w:r>
      <w:r w:rsidRPr="00E324FB">
        <w:rPr>
          <w:rFonts w:ascii="Arial" w:hAnsi="Arial" w:cs="Arial"/>
        </w:rPr>
        <w:t>. Employee-generated data suggests that opportunities for participation and decision-making are restricted.</w:t>
      </w:r>
    </w:p>
    <w:p w14:paraId="0C368F0E" w14:textId="77777777" w:rsidR="004356AB" w:rsidRDefault="004356AB" w:rsidP="00E324FB">
      <w:pPr>
        <w:rPr>
          <w:rFonts w:ascii="Arial" w:hAnsi="Arial" w:cs="Arial"/>
        </w:rPr>
      </w:pPr>
    </w:p>
    <w:p w14:paraId="0D08A319" w14:textId="07BEDFE8" w:rsidR="004356AB" w:rsidRPr="00BD208E" w:rsidRDefault="00BD208E" w:rsidP="00BD208E">
      <w:pPr>
        <w:rPr>
          <w:rFonts w:ascii="Arial" w:hAnsi="Arial" w:cs="Arial"/>
          <w:b/>
          <w:bCs/>
        </w:rPr>
      </w:pPr>
      <w:r w:rsidRPr="00BD208E">
        <w:rPr>
          <w:rFonts w:ascii="Arial" w:hAnsi="Arial" w:cs="Arial"/>
          <w:b/>
          <w:bCs/>
        </w:rPr>
        <w:t>Table 4.</w:t>
      </w:r>
      <w:r w:rsidR="004356AB">
        <w:rPr>
          <w:rFonts w:ascii="Arial" w:hAnsi="Arial" w:cs="Arial"/>
          <w:b/>
          <w:bCs/>
        </w:rPr>
        <w:t>4</w:t>
      </w:r>
      <w:r w:rsidRPr="00BD208E">
        <w:rPr>
          <w:rFonts w:ascii="Arial" w:hAnsi="Arial" w:cs="Arial"/>
          <w:b/>
          <w:bCs/>
        </w:rPr>
        <w:t>: Evidence for Limited Autonomy and Employee Voice</w:t>
      </w:r>
    </w:p>
    <w:tbl>
      <w:tblPr>
        <w:tblStyle w:val="TableGrid"/>
        <w:tblW w:w="0" w:type="auto"/>
        <w:tblLook w:val="04A0" w:firstRow="1" w:lastRow="0" w:firstColumn="1" w:lastColumn="0" w:noHBand="0" w:noVBand="1"/>
      </w:tblPr>
      <w:tblGrid>
        <w:gridCol w:w="1960"/>
        <w:gridCol w:w="2826"/>
        <w:gridCol w:w="2652"/>
        <w:gridCol w:w="1578"/>
      </w:tblGrid>
      <w:tr w:rsidR="00BD208E" w:rsidRPr="00BD208E" w14:paraId="3C88C60A" w14:textId="77777777" w:rsidTr="00BD208E">
        <w:tc>
          <w:tcPr>
            <w:tcW w:w="0" w:type="auto"/>
            <w:hideMark/>
          </w:tcPr>
          <w:p w14:paraId="01379D0C"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Data Source</w:t>
            </w:r>
          </w:p>
        </w:tc>
        <w:tc>
          <w:tcPr>
            <w:tcW w:w="0" w:type="auto"/>
            <w:hideMark/>
          </w:tcPr>
          <w:p w14:paraId="4D908F81"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Extract</w:t>
            </w:r>
          </w:p>
        </w:tc>
        <w:tc>
          <w:tcPr>
            <w:tcW w:w="0" w:type="auto"/>
            <w:hideMark/>
          </w:tcPr>
          <w:p w14:paraId="3DDE1FE8"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Interpretation</w:t>
            </w:r>
          </w:p>
        </w:tc>
        <w:tc>
          <w:tcPr>
            <w:tcW w:w="0" w:type="auto"/>
            <w:hideMark/>
          </w:tcPr>
          <w:p w14:paraId="0D7AD6A2"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Theoretical Link</w:t>
            </w:r>
          </w:p>
        </w:tc>
      </w:tr>
      <w:tr w:rsidR="00BD208E" w:rsidRPr="00BD208E" w14:paraId="2D7E1EA6" w14:textId="77777777" w:rsidTr="00BD208E">
        <w:tc>
          <w:tcPr>
            <w:tcW w:w="0" w:type="auto"/>
            <w:hideMark/>
          </w:tcPr>
          <w:p w14:paraId="66224885"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4C44FCD1" w14:textId="77777777" w:rsidR="00BD208E" w:rsidRPr="00BD208E" w:rsidRDefault="00BD208E" w:rsidP="00BD208E">
            <w:pPr>
              <w:spacing w:after="160" w:line="259" w:lineRule="auto"/>
              <w:rPr>
                <w:rFonts w:ascii="Arial" w:hAnsi="Arial" w:cs="Arial"/>
              </w:rPr>
            </w:pPr>
            <w:r w:rsidRPr="00BD208E">
              <w:rPr>
                <w:rFonts w:ascii="Arial" w:hAnsi="Arial" w:cs="Arial"/>
              </w:rPr>
              <w:t>“Workers have very little say in how things are done.”</w:t>
            </w:r>
          </w:p>
        </w:tc>
        <w:tc>
          <w:tcPr>
            <w:tcW w:w="0" w:type="auto"/>
            <w:hideMark/>
          </w:tcPr>
          <w:p w14:paraId="0DA3CA5A" w14:textId="77777777" w:rsidR="00BD208E" w:rsidRPr="00BD208E" w:rsidRDefault="00BD208E" w:rsidP="00BD208E">
            <w:pPr>
              <w:spacing w:after="160" w:line="259" w:lineRule="auto"/>
              <w:rPr>
                <w:rFonts w:ascii="Arial" w:hAnsi="Arial" w:cs="Arial"/>
              </w:rPr>
            </w:pPr>
            <w:r w:rsidRPr="00BD208E">
              <w:rPr>
                <w:rFonts w:ascii="Arial" w:hAnsi="Arial" w:cs="Arial"/>
              </w:rPr>
              <w:t>Lack of employee participation in decisions</w:t>
            </w:r>
          </w:p>
        </w:tc>
        <w:tc>
          <w:tcPr>
            <w:tcW w:w="0" w:type="auto"/>
            <w:hideMark/>
          </w:tcPr>
          <w:p w14:paraId="5F968BCD" w14:textId="77777777" w:rsidR="00BD208E" w:rsidRPr="00BD208E" w:rsidRDefault="00BD208E" w:rsidP="00BD208E">
            <w:pPr>
              <w:spacing w:after="160" w:line="259" w:lineRule="auto"/>
              <w:rPr>
                <w:rFonts w:ascii="Arial" w:hAnsi="Arial" w:cs="Arial"/>
              </w:rPr>
            </w:pPr>
            <w:r w:rsidRPr="00BD208E">
              <w:rPr>
                <w:rFonts w:ascii="Arial" w:hAnsi="Arial" w:cs="Arial"/>
              </w:rPr>
              <w:t>Critical HRM</w:t>
            </w:r>
          </w:p>
        </w:tc>
      </w:tr>
      <w:tr w:rsidR="00BD208E" w:rsidRPr="00BD208E" w14:paraId="7B434169" w14:textId="77777777" w:rsidTr="00BD208E">
        <w:tc>
          <w:tcPr>
            <w:tcW w:w="0" w:type="auto"/>
            <w:hideMark/>
          </w:tcPr>
          <w:p w14:paraId="5A6AA4B7"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483DD539" w14:textId="77777777" w:rsidR="00BD208E" w:rsidRPr="00BD208E" w:rsidRDefault="00BD208E" w:rsidP="00BD208E">
            <w:pPr>
              <w:spacing w:after="160" w:line="259" w:lineRule="auto"/>
              <w:rPr>
                <w:rFonts w:ascii="Arial" w:hAnsi="Arial" w:cs="Arial"/>
              </w:rPr>
            </w:pPr>
            <w:r w:rsidRPr="00BD208E">
              <w:rPr>
                <w:rFonts w:ascii="Arial" w:hAnsi="Arial" w:cs="Arial"/>
              </w:rPr>
              <w:t>“Suggestions are rarely taken seriously.”</w:t>
            </w:r>
          </w:p>
        </w:tc>
        <w:tc>
          <w:tcPr>
            <w:tcW w:w="0" w:type="auto"/>
            <w:hideMark/>
          </w:tcPr>
          <w:p w14:paraId="0729D642" w14:textId="77777777" w:rsidR="00BD208E" w:rsidRPr="00BD208E" w:rsidRDefault="00BD208E" w:rsidP="00BD208E">
            <w:pPr>
              <w:spacing w:after="160" w:line="259" w:lineRule="auto"/>
              <w:rPr>
                <w:rFonts w:ascii="Arial" w:hAnsi="Arial" w:cs="Arial"/>
              </w:rPr>
            </w:pPr>
            <w:r w:rsidRPr="00BD208E">
              <w:rPr>
                <w:rFonts w:ascii="Arial" w:hAnsi="Arial" w:cs="Arial"/>
              </w:rPr>
              <w:t>Weak employee voice mechanisms</w:t>
            </w:r>
          </w:p>
        </w:tc>
        <w:tc>
          <w:tcPr>
            <w:tcW w:w="0" w:type="auto"/>
            <w:hideMark/>
          </w:tcPr>
          <w:p w14:paraId="6B0D60B0" w14:textId="77777777" w:rsidR="00BD208E" w:rsidRPr="00BD208E" w:rsidRDefault="00BD208E" w:rsidP="00BD208E">
            <w:pPr>
              <w:spacing w:after="160" w:line="259" w:lineRule="auto"/>
              <w:rPr>
                <w:rFonts w:ascii="Arial" w:hAnsi="Arial" w:cs="Arial"/>
              </w:rPr>
            </w:pPr>
            <w:r w:rsidRPr="00BD208E">
              <w:rPr>
                <w:rFonts w:ascii="Arial" w:hAnsi="Arial" w:cs="Arial"/>
              </w:rPr>
              <w:t>Power imbalance</w:t>
            </w:r>
          </w:p>
        </w:tc>
      </w:tr>
      <w:tr w:rsidR="00BD208E" w:rsidRPr="00BD208E" w14:paraId="6C4787F1" w14:textId="77777777" w:rsidTr="00BD208E">
        <w:tc>
          <w:tcPr>
            <w:tcW w:w="0" w:type="auto"/>
            <w:hideMark/>
          </w:tcPr>
          <w:p w14:paraId="5E31548D" w14:textId="77777777" w:rsidR="00BD208E" w:rsidRPr="00BD208E" w:rsidRDefault="00BD208E" w:rsidP="00BD208E">
            <w:pPr>
              <w:spacing w:after="160" w:line="259" w:lineRule="auto"/>
              <w:rPr>
                <w:rFonts w:ascii="Arial" w:hAnsi="Arial" w:cs="Arial"/>
              </w:rPr>
            </w:pPr>
            <w:r w:rsidRPr="00BD208E">
              <w:rPr>
                <w:rFonts w:ascii="Arial" w:hAnsi="Arial" w:cs="Arial"/>
              </w:rPr>
              <w:t>Organisational Narrative</w:t>
            </w:r>
          </w:p>
        </w:tc>
        <w:tc>
          <w:tcPr>
            <w:tcW w:w="0" w:type="auto"/>
            <w:hideMark/>
          </w:tcPr>
          <w:p w14:paraId="2585855C" w14:textId="77777777" w:rsidR="00BD208E" w:rsidRPr="00BD208E" w:rsidRDefault="00BD208E" w:rsidP="00BD208E">
            <w:pPr>
              <w:spacing w:after="160" w:line="259" w:lineRule="auto"/>
              <w:rPr>
                <w:rFonts w:ascii="Arial" w:hAnsi="Arial" w:cs="Arial"/>
              </w:rPr>
            </w:pPr>
            <w:r w:rsidRPr="00BD208E">
              <w:rPr>
                <w:rFonts w:ascii="Arial" w:hAnsi="Arial" w:cs="Arial"/>
              </w:rPr>
              <w:t>Claims of employee involvement</w:t>
            </w:r>
          </w:p>
        </w:tc>
        <w:tc>
          <w:tcPr>
            <w:tcW w:w="0" w:type="auto"/>
            <w:hideMark/>
          </w:tcPr>
          <w:p w14:paraId="0E59CFA0" w14:textId="77777777" w:rsidR="00BD208E" w:rsidRPr="00BD208E" w:rsidRDefault="00BD208E" w:rsidP="00BD208E">
            <w:pPr>
              <w:spacing w:after="160" w:line="259" w:lineRule="auto"/>
              <w:rPr>
                <w:rFonts w:ascii="Arial" w:hAnsi="Arial" w:cs="Arial"/>
              </w:rPr>
            </w:pPr>
            <w:r w:rsidRPr="00BD208E">
              <w:rPr>
                <w:rFonts w:ascii="Arial" w:hAnsi="Arial" w:cs="Arial"/>
              </w:rPr>
              <w:t>Symbolic rather than meaningful participation</w:t>
            </w:r>
          </w:p>
        </w:tc>
        <w:tc>
          <w:tcPr>
            <w:tcW w:w="0" w:type="auto"/>
            <w:hideMark/>
          </w:tcPr>
          <w:p w14:paraId="267EDF41" w14:textId="77777777" w:rsidR="00BD208E" w:rsidRPr="00BD208E" w:rsidRDefault="00BD208E" w:rsidP="00BD208E">
            <w:pPr>
              <w:spacing w:after="160" w:line="259" w:lineRule="auto"/>
              <w:rPr>
                <w:rFonts w:ascii="Arial" w:hAnsi="Arial" w:cs="Arial"/>
              </w:rPr>
            </w:pPr>
            <w:r w:rsidRPr="00BD208E">
              <w:rPr>
                <w:rFonts w:ascii="Arial" w:hAnsi="Arial" w:cs="Arial"/>
              </w:rPr>
              <w:t>Normative control</w:t>
            </w:r>
          </w:p>
        </w:tc>
      </w:tr>
    </w:tbl>
    <w:p w14:paraId="2601CAC2" w14:textId="77777777" w:rsidR="004356AB" w:rsidRPr="00E324FB" w:rsidRDefault="004356AB" w:rsidP="00E324FB">
      <w:pPr>
        <w:rPr>
          <w:rFonts w:ascii="Arial" w:hAnsi="Arial" w:cs="Arial"/>
        </w:rPr>
      </w:pPr>
    </w:p>
    <w:p w14:paraId="5DAA4BD9" w14:textId="27D36846" w:rsidR="00E324FB" w:rsidRDefault="00BD208E" w:rsidP="00F5567A">
      <w:pPr>
        <w:jc w:val="both"/>
        <w:rPr>
          <w:rFonts w:ascii="Arial" w:hAnsi="Arial" w:cs="Arial"/>
        </w:rPr>
      </w:pPr>
      <w:r w:rsidRPr="00BD208E">
        <w:rPr>
          <w:rFonts w:ascii="Arial" w:hAnsi="Arial" w:cs="Arial"/>
        </w:rPr>
        <w:lastRenderedPageBreak/>
        <w:t>The table highlights a disconnect between organisational claims of involvement and employee experiences. While engagement rhetoric suggests participation, actual decision-making power remains limited. This supports critical HRM perspectives, which argue that engagement may promote the idea of involvement without altering underlying power structures.</w:t>
      </w:r>
    </w:p>
    <w:p w14:paraId="1C0666B4" w14:textId="77777777" w:rsidR="00833281" w:rsidRPr="00FF03DF" w:rsidRDefault="00833281" w:rsidP="00FF03DF">
      <w:pPr>
        <w:pStyle w:val="Heading2"/>
      </w:pPr>
    </w:p>
    <w:p w14:paraId="1C4E48EF" w14:textId="08783667" w:rsidR="00E324FB" w:rsidRPr="00003CFC" w:rsidRDefault="00E324FB" w:rsidP="00FF03DF">
      <w:pPr>
        <w:pStyle w:val="Heading2"/>
        <w:rPr>
          <w:rFonts w:ascii="Arial" w:hAnsi="Arial" w:cs="Arial"/>
          <w:b/>
          <w:bCs/>
          <w:color w:val="000000" w:themeColor="text1"/>
          <w:sz w:val="24"/>
          <w:szCs w:val="24"/>
        </w:rPr>
      </w:pPr>
      <w:bookmarkStart w:id="34" w:name="_Toc228563718"/>
      <w:r w:rsidRPr="00003CFC">
        <w:rPr>
          <w:rFonts w:ascii="Arial" w:hAnsi="Arial" w:cs="Arial"/>
          <w:b/>
          <w:bCs/>
          <w:color w:val="000000" w:themeColor="text1"/>
          <w:sz w:val="24"/>
          <w:szCs w:val="24"/>
        </w:rPr>
        <w:t>4.6 Engagement as a Managerial Strategy</w:t>
      </w:r>
      <w:bookmarkEnd w:id="34"/>
    </w:p>
    <w:p w14:paraId="3792420C" w14:textId="17524BB4" w:rsidR="00E324FB" w:rsidRDefault="00E324FB" w:rsidP="00F5567A">
      <w:pPr>
        <w:jc w:val="both"/>
        <w:rPr>
          <w:rFonts w:ascii="Arial" w:hAnsi="Arial" w:cs="Arial"/>
        </w:rPr>
      </w:pPr>
      <w:r w:rsidRPr="00E324FB">
        <w:rPr>
          <w:rFonts w:ascii="Arial" w:hAnsi="Arial" w:cs="Arial"/>
        </w:rPr>
        <w:t>The findings indicate that organisations actively promote engagement through formal initiatives such as recognition schemes and communication strategies. However, employee responses suggest that these initiatives are not always perceived as meaningful.</w:t>
      </w:r>
    </w:p>
    <w:p w14:paraId="00B4C753" w14:textId="6516F2BA" w:rsidR="00BD208E" w:rsidRPr="00BD208E" w:rsidRDefault="00BD208E" w:rsidP="00BD208E">
      <w:pPr>
        <w:rPr>
          <w:rFonts w:ascii="Arial" w:hAnsi="Arial" w:cs="Arial"/>
          <w:b/>
          <w:bCs/>
        </w:rPr>
      </w:pPr>
      <w:r w:rsidRPr="00BD208E">
        <w:rPr>
          <w:rFonts w:ascii="Arial" w:hAnsi="Arial" w:cs="Arial"/>
          <w:b/>
          <w:bCs/>
        </w:rPr>
        <w:t>Table 4.</w:t>
      </w:r>
      <w:r w:rsidR="004356AB">
        <w:rPr>
          <w:rFonts w:ascii="Arial" w:hAnsi="Arial" w:cs="Arial"/>
          <w:b/>
          <w:bCs/>
        </w:rPr>
        <w:t>5</w:t>
      </w:r>
      <w:r w:rsidRPr="00BD208E">
        <w:rPr>
          <w:rFonts w:ascii="Arial" w:hAnsi="Arial" w:cs="Arial"/>
          <w:b/>
          <w:bCs/>
        </w:rPr>
        <w:t>: Evidence for Engagement as a Managerial Strategy</w:t>
      </w:r>
    </w:p>
    <w:tbl>
      <w:tblPr>
        <w:tblStyle w:val="TableGrid"/>
        <w:tblW w:w="0" w:type="auto"/>
        <w:tblLook w:val="04A0" w:firstRow="1" w:lastRow="0" w:firstColumn="1" w:lastColumn="0" w:noHBand="0" w:noVBand="1"/>
      </w:tblPr>
      <w:tblGrid>
        <w:gridCol w:w="1822"/>
        <w:gridCol w:w="2570"/>
        <w:gridCol w:w="3051"/>
        <w:gridCol w:w="1573"/>
      </w:tblGrid>
      <w:tr w:rsidR="00BD208E" w:rsidRPr="00BD208E" w14:paraId="6E258FDB" w14:textId="77777777" w:rsidTr="00BD208E">
        <w:tc>
          <w:tcPr>
            <w:tcW w:w="0" w:type="auto"/>
            <w:hideMark/>
          </w:tcPr>
          <w:p w14:paraId="324F6B7B"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Data Source</w:t>
            </w:r>
          </w:p>
        </w:tc>
        <w:tc>
          <w:tcPr>
            <w:tcW w:w="0" w:type="auto"/>
            <w:hideMark/>
          </w:tcPr>
          <w:p w14:paraId="2BDB2D98"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Extract</w:t>
            </w:r>
          </w:p>
        </w:tc>
        <w:tc>
          <w:tcPr>
            <w:tcW w:w="0" w:type="auto"/>
            <w:hideMark/>
          </w:tcPr>
          <w:p w14:paraId="1270F261"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Interpretation</w:t>
            </w:r>
          </w:p>
        </w:tc>
        <w:tc>
          <w:tcPr>
            <w:tcW w:w="0" w:type="auto"/>
            <w:hideMark/>
          </w:tcPr>
          <w:p w14:paraId="120F4061"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Theoretical Link</w:t>
            </w:r>
          </w:p>
        </w:tc>
      </w:tr>
      <w:tr w:rsidR="00BD208E" w:rsidRPr="00BD208E" w14:paraId="1CBEBD1F" w14:textId="77777777" w:rsidTr="00BD208E">
        <w:tc>
          <w:tcPr>
            <w:tcW w:w="0" w:type="auto"/>
            <w:hideMark/>
          </w:tcPr>
          <w:p w14:paraId="320CB91C"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2D2642A9" w14:textId="3D8C2A14" w:rsidR="00BD208E" w:rsidRPr="00BD208E" w:rsidRDefault="00BD208E" w:rsidP="00BD208E">
            <w:pPr>
              <w:spacing w:after="160" w:line="259" w:lineRule="auto"/>
              <w:rPr>
                <w:rFonts w:ascii="Arial" w:hAnsi="Arial" w:cs="Arial"/>
              </w:rPr>
            </w:pPr>
            <w:r w:rsidRPr="00BD208E">
              <w:rPr>
                <w:rFonts w:ascii="Arial" w:hAnsi="Arial" w:cs="Arial"/>
              </w:rPr>
              <w:t xml:space="preserve">“Engagement </w:t>
            </w:r>
            <w:r w:rsidR="000D3F4E">
              <w:rPr>
                <w:rFonts w:ascii="Arial" w:hAnsi="Arial" w:cs="Arial"/>
              </w:rPr>
              <w:t>does not</w:t>
            </w:r>
            <w:r w:rsidRPr="00BD208E">
              <w:rPr>
                <w:rFonts w:ascii="Arial" w:hAnsi="Arial" w:cs="Arial"/>
              </w:rPr>
              <w:t xml:space="preserve"> change workload.”</w:t>
            </w:r>
          </w:p>
        </w:tc>
        <w:tc>
          <w:tcPr>
            <w:tcW w:w="0" w:type="auto"/>
            <w:hideMark/>
          </w:tcPr>
          <w:p w14:paraId="2FD81EEB" w14:textId="77777777" w:rsidR="00BD208E" w:rsidRPr="00BD208E" w:rsidRDefault="00BD208E" w:rsidP="00BD208E">
            <w:pPr>
              <w:spacing w:after="160" w:line="259" w:lineRule="auto"/>
              <w:rPr>
                <w:rFonts w:ascii="Arial" w:hAnsi="Arial" w:cs="Arial"/>
              </w:rPr>
            </w:pPr>
            <w:r w:rsidRPr="00BD208E">
              <w:rPr>
                <w:rFonts w:ascii="Arial" w:hAnsi="Arial" w:cs="Arial"/>
              </w:rPr>
              <w:t>Engagement disconnected from real working conditions</w:t>
            </w:r>
          </w:p>
        </w:tc>
        <w:tc>
          <w:tcPr>
            <w:tcW w:w="0" w:type="auto"/>
            <w:hideMark/>
          </w:tcPr>
          <w:p w14:paraId="1126E8D4" w14:textId="77777777" w:rsidR="00BD208E" w:rsidRPr="00BD208E" w:rsidRDefault="00BD208E" w:rsidP="00BD208E">
            <w:pPr>
              <w:spacing w:after="160" w:line="259" w:lineRule="auto"/>
              <w:rPr>
                <w:rFonts w:ascii="Arial" w:hAnsi="Arial" w:cs="Arial"/>
              </w:rPr>
            </w:pPr>
            <w:r w:rsidRPr="00BD208E">
              <w:rPr>
                <w:rFonts w:ascii="Arial" w:hAnsi="Arial" w:cs="Arial"/>
              </w:rPr>
              <w:t>HRM critique</w:t>
            </w:r>
          </w:p>
        </w:tc>
      </w:tr>
      <w:tr w:rsidR="00BD208E" w:rsidRPr="00BD208E" w14:paraId="28FDCEBC" w14:textId="77777777" w:rsidTr="00BD208E">
        <w:tc>
          <w:tcPr>
            <w:tcW w:w="0" w:type="auto"/>
            <w:hideMark/>
          </w:tcPr>
          <w:p w14:paraId="5C6A1943"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6D5818B9" w14:textId="77777777" w:rsidR="00BD208E" w:rsidRPr="00BD208E" w:rsidRDefault="00BD208E" w:rsidP="00BD208E">
            <w:pPr>
              <w:spacing w:after="160" w:line="259" w:lineRule="auto"/>
              <w:rPr>
                <w:rFonts w:ascii="Arial" w:hAnsi="Arial" w:cs="Arial"/>
              </w:rPr>
            </w:pPr>
            <w:r w:rsidRPr="00BD208E">
              <w:rPr>
                <w:rFonts w:ascii="Arial" w:hAnsi="Arial" w:cs="Arial"/>
              </w:rPr>
              <w:t>“Recognition programs feel like a formality.”</w:t>
            </w:r>
          </w:p>
        </w:tc>
        <w:tc>
          <w:tcPr>
            <w:tcW w:w="0" w:type="auto"/>
            <w:hideMark/>
          </w:tcPr>
          <w:p w14:paraId="67B954EF" w14:textId="77777777" w:rsidR="00BD208E" w:rsidRPr="00BD208E" w:rsidRDefault="00BD208E" w:rsidP="00BD208E">
            <w:pPr>
              <w:spacing w:after="160" w:line="259" w:lineRule="auto"/>
              <w:rPr>
                <w:rFonts w:ascii="Arial" w:hAnsi="Arial" w:cs="Arial"/>
              </w:rPr>
            </w:pPr>
            <w:r w:rsidRPr="00BD208E">
              <w:rPr>
                <w:rFonts w:ascii="Arial" w:hAnsi="Arial" w:cs="Arial"/>
              </w:rPr>
              <w:t>Symbolic engagement practices</w:t>
            </w:r>
          </w:p>
        </w:tc>
        <w:tc>
          <w:tcPr>
            <w:tcW w:w="0" w:type="auto"/>
            <w:hideMark/>
          </w:tcPr>
          <w:p w14:paraId="4BFC4C09" w14:textId="77777777" w:rsidR="00BD208E" w:rsidRPr="00BD208E" w:rsidRDefault="00BD208E" w:rsidP="00BD208E">
            <w:pPr>
              <w:spacing w:after="160" w:line="259" w:lineRule="auto"/>
              <w:rPr>
                <w:rFonts w:ascii="Arial" w:hAnsi="Arial" w:cs="Arial"/>
              </w:rPr>
            </w:pPr>
            <w:r w:rsidRPr="00BD208E">
              <w:rPr>
                <w:rFonts w:ascii="Arial" w:hAnsi="Arial" w:cs="Arial"/>
              </w:rPr>
              <w:t>Legge (2005)</w:t>
            </w:r>
          </w:p>
        </w:tc>
      </w:tr>
      <w:tr w:rsidR="00BD208E" w:rsidRPr="00BD208E" w14:paraId="2B75F365" w14:textId="77777777" w:rsidTr="00BD208E">
        <w:tc>
          <w:tcPr>
            <w:tcW w:w="0" w:type="auto"/>
            <w:hideMark/>
          </w:tcPr>
          <w:p w14:paraId="2BF0D77E" w14:textId="77777777" w:rsidR="00BD208E" w:rsidRPr="00BD208E" w:rsidRDefault="00BD208E" w:rsidP="00BD208E">
            <w:pPr>
              <w:spacing w:after="160" w:line="259" w:lineRule="auto"/>
              <w:rPr>
                <w:rFonts w:ascii="Arial" w:hAnsi="Arial" w:cs="Arial"/>
              </w:rPr>
            </w:pPr>
            <w:r w:rsidRPr="00BD208E">
              <w:rPr>
                <w:rFonts w:ascii="Arial" w:hAnsi="Arial" w:cs="Arial"/>
              </w:rPr>
              <w:t>Organisational Data</w:t>
            </w:r>
          </w:p>
        </w:tc>
        <w:tc>
          <w:tcPr>
            <w:tcW w:w="0" w:type="auto"/>
            <w:hideMark/>
          </w:tcPr>
          <w:p w14:paraId="5187C467" w14:textId="77777777" w:rsidR="00BD208E" w:rsidRPr="00BD208E" w:rsidRDefault="00BD208E" w:rsidP="00BD208E">
            <w:pPr>
              <w:spacing w:after="160" w:line="259" w:lineRule="auto"/>
              <w:rPr>
                <w:rFonts w:ascii="Arial" w:hAnsi="Arial" w:cs="Arial"/>
              </w:rPr>
            </w:pPr>
            <w:r w:rsidRPr="00BD208E">
              <w:rPr>
                <w:rFonts w:ascii="Arial" w:hAnsi="Arial" w:cs="Arial"/>
              </w:rPr>
              <w:t>Promotion of engagement initiatives</w:t>
            </w:r>
          </w:p>
        </w:tc>
        <w:tc>
          <w:tcPr>
            <w:tcW w:w="0" w:type="auto"/>
            <w:hideMark/>
          </w:tcPr>
          <w:p w14:paraId="60869622" w14:textId="77777777" w:rsidR="00BD208E" w:rsidRPr="00BD208E" w:rsidRDefault="00BD208E" w:rsidP="00BD208E">
            <w:pPr>
              <w:spacing w:after="160" w:line="259" w:lineRule="auto"/>
              <w:rPr>
                <w:rFonts w:ascii="Arial" w:hAnsi="Arial" w:cs="Arial"/>
              </w:rPr>
            </w:pPr>
            <w:r w:rsidRPr="00BD208E">
              <w:rPr>
                <w:rFonts w:ascii="Arial" w:hAnsi="Arial" w:cs="Arial"/>
              </w:rPr>
              <w:t>Engagement used as a performance tool</w:t>
            </w:r>
          </w:p>
        </w:tc>
        <w:tc>
          <w:tcPr>
            <w:tcW w:w="0" w:type="auto"/>
            <w:hideMark/>
          </w:tcPr>
          <w:p w14:paraId="263A73B7" w14:textId="77777777" w:rsidR="00BD208E" w:rsidRPr="00BD208E" w:rsidRDefault="00BD208E" w:rsidP="00BD208E">
            <w:pPr>
              <w:spacing w:after="160" w:line="259" w:lineRule="auto"/>
              <w:rPr>
                <w:rFonts w:ascii="Arial" w:hAnsi="Arial" w:cs="Arial"/>
              </w:rPr>
            </w:pPr>
            <w:r w:rsidRPr="00BD208E">
              <w:rPr>
                <w:rFonts w:ascii="Arial" w:hAnsi="Arial" w:cs="Arial"/>
              </w:rPr>
              <w:t>Strategic HRM</w:t>
            </w:r>
          </w:p>
        </w:tc>
      </w:tr>
    </w:tbl>
    <w:p w14:paraId="1248A605" w14:textId="77777777" w:rsidR="00BD208E" w:rsidRPr="00E324FB" w:rsidRDefault="00BD208E" w:rsidP="00E324FB">
      <w:pPr>
        <w:rPr>
          <w:rFonts w:ascii="Arial" w:hAnsi="Arial" w:cs="Arial"/>
        </w:rPr>
      </w:pPr>
    </w:p>
    <w:p w14:paraId="726F2B28" w14:textId="7ACC3F96" w:rsidR="00BD208E" w:rsidRDefault="00BD208E" w:rsidP="00F5567A">
      <w:pPr>
        <w:jc w:val="both"/>
        <w:rPr>
          <w:rFonts w:ascii="Arial" w:hAnsi="Arial" w:cs="Arial"/>
        </w:rPr>
      </w:pPr>
      <w:r w:rsidRPr="00BD208E">
        <w:rPr>
          <w:rFonts w:ascii="Arial" w:hAnsi="Arial" w:cs="Arial"/>
        </w:rPr>
        <w:t xml:space="preserve">The table suggests that engagement initiatives are often perceived as symbolic rather than substantive. While organisations present engagement as a </w:t>
      </w:r>
      <w:r w:rsidR="000D3F4E">
        <w:rPr>
          <w:rFonts w:ascii="Arial" w:hAnsi="Arial" w:cs="Arial"/>
        </w:rPr>
        <w:t>motivational tool</w:t>
      </w:r>
      <w:r w:rsidRPr="00BD208E">
        <w:rPr>
          <w:rFonts w:ascii="Arial" w:hAnsi="Arial" w:cs="Arial"/>
        </w:rPr>
        <w:t xml:space="preserve">, employees may interpret these practices as superficial. This reinforces the argument that engagement can </w:t>
      </w:r>
      <w:r w:rsidR="000D3F4E">
        <w:rPr>
          <w:rFonts w:ascii="Arial" w:hAnsi="Arial" w:cs="Arial"/>
        </w:rPr>
        <w:t>serve as a managerial strategy to align</w:t>
      </w:r>
      <w:r w:rsidRPr="00BD208E">
        <w:rPr>
          <w:rFonts w:ascii="Arial" w:hAnsi="Arial" w:cs="Arial"/>
        </w:rPr>
        <w:t xml:space="preserve"> employee attitudes without addressing structural issues.</w:t>
      </w:r>
    </w:p>
    <w:p w14:paraId="25AD1063" w14:textId="6F787BC4" w:rsidR="00E324FB" w:rsidRPr="00003CFC" w:rsidRDefault="00E324FB" w:rsidP="00FF03DF">
      <w:pPr>
        <w:pStyle w:val="Heading2"/>
        <w:rPr>
          <w:rFonts w:ascii="Arial" w:hAnsi="Arial" w:cs="Arial"/>
          <w:b/>
          <w:bCs/>
          <w:color w:val="000000" w:themeColor="text1"/>
          <w:sz w:val="24"/>
          <w:szCs w:val="24"/>
        </w:rPr>
      </w:pPr>
      <w:bookmarkStart w:id="35" w:name="_Toc228563719"/>
      <w:r w:rsidRPr="00003CFC">
        <w:rPr>
          <w:rFonts w:ascii="Arial" w:hAnsi="Arial" w:cs="Arial"/>
          <w:b/>
          <w:bCs/>
          <w:color w:val="000000" w:themeColor="text1"/>
          <w:sz w:val="24"/>
          <w:szCs w:val="24"/>
        </w:rPr>
        <w:t>4.7 Gap Between Engagement Rhetoric and Employee Reality</w:t>
      </w:r>
      <w:bookmarkEnd w:id="35"/>
    </w:p>
    <w:p w14:paraId="0795D25F" w14:textId="77777777" w:rsidR="00E324FB" w:rsidRDefault="00E324FB" w:rsidP="00F5567A">
      <w:pPr>
        <w:jc w:val="both"/>
        <w:rPr>
          <w:rFonts w:ascii="Arial" w:hAnsi="Arial" w:cs="Arial"/>
        </w:rPr>
      </w:pPr>
      <w:r w:rsidRPr="00E324FB">
        <w:rPr>
          <w:rFonts w:ascii="Arial" w:hAnsi="Arial" w:cs="Arial"/>
        </w:rPr>
        <w:t>A significant finding of the study is the gap between organisational representations of engagement and employee experiences. While organisations promote a narrative of empowerment and support, employee data often reveals contrasting experiences.</w:t>
      </w:r>
    </w:p>
    <w:p w14:paraId="5DD65A26" w14:textId="663BF493" w:rsidR="00BD208E" w:rsidRPr="00BD208E" w:rsidRDefault="00BD208E" w:rsidP="00BD208E">
      <w:pPr>
        <w:rPr>
          <w:rFonts w:ascii="Arial" w:hAnsi="Arial" w:cs="Arial"/>
          <w:b/>
          <w:bCs/>
        </w:rPr>
      </w:pPr>
      <w:r w:rsidRPr="00BD208E">
        <w:rPr>
          <w:rFonts w:ascii="Arial" w:hAnsi="Arial" w:cs="Arial"/>
          <w:b/>
          <w:bCs/>
        </w:rPr>
        <w:t>Table 4.</w:t>
      </w:r>
      <w:r w:rsidR="004356AB">
        <w:rPr>
          <w:rFonts w:ascii="Arial" w:hAnsi="Arial" w:cs="Arial"/>
          <w:b/>
          <w:bCs/>
        </w:rPr>
        <w:t>6</w:t>
      </w:r>
      <w:r w:rsidRPr="00BD208E">
        <w:rPr>
          <w:rFonts w:ascii="Arial" w:hAnsi="Arial" w:cs="Arial"/>
          <w:b/>
          <w:bCs/>
        </w:rPr>
        <w:t>: Evidence for Gap Between Engagement Rhetoric and Reality</w:t>
      </w:r>
    </w:p>
    <w:tbl>
      <w:tblPr>
        <w:tblStyle w:val="TableGrid"/>
        <w:tblW w:w="0" w:type="auto"/>
        <w:tblLook w:val="04A0" w:firstRow="1" w:lastRow="0" w:firstColumn="1" w:lastColumn="0" w:noHBand="0" w:noVBand="1"/>
      </w:tblPr>
      <w:tblGrid>
        <w:gridCol w:w="1915"/>
        <w:gridCol w:w="2892"/>
        <w:gridCol w:w="2651"/>
        <w:gridCol w:w="1558"/>
      </w:tblGrid>
      <w:tr w:rsidR="00BD208E" w:rsidRPr="00BD208E" w14:paraId="18EC8EE5" w14:textId="77777777" w:rsidTr="00BD208E">
        <w:tc>
          <w:tcPr>
            <w:tcW w:w="0" w:type="auto"/>
            <w:hideMark/>
          </w:tcPr>
          <w:p w14:paraId="034D4F8E"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Data Source</w:t>
            </w:r>
          </w:p>
        </w:tc>
        <w:tc>
          <w:tcPr>
            <w:tcW w:w="0" w:type="auto"/>
            <w:hideMark/>
          </w:tcPr>
          <w:p w14:paraId="47F1B5B4"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Extract</w:t>
            </w:r>
          </w:p>
        </w:tc>
        <w:tc>
          <w:tcPr>
            <w:tcW w:w="0" w:type="auto"/>
            <w:hideMark/>
          </w:tcPr>
          <w:p w14:paraId="1ED4A04C"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Interpretation</w:t>
            </w:r>
          </w:p>
        </w:tc>
        <w:tc>
          <w:tcPr>
            <w:tcW w:w="0" w:type="auto"/>
            <w:hideMark/>
          </w:tcPr>
          <w:p w14:paraId="5E164F49"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Theoretical Link</w:t>
            </w:r>
          </w:p>
        </w:tc>
      </w:tr>
      <w:tr w:rsidR="00BD208E" w:rsidRPr="00BD208E" w14:paraId="5A5CBB48" w14:textId="77777777" w:rsidTr="00BD208E">
        <w:tc>
          <w:tcPr>
            <w:tcW w:w="0" w:type="auto"/>
            <w:hideMark/>
          </w:tcPr>
          <w:p w14:paraId="4632A5D5"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2010B087" w14:textId="77777777" w:rsidR="00BD208E" w:rsidRPr="00BD208E" w:rsidRDefault="00BD208E" w:rsidP="00BD208E">
            <w:pPr>
              <w:spacing w:after="160" w:line="259" w:lineRule="auto"/>
              <w:rPr>
                <w:rFonts w:ascii="Arial" w:hAnsi="Arial" w:cs="Arial"/>
              </w:rPr>
            </w:pPr>
            <w:r w:rsidRPr="00BD208E">
              <w:rPr>
                <w:rFonts w:ascii="Arial" w:hAnsi="Arial" w:cs="Arial"/>
              </w:rPr>
              <w:t>“Management says they care, but workload says otherwise.”</w:t>
            </w:r>
          </w:p>
        </w:tc>
        <w:tc>
          <w:tcPr>
            <w:tcW w:w="0" w:type="auto"/>
            <w:hideMark/>
          </w:tcPr>
          <w:p w14:paraId="3B50DDD8" w14:textId="0D825F9D" w:rsidR="00BD208E" w:rsidRPr="00BD208E" w:rsidRDefault="00BD208E" w:rsidP="00BD208E">
            <w:pPr>
              <w:spacing w:after="160" w:line="259" w:lineRule="auto"/>
              <w:rPr>
                <w:rFonts w:ascii="Arial" w:hAnsi="Arial" w:cs="Arial"/>
              </w:rPr>
            </w:pPr>
            <w:r w:rsidRPr="00BD208E">
              <w:rPr>
                <w:rFonts w:ascii="Arial" w:hAnsi="Arial" w:cs="Arial"/>
              </w:rPr>
              <w:t>Contradiction between discourse and experience</w:t>
            </w:r>
          </w:p>
        </w:tc>
        <w:tc>
          <w:tcPr>
            <w:tcW w:w="0" w:type="auto"/>
            <w:hideMark/>
          </w:tcPr>
          <w:p w14:paraId="285B8727" w14:textId="77777777" w:rsidR="00BD208E" w:rsidRPr="00BD208E" w:rsidRDefault="00BD208E" w:rsidP="00BD208E">
            <w:pPr>
              <w:spacing w:after="160" w:line="259" w:lineRule="auto"/>
              <w:rPr>
                <w:rFonts w:ascii="Arial" w:hAnsi="Arial" w:cs="Arial"/>
              </w:rPr>
            </w:pPr>
            <w:r w:rsidRPr="00BD208E">
              <w:rPr>
                <w:rFonts w:ascii="Arial" w:hAnsi="Arial" w:cs="Arial"/>
              </w:rPr>
              <w:t>Critical HRM</w:t>
            </w:r>
          </w:p>
        </w:tc>
      </w:tr>
      <w:tr w:rsidR="00BD208E" w:rsidRPr="00BD208E" w14:paraId="18306503" w14:textId="77777777" w:rsidTr="00BD208E">
        <w:tc>
          <w:tcPr>
            <w:tcW w:w="0" w:type="auto"/>
            <w:hideMark/>
          </w:tcPr>
          <w:p w14:paraId="3289AA60"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6659E9F5" w14:textId="77777777" w:rsidR="00BD208E" w:rsidRPr="00BD208E" w:rsidRDefault="00BD208E" w:rsidP="00BD208E">
            <w:pPr>
              <w:spacing w:after="160" w:line="259" w:lineRule="auto"/>
              <w:rPr>
                <w:rFonts w:ascii="Arial" w:hAnsi="Arial" w:cs="Arial"/>
              </w:rPr>
            </w:pPr>
            <w:r w:rsidRPr="00BD208E">
              <w:rPr>
                <w:rFonts w:ascii="Arial" w:hAnsi="Arial" w:cs="Arial"/>
              </w:rPr>
              <w:t>“You are expected to stay positive…”</w:t>
            </w:r>
          </w:p>
        </w:tc>
        <w:tc>
          <w:tcPr>
            <w:tcW w:w="0" w:type="auto"/>
            <w:hideMark/>
          </w:tcPr>
          <w:p w14:paraId="227147FA" w14:textId="77777777" w:rsidR="00BD208E" w:rsidRPr="00BD208E" w:rsidRDefault="00BD208E" w:rsidP="00BD208E">
            <w:pPr>
              <w:spacing w:after="160" w:line="259" w:lineRule="auto"/>
              <w:rPr>
                <w:rFonts w:ascii="Arial" w:hAnsi="Arial" w:cs="Arial"/>
              </w:rPr>
            </w:pPr>
            <w:r w:rsidRPr="00BD208E">
              <w:rPr>
                <w:rFonts w:ascii="Arial" w:hAnsi="Arial" w:cs="Arial"/>
              </w:rPr>
              <w:t>Emotional pressure despite challenging conditions</w:t>
            </w:r>
          </w:p>
        </w:tc>
        <w:tc>
          <w:tcPr>
            <w:tcW w:w="0" w:type="auto"/>
            <w:hideMark/>
          </w:tcPr>
          <w:p w14:paraId="6EE311D7" w14:textId="77777777" w:rsidR="00BD208E" w:rsidRPr="00BD208E" w:rsidRDefault="00BD208E" w:rsidP="00BD208E">
            <w:pPr>
              <w:spacing w:after="160" w:line="259" w:lineRule="auto"/>
              <w:rPr>
                <w:rFonts w:ascii="Arial" w:hAnsi="Arial" w:cs="Arial"/>
              </w:rPr>
            </w:pPr>
            <w:r w:rsidRPr="00BD208E">
              <w:rPr>
                <w:rFonts w:ascii="Arial" w:hAnsi="Arial" w:cs="Arial"/>
              </w:rPr>
              <w:t>Normative control</w:t>
            </w:r>
          </w:p>
        </w:tc>
      </w:tr>
      <w:tr w:rsidR="00BD208E" w:rsidRPr="00BD208E" w14:paraId="1C4C6EC2" w14:textId="77777777" w:rsidTr="00BD208E">
        <w:tc>
          <w:tcPr>
            <w:tcW w:w="0" w:type="auto"/>
            <w:hideMark/>
          </w:tcPr>
          <w:p w14:paraId="139FD9F7" w14:textId="77777777" w:rsidR="00BD208E" w:rsidRPr="00BD208E" w:rsidRDefault="00BD208E" w:rsidP="00BD208E">
            <w:pPr>
              <w:spacing w:after="160" w:line="259" w:lineRule="auto"/>
              <w:rPr>
                <w:rFonts w:ascii="Arial" w:hAnsi="Arial" w:cs="Arial"/>
              </w:rPr>
            </w:pPr>
            <w:r w:rsidRPr="00BD208E">
              <w:rPr>
                <w:rFonts w:ascii="Arial" w:hAnsi="Arial" w:cs="Arial"/>
              </w:rPr>
              <w:t>Organisational Narrative</w:t>
            </w:r>
          </w:p>
        </w:tc>
        <w:tc>
          <w:tcPr>
            <w:tcW w:w="0" w:type="auto"/>
            <w:hideMark/>
          </w:tcPr>
          <w:p w14:paraId="7679A335" w14:textId="0366BDD6" w:rsidR="00BD208E" w:rsidRPr="00BD208E" w:rsidRDefault="00BD208E" w:rsidP="00BD208E">
            <w:pPr>
              <w:spacing w:after="160" w:line="259" w:lineRule="auto"/>
              <w:rPr>
                <w:rFonts w:ascii="Arial" w:hAnsi="Arial" w:cs="Arial"/>
              </w:rPr>
            </w:pPr>
            <w:r w:rsidRPr="00BD208E">
              <w:rPr>
                <w:rFonts w:ascii="Arial" w:hAnsi="Arial" w:cs="Arial"/>
              </w:rPr>
              <w:t xml:space="preserve">Emphasis on </w:t>
            </w:r>
            <w:r w:rsidR="000D3F4E">
              <w:rPr>
                <w:rFonts w:ascii="Arial" w:hAnsi="Arial" w:cs="Arial"/>
              </w:rPr>
              <w:t>well-being</w:t>
            </w:r>
            <w:r w:rsidRPr="00BD208E">
              <w:rPr>
                <w:rFonts w:ascii="Arial" w:hAnsi="Arial" w:cs="Arial"/>
              </w:rPr>
              <w:t xml:space="preserve"> and teamwork</w:t>
            </w:r>
          </w:p>
        </w:tc>
        <w:tc>
          <w:tcPr>
            <w:tcW w:w="0" w:type="auto"/>
            <w:hideMark/>
          </w:tcPr>
          <w:p w14:paraId="33771739" w14:textId="2A43B3A5" w:rsidR="00BD208E" w:rsidRPr="00BD208E" w:rsidRDefault="00BD208E" w:rsidP="00BD208E">
            <w:pPr>
              <w:spacing w:after="160" w:line="259" w:lineRule="auto"/>
              <w:rPr>
                <w:rFonts w:ascii="Arial" w:hAnsi="Arial" w:cs="Arial"/>
              </w:rPr>
            </w:pPr>
            <w:r w:rsidRPr="00BD208E">
              <w:rPr>
                <w:rFonts w:ascii="Arial" w:hAnsi="Arial" w:cs="Arial"/>
              </w:rPr>
              <w:t xml:space="preserve">Idealised representation of </w:t>
            </w:r>
            <w:r w:rsidR="000D3F4E">
              <w:rPr>
                <w:rFonts w:ascii="Arial" w:hAnsi="Arial" w:cs="Arial"/>
              </w:rPr>
              <w:t xml:space="preserve">the </w:t>
            </w:r>
            <w:r w:rsidRPr="00BD208E">
              <w:rPr>
                <w:rFonts w:ascii="Arial" w:hAnsi="Arial" w:cs="Arial"/>
              </w:rPr>
              <w:t>workplace</w:t>
            </w:r>
          </w:p>
        </w:tc>
        <w:tc>
          <w:tcPr>
            <w:tcW w:w="0" w:type="auto"/>
            <w:hideMark/>
          </w:tcPr>
          <w:p w14:paraId="7AC2BFFE" w14:textId="77777777" w:rsidR="00BD208E" w:rsidRPr="00BD208E" w:rsidRDefault="00BD208E" w:rsidP="00BD208E">
            <w:pPr>
              <w:spacing w:after="160" w:line="259" w:lineRule="auto"/>
              <w:rPr>
                <w:rFonts w:ascii="Arial" w:hAnsi="Arial" w:cs="Arial"/>
              </w:rPr>
            </w:pPr>
            <w:r w:rsidRPr="00BD208E">
              <w:rPr>
                <w:rFonts w:ascii="Arial" w:hAnsi="Arial" w:cs="Arial"/>
              </w:rPr>
              <w:t>Rhetoric vs reality</w:t>
            </w:r>
          </w:p>
        </w:tc>
      </w:tr>
    </w:tbl>
    <w:p w14:paraId="538A8222" w14:textId="77777777" w:rsidR="00BD208E" w:rsidRPr="00E324FB" w:rsidRDefault="00BD208E" w:rsidP="00E324FB">
      <w:pPr>
        <w:rPr>
          <w:rFonts w:ascii="Arial" w:hAnsi="Arial" w:cs="Arial"/>
        </w:rPr>
      </w:pPr>
    </w:p>
    <w:p w14:paraId="73B12D2A" w14:textId="77777777" w:rsidR="00BD208E" w:rsidRPr="00BD208E" w:rsidRDefault="00BD208E" w:rsidP="00F5567A">
      <w:pPr>
        <w:jc w:val="both"/>
        <w:rPr>
          <w:rFonts w:ascii="Arial" w:hAnsi="Arial" w:cs="Arial"/>
        </w:rPr>
      </w:pPr>
      <w:r w:rsidRPr="00BD208E">
        <w:rPr>
          <w:rFonts w:ascii="Arial" w:hAnsi="Arial" w:cs="Arial"/>
        </w:rPr>
        <w:lastRenderedPageBreak/>
        <w:t>The table clearly illustrates the tension between organisational discourse and lived experience. While engagement is framed as supportive and empowering, employee accounts suggest otherwise. This aligns with critical HRM perspectives, where engagement is seen as a form of normative control that encourages employees to internalise organisational values despite structural constraints.</w:t>
      </w:r>
    </w:p>
    <w:p w14:paraId="3658DD17" w14:textId="77777777" w:rsidR="00471E6F" w:rsidRDefault="00471E6F" w:rsidP="00BD44A6">
      <w:pPr>
        <w:rPr>
          <w:rFonts w:ascii="Arial" w:hAnsi="Arial" w:cs="Arial"/>
        </w:rPr>
      </w:pPr>
    </w:p>
    <w:p w14:paraId="09AB9B23" w14:textId="14003925" w:rsidR="00833281" w:rsidRPr="00003CFC" w:rsidRDefault="00E513A0" w:rsidP="00FF03DF">
      <w:pPr>
        <w:pStyle w:val="Heading2"/>
        <w:rPr>
          <w:rFonts w:ascii="Arial" w:hAnsi="Arial" w:cs="Arial"/>
          <w:b/>
          <w:bCs/>
          <w:color w:val="000000" w:themeColor="text1"/>
          <w:sz w:val="24"/>
          <w:szCs w:val="24"/>
        </w:rPr>
      </w:pPr>
      <w:bookmarkStart w:id="36" w:name="_Toc228563720"/>
      <w:r w:rsidRPr="00003CFC">
        <w:rPr>
          <w:rFonts w:ascii="Arial" w:hAnsi="Arial" w:cs="Arial"/>
          <w:b/>
          <w:bCs/>
          <w:color w:val="000000" w:themeColor="text1"/>
          <w:sz w:val="24"/>
          <w:szCs w:val="24"/>
        </w:rPr>
        <w:t>4.8 Discussion of Findings</w:t>
      </w:r>
      <w:bookmarkEnd w:id="36"/>
    </w:p>
    <w:p w14:paraId="6D2E53D8" w14:textId="4AFE0E2F" w:rsidR="00E513A0" w:rsidRPr="00E513A0" w:rsidRDefault="00E513A0" w:rsidP="00F5567A">
      <w:pPr>
        <w:jc w:val="both"/>
        <w:rPr>
          <w:rFonts w:ascii="Arial" w:hAnsi="Arial" w:cs="Arial"/>
        </w:rPr>
      </w:pPr>
      <w:r w:rsidRPr="00E513A0">
        <w:rPr>
          <w:rFonts w:ascii="Arial" w:hAnsi="Arial" w:cs="Arial"/>
        </w:rPr>
        <w:t xml:space="preserve">The findings of this study challenge the dominant assumption </w:t>
      </w:r>
      <w:r w:rsidR="000D3F4E">
        <w:rPr>
          <w:rFonts w:ascii="Arial" w:hAnsi="Arial" w:cs="Arial"/>
        </w:rPr>
        <w:t>in the human resource management (HRM) literature that employee engagement is a straightforward,</w:t>
      </w:r>
      <w:r w:rsidRPr="00E513A0">
        <w:rPr>
          <w:rFonts w:ascii="Arial" w:hAnsi="Arial" w:cs="Arial"/>
        </w:rPr>
        <w:t xml:space="preserve"> universally effective mechanism for improving staff retention. Instead, the analysis demonstrates that engagement is deeply embedded within structural workplace conditions, which both shape its implementation and constrain its outcomes (Legge, 2005; Thompson, 2011). </w:t>
      </w:r>
    </w:p>
    <w:p w14:paraId="25537617" w14:textId="6790DDE9" w:rsidR="00E513A0" w:rsidRPr="00E513A0" w:rsidRDefault="00E513A0" w:rsidP="00F5567A">
      <w:pPr>
        <w:jc w:val="both"/>
        <w:rPr>
          <w:rFonts w:ascii="Arial" w:hAnsi="Arial" w:cs="Arial"/>
        </w:rPr>
      </w:pPr>
      <w:r w:rsidRPr="00E513A0">
        <w:rPr>
          <w:rFonts w:ascii="Arial" w:hAnsi="Arial" w:cs="Arial"/>
        </w:rPr>
        <w:t xml:space="preserve">A central insight emerging from the findings is that high work intensity and operational pressure significantly undermine the potential benefits of engagement initiatives. While organisations promote engagement </w:t>
      </w:r>
      <w:r w:rsidR="000D3F4E">
        <w:rPr>
          <w:rFonts w:ascii="Arial" w:hAnsi="Arial" w:cs="Arial"/>
        </w:rPr>
        <w:t>to enhance</w:t>
      </w:r>
      <w:r w:rsidRPr="00E513A0">
        <w:rPr>
          <w:rFonts w:ascii="Arial" w:hAnsi="Arial" w:cs="Arial"/>
        </w:rPr>
        <w:t xml:space="preserve"> motivation, commitment, and performance (Albrecht et al., 2015), employee-generated data consistently highlight excessive workloads, long hours, and sustained performance pressure. This imbalance between high job demands and limited resources aligns with the Job Demands–Resources (JD-R) model, which suggests that excessive demands without sufficient resources lead to stress, reduced engagement, and increased turnover intentions (Bakker </w:t>
      </w:r>
      <w:r w:rsidR="000D3F4E">
        <w:rPr>
          <w:rFonts w:ascii="Arial" w:hAnsi="Arial" w:cs="Arial"/>
        </w:rPr>
        <w:t>&amp;</w:t>
      </w:r>
      <w:r w:rsidRPr="00E513A0">
        <w:rPr>
          <w:rFonts w:ascii="Arial" w:hAnsi="Arial" w:cs="Arial"/>
        </w:rPr>
        <w:t xml:space="preserve"> Demerouti, 2017). In this context, engagement initiatives appear insufficient to offset the structural pressures inherent in pharmaceutical logistics work, thereby limiting their impact on retention outcomes.</w:t>
      </w:r>
    </w:p>
    <w:p w14:paraId="0DE60422" w14:textId="02875016" w:rsidR="00E513A0" w:rsidRPr="00E513A0" w:rsidRDefault="00E513A0" w:rsidP="00F5567A">
      <w:pPr>
        <w:jc w:val="both"/>
        <w:rPr>
          <w:rFonts w:ascii="Arial" w:hAnsi="Arial" w:cs="Arial"/>
        </w:rPr>
      </w:pPr>
      <w:r w:rsidRPr="00E513A0">
        <w:rPr>
          <w:rFonts w:ascii="Arial" w:hAnsi="Arial" w:cs="Arial"/>
        </w:rPr>
        <w:t xml:space="preserve">Closely related to this is the finding that regulatory and managerial control structures </w:t>
      </w:r>
      <w:r w:rsidR="000D3F4E">
        <w:rPr>
          <w:rFonts w:ascii="Arial" w:hAnsi="Arial" w:cs="Arial"/>
        </w:rPr>
        <w:t>limit the extent to which employees can meaningfully experience engagement</w:t>
      </w:r>
      <w:r w:rsidRPr="00E513A0">
        <w:rPr>
          <w:rFonts w:ascii="Arial" w:hAnsi="Arial" w:cs="Arial"/>
        </w:rPr>
        <w:t>. The highly regulated nature of pharmaceutical logistics requires strict adherence to procedures, monitoring, and compliance standards. While such controls are necessary for ensuring safety and regulatory compliance (MHRA, 2022), they also reduce employee discretion and autonomy. From a labour process perspective, this reflects systems of direct and bureaucratic control designed to standardise behaviour and ensure consistency (Edwards, 1979). Engagement strategies, therefore, operate within these constraints rather than replacing them, raising questions about whether genuine empowerment can exist in tightly controlled work environments (Thompson, 2011).</w:t>
      </w:r>
    </w:p>
    <w:p w14:paraId="4C395388" w14:textId="77777777" w:rsidR="00E513A0" w:rsidRDefault="00E513A0" w:rsidP="00F5567A">
      <w:pPr>
        <w:jc w:val="both"/>
        <w:rPr>
          <w:rFonts w:ascii="Arial" w:hAnsi="Arial" w:cs="Arial"/>
        </w:rPr>
      </w:pPr>
      <w:r w:rsidRPr="00E513A0">
        <w:rPr>
          <w:rFonts w:ascii="Arial" w:hAnsi="Arial" w:cs="Arial"/>
        </w:rPr>
        <w:t>The theme of limited autonomy and weak employee voice further reinforces this structural constraint. Although organisational narratives frequently emphasise participation and involvement, employee accounts suggest that opportunities for meaningful input are restricted. This discrepancy highlights a gap between the rhetoric of engagement and the reality of organisational power structures. Such findings support critical HRM perspectives, which argue that engagement initiatives often promote the appearance of involvement without fundamentally redistributing decision-making power (Legge, 2005). In this sense, engagement may function as a form of normative control, encouraging employees to internalise organisational goals while maintaining existing hierarchies (Fleming, 2017).</w:t>
      </w:r>
    </w:p>
    <w:p w14:paraId="4FCFBADD" w14:textId="77777777" w:rsidR="00F5567A" w:rsidRDefault="00F5567A" w:rsidP="00F5567A">
      <w:pPr>
        <w:jc w:val="both"/>
        <w:rPr>
          <w:rFonts w:ascii="Arial" w:hAnsi="Arial" w:cs="Arial"/>
        </w:rPr>
      </w:pPr>
    </w:p>
    <w:p w14:paraId="18565271" w14:textId="77777777" w:rsidR="00F5567A" w:rsidRDefault="00F5567A" w:rsidP="00F5567A">
      <w:pPr>
        <w:jc w:val="both"/>
        <w:rPr>
          <w:rFonts w:ascii="Arial" w:hAnsi="Arial" w:cs="Arial"/>
        </w:rPr>
      </w:pPr>
    </w:p>
    <w:p w14:paraId="5EA04FF5" w14:textId="77777777" w:rsidR="00F5567A" w:rsidRPr="00E513A0" w:rsidRDefault="00F5567A" w:rsidP="00F5567A">
      <w:pPr>
        <w:jc w:val="both"/>
        <w:rPr>
          <w:rFonts w:ascii="Arial" w:hAnsi="Arial" w:cs="Arial"/>
        </w:rPr>
      </w:pPr>
    </w:p>
    <w:p w14:paraId="05102ADA" w14:textId="77777777" w:rsidR="00003CFC" w:rsidRDefault="00E513A0" w:rsidP="00F5567A">
      <w:pPr>
        <w:jc w:val="both"/>
        <w:rPr>
          <w:rFonts w:ascii="Arial" w:hAnsi="Arial" w:cs="Arial"/>
        </w:rPr>
      </w:pPr>
      <w:r w:rsidRPr="00E513A0">
        <w:rPr>
          <w:rFonts w:ascii="Arial" w:hAnsi="Arial" w:cs="Arial"/>
        </w:rPr>
        <w:lastRenderedPageBreak/>
        <w:t xml:space="preserve">Another key finding is that engagement is </w:t>
      </w:r>
      <w:r w:rsidR="000D3F4E">
        <w:rPr>
          <w:rFonts w:ascii="Arial" w:hAnsi="Arial" w:cs="Arial"/>
        </w:rPr>
        <w:t xml:space="preserve">often framed as a managerial strategy rather than as </w:t>
      </w:r>
      <w:r w:rsidRPr="00E513A0">
        <w:rPr>
          <w:rFonts w:ascii="Arial" w:hAnsi="Arial" w:cs="Arial"/>
        </w:rPr>
        <w:t xml:space="preserve">a substantive improvement in working conditions. While organisations invest in recognition schemes, communication initiatives, and engagement programmes, employees often perceive these efforts as symbolic or superficial. This suggests that engagement practices may prioritise </w:t>
      </w:r>
      <w:r w:rsidR="000D3F4E">
        <w:rPr>
          <w:rFonts w:ascii="Arial" w:hAnsi="Arial" w:cs="Arial"/>
        </w:rPr>
        <w:t>managing</w:t>
      </w:r>
      <w:r w:rsidRPr="00E513A0">
        <w:rPr>
          <w:rFonts w:ascii="Arial" w:hAnsi="Arial" w:cs="Arial"/>
        </w:rPr>
        <w:t xml:space="preserve"> employee attitudes over addressing underlying structural issues such as workload, job design, and career progression. From a strategic HRM perspective, engagement is often used to align employee behaviours with organisational objectives (Torrington et al., 2020). </w:t>
      </w:r>
    </w:p>
    <w:p w14:paraId="0069F793" w14:textId="65FBB9B4" w:rsidR="00E513A0" w:rsidRPr="00E513A0" w:rsidRDefault="00E513A0" w:rsidP="00F5567A">
      <w:pPr>
        <w:jc w:val="both"/>
        <w:rPr>
          <w:rFonts w:ascii="Arial" w:hAnsi="Arial" w:cs="Arial"/>
        </w:rPr>
      </w:pPr>
      <w:r w:rsidRPr="00E513A0">
        <w:rPr>
          <w:rFonts w:ascii="Arial" w:hAnsi="Arial" w:cs="Arial"/>
        </w:rPr>
        <w:t>Perhaps the most significant contribution of this study lies in identifying the gap between engagement rhetoric and employee reality. Organisational discourse consistently presents engagement as supportive, empowering, and mutually beneficial (Albrecht et al., 2015). However, employee experiences frequently contradict this narrative, revealing tensions between what organisations claim and what employees encounter in practice. This gap supports critical HRM and labour process perspectives, which suggest that engagement can function as a form of normative control by encouraging employees to display commitment and positivity despite ongoing structural pressures (Thompson, 2011; Fleming, 2017). As a result, engagement may mask underlying issues rather than resolve them.</w:t>
      </w:r>
    </w:p>
    <w:p w14:paraId="7C4B8011" w14:textId="77777777" w:rsidR="00E513A0" w:rsidRPr="00E513A0" w:rsidRDefault="00E513A0" w:rsidP="00F5567A">
      <w:pPr>
        <w:jc w:val="both"/>
        <w:rPr>
          <w:rFonts w:ascii="Arial" w:hAnsi="Arial" w:cs="Arial"/>
        </w:rPr>
      </w:pPr>
      <w:r w:rsidRPr="00E513A0">
        <w:rPr>
          <w:rFonts w:ascii="Arial" w:hAnsi="Arial" w:cs="Arial"/>
        </w:rPr>
        <w:t>Importantly, the findings also demonstrate that the relationship between employee engagement and staff retention is indirect and context-dependent rather than causal. While existing literature often identifies a positive association between engagement and retention (Saks, 2006; CIPD, 2023), this study shows that engagement alone is insufficient to explain retention outcomes. Instead, retention is influenced by a broader set of factors, including job security, workload, career development opportunities, and external labour market conditions (Bryman, 2016). This challenges linear models that position engagement as a primary driver of retention and instead supports a more complex, context-sensitive understanding of the relationship.</w:t>
      </w:r>
    </w:p>
    <w:p w14:paraId="777CF8D2" w14:textId="52475FA9" w:rsidR="00E513A0" w:rsidRPr="00E513A0" w:rsidRDefault="00003CFC" w:rsidP="00F5567A">
      <w:pPr>
        <w:jc w:val="both"/>
        <w:rPr>
          <w:rFonts w:ascii="Arial" w:hAnsi="Arial" w:cs="Arial"/>
        </w:rPr>
      </w:pPr>
      <w:r>
        <w:rPr>
          <w:rFonts w:ascii="Arial" w:hAnsi="Arial" w:cs="Arial"/>
        </w:rPr>
        <w:t>The</w:t>
      </w:r>
      <w:r w:rsidR="00E513A0" w:rsidRPr="00E513A0">
        <w:rPr>
          <w:rFonts w:ascii="Arial" w:hAnsi="Arial" w:cs="Arial"/>
        </w:rPr>
        <w:t xml:space="preserve"> findings strongly reinforce the conceptual framework developed in Chapter 2, which positions employee engagement within the interaction between organisational strategies and structural workplace conditions. Rather than functioning as an independent solution to retention challenges, engagement is shown to be a contextually embedded practice whose effectiveness depends on the extent to which underlying structural issues are addressed (Legge, 2005; Thompson, 2011).</w:t>
      </w:r>
    </w:p>
    <w:p w14:paraId="1062870E" w14:textId="77777777" w:rsidR="00E513A0" w:rsidRPr="00E513A0" w:rsidRDefault="00E513A0" w:rsidP="00F5567A">
      <w:pPr>
        <w:jc w:val="both"/>
        <w:rPr>
          <w:rFonts w:ascii="Arial" w:hAnsi="Arial" w:cs="Arial"/>
        </w:rPr>
      </w:pPr>
      <w:r w:rsidRPr="00E513A0">
        <w:rPr>
          <w:rFonts w:ascii="Arial" w:hAnsi="Arial" w:cs="Arial"/>
        </w:rPr>
        <w:t>In conclusion, this discussion highlights that while employee engagement remains a valuable organisational concept, its capacity to improve staff retention within highly regulated and labour-intensive environments is inherently limited. Without addressing core structural conditions such as workload intensity, managerial control, and limited autonomy, engagement initiatives are unlikely to achieve their intended outcomes. These insights provide a critical foundation for the recommendations presented in the following chapter, which focus on developing more realistic and context-sensitive approaches to managing employee engagement and staff retention.</w:t>
      </w:r>
    </w:p>
    <w:p w14:paraId="14CB1C6B" w14:textId="77777777" w:rsidR="00BD208E" w:rsidRDefault="00BD208E" w:rsidP="00F5567A">
      <w:pPr>
        <w:jc w:val="both"/>
        <w:rPr>
          <w:rFonts w:ascii="Arial" w:hAnsi="Arial" w:cs="Arial"/>
        </w:rPr>
      </w:pPr>
    </w:p>
    <w:p w14:paraId="5586173C" w14:textId="77777777" w:rsidR="001A6F94" w:rsidRDefault="001A6F94" w:rsidP="00BD44A6">
      <w:pPr>
        <w:rPr>
          <w:rFonts w:ascii="Arial" w:hAnsi="Arial" w:cs="Arial"/>
        </w:rPr>
      </w:pPr>
    </w:p>
    <w:p w14:paraId="0004B496" w14:textId="77777777" w:rsidR="001A6F94" w:rsidRDefault="001A6F94" w:rsidP="00BD44A6">
      <w:pPr>
        <w:rPr>
          <w:rFonts w:ascii="Arial" w:hAnsi="Arial" w:cs="Arial"/>
        </w:rPr>
      </w:pPr>
    </w:p>
    <w:p w14:paraId="78F1C09E" w14:textId="77777777" w:rsidR="001A6F94" w:rsidRDefault="001A6F94" w:rsidP="00BD44A6">
      <w:pPr>
        <w:rPr>
          <w:rFonts w:ascii="Arial" w:hAnsi="Arial" w:cs="Arial"/>
        </w:rPr>
      </w:pPr>
    </w:p>
    <w:p w14:paraId="174D5A5F" w14:textId="77777777" w:rsidR="001A6F94" w:rsidRDefault="001A6F94" w:rsidP="00BD44A6">
      <w:pPr>
        <w:rPr>
          <w:rFonts w:ascii="Arial" w:hAnsi="Arial" w:cs="Arial"/>
        </w:rPr>
      </w:pPr>
    </w:p>
    <w:p w14:paraId="0686BE2C" w14:textId="57EF2BA1" w:rsidR="001A6F94" w:rsidRPr="00003CFC" w:rsidRDefault="001A6F94" w:rsidP="00FF03DF">
      <w:pPr>
        <w:pStyle w:val="Heading1"/>
        <w:rPr>
          <w:rFonts w:ascii="Arial" w:hAnsi="Arial" w:cs="Arial"/>
          <w:b/>
          <w:bCs/>
          <w:sz w:val="28"/>
          <w:szCs w:val="28"/>
        </w:rPr>
      </w:pPr>
      <w:bookmarkStart w:id="37" w:name="_Toc228563721"/>
      <w:r w:rsidRPr="00003CFC">
        <w:rPr>
          <w:rFonts w:ascii="Arial" w:hAnsi="Arial" w:cs="Arial"/>
          <w:b/>
          <w:bCs/>
          <w:color w:val="000000" w:themeColor="text1"/>
          <w:sz w:val="28"/>
          <w:szCs w:val="28"/>
        </w:rPr>
        <w:lastRenderedPageBreak/>
        <w:t>CHAPTER 5: CONCLUSIONS AND RECOMMENDATIONS</w:t>
      </w:r>
      <w:bookmarkEnd w:id="37"/>
    </w:p>
    <w:p w14:paraId="3BE2C354" w14:textId="24AB2E0A" w:rsidR="00E25C94" w:rsidRPr="00003CFC" w:rsidRDefault="00E25C94" w:rsidP="00FF03DF">
      <w:pPr>
        <w:pStyle w:val="Heading2"/>
        <w:rPr>
          <w:rFonts w:ascii="Arial" w:hAnsi="Arial" w:cs="Arial"/>
          <w:b/>
          <w:bCs/>
          <w:color w:val="000000" w:themeColor="text1"/>
          <w:sz w:val="24"/>
          <w:szCs w:val="24"/>
        </w:rPr>
      </w:pPr>
      <w:bookmarkStart w:id="38" w:name="_Toc228563722"/>
      <w:r w:rsidRPr="00003CFC">
        <w:rPr>
          <w:rFonts w:ascii="Arial" w:hAnsi="Arial" w:cs="Arial"/>
          <w:b/>
          <w:bCs/>
          <w:color w:val="000000" w:themeColor="text1"/>
          <w:sz w:val="24"/>
          <w:szCs w:val="24"/>
        </w:rPr>
        <w:t>5.1 Introduction</w:t>
      </w:r>
      <w:bookmarkEnd w:id="38"/>
    </w:p>
    <w:p w14:paraId="336006C1" w14:textId="77777777" w:rsidR="001A6F94" w:rsidRPr="001A6F94" w:rsidRDefault="001A6F94" w:rsidP="001A6F94">
      <w:pPr>
        <w:jc w:val="both"/>
        <w:rPr>
          <w:rFonts w:ascii="Arial" w:hAnsi="Arial" w:cs="Arial"/>
        </w:rPr>
      </w:pPr>
      <w:r w:rsidRPr="001A6F94">
        <w:rPr>
          <w:rFonts w:ascii="Arial" w:hAnsi="Arial" w:cs="Arial"/>
        </w:rPr>
        <w:t>This chapter presents the final stage of the research by drawing together the key findings, developing overall conclusions, and outlining practical and theoretical recommendations. It directly addresses the research aim and questions by linking the empirical analysis presented in Chapter 4 with the theoretical perspectives discussed in Chapter 2.</w:t>
      </w:r>
    </w:p>
    <w:p w14:paraId="05EFF947" w14:textId="4E474A81" w:rsidR="001A6F94" w:rsidRPr="001A6F94" w:rsidRDefault="001A6F94" w:rsidP="001A6F94">
      <w:pPr>
        <w:jc w:val="both"/>
        <w:rPr>
          <w:rFonts w:ascii="Arial" w:hAnsi="Arial" w:cs="Arial"/>
        </w:rPr>
      </w:pPr>
      <w:r w:rsidRPr="001A6F94">
        <w:rPr>
          <w:rFonts w:ascii="Arial" w:hAnsi="Arial" w:cs="Arial"/>
        </w:rPr>
        <w:t xml:space="preserve">The purpose of this chapter is not only to summarise the findings but also to interpret their significance in relation to existing academic debates on employee engagement and staff retention. In doing so, it moves beyond description to </w:t>
      </w:r>
      <w:r w:rsidR="000D3F4E">
        <w:rPr>
          <w:rFonts w:ascii="Arial" w:hAnsi="Arial" w:cs="Arial"/>
        </w:rPr>
        <w:t>critically evaluate</w:t>
      </w:r>
      <w:r w:rsidRPr="001A6F94">
        <w:rPr>
          <w:rFonts w:ascii="Arial" w:hAnsi="Arial" w:cs="Arial"/>
        </w:rPr>
        <w:t xml:space="preserve"> how engagement operates </w:t>
      </w:r>
      <w:r w:rsidR="009E4CA0">
        <w:rPr>
          <w:rFonts w:ascii="Arial" w:hAnsi="Arial" w:cs="Arial"/>
        </w:rPr>
        <w:t>in highly regulated,</w:t>
      </w:r>
      <w:r w:rsidRPr="001A6F94">
        <w:rPr>
          <w:rFonts w:ascii="Arial" w:hAnsi="Arial" w:cs="Arial"/>
        </w:rPr>
        <w:t xml:space="preserve"> labour-intensive organisational environments.</w:t>
      </w:r>
    </w:p>
    <w:p w14:paraId="623AC021" w14:textId="08F17EA4" w:rsidR="001A6F94" w:rsidRPr="001A6F94" w:rsidRDefault="001A6F94" w:rsidP="001A6F94">
      <w:pPr>
        <w:jc w:val="both"/>
        <w:rPr>
          <w:rFonts w:ascii="Arial" w:hAnsi="Arial" w:cs="Arial"/>
        </w:rPr>
      </w:pPr>
      <w:r w:rsidRPr="001A6F94">
        <w:rPr>
          <w:rFonts w:ascii="Arial" w:hAnsi="Arial" w:cs="Arial"/>
        </w:rPr>
        <w:t xml:space="preserve">The study focused on employee engagement strategies within Movianto UK and DHL Supply Chain Healthcare, two organisations operating within the UK pharmaceutical logistics sector. </w:t>
      </w:r>
      <w:r w:rsidR="000D3F4E">
        <w:rPr>
          <w:rFonts w:ascii="Arial" w:hAnsi="Arial" w:cs="Arial"/>
        </w:rPr>
        <w:t>Strict regulatory requirements, operational pressure, and a reliance on consistent workforce performance characterise this sector</w:t>
      </w:r>
      <w:r w:rsidRPr="001A6F94">
        <w:rPr>
          <w:rFonts w:ascii="Arial" w:hAnsi="Arial" w:cs="Arial"/>
        </w:rPr>
        <w:t>. These conditions create a challenging environment in which engagement strategies are expected to support both organisational efficiency and employee retention.</w:t>
      </w:r>
    </w:p>
    <w:p w14:paraId="02E999B1" w14:textId="59A12DA7" w:rsidR="001A6F94" w:rsidRPr="001A6F94" w:rsidRDefault="001A6F94" w:rsidP="001A6F94">
      <w:pPr>
        <w:jc w:val="both"/>
        <w:rPr>
          <w:rFonts w:ascii="Arial" w:hAnsi="Arial" w:cs="Arial"/>
        </w:rPr>
      </w:pPr>
      <w:r w:rsidRPr="001A6F94">
        <w:rPr>
          <w:rFonts w:ascii="Arial" w:hAnsi="Arial" w:cs="Arial"/>
        </w:rPr>
        <w:t xml:space="preserve">By adopting a qualitative, interpretivist, and comparative case study approach, the research </w:t>
      </w:r>
      <w:r w:rsidR="000D3F4E">
        <w:rPr>
          <w:rFonts w:ascii="Arial" w:hAnsi="Arial" w:cs="Arial"/>
        </w:rPr>
        <w:t>explored</w:t>
      </w:r>
      <w:r w:rsidRPr="001A6F94">
        <w:rPr>
          <w:rFonts w:ascii="Arial" w:hAnsi="Arial" w:cs="Arial"/>
        </w:rPr>
        <w:t xml:space="preserve"> both organisational narratives and employee experiences. This dual perspective was important </w:t>
      </w:r>
      <w:r w:rsidR="000D3F4E">
        <w:rPr>
          <w:rFonts w:ascii="Arial" w:hAnsi="Arial" w:cs="Arial"/>
        </w:rPr>
        <w:t>for identifying not only how organisations formally present engagement but also how employees interpret and experience it</w:t>
      </w:r>
      <w:r w:rsidRPr="001A6F94">
        <w:rPr>
          <w:rFonts w:ascii="Arial" w:hAnsi="Arial" w:cs="Arial"/>
        </w:rPr>
        <w:t xml:space="preserve"> in practice. As highlighted in Chapter 4, this comparison revealed clear tensions between managerial representations of engagement and the realities of day-to-day work.</w:t>
      </w:r>
    </w:p>
    <w:p w14:paraId="56B9DDC3" w14:textId="7557576D" w:rsidR="001A6F94" w:rsidRPr="001A6F94" w:rsidRDefault="001A6F94" w:rsidP="001A6F94">
      <w:pPr>
        <w:jc w:val="both"/>
        <w:rPr>
          <w:rFonts w:ascii="Arial" w:hAnsi="Arial" w:cs="Arial"/>
        </w:rPr>
      </w:pPr>
      <w:r w:rsidRPr="001A6F94">
        <w:rPr>
          <w:rFonts w:ascii="Arial" w:hAnsi="Arial" w:cs="Arial"/>
        </w:rPr>
        <w:t xml:space="preserve">The findings demonstrate that employee engagement </w:t>
      </w:r>
      <w:r w:rsidR="000D3F4E">
        <w:rPr>
          <w:rFonts w:ascii="Arial" w:hAnsi="Arial" w:cs="Arial"/>
        </w:rPr>
        <w:t xml:space="preserve">is </w:t>
      </w:r>
      <w:r w:rsidR="009E4CA0">
        <w:rPr>
          <w:rFonts w:ascii="Arial" w:hAnsi="Arial" w:cs="Arial"/>
        </w:rPr>
        <w:t>neither simple nor universally effective in addressing</w:t>
      </w:r>
      <w:r w:rsidRPr="001A6F94">
        <w:rPr>
          <w:rFonts w:ascii="Arial" w:hAnsi="Arial" w:cs="Arial"/>
        </w:rPr>
        <w:t xml:space="preserve"> retention challenges. While engagement is often presented in mainstream HRM literature as a positive and mutually beneficial practice (Albrecht et al., 2015), this study shows that its impact is shaped and often limited by structural workplace conditions. Factors such as workload intensity, regulatory control, limited autonomy, and performance monitoring play a central role in influencing both engagement and retention outcomes. These findings support critical HRM and labour process perspectives, which argue that engagement must be understood within broader systems of organisational control and power relations (Legge, 2005; Thompson, 2011).</w:t>
      </w:r>
    </w:p>
    <w:p w14:paraId="337D601A" w14:textId="1FF8D4FC" w:rsidR="001A6F94" w:rsidRPr="001A6F94" w:rsidRDefault="001A6F94" w:rsidP="001A6F94">
      <w:pPr>
        <w:jc w:val="both"/>
        <w:rPr>
          <w:rFonts w:ascii="Arial" w:hAnsi="Arial" w:cs="Arial"/>
        </w:rPr>
      </w:pPr>
      <w:r w:rsidRPr="001A6F94">
        <w:rPr>
          <w:rFonts w:ascii="Arial" w:hAnsi="Arial" w:cs="Arial"/>
        </w:rPr>
        <w:t xml:space="preserve">In this context, engagement strategies appear to operate within existing structural constraints rather than transforming them. As a result, their ability to improve staff retention is conditional rather than guaranteed. </w:t>
      </w:r>
      <w:r w:rsidR="00C80FB8" w:rsidRPr="00C80FB8">
        <w:rPr>
          <w:rFonts w:ascii="Arial" w:hAnsi="Arial" w:cs="Arial"/>
        </w:rPr>
        <w:t>These challenges challenge simplified models</w:t>
      </w:r>
      <w:r w:rsidRPr="001A6F94">
        <w:rPr>
          <w:rFonts w:ascii="Arial" w:hAnsi="Arial" w:cs="Arial"/>
        </w:rPr>
        <w:t xml:space="preserve"> that assume a direct causal relationship between engagement and retention and instead supports a more complex, context-sensitive understanding of organisational practice.</w:t>
      </w:r>
    </w:p>
    <w:p w14:paraId="6BDCA341" w14:textId="54317B7A" w:rsidR="001A6F94" w:rsidRDefault="001A6F94" w:rsidP="001A6F94">
      <w:pPr>
        <w:jc w:val="both"/>
        <w:rPr>
          <w:rFonts w:ascii="Arial" w:hAnsi="Arial" w:cs="Arial"/>
        </w:rPr>
      </w:pPr>
      <w:r w:rsidRPr="001A6F94">
        <w:rPr>
          <w:rFonts w:ascii="Arial" w:hAnsi="Arial" w:cs="Arial"/>
        </w:rPr>
        <w:t xml:space="preserve">The structure of this chapter reflects these aims. Section 5.2 summarises the </w:t>
      </w:r>
      <w:r w:rsidR="000D3F4E">
        <w:rPr>
          <w:rFonts w:ascii="Arial" w:hAnsi="Arial" w:cs="Arial"/>
        </w:rPr>
        <w:t>study's main findings</w:t>
      </w:r>
      <w:r w:rsidRPr="001A6F94">
        <w:rPr>
          <w:rFonts w:ascii="Arial" w:hAnsi="Arial" w:cs="Arial"/>
        </w:rPr>
        <w:t>, highlighting the key themes identified through thematic analysis. Section 5.3 provides clear and direct answers to the research questions, ensuring that the study’s objectives are fully addressed. Section 5.4 presents practical recommendations tailored to the pharmaceutical logistics sector, focusing on how organisations can improve retention in a realistic and context-aware manner. Finally, the chapter concludes with a discussion of the study’s limitations and suggestions for future research.</w:t>
      </w:r>
    </w:p>
    <w:p w14:paraId="06E91B33" w14:textId="77777777" w:rsidR="009E4CA0" w:rsidRPr="001A6F94" w:rsidRDefault="009E4CA0" w:rsidP="001A6F94">
      <w:pPr>
        <w:jc w:val="both"/>
        <w:rPr>
          <w:rFonts w:ascii="Arial" w:hAnsi="Arial" w:cs="Arial"/>
        </w:rPr>
      </w:pPr>
    </w:p>
    <w:p w14:paraId="0A6FDE57" w14:textId="39DD89E0" w:rsidR="001A6F94" w:rsidRPr="001A6F94" w:rsidRDefault="001A6F94" w:rsidP="001A6F94">
      <w:pPr>
        <w:jc w:val="both"/>
        <w:rPr>
          <w:rFonts w:ascii="Arial" w:hAnsi="Arial" w:cs="Arial"/>
        </w:rPr>
      </w:pPr>
      <w:r w:rsidRPr="001A6F94">
        <w:rPr>
          <w:rFonts w:ascii="Arial" w:hAnsi="Arial" w:cs="Arial"/>
        </w:rPr>
        <w:lastRenderedPageBreak/>
        <w:t xml:space="preserve">Overall, this chapter consolidates the </w:t>
      </w:r>
      <w:r w:rsidR="000D3F4E">
        <w:rPr>
          <w:rFonts w:ascii="Arial" w:hAnsi="Arial" w:cs="Arial"/>
        </w:rPr>
        <w:t>study's contribution</w:t>
      </w:r>
      <w:r w:rsidRPr="001A6F94">
        <w:rPr>
          <w:rFonts w:ascii="Arial" w:hAnsi="Arial" w:cs="Arial"/>
        </w:rPr>
        <w:t xml:space="preserve"> by demonstrating that employee engagement must be understood as a context-dependent organisational practice. Rather than viewing engagement as a universal solution, the research emphasises the importance of addressing underlying structural conditions </w:t>
      </w:r>
      <w:r w:rsidR="00003CFC" w:rsidRPr="001A6F94">
        <w:rPr>
          <w:rFonts w:ascii="Arial" w:hAnsi="Arial" w:cs="Arial"/>
        </w:rPr>
        <w:t>to</w:t>
      </w:r>
      <w:r w:rsidRPr="001A6F94">
        <w:rPr>
          <w:rFonts w:ascii="Arial" w:hAnsi="Arial" w:cs="Arial"/>
        </w:rPr>
        <w:t xml:space="preserve"> achieve meaningful and sustainable improvements in staff retention.</w:t>
      </w:r>
    </w:p>
    <w:p w14:paraId="15C0C223" w14:textId="5DDB6212" w:rsidR="001A6F94" w:rsidRPr="00003CFC" w:rsidRDefault="001A6F94" w:rsidP="00FF03DF">
      <w:pPr>
        <w:pStyle w:val="Heading2"/>
        <w:rPr>
          <w:rFonts w:ascii="Arial" w:hAnsi="Arial" w:cs="Arial"/>
          <w:b/>
          <w:bCs/>
          <w:color w:val="000000" w:themeColor="text1"/>
          <w:sz w:val="24"/>
          <w:szCs w:val="24"/>
        </w:rPr>
      </w:pPr>
      <w:bookmarkStart w:id="39" w:name="_Toc228563723"/>
      <w:r w:rsidRPr="00003CFC">
        <w:rPr>
          <w:rFonts w:ascii="Arial" w:hAnsi="Arial" w:cs="Arial"/>
          <w:b/>
          <w:bCs/>
          <w:color w:val="000000" w:themeColor="text1"/>
          <w:sz w:val="24"/>
          <w:szCs w:val="24"/>
        </w:rPr>
        <w:t>5.2 Summary of Main Findings</w:t>
      </w:r>
      <w:bookmarkEnd w:id="39"/>
      <w:r w:rsidRPr="00003CFC">
        <w:rPr>
          <w:rFonts w:ascii="Arial" w:hAnsi="Arial" w:cs="Arial"/>
          <w:b/>
          <w:bCs/>
          <w:color w:val="000000" w:themeColor="text1"/>
          <w:sz w:val="24"/>
          <w:szCs w:val="24"/>
        </w:rPr>
        <w:t xml:space="preserve"> </w:t>
      </w:r>
    </w:p>
    <w:p w14:paraId="617F276F" w14:textId="77777777" w:rsidR="00AD6216" w:rsidRPr="00AD6216" w:rsidRDefault="00AD6216" w:rsidP="00AD6216">
      <w:pPr>
        <w:jc w:val="both"/>
        <w:rPr>
          <w:rFonts w:ascii="Arial" w:hAnsi="Arial" w:cs="Arial"/>
        </w:rPr>
      </w:pPr>
      <w:r w:rsidRPr="00AD6216">
        <w:rPr>
          <w:rFonts w:ascii="Arial" w:hAnsi="Arial" w:cs="Arial"/>
        </w:rPr>
        <w:t>This section summarises the main findings by linking each theme directly to the research objectives outlined in Chapter 1. This strengthens the connection between the study’s aim, analysis, and conclusions.</w:t>
      </w:r>
    </w:p>
    <w:p w14:paraId="6618AFEE" w14:textId="77777777" w:rsidR="00AD6216" w:rsidRPr="00AD6216" w:rsidRDefault="00AD6216" w:rsidP="00AD6216">
      <w:pPr>
        <w:jc w:val="both"/>
        <w:rPr>
          <w:rFonts w:ascii="Arial" w:hAnsi="Arial" w:cs="Arial"/>
        </w:rPr>
      </w:pPr>
      <w:r w:rsidRPr="00AD6216">
        <w:rPr>
          <w:rFonts w:ascii="Arial" w:hAnsi="Arial" w:cs="Arial"/>
        </w:rPr>
        <w:t>The first theme, work intensity and job pressure, directly supports Objective 2, which aimed to analyse the relationship between engagement and retention. The results indicate that high workload, strict targets, and long working hours reduce both engagement and retention. This shows that engagement strategies are limited when basic working conditions are demanding. This finding supports the Job Demands–Resources model (Bakker &amp; Demerouti, 2017), where excessive demands weaken engagement outcomes.</w:t>
      </w:r>
    </w:p>
    <w:p w14:paraId="5C2218CC" w14:textId="77777777" w:rsidR="00AD6216" w:rsidRPr="00AD6216" w:rsidRDefault="00AD6216" w:rsidP="00AD6216">
      <w:pPr>
        <w:jc w:val="both"/>
        <w:rPr>
          <w:rFonts w:ascii="Arial" w:hAnsi="Arial" w:cs="Arial"/>
        </w:rPr>
      </w:pPr>
      <w:r w:rsidRPr="00AD6216">
        <w:rPr>
          <w:rFonts w:ascii="Arial" w:hAnsi="Arial" w:cs="Arial"/>
        </w:rPr>
        <w:t>The second theme, regulatory and managerial control, supports Objective 4, which examined structural workplace conditions. The data shows that strict procedures and monitoring systems shape how employees work. While necessary for compliance, these controls reduce flexibility and autonomy. This limits how engagement can operate in practice.</w:t>
      </w:r>
    </w:p>
    <w:p w14:paraId="231E340F" w14:textId="77777777" w:rsidR="00AD6216" w:rsidRPr="00AD6216" w:rsidRDefault="00AD6216" w:rsidP="00AD6216">
      <w:pPr>
        <w:jc w:val="both"/>
        <w:rPr>
          <w:rFonts w:ascii="Arial" w:hAnsi="Arial" w:cs="Arial"/>
        </w:rPr>
      </w:pPr>
      <w:r w:rsidRPr="00AD6216">
        <w:rPr>
          <w:rFonts w:ascii="Arial" w:hAnsi="Arial" w:cs="Arial"/>
        </w:rPr>
        <w:t>The third theme, limited autonomy and employee voice, supports Objective 1, which explored how engagement is framed and implemented. While organisations promote involvement, the results suggest that employees have limited influence. This shows a gap between engagement rhetoric and actual practice.</w:t>
      </w:r>
    </w:p>
    <w:p w14:paraId="58BFF725" w14:textId="03373BF8" w:rsidR="00AD6216" w:rsidRPr="00AD6216" w:rsidRDefault="00AD6216" w:rsidP="00AD6216">
      <w:pPr>
        <w:jc w:val="both"/>
        <w:rPr>
          <w:rFonts w:ascii="Arial" w:hAnsi="Arial" w:cs="Arial"/>
        </w:rPr>
      </w:pPr>
      <w:r w:rsidRPr="00AD6216">
        <w:rPr>
          <w:rFonts w:ascii="Arial" w:hAnsi="Arial" w:cs="Arial"/>
        </w:rPr>
        <w:t xml:space="preserve">The fourth theme, engagement as a managerial strategy, supports Objective 3, which </w:t>
      </w:r>
      <w:r w:rsidR="00C32036">
        <w:rPr>
          <w:rFonts w:ascii="Arial" w:hAnsi="Arial" w:cs="Arial"/>
        </w:rPr>
        <w:t>compares</w:t>
      </w:r>
      <w:r w:rsidRPr="00AD6216">
        <w:rPr>
          <w:rFonts w:ascii="Arial" w:hAnsi="Arial" w:cs="Arial"/>
        </w:rPr>
        <w:t xml:space="preserve"> engagement practices across organisations. Both companies use similar engagement tools, such as recognition and communication systems. However, employees often see these as symbolic rather than meaningful. This suggests that engagement is used to manage attitudes rather than improve working conditions.</w:t>
      </w:r>
    </w:p>
    <w:p w14:paraId="5C3A22F1" w14:textId="44FE3F8B" w:rsidR="00AD6216" w:rsidRPr="00AD6216" w:rsidRDefault="00AD6216" w:rsidP="00AD6216">
      <w:pPr>
        <w:jc w:val="both"/>
        <w:rPr>
          <w:rFonts w:ascii="Arial" w:hAnsi="Arial" w:cs="Arial"/>
        </w:rPr>
      </w:pPr>
      <w:r w:rsidRPr="00AD6216">
        <w:rPr>
          <w:rFonts w:ascii="Arial" w:hAnsi="Arial" w:cs="Arial"/>
        </w:rPr>
        <w:t xml:space="preserve">The final theme, </w:t>
      </w:r>
      <w:r w:rsidR="00C32036">
        <w:rPr>
          <w:rFonts w:ascii="Arial" w:hAnsi="Arial" w:cs="Arial"/>
        </w:rPr>
        <w:t xml:space="preserve">the </w:t>
      </w:r>
      <w:r w:rsidRPr="00AD6216">
        <w:rPr>
          <w:rFonts w:ascii="Arial" w:hAnsi="Arial" w:cs="Arial"/>
        </w:rPr>
        <w:t>gap between engagement rhetoric and employee reality, supports Objective 4 again. It shows that engagement is presented positively but experienced differently. Employees report pressure and limited support despite organisational claims. This reflects critical HRM arguments that engagement may reinforce existing structures rather than change them (Legge, 2005; Thompson, 2011).</w:t>
      </w:r>
    </w:p>
    <w:p w14:paraId="18E88E2B" w14:textId="2ED7ECFB" w:rsidR="00CE0044" w:rsidRPr="001A6F94" w:rsidRDefault="001A6F94" w:rsidP="001A6F94">
      <w:pPr>
        <w:jc w:val="both"/>
        <w:rPr>
          <w:rFonts w:ascii="Arial" w:hAnsi="Arial" w:cs="Arial"/>
        </w:rPr>
      </w:pPr>
      <w:r w:rsidRPr="001A6F94">
        <w:rPr>
          <w:rFonts w:ascii="Arial" w:hAnsi="Arial" w:cs="Arial"/>
        </w:rPr>
        <w:t xml:space="preserve">Taken together, these findings challenge the dominant assumption </w:t>
      </w:r>
      <w:r w:rsidR="000D3F4E">
        <w:rPr>
          <w:rFonts w:ascii="Arial" w:hAnsi="Arial" w:cs="Arial"/>
        </w:rPr>
        <w:t xml:space="preserve">in mainstream HRM literature that employee engagement directly leads </w:t>
      </w:r>
      <w:r w:rsidRPr="001A6F94">
        <w:rPr>
          <w:rFonts w:ascii="Arial" w:hAnsi="Arial" w:cs="Arial"/>
        </w:rPr>
        <w:t>to improved staff retention. While engagement may contribute to positive outcomes under certain conditions, this study shows that its effectiveness is heavily dependent on the broader organisational context. Structural factors such as workload, control, and autonomy play a central role in shaping both engagement and retention</w:t>
      </w:r>
    </w:p>
    <w:p w14:paraId="7225848C" w14:textId="2CA2D40D" w:rsidR="00AD6216" w:rsidRPr="001A6F94" w:rsidRDefault="001A6F94" w:rsidP="001A6F94">
      <w:pPr>
        <w:jc w:val="both"/>
        <w:rPr>
          <w:rFonts w:ascii="Arial" w:hAnsi="Arial" w:cs="Arial"/>
        </w:rPr>
      </w:pPr>
      <w:r w:rsidRPr="001A6F94">
        <w:rPr>
          <w:rFonts w:ascii="Arial" w:hAnsi="Arial" w:cs="Arial"/>
        </w:rPr>
        <w:t xml:space="preserve">Importantly, the findings demonstrate that the relationship between engagement and retention is not linear but conditional and context-dependent. Engagement does not operate </w:t>
      </w:r>
      <w:r w:rsidR="000D3F4E">
        <w:rPr>
          <w:rFonts w:ascii="Arial" w:hAnsi="Arial" w:cs="Arial"/>
        </w:rPr>
        <w:t xml:space="preserve">in isolation; </w:t>
      </w:r>
      <w:r w:rsidRPr="001A6F94">
        <w:rPr>
          <w:rFonts w:ascii="Arial" w:hAnsi="Arial" w:cs="Arial"/>
        </w:rPr>
        <w:t>it interacts with organisational structures and external factors, including labour market conditions and job security (Bryman, 2016). This supports the conceptual framework developed in Chapter 2, which positions engagement within the interaction between organisational strategies and structural workplace conditions.</w:t>
      </w:r>
    </w:p>
    <w:p w14:paraId="687DFF2B" w14:textId="245AECF7" w:rsidR="001A6F94" w:rsidRPr="001A6F94" w:rsidRDefault="001A6F94" w:rsidP="001A6F94">
      <w:pPr>
        <w:jc w:val="both"/>
        <w:rPr>
          <w:rFonts w:ascii="Arial" w:hAnsi="Arial" w:cs="Arial"/>
        </w:rPr>
      </w:pPr>
      <w:r w:rsidRPr="001A6F94">
        <w:rPr>
          <w:rFonts w:ascii="Arial" w:hAnsi="Arial" w:cs="Arial"/>
        </w:rPr>
        <w:lastRenderedPageBreak/>
        <w:t>In conclusion, the study finds that employee engagement in the UK pharmaceutical logistics sector is constrained by the realities of highly regulated and labour-intensive work environments. While engagement strategies are widely used, their ability to improve staff retention is limited when underlying structural issues remain unaddressed. This highlights the need for organisations to move beyond symbolic engagement initiatives and focus on improving the fundamental conditions of work to achieve meaningful and sustainable retention outcomes.</w:t>
      </w:r>
    </w:p>
    <w:p w14:paraId="0F733CA9" w14:textId="1B45C92D" w:rsidR="001A6F94" w:rsidRPr="00003CFC" w:rsidRDefault="001A6F94" w:rsidP="00FF03DF">
      <w:pPr>
        <w:pStyle w:val="Heading2"/>
        <w:rPr>
          <w:rFonts w:ascii="Arial" w:hAnsi="Arial" w:cs="Arial"/>
          <w:b/>
          <w:bCs/>
          <w:color w:val="000000" w:themeColor="text1"/>
          <w:sz w:val="24"/>
          <w:szCs w:val="24"/>
        </w:rPr>
      </w:pPr>
      <w:bookmarkStart w:id="40" w:name="_Toc228563724"/>
      <w:r w:rsidRPr="00003CFC">
        <w:rPr>
          <w:rFonts w:ascii="Arial" w:hAnsi="Arial" w:cs="Arial"/>
          <w:b/>
          <w:bCs/>
          <w:color w:val="000000" w:themeColor="text1"/>
          <w:sz w:val="24"/>
          <w:szCs w:val="24"/>
        </w:rPr>
        <w:t>5.3 Conclusions in Relation to Research Questions</w:t>
      </w:r>
      <w:bookmarkEnd w:id="40"/>
    </w:p>
    <w:p w14:paraId="24F924CF" w14:textId="242956D3" w:rsidR="001A6F94" w:rsidRDefault="001A6F94" w:rsidP="001A6F94">
      <w:pPr>
        <w:jc w:val="both"/>
        <w:rPr>
          <w:rFonts w:ascii="Arial" w:hAnsi="Arial" w:cs="Arial"/>
        </w:rPr>
      </w:pPr>
      <w:r w:rsidRPr="001A6F94">
        <w:rPr>
          <w:rFonts w:ascii="Arial" w:hAnsi="Arial" w:cs="Arial"/>
        </w:rPr>
        <w:t xml:space="preserve">This section provides direct answers to the research questions by </w:t>
      </w:r>
      <w:r w:rsidR="000D3F4E">
        <w:rPr>
          <w:rFonts w:ascii="Arial" w:hAnsi="Arial" w:cs="Arial"/>
        </w:rPr>
        <w:t xml:space="preserve">synthesising the study's key findings </w:t>
      </w:r>
      <w:r w:rsidRPr="001A6F94">
        <w:rPr>
          <w:rFonts w:ascii="Arial" w:hAnsi="Arial" w:cs="Arial"/>
        </w:rPr>
        <w:t xml:space="preserve">and linking them to the theoretical perspectives outlined in Chapter 2. It moves beyond description by offering a critical interpretation of how employee engagement operates </w:t>
      </w:r>
      <w:r w:rsidR="000D3F4E">
        <w:rPr>
          <w:rFonts w:ascii="Arial" w:hAnsi="Arial" w:cs="Arial"/>
        </w:rPr>
        <w:t>in the UK pharmaceutical logistics sector and its relationship</w:t>
      </w:r>
      <w:r w:rsidRPr="001A6F94">
        <w:rPr>
          <w:rFonts w:ascii="Arial" w:hAnsi="Arial" w:cs="Arial"/>
        </w:rPr>
        <w:t xml:space="preserve"> to staff retention.</w:t>
      </w:r>
    </w:p>
    <w:p w14:paraId="0298B641" w14:textId="77777777" w:rsidR="001A6F94" w:rsidRPr="001A6F94" w:rsidRDefault="001A6F94" w:rsidP="001A6F94">
      <w:pPr>
        <w:jc w:val="both"/>
        <w:rPr>
          <w:rFonts w:ascii="Arial" w:hAnsi="Arial" w:cs="Arial"/>
          <w:b/>
          <w:bCs/>
        </w:rPr>
      </w:pPr>
      <w:r w:rsidRPr="001A6F94">
        <w:rPr>
          <w:rFonts w:ascii="Arial" w:hAnsi="Arial" w:cs="Arial"/>
          <w:b/>
          <w:bCs/>
        </w:rPr>
        <w:t>Research Question 1: How are engagement strategies framed and represented within organisations?</w:t>
      </w:r>
    </w:p>
    <w:p w14:paraId="37949D67" w14:textId="77777777" w:rsidR="001A6F94" w:rsidRPr="001A6F94" w:rsidRDefault="001A6F94" w:rsidP="001A6F94">
      <w:pPr>
        <w:jc w:val="both"/>
        <w:rPr>
          <w:rFonts w:ascii="Arial" w:hAnsi="Arial" w:cs="Arial"/>
        </w:rPr>
      </w:pPr>
      <w:r w:rsidRPr="001A6F94">
        <w:rPr>
          <w:rFonts w:ascii="Arial" w:hAnsi="Arial" w:cs="Arial"/>
        </w:rPr>
        <w:t>The findings show that engagement strategies are consistently framed as positive, supportive, and performance-enhancing practices. Within both Movianto UK and DHL Supply Chain Healthcare, engagement is presented as a key component of human resource management, linked to employee wellbeing, motivation, and organisational success.</w:t>
      </w:r>
    </w:p>
    <w:p w14:paraId="5B673E54" w14:textId="17E4B534" w:rsidR="001A6F94" w:rsidRPr="001A6F94" w:rsidRDefault="001A6F94" w:rsidP="001A6F94">
      <w:pPr>
        <w:jc w:val="both"/>
        <w:rPr>
          <w:rFonts w:ascii="Arial" w:hAnsi="Arial" w:cs="Arial"/>
        </w:rPr>
      </w:pPr>
      <w:r w:rsidRPr="001A6F94">
        <w:rPr>
          <w:rFonts w:ascii="Arial" w:hAnsi="Arial" w:cs="Arial"/>
        </w:rPr>
        <w:t xml:space="preserve">This framing aligns with mainstream HRM literature, which views engagement as a mutually beneficial process that enhances both employee satisfaction and organisational performance (Albrecht et al., 2015). Engagement initiatives such as recognition programmes, communication strategies, and feedback mechanisms are positioned as tools </w:t>
      </w:r>
      <w:r w:rsidR="000D3F4E">
        <w:rPr>
          <w:rFonts w:ascii="Arial" w:hAnsi="Arial" w:cs="Arial"/>
        </w:rPr>
        <w:t>to foster commitment and improve</w:t>
      </w:r>
      <w:r w:rsidRPr="001A6F94">
        <w:rPr>
          <w:rFonts w:ascii="Arial" w:hAnsi="Arial" w:cs="Arial"/>
        </w:rPr>
        <w:t xml:space="preserve"> workplace culture.</w:t>
      </w:r>
    </w:p>
    <w:p w14:paraId="22CEF90E" w14:textId="5BF4D8FB" w:rsidR="001A6F94" w:rsidRPr="001A6F94" w:rsidRDefault="001A6F94" w:rsidP="001A6F94">
      <w:pPr>
        <w:jc w:val="both"/>
        <w:rPr>
          <w:rFonts w:ascii="Arial" w:hAnsi="Arial" w:cs="Arial"/>
        </w:rPr>
      </w:pPr>
      <w:r w:rsidRPr="001A6F94">
        <w:rPr>
          <w:rFonts w:ascii="Arial" w:hAnsi="Arial" w:cs="Arial"/>
        </w:rPr>
        <w:t>However, the findings also indicate that this representation is largely managerial and strategic. Engagement is framed primarily as a means of aligning employee behaviour with organisational objectives rather than as a response to employee needs or structural challenges. From a strategic HRM perspective, this reflects the role of engagement as a tool for enhancing performance and coordination within organisations (Torrington et al., 2020).</w:t>
      </w:r>
    </w:p>
    <w:p w14:paraId="79354E12" w14:textId="61BD5D60" w:rsidR="001A6F94" w:rsidRPr="001A6F94" w:rsidRDefault="001A6F94" w:rsidP="001A6F94">
      <w:pPr>
        <w:jc w:val="both"/>
        <w:rPr>
          <w:rFonts w:ascii="Arial" w:hAnsi="Arial" w:cs="Arial"/>
        </w:rPr>
      </w:pPr>
      <w:r w:rsidRPr="001A6F94">
        <w:rPr>
          <w:rFonts w:ascii="Arial" w:hAnsi="Arial" w:cs="Arial"/>
        </w:rPr>
        <w:t>At the same time, employee-generated data reveals a more critical perspective. Many employees perceive engagement initiatives as superficial or disconnected from their everyday work experiences. This suggests a gap between how engagement is presented and how it is experienced in practice.</w:t>
      </w:r>
    </w:p>
    <w:p w14:paraId="0D010D64" w14:textId="7943C5A7" w:rsidR="001A6F94" w:rsidRPr="001A6F94" w:rsidRDefault="00044666" w:rsidP="001A6F94">
      <w:pPr>
        <w:jc w:val="both"/>
        <w:rPr>
          <w:rFonts w:ascii="Arial" w:hAnsi="Arial" w:cs="Arial"/>
        </w:rPr>
      </w:pPr>
      <w:r>
        <w:rPr>
          <w:rFonts w:ascii="Arial" w:hAnsi="Arial" w:cs="Arial"/>
        </w:rPr>
        <w:t>The</w:t>
      </w:r>
      <w:r w:rsidR="001A6F94" w:rsidRPr="001A6F94">
        <w:rPr>
          <w:rFonts w:ascii="Arial" w:hAnsi="Arial" w:cs="Arial"/>
        </w:rPr>
        <w:t xml:space="preserve"> study concludes that engagement strategies are framed </w:t>
      </w:r>
      <w:r w:rsidR="000D3F4E">
        <w:rPr>
          <w:rFonts w:ascii="Arial" w:hAnsi="Arial" w:cs="Arial"/>
        </w:rPr>
        <w:t>to</w:t>
      </w:r>
      <w:r w:rsidR="001A6F94" w:rsidRPr="001A6F94">
        <w:rPr>
          <w:rFonts w:ascii="Arial" w:hAnsi="Arial" w:cs="Arial"/>
        </w:rPr>
        <w:t xml:space="preserve"> emphasise positivity and mutual benefit, but this framing often masks underlying organisational constraints. Engagement is therefore better understood as a managerial construct shaped by organisational priorities rather than a purely employee-centred practice.</w:t>
      </w:r>
    </w:p>
    <w:p w14:paraId="7C6B6AC0" w14:textId="0EAD5627" w:rsidR="001A6F94" w:rsidRDefault="001A6F94" w:rsidP="001A6F94">
      <w:pPr>
        <w:jc w:val="both"/>
        <w:rPr>
          <w:rFonts w:ascii="Arial" w:hAnsi="Arial" w:cs="Arial"/>
        </w:rPr>
      </w:pPr>
    </w:p>
    <w:p w14:paraId="2CE58B63" w14:textId="77777777" w:rsidR="009E4CA0" w:rsidRDefault="009E4CA0" w:rsidP="001A6F94">
      <w:pPr>
        <w:jc w:val="both"/>
        <w:rPr>
          <w:rFonts w:ascii="Arial" w:hAnsi="Arial" w:cs="Arial"/>
        </w:rPr>
      </w:pPr>
    </w:p>
    <w:p w14:paraId="7C722D7D" w14:textId="77777777" w:rsidR="009E4CA0" w:rsidRDefault="009E4CA0" w:rsidP="001A6F94">
      <w:pPr>
        <w:jc w:val="both"/>
        <w:rPr>
          <w:rFonts w:ascii="Arial" w:hAnsi="Arial" w:cs="Arial"/>
        </w:rPr>
      </w:pPr>
    </w:p>
    <w:p w14:paraId="60330C24" w14:textId="77777777" w:rsidR="00003CFC" w:rsidRDefault="00003CFC" w:rsidP="001A6F94">
      <w:pPr>
        <w:jc w:val="both"/>
        <w:rPr>
          <w:rFonts w:ascii="Arial" w:hAnsi="Arial" w:cs="Arial"/>
        </w:rPr>
      </w:pPr>
    </w:p>
    <w:p w14:paraId="51820037" w14:textId="77777777" w:rsidR="00003CFC" w:rsidRDefault="00003CFC" w:rsidP="001A6F94">
      <w:pPr>
        <w:jc w:val="both"/>
        <w:rPr>
          <w:rFonts w:ascii="Arial" w:hAnsi="Arial" w:cs="Arial"/>
        </w:rPr>
      </w:pPr>
    </w:p>
    <w:p w14:paraId="3E152AC0" w14:textId="77777777" w:rsidR="009E4CA0" w:rsidRPr="001A6F94" w:rsidRDefault="009E4CA0" w:rsidP="001A6F94">
      <w:pPr>
        <w:jc w:val="both"/>
        <w:rPr>
          <w:rFonts w:ascii="Arial" w:hAnsi="Arial" w:cs="Arial"/>
        </w:rPr>
      </w:pPr>
    </w:p>
    <w:p w14:paraId="3FEB3525" w14:textId="77777777" w:rsidR="001A6F94" w:rsidRPr="001A6F94" w:rsidRDefault="001A6F94" w:rsidP="001A6F94">
      <w:pPr>
        <w:jc w:val="both"/>
        <w:rPr>
          <w:rFonts w:ascii="Arial" w:hAnsi="Arial" w:cs="Arial"/>
          <w:b/>
          <w:bCs/>
        </w:rPr>
      </w:pPr>
      <w:r w:rsidRPr="001A6F94">
        <w:rPr>
          <w:rFonts w:ascii="Arial" w:hAnsi="Arial" w:cs="Arial"/>
          <w:b/>
          <w:bCs/>
        </w:rPr>
        <w:lastRenderedPageBreak/>
        <w:t>Research Question 2: What is the relationship between employee engagement and staff retention?</w:t>
      </w:r>
    </w:p>
    <w:p w14:paraId="3D62ADC6" w14:textId="716CF3D3" w:rsidR="001A6F94" w:rsidRPr="001A6F94" w:rsidRDefault="001A6F94" w:rsidP="001A6F94">
      <w:pPr>
        <w:jc w:val="both"/>
        <w:rPr>
          <w:rFonts w:ascii="Arial" w:hAnsi="Arial" w:cs="Arial"/>
        </w:rPr>
      </w:pPr>
      <w:r w:rsidRPr="001A6F94">
        <w:rPr>
          <w:rFonts w:ascii="Arial" w:hAnsi="Arial" w:cs="Arial"/>
        </w:rPr>
        <w:t xml:space="preserve">The findings demonstrate that the relationship between employee engagement and staff retention is complex, indirect, and highly </w:t>
      </w:r>
      <w:r w:rsidR="009E4CA0">
        <w:rPr>
          <w:rFonts w:ascii="Arial" w:hAnsi="Arial" w:cs="Arial"/>
        </w:rPr>
        <w:t>context-dependent</w:t>
      </w:r>
      <w:r w:rsidRPr="001A6F94">
        <w:rPr>
          <w:rFonts w:ascii="Arial" w:hAnsi="Arial" w:cs="Arial"/>
        </w:rPr>
        <w:t>.</w:t>
      </w:r>
    </w:p>
    <w:p w14:paraId="0DB15CE6" w14:textId="77777777" w:rsidR="001A6F94" w:rsidRPr="001A6F94" w:rsidRDefault="001A6F94" w:rsidP="001A6F94">
      <w:pPr>
        <w:jc w:val="both"/>
        <w:rPr>
          <w:rFonts w:ascii="Arial" w:hAnsi="Arial" w:cs="Arial"/>
        </w:rPr>
      </w:pPr>
      <w:r w:rsidRPr="001A6F94">
        <w:rPr>
          <w:rFonts w:ascii="Arial" w:hAnsi="Arial" w:cs="Arial"/>
        </w:rPr>
        <w:t>While existing literature often suggests a positive link between engagement and retention (Saks, 2006; CIPD, 2023), this study finds that engagement alone does not determine whether employees stay or leave. Instead, its impact is mediated by a range of structural and organisational factors.</w:t>
      </w:r>
    </w:p>
    <w:p w14:paraId="6845A078" w14:textId="680DB08E" w:rsidR="001A6F94" w:rsidRPr="001A6F94" w:rsidRDefault="001A6F94" w:rsidP="001A6F94">
      <w:pPr>
        <w:jc w:val="both"/>
        <w:rPr>
          <w:rFonts w:ascii="Arial" w:hAnsi="Arial" w:cs="Arial"/>
        </w:rPr>
      </w:pPr>
      <w:r w:rsidRPr="001A6F94">
        <w:rPr>
          <w:rFonts w:ascii="Arial" w:hAnsi="Arial" w:cs="Arial"/>
        </w:rPr>
        <w:t xml:space="preserve">In particular, high levels of work intensity, limited autonomy, and strong managerial control reduce the effectiveness of engagement initiatives. Even </w:t>
      </w:r>
      <w:r w:rsidR="000D3F4E">
        <w:rPr>
          <w:rFonts w:ascii="Arial" w:hAnsi="Arial" w:cs="Arial"/>
        </w:rPr>
        <w:t>when engagement programmes are in place</w:t>
      </w:r>
      <w:r w:rsidRPr="001A6F94">
        <w:rPr>
          <w:rFonts w:ascii="Arial" w:hAnsi="Arial" w:cs="Arial"/>
        </w:rPr>
        <w:t xml:space="preserve">, employees may still choose to leave if their working conditions remain demanding or unsatisfactory. This supports the Job Demands–Resources model, which suggests that excessive job demands can outweigh the positive effects of organisational resources such as engagement initiatives (Bakker </w:t>
      </w:r>
      <w:r w:rsidR="000D3F4E">
        <w:rPr>
          <w:rFonts w:ascii="Arial" w:hAnsi="Arial" w:cs="Arial"/>
        </w:rPr>
        <w:t>&amp;</w:t>
      </w:r>
      <w:r w:rsidRPr="001A6F94">
        <w:rPr>
          <w:rFonts w:ascii="Arial" w:hAnsi="Arial" w:cs="Arial"/>
        </w:rPr>
        <w:t xml:space="preserve"> Demerouti, 2017).</w:t>
      </w:r>
    </w:p>
    <w:p w14:paraId="522A0F48" w14:textId="57288A0C" w:rsidR="001A6F94" w:rsidRPr="001A6F94" w:rsidRDefault="001A6F94" w:rsidP="001A6F94">
      <w:pPr>
        <w:jc w:val="both"/>
        <w:rPr>
          <w:rFonts w:ascii="Arial" w:hAnsi="Arial" w:cs="Arial"/>
        </w:rPr>
      </w:pPr>
      <w:r w:rsidRPr="001A6F94">
        <w:rPr>
          <w:rFonts w:ascii="Arial" w:hAnsi="Arial" w:cs="Arial"/>
        </w:rPr>
        <w:t xml:space="preserve">The findings also highlight that retention is influenced by factors beyond engagement, including job security, </w:t>
      </w:r>
      <w:r w:rsidR="000D3F4E">
        <w:rPr>
          <w:rFonts w:ascii="Arial" w:hAnsi="Arial" w:cs="Arial"/>
        </w:rPr>
        <w:t>opportunities for career progression</w:t>
      </w:r>
      <w:r w:rsidRPr="001A6F94">
        <w:rPr>
          <w:rFonts w:ascii="Arial" w:hAnsi="Arial" w:cs="Arial"/>
        </w:rPr>
        <w:t>, and external labour market conditions (Bryman, 2016). As a result, engagement cannot be treated as a standalone solution to turnover.</w:t>
      </w:r>
    </w:p>
    <w:p w14:paraId="38AEE84E" w14:textId="034F22C3" w:rsidR="001A6F94" w:rsidRPr="001A6F94" w:rsidRDefault="001A6F94" w:rsidP="001A6F94">
      <w:pPr>
        <w:jc w:val="both"/>
        <w:rPr>
          <w:rFonts w:ascii="Arial" w:hAnsi="Arial" w:cs="Arial"/>
        </w:rPr>
      </w:pPr>
      <w:r w:rsidRPr="001A6F94">
        <w:rPr>
          <w:rFonts w:ascii="Arial" w:hAnsi="Arial" w:cs="Arial"/>
        </w:rPr>
        <w:t>The study</w:t>
      </w:r>
      <w:r w:rsidR="000D3F4E">
        <w:rPr>
          <w:rFonts w:ascii="Arial" w:hAnsi="Arial" w:cs="Arial"/>
        </w:rPr>
        <w:t>, therefore,</w:t>
      </w:r>
      <w:r w:rsidRPr="001A6F94">
        <w:rPr>
          <w:rFonts w:ascii="Arial" w:hAnsi="Arial" w:cs="Arial"/>
        </w:rPr>
        <w:t xml:space="preserve"> concludes that engagement contributes to retention only under certain conditions. Specifically, engagement is more likely to have a positive impact when </w:t>
      </w:r>
      <w:r w:rsidR="000D3F4E">
        <w:rPr>
          <w:rFonts w:ascii="Arial" w:hAnsi="Arial" w:cs="Arial"/>
        </w:rPr>
        <w:t>favourable working conditions, meaningful job design, and opportunities for employee development support it</w:t>
      </w:r>
      <w:r w:rsidRPr="001A6F94">
        <w:rPr>
          <w:rFonts w:ascii="Arial" w:hAnsi="Arial" w:cs="Arial"/>
        </w:rPr>
        <w:t>. Without these conditions, engagement initiatives are unlikely to produce sustained improvements in retention outcomes.</w:t>
      </w:r>
    </w:p>
    <w:p w14:paraId="2912D4B9" w14:textId="77777777" w:rsidR="001A6F94" w:rsidRPr="001A6F94" w:rsidRDefault="001A6F94" w:rsidP="001A6F94">
      <w:pPr>
        <w:jc w:val="both"/>
        <w:rPr>
          <w:rFonts w:ascii="Arial" w:hAnsi="Arial" w:cs="Arial"/>
          <w:b/>
          <w:bCs/>
        </w:rPr>
      </w:pPr>
      <w:r w:rsidRPr="001A6F94">
        <w:rPr>
          <w:rFonts w:ascii="Arial" w:hAnsi="Arial" w:cs="Arial"/>
          <w:b/>
          <w:bCs/>
        </w:rPr>
        <w:t>Research Question 3: What similarities and differences exist between engagement strategies in the two organisations?</w:t>
      </w:r>
    </w:p>
    <w:p w14:paraId="5277959F" w14:textId="77777777" w:rsidR="001A6F94" w:rsidRPr="001A6F94" w:rsidRDefault="001A6F94" w:rsidP="001A6F94">
      <w:pPr>
        <w:jc w:val="both"/>
        <w:rPr>
          <w:rFonts w:ascii="Arial" w:hAnsi="Arial" w:cs="Arial"/>
        </w:rPr>
      </w:pPr>
      <w:r w:rsidRPr="001A6F94">
        <w:rPr>
          <w:rFonts w:ascii="Arial" w:hAnsi="Arial" w:cs="Arial"/>
        </w:rPr>
        <w:t>The comparative analysis of Movianto UK and DHL Supply Chain Healthcare reveals a high degree of similarity in the way engagement strategies are designed and implemented.</w:t>
      </w:r>
    </w:p>
    <w:p w14:paraId="50B3DB7D" w14:textId="6538F3D0" w:rsidR="001A6F94" w:rsidRPr="001A6F94" w:rsidRDefault="001A6F94" w:rsidP="001A6F94">
      <w:pPr>
        <w:jc w:val="both"/>
        <w:rPr>
          <w:rFonts w:ascii="Arial" w:hAnsi="Arial" w:cs="Arial"/>
        </w:rPr>
      </w:pPr>
      <w:r w:rsidRPr="001A6F94">
        <w:rPr>
          <w:rFonts w:ascii="Arial" w:hAnsi="Arial" w:cs="Arial"/>
        </w:rPr>
        <w:t>Both organisations operate within the same highly regulated sector and face similar operational pressures, including strict compliance requirements, performance targets, and workforce demands. As a result, their engagement strategies share common features, such as communication platforms, recognition schemes, and employee feedback mechanisms.</w:t>
      </w:r>
    </w:p>
    <w:p w14:paraId="1EF82560" w14:textId="77777777" w:rsidR="001A6F94" w:rsidRPr="001A6F94" w:rsidRDefault="001A6F94" w:rsidP="001A6F94">
      <w:pPr>
        <w:jc w:val="both"/>
        <w:rPr>
          <w:rFonts w:ascii="Arial" w:hAnsi="Arial" w:cs="Arial"/>
        </w:rPr>
      </w:pPr>
      <w:r w:rsidRPr="001A6F94">
        <w:rPr>
          <w:rFonts w:ascii="Arial" w:hAnsi="Arial" w:cs="Arial"/>
        </w:rPr>
        <w:t>These similarities suggest that sectoral and regulatory conditions play a significant role in shaping engagement practices. Engagement strategies are not developed in isolation but are influenced by the broader institutional environment in which organisations operate.</w:t>
      </w:r>
    </w:p>
    <w:p w14:paraId="30BE9AFC" w14:textId="7C32B70E" w:rsidR="001A6F94" w:rsidRPr="001A6F94" w:rsidRDefault="001A6F94" w:rsidP="001A6F94">
      <w:pPr>
        <w:jc w:val="both"/>
        <w:rPr>
          <w:rFonts w:ascii="Arial" w:hAnsi="Arial" w:cs="Arial"/>
        </w:rPr>
      </w:pPr>
      <w:r w:rsidRPr="001A6F94">
        <w:rPr>
          <w:rFonts w:ascii="Arial" w:hAnsi="Arial" w:cs="Arial"/>
        </w:rPr>
        <w:t xml:space="preserve">However, the findings also identify differences in how </w:t>
      </w:r>
      <w:r w:rsidR="000D3F4E">
        <w:rPr>
          <w:rFonts w:ascii="Arial" w:hAnsi="Arial" w:cs="Arial"/>
        </w:rPr>
        <w:t>employees experience engagement</w:t>
      </w:r>
      <w:r w:rsidRPr="001A6F94">
        <w:rPr>
          <w:rFonts w:ascii="Arial" w:hAnsi="Arial" w:cs="Arial"/>
        </w:rPr>
        <w:t>. Variations in management style, organisational culture, and operational structure affect how engagement initiatives are perceived and interpreted. In some cases, engagement practices are seen as more supportive and meaningful, while in others they are viewed as symbolic or ineffective.</w:t>
      </w:r>
    </w:p>
    <w:p w14:paraId="1B4C777D" w14:textId="77777777" w:rsidR="001A6F94" w:rsidRPr="001A6F94" w:rsidRDefault="001A6F94" w:rsidP="001A6F94">
      <w:pPr>
        <w:jc w:val="both"/>
        <w:rPr>
          <w:rFonts w:ascii="Arial" w:hAnsi="Arial" w:cs="Arial"/>
        </w:rPr>
      </w:pPr>
      <w:r w:rsidRPr="001A6F94">
        <w:rPr>
          <w:rFonts w:ascii="Arial" w:hAnsi="Arial" w:cs="Arial"/>
        </w:rPr>
        <w:t>This supports the argument that organisational context matters, even within similar regulatory environments (Yin, 2018). While external conditions shape the overall framework of engagement strategies, internal organisational factors influence their practical impact.</w:t>
      </w:r>
    </w:p>
    <w:p w14:paraId="5F90A3E4" w14:textId="77777777" w:rsidR="001A6F94" w:rsidRPr="001A6F94" w:rsidRDefault="001A6F94" w:rsidP="001A6F94">
      <w:pPr>
        <w:jc w:val="both"/>
        <w:rPr>
          <w:rFonts w:ascii="Arial" w:hAnsi="Arial" w:cs="Arial"/>
        </w:rPr>
      </w:pPr>
      <w:r w:rsidRPr="001A6F94">
        <w:rPr>
          <w:rFonts w:ascii="Arial" w:hAnsi="Arial" w:cs="Arial"/>
        </w:rPr>
        <w:t>The study therefore concludes that engagement strategies in the two organisations are structurally similar but contextually differentiated in their implementation and outcomes.</w:t>
      </w:r>
    </w:p>
    <w:p w14:paraId="4AEC457B" w14:textId="5790EB5F" w:rsidR="001A6F94" w:rsidRPr="001A6F94" w:rsidRDefault="001A6F94" w:rsidP="001A6F94">
      <w:pPr>
        <w:jc w:val="both"/>
        <w:rPr>
          <w:rFonts w:ascii="Arial" w:hAnsi="Arial" w:cs="Arial"/>
        </w:rPr>
      </w:pPr>
    </w:p>
    <w:p w14:paraId="65326FD9" w14:textId="77777777" w:rsidR="001A6F94" w:rsidRPr="001A6F94" w:rsidRDefault="001A6F94" w:rsidP="001A6F94">
      <w:pPr>
        <w:jc w:val="both"/>
        <w:rPr>
          <w:rFonts w:ascii="Arial" w:hAnsi="Arial" w:cs="Arial"/>
          <w:b/>
          <w:bCs/>
        </w:rPr>
      </w:pPr>
      <w:r w:rsidRPr="001A6F94">
        <w:rPr>
          <w:rFonts w:ascii="Arial" w:hAnsi="Arial" w:cs="Arial"/>
          <w:b/>
          <w:bCs/>
        </w:rPr>
        <w:t>Research Question 4: To what extent do engagement strategies address structural workplace conditions?</w:t>
      </w:r>
    </w:p>
    <w:p w14:paraId="5AF9D4D0" w14:textId="77777777" w:rsidR="001A6F94" w:rsidRPr="001A6F94" w:rsidRDefault="001A6F94" w:rsidP="001A6F94">
      <w:pPr>
        <w:jc w:val="both"/>
        <w:rPr>
          <w:rFonts w:ascii="Arial" w:hAnsi="Arial" w:cs="Arial"/>
        </w:rPr>
      </w:pPr>
      <w:r w:rsidRPr="001A6F94">
        <w:rPr>
          <w:rFonts w:ascii="Arial" w:hAnsi="Arial" w:cs="Arial"/>
        </w:rPr>
        <w:t>The findings show that engagement strategies have a limited impact on structural workplace conditions.</w:t>
      </w:r>
    </w:p>
    <w:p w14:paraId="3D660881" w14:textId="36679282" w:rsidR="001A6F94" w:rsidRPr="001A6F94" w:rsidRDefault="001A6F94" w:rsidP="001A6F94">
      <w:pPr>
        <w:jc w:val="both"/>
        <w:rPr>
          <w:rFonts w:ascii="Arial" w:hAnsi="Arial" w:cs="Arial"/>
        </w:rPr>
      </w:pPr>
      <w:r w:rsidRPr="001A6F94">
        <w:rPr>
          <w:rFonts w:ascii="Arial" w:hAnsi="Arial" w:cs="Arial"/>
        </w:rPr>
        <w:t>Key issues such as workload intensity, strict performance monitoring, limited autonomy, and regulatory control remain largely unchanged despite engagement initiatives. Engagement programmes tend to focus on communication, recognition, and employee attitudes rather than on redesigning work or addressing underlying structural constraints.</w:t>
      </w:r>
    </w:p>
    <w:p w14:paraId="0E6107A5" w14:textId="77777777" w:rsidR="001A6F94" w:rsidRPr="001A6F94" w:rsidRDefault="001A6F94" w:rsidP="001A6F94">
      <w:pPr>
        <w:jc w:val="both"/>
        <w:rPr>
          <w:rFonts w:ascii="Arial" w:hAnsi="Arial" w:cs="Arial"/>
        </w:rPr>
      </w:pPr>
      <w:r w:rsidRPr="001A6F94">
        <w:rPr>
          <w:rFonts w:ascii="Arial" w:hAnsi="Arial" w:cs="Arial"/>
        </w:rPr>
        <w:t>This supports critical HRM and labour process perspectives, which argue that engagement initiatives often operate within existing organisational systems rather than transforming them (Legge, 2005; Thompson, 2011). In this sense, engagement can function as a form of normative control, encouraging employees to adopt organisational values and maintain positive attitudes even when working conditions are challenging (Fleming, 2017).</w:t>
      </w:r>
    </w:p>
    <w:p w14:paraId="3B6F030F" w14:textId="77777777" w:rsidR="001A6F94" w:rsidRPr="001A6F94" w:rsidRDefault="001A6F94" w:rsidP="001A6F94">
      <w:pPr>
        <w:jc w:val="both"/>
        <w:rPr>
          <w:rFonts w:ascii="Arial" w:hAnsi="Arial" w:cs="Arial"/>
        </w:rPr>
      </w:pPr>
      <w:r w:rsidRPr="001A6F94">
        <w:rPr>
          <w:rFonts w:ascii="Arial" w:hAnsi="Arial" w:cs="Arial"/>
        </w:rPr>
        <w:t>The findings also suggest that engagement may, in some cases, reinforce existing structures by diverting attention away from more fundamental issues. For example, recognition programmes may improve morale in the short term but do not address long-term concerns such as workload or job design.</w:t>
      </w:r>
    </w:p>
    <w:p w14:paraId="2CD5202E" w14:textId="3DDA0C8E" w:rsidR="001A6F94" w:rsidRPr="001A6F94" w:rsidRDefault="001A6F94" w:rsidP="001A6F94">
      <w:pPr>
        <w:jc w:val="both"/>
        <w:rPr>
          <w:rFonts w:ascii="Arial" w:hAnsi="Arial" w:cs="Arial"/>
        </w:rPr>
      </w:pPr>
      <w:r w:rsidRPr="001A6F94">
        <w:rPr>
          <w:rFonts w:ascii="Arial" w:hAnsi="Arial" w:cs="Arial"/>
        </w:rPr>
        <w:t>The study</w:t>
      </w:r>
      <w:r w:rsidR="000D3F4E">
        <w:rPr>
          <w:rFonts w:ascii="Arial" w:hAnsi="Arial" w:cs="Arial"/>
        </w:rPr>
        <w:t>, therefore,</w:t>
      </w:r>
      <w:r w:rsidRPr="001A6F94">
        <w:rPr>
          <w:rFonts w:ascii="Arial" w:hAnsi="Arial" w:cs="Arial"/>
        </w:rPr>
        <w:t xml:space="preserve"> concludes that engagement strategies rarely address structural workplace conditions directly. Instead, they operate alongside these conditions, often without significantly altering them.</w:t>
      </w:r>
    </w:p>
    <w:p w14:paraId="0740545D" w14:textId="77777777" w:rsidR="001A6F94" w:rsidRPr="001A6F94" w:rsidRDefault="001A6F94" w:rsidP="001A6F94">
      <w:pPr>
        <w:jc w:val="both"/>
        <w:rPr>
          <w:rFonts w:ascii="Arial" w:hAnsi="Arial" w:cs="Arial"/>
        </w:rPr>
      </w:pPr>
      <w:r w:rsidRPr="001A6F94">
        <w:rPr>
          <w:rFonts w:ascii="Arial" w:hAnsi="Arial" w:cs="Arial"/>
        </w:rPr>
        <w:t>This highlights a key limitation of engagement as a management tool. Without addressing the underlying organisation of work, engagement initiatives are unlikely to produce meaningful or lasting improvements in employee retention.</w:t>
      </w:r>
    </w:p>
    <w:p w14:paraId="06574E8B" w14:textId="6F7525D8" w:rsidR="001A6F94" w:rsidRPr="00003CFC" w:rsidRDefault="001A6F94" w:rsidP="00FF03DF">
      <w:pPr>
        <w:pStyle w:val="Heading2"/>
        <w:rPr>
          <w:rFonts w:ascii="Arial" w:hAnsi="Arial" w:cs="Arial"/>
          <w:b/>
          <w:bCs/>
          <w:color w:val="000000" w:themeColor="text1"/>
          <w:sz w:val="24"/>
          <w:szCs w:val="24"/>
        </w:rPr>
      </w:pPr>
      <w:bookmarkStart w:id="41" w:name="_Toc228563725"/>
      <w:r w:rsidRPr="00003CFC">
        <w:rPr>
          <w:rFonts w:ascii="Arial" w:hAnsi="Arial" w:cs="Arial"/>
          <w:b/>
          <w:bCs/>
          <w:color w:val="000000" w:themeColor="text1"/>
          <w:sz w:val="24"/>
          <w:szCs w:val="24"/>
        </w:rPr>
        <w:t>5.</w:t>
      </w:r>
      <w:r w:rsidR="00E25C94" w:rsidRPr="00003CFC">
        <w:rPr>
          <w:rFonts w:ascii="Arial" w:hAnsi="Arial" w:cs="Arial"/>
          <w:b/>
          <w:bCs/>
          <w:color w:val="000000" w:themeColor="text1"/>
          <w:sz w:val="24"/>
          <w:szCs w:val="24"/>
        </w:rPr>
        <w:t xml:space="preserve">4 </w:t>
      </w:r>
      <w:r w:rsidRPr="00003CFC">
        <w:rPr>
          <w:rFonts w:ascii="Arial" w:hAnsi="Arial" w:cs="Arial"/>
          <w:b/>
          <w:bCs/>
          <w:color w:val="000000" w:themeColor="text1"/>
          <w:sz w:val="24"/>
          <w:szCs w:val="24"/>
        </w:rPr>
        <w:t>Overall Conclusion</w:t>
      </w:r>
      <w:bookmarkEnd w:id="41"/>
      <w:r w:rsidRPr="00003CFC">
        <w:rPr>
          <w:rFonts w:ascii="Arial" w:hAnsi="Arial" w:cs="Arial"/>
          <w:b/>
          <w:bCs/>
          <w:color w:val="000000" w:themeColor="text1"/>
          <w:sz w:val="24"/>
          <w:szCs w:val="24"/>
        </w:rPr>
        <w:t xml:space="preserve"> </w:t>
      </w:r>
    </w:p>
    <w:p w14:paraId="1E0E0497" w14:textId="77777777" w:rsidR="001A6F94" w:rsidRPr="001A6F94" w:rsidRDefault="001A6F94" w:rsidP="001A6F94">
      <w:pPr>
        <w:jc w:val="both"/>
        <w:rPr>
          <w:rFonts w:ascii="Arial" w:hAnsi="Arial" w:cs="Arial"/>
        </w:rPr>
      </w:pPr>
      <w:r w:rsidRPr="001A6F94">
        <w:rPr>
          <w:rFonts w:ascii="Arial" w:hAnsi="Arial" w:cs="Arial"/>
        </w:rPr>
        <w:t>This dissertation set out to critically examine the relationship between employee engagement strategies and staff retention within the UK pharmaceutical logistics sector, focusing on Movianto UK and DHL Supply Chain Healthcare. By adopting a qualitative, interpretivist, and comparative case study approach, the research explored both organisational representations of engagement and employee experiences of work. This dual perspective enabled a more nuanced and context-sensitive understanding of engagement than is typically presented in mainstream human resource management (HRM) literature.</w:t>
      </w:r>
    </w:p>
    <w:p w14:paraId="34009973" w14:textId="3AEC32FD" w:rsidR="009E4CA0" w:rsidRDefault="001A6F94" w:rsidP="001A6F94">
      <w:pPr>
        <w:jc w:val="both"/>
        <w:rPr>
          <w:rFonts w:ascii="Arial" w:hAnsi="Arial" w:cs="Arial"/>
        </w:rPr>
      </w:pPr>
      <w:r w:rsidRPr="001A6F94">
        <w:rPr>
          <w:rFonts w:ascii="Arial" w:hAnsi="Arial" w:cs="Arial"/>
        </w:rPr>
        <w:t xml:space="preserve">A central conclusion of the study is that employee engagement cannot be understood as a simple or universally effective mechanism for improving staff retention. While engagement is widely promoted in HRM theory as a positive and mutually beneficial practice associated with improved organisational outcomes (Albrecht et al., 2015), the findings of this research demonstrate that </w:t>
      </w:r>
      <w:r w:rsidR="000D3F4E">
        <w:rPr>
          <w:rFonts w:ascii="Arial" w:hAnsi="Arial" w:cs="Arial"/>
        </w:rPr>
        <w:t>structural workplace conditions fundamentally shape its impact</w:t>
      </w:r>
      <w:r w:rsidRPr="001A6F94">
        <w:rPr>
          <w:rFonts w:ascii="Arial" w:hAnsi="Arial" w:cs="Arial"/>
        </w:rPr>
        <w:t>. In highly regulated and labour-intensive environments such as pharmaceutical logistics, factors including workload intensity, regulatory compliance, managerial control, and limited autonomy play a decisive role in shaping employee experiences and retention outcomes.</w:t>
      </w:r>
    </w:p>
    <w:p w14:paraId="5C5B4AFB" w14:textId="77777777" w:rsidR="00003CFC" w:rsidRDefault="00003CFC" w:rsidP="001A6F94">
      <w:pPr>
        <w:jc w:val="both"/>
        <w:rPr>
          <w:rFonts w:ascii="Arial" w:hAnsi="Arial" w:cs="Arial"/>
        </w:rPr>
      </w:pPr>
    </w:p>
    <w:p w14:paraId="1BD30081" w14:textId="77777777" w:rsidR="00003CFC" w:rsidRPr="001A6F94" w:rsidRDefault="00003CFC" w:rsidP="001A6F94">
      <w:pPr>
        <w:jc w:val="both"/>
        <w:rPr>
          <w:rFonts w:ascii="Arial" w:hAnsi="Arial" w:cs="Arial"/>
        </w:rPr>
      </w:pPr>
    </w:p>
    <w:p w14:paraId="2361F64B" w14:textId="1035CAD2" w:rsidR="001A6F94" w:rsidRPr="001A6F94" w:rsidRDefault="001A6F94" w:rsidP="001A6F94">
      <w:pPr>
        <w:jc w:val="both"/>
        <w:rPr>
          <w:rFonts w:ascii="Arial" w:hAnsi="Arial" w:cs="Arial"/>
        </w:rPr>
      </w:pPr>
      <w:r w:rsidRPr="001A6F94">
        <w:rPr>
          <w:rFonts w:ascii="Arial" w:hAnsi="Arial" w:cs="Arial"/>
        </w:rPr>
        <w:lastRenderedPageBreak/>
        <w:t xml:space="preserve">The study finds that engagement strategies are consistently framed in organisational discourse as supportive, empowering, and aligned with employee wellbeing. Many employees experience high </w:t>
      </w:r>
      <w:r w:rsidR="00003CFC">
        <w:rPr>
          <w:rFonts w:ascii="Arial" w:hAnsi="Arial" w:cs="Arial"/>
        </w:rPr>
        <w:t>pressure, restricted autonomy, and limited influence over their work, undermining</w:t>
      </w:r>
      <w:r w:rsidRPr="001A6F94">
        <w:rPr>
          <w:rFonts w:ascii="Arial" w:hAnsi="Arial" w:cs="Arial"/>
        </w:rPr>
        <w:t xml:space="preserve"> the intended effects of engagement initiatives. This gap between engagement rhetoric and employee reality represents a key contribution of the research. It highlights that engagement practices may </w:t>
      </w:r>
      <w:r w:rsidR="000D3F4E">
        <w:rPr>
          <w:rFonts w:ascii="Arial" w:hAnsi="Arial" w:cs="Arial"/>
        </w:rPr>
        <w:t>serve more as managerial tools for shaping employee attitudes than as mechanisms to improve</w:t>
      </w:r>
      <w:r w:rsidRPr="001A6F94">
        <w:rPr>
          <w:rFonts w:ascii="Arial" w:hAnsi="Arial" w:cs="Arial"/>
        </w:rPr>
        <w:t xml:space="preserve"> underlying working conditions.</w:t>
      </w:r>
    </w:p>
    <w:p w14:paraId="00326C66" w14:textId="77777777" w:rsidR="001A6F94" w:rsidRPr="001A6F94" w:rsidRDefault="001A6F94" w:rsidP="001A6F94">
      <w:pPr>
        <w:jc w:val="both"/>
        <w:rPr>
          <w:rFonts w:ascii="Arial" w:hAnsi="Arial" w:cs="Arial"/>
        </w:rPr>
      </w:pPr>
      <w:r w:rsidRPr="001A6F94">
        <w:rPr>
          <w:rFonts w:ascii="Arial" w:hAnsi="Arial" w:cs="Arial"/>
        </w:rPr>
        <w:t>From a theoretical perspective, the findings support and extend critical HRM and labour process arguments. Engagement can be interpreted not only as a motivational construct but also as a form of normative control, where employees are encouraged to internalise organisational values and maintain positive attitudes despite structural constraints (Thompson, 2011; Fleming, 2017). This challenges the dominant assumption within HRM that engagement is inherently beneficial and instead positions it as a context-dependent practice embedded within systems of organisational power and control.</w:t>
      </w:r>
    </w:p>
    <w:p w14:paraId="29752DAB" w14:textId="760E4F72" w:rsidR="001A6F94" w:rsidRPr="001A6F94" w:rsidRDefault="001A6F94" w:rsidP="001A6F94">
      <w:pPr>
        <w:jc w:val="both"/>
        <w:rPr>
          <w:rFonts w:ascii="Arial" w:hAnsi="Arial" w:cs="Arial"/>
        </w:rPr>
      </w:pPr>
      <w:r w:rsidRPr="001A6F94">
        <w:rPr>
          <w:rFonts w:ascii="Arial" w:hAnsi="Arial" w:cs="Arial"/>
        </w:rPr>
        <w:t xml:space="preserve">At the same time, the study does not </w:t>
      </w:r>
      <w:r w:rsidR="000D3F4E">
        <w:rPr>
          <w:rFonts w:ascii="Arial" w:hAnsi="Arial" w:cs="Arial"/>
        </w:rPr>
        <w:t>entirely dismiss the value of engagement</w:t>
      </w:r>
      <w:r w:rsidRPr="001A6F94">
        <w:rPr>
          <w:rFonts w:ascii="Arial" w:hAnsi="Arial" w:cs="Arial"/>
        </w:rPr>
        <w:t>. Rather, it shows that engagement can contribute to positive outcomes, including improved motivation and commitment, but only when supported by favourable organisational conditions. When issues such as excessive workload, limited career development, and rigid control structures are not addressed, engagement initiatives are unlikely to deliver meaningful or sustained improvements in staff retention.</w:t>
      </w:r>
    </w:p>
    <w:p w14:paraId="0F65BDD6" w14:textId="00349466" w:rsidR="001A6F94" w:rsidRPr="001A6F94" w:rsidRDefault="001A6F94" w:rsidP="001A6F94">
      <w:pPr>
        <w:jc w:val="both"/>
        <w:rPr>
          <w:rFonts w:ascii="Arial" w:hAnsi="Arial" w:cs="Arial"/>
        </w:rPr>
      </w:pPr>
      <w:r w:rsidRPr="001A6F94">
        <w:rPr>
          <w:rFonts w:ascii="Arial" w:hAnsi="Arial" w:cs="Arial"/>
        </w:rPr>
        <w:t xml:space="preserve">Another important conclusion is that the relationship between engagement and retention is indirect and conditional. Retention is influenced by a wider range of factors, including job design, employment conditions, and external labour market dynamics (Bryman, 2016). Engagement interacts with these factors rather than acting as a primary driver. </w:t>
      </w:r>
      <w:r w:rsidR="009E4CA0" w:rsidRPr="001A6F94">
        <w:rPr>
          <w:rFonts w:ascii="Arial" w:hAnsi="Arial" w:cs="Arial"/>
        </w:rPr>
        <w:t xml:space="preserve">These </w:t>
      </w:r>
      <w:r w:rsidR="009E4CA0">
        <w:rPr>
          <w:rFonts w:ascii="Arial" w:hAnsi="Arial" w:cs="Arial"/>
        </w:rPr>
        <w:t>findings challenge simplified, linear models of engagement and retention and support</w:t>
      </w:r>
      <w:r w:rsidRPr="001A6F94">
        <w:rPr>
          <w:rFonts w:ascii="Arial" w:hAnsi="Arial" w:cs="Arial"/>
        </w:rPr>
        <w:t xml:space="preserve"> a more complex and integrated understanding of organisational behaviour.</w:t>
      </w:r>
    </w:p>
    <w:p w14:paraId="4D306BE5" w14:textId="77777777" w:rsidR="001A6F94" w:rsidRPr="001A6F94" w:rsidRDefault="001A6F94" w:rsidP="001A6F94">
      <w:pPr>
        <w:jc w:val="both"/>
        <w:rPr>
          <w:rFonts w:ascii="Arial" w:hAnsi="Arial" w:cs="Arial"/>
        </w:rPr>
      </w:pPr>
      <w:r w:rsidRPr="001A6F94">
        <w:rPr>
          <w:rFonts w:ascii="Arial" w:hAnsi="Arial" w:cs="Arial"/>
        </w:rPr>
        <w:t>The comparative aspect of the study further reinforces the importance of context. While Movianto UK and DHL Supply Chain Healthcare operate under similar regulatory frameworks, differences in organisational practices and employee experiences demonstrate that engagement is shaped not only by external conditions but also by internal organisational factors such as management style and workplace culture.</w:t>
      </w:r>
    </w:p>
    <w:p w14:paraId="55A81006" w14:textId="04E3743C" w:rsidR="001A6F94" w:rsidRPr="001A6F94" w:rsidRDefault="00333822" w:rsidP="001A6F94">
      <w:pPr>
        <w:jc w:val="both"/>
        <w:rPr>
          <w:rFonts w:ascii="Arial" w:hAnsi="Arial" w:cs="Arial"/>
        </w:rPr>
      </w:pPr>
      <w:r>
        <w:rPr>
          <w:rFonts w:ascii="Arial" w:hAnsi="Arial" w:cs="Arial"/>
        </w:rPr>
        <w:t>T</w:t>
      </w:r>
      <w:r w:rsidR="001A6F94" w:rsidRPr="001A6F94">
        <w:rPr>
          <w:rFonts w:ascii="Arial" w:hAnsi="Arial" w:cs="Arial"/>
        </w:rPr>
        <w:t>his dissertation makes both theoretical and practical contributions. Theoretically, it integrates mainstream engagement theory with critical HRM perspectives, offering a more balanced and realistic understanding of how engagement operates in complex organisational environments. Practically, it highlights the limitations of relying on engagement initiatives alone to address retention challenges and emphasises the need for organisations to address underlying structural conditions.</w:t>
      </w:r>
    </w:p>
    <w:p w14:paraId="6439BF2C" w14:textId="06175273" w:rsidR="00333822" w:rsidRDefault="00333822" w:rsidP="00333822">
      <w:pPr>
        <w:jc w:val="both"/>
        <w:rPr>
          <w:rFonts w:ascii="Arial" w:hAnsi="Arial" w:cs="Arial"/>
        </w:rPr>
      </w:pPr>
      <w:r w:rsidRPr="00333822">
        <w:rPr>
          <w:rFonts w:ascii="Arial" w:hAnsi="Arial" w:cs="Arial"/>
        </w:rPr>
        <w:t xml:space="preserve">This study challenges the assumption that employee engagement can </w:t>
      </w:r>
      <w:r>
        <w:rPr>
          <w:rFonts w:ascii="Arial" w:hAnsi="Arial" w:cs="Arial"/>
        </w:rPr>
        <w:t>serve as a standalone solution for staff retention in</w:t>
      </w:r>
      <w:r w:rsidRPr="00333822">
        <w:rPr>
          <w:rFonts w:ascii="Arial" w:hAnsi="Arial" w:cs="Arial"/>
        </w:rPr>
        <w:t xml:space="preserve"> highly regulated environments. The findings show that engagement is shaped by structural workplace conditions, including workload intensity, managerial control, and limited autonomy, which constrain its effectiveness.</w:t>
      </w:r>
    </w:p>
    <w:p w14:paraId="0F7FC89B" w14:textId="77777777" w:rsidR="00333822" w:rsidRDefault="00333822" w:rsidP="00333822">
      <w:pPr>
        <w:jc w:val="both"/>
        <w:rPr>
          <w:rFonts w:ascii="Arial" w:hAnsi="Arial" w:cs="Arial"/>
        </w:rPr>
      </w:pPr>
    </w:p>
    <w:p w14:paraId="16FD2A39" w14:textId="77777777" w:rsidR="00660292" w:rsidRDefault="00660292" w:rsidP="00333822">
      <w:pPr>
        <w:jc w:val="both"/>
        <w:rPr>
          <w:rFonts w:ascii="Arial" w:hAnsi="Arial" w:cs="Arial"/>
        </w:rPr>
      </w:pPr>
    </w:p>
    <w:p w14:paraId="66B59AFD" w14:textId="77777777" w:rsidR="00660292" w:rsidRPr="00333822" w:rsidRDefault="00660292" w:rsidP="00333822">
      <w:pPr>
        <w:jc w:val="both"/>
        <w:rPr>
          <w:rFonts w:ascii="Arial" w:hAnsi="Arial" w:cs="Arial"/>
        </w:rPr>
      </w:pPr>
    </w:p>
    <w:p w14:paraId="1667E8F2" w14:textId="77777777" w:rsidR="00333822" w:rsidRPr="00333822" w:rsidRDefault="00333822" w:rsidP="00333822">
      <w:pPr>
        <w:jc w:val="both"/>
        <w:rPr>
          <w:rFonts w:ascii="Arial" w:hAnsi="Arial" w:cs="Arial"/>
        </w:rPr>
      </w:pPr>
      <w:r w:rsidRPr="00660292">
        <w:rPr>
          <w:rFonts w:ascii="Arial" w:hAnsi="Arial" w:cs="Arial"/>
          <w:color w:val="000000" w:themeColor="text1"/>
        </w:rPr>
        <w:lastRenderedPageBreak/>
        <w:t xml:space="preserve">Rather than operating as a direct driver of retention, engagement functions as a conditional </w:t>
      </w:r>
      <w:r w:rsidRPr="00333822">
        <w:rPr>
          <w:rFonts w:ascii="Arial" w:hAnsi="Arial" w:cs="Arial"/>
        </w:rPr>
        <w:t>factor whose impact depends on the broader organisation of work. This highlights the need to move beyond simplified HRM models and adopt a more context-sensitive understanding of engagement.</w:t>
      </w:r>
    </w:p>
    <w:p w14:paraId="2B604190" w14:textId="77777777" w:rsidR="00333822" w:rsidRPr="00333822" w:rsidRDefault="00333822" w:rsidP="00333822">
      <w:pPr>
        <w:jc w:val="both"/>
        <w:rPr>
          <w:rFonts w:ascii="Arial" w:hAnsi="Arial" w:cs="Arial"/>
        </w:rPr>
      </w:pPr>
      <w:r w:rsidRPr="00333822">
        <w:rPr>
          <w:rFonts w:ascii="Arial" w:hAnsi="Arial" w:cs="Arial"/>
        </w:rPr>
        <w:t>The study contributes to both theory and practice by demonstrating that improving retention requires changes to working conditions, not only employee-focused initiatives. In doing so, it provides a more realistic and critical account of how engagement operates in complex organisational settings.</w:t>
      </w:r>
    </w:p>
    <w:p w14:paraId="5A9EB3EA" w14:textId="77777777" w:rsidR="009E4CA0" w:rsidRPr="001A6F94" w:rsidRDefault="009E4CA0" w:rsidP="001A6F94">
      <w:pPr>
        <w:jc w:val="both"/>
        <w:rPr>
          <w:rFonts w:ascii="Arial" w:hAnsi="Arial" w:cs="Arial"/>
        </w:rPr>
      </w:pPr>
    </w:p>
    <w:p w14:paraId="7AD1D4C6" w14:textId="4D20B66D" w:rsidR="001A6F94" w:rsidRPr="00660292" w:rsidRDefault="001A6F94" w:rsidP="00FF03DF">
      <w:pPr>
        <w:pStyle w:val="Heading2"/>
        <w:rPr>
          <w:rFonts w:ascii="Arial" w:hAnsi="Arial" w:cs="Arial"/>
          <w:b/>
          <w:bCs/>
          <w:color w:val="000000" w:themeColor="text1"/>
          <w:sz w:val="24"/>
          <w:szCs w:val="24"/>
        </w:rPr>
      </w:pPr>
      <w:bookmarkStart w:id="42" w:name="_Toc228563726"/>
      <w:r w:rsidRPr="00660292">
        <w:rPr>
          <w:rFonts w:ascii="Arial" w:hAnsi="Arial" w:cs="Arial"/>
          <w:b/>
          <w:bCs/>
          <w:color w:val="000000" w:themeColor="text1"/>
          <w:sz w:val="24"/>
          <w:szCs w:val="24"/>
        </w:rPr>
        <w:t>5.</w:t>
      </w:r>
      <w:r w:rsidR="00E25C94" w:rsidRPr="00660292">
        <w:rPr>
          <w:rFonts w:ascii="Arial" w:hAnsi="Arial" w:cs="Arial"/>
          <w:b/>
          <w:bCs/>
          <w:color w:val="000000" w:themeColor="text1"/>
          <w:sz w:val="24"/>
          <w:szCs w:val="24"/>
        </w:rPr>
        <w:t>5</w:t>
      </w:r>
      <w:r w:rsidRPr="00660292">
        <w:rPr>
          <w:rFonts w:ascii="Arial" w:hAnsi="Arial" w:cs="Arial"/>
          <w:b/>
          <w:bCs/>
          <w:color w:val="000000" w:themeColor="text1"/>
          <w:sz w:val="24"/>
          <w:szCs w:val="24"/>
        </w:rPr>
        <w:t xml:space="preserve"> Recommendations</w:t>
      </w:r>
      <w:bookmarkEnd w:id="42"/>
      <w:r w:rsidRPr="00660292">
        <w:rPr>
          <w:rFonts w:ascii="Arial" w:hAnsi="Arial" w:cs="Arial"/>
          <w:b/>
          <w:bCs/>
          <w:color w:val="000000" w:themeColor="text1"/>
          <w:sz w:val="24"/>
          <w:szCs w:val="24"/>
        </w:rPr>
        <w:t xml:space="preserve"> </w:t>
      </w:r>
    </w:p>
    <w:p w14:paraId="7BF9B342" w14:textId="215EFB37" w:rsidR="00333822" w:rsidRPr="009E4CA0" w:rsidRDefault="00333822" w:rsidP="001A6F94">
      <w:pPr>
        <w:jc w:val="both"/>
        <w:rPr>
          <w:rFonts w:ascii="Arial" w:hAnsi="Arial" w:cs="Arial"/>
          <w:b/>
          <w:bCs/>
          <w:sz w:val="24"/>
          <w:szCs w:val="24"/>
        </w:rPr>
      </w:pPr>
      <w:r w:rsidRPr="00333822">
        <w:rPr>
          <w:rFonts w:ascii="Arial" w:hAnsi="Arial" w:cs="Arial"/>
        </w:rPr>
        <w:t>The following recommendations are directly informed by the findings presented in Chapter 4 and aligned with the research objectives. Each recommendation addresses specific structural and organisational issues identified in the analysis</w:t>
      </w:r>
      <w:r w:rsidRPr="00333822">
        <w:rPr>
          <w:rFonts w:ascii="Arial" w:hAnsi="Arial" w:cs="Arial"/>
          <w:b/>
          <w:bCs/>
          <w:sz w:val="24"/>
          <w:szCs w:val="24"/>
        </w:rPr>
        <w:t>.</w:t>
      </w:r>
    </w:p>
    <w:p w14:paraId="0CBD6C81" w14:textId="77777777" w:rsidR="00E9568B" w:rsidRDefault="00E9568B" w:rsidP="00E9568B">
      <w:pPr>
        <w:jc w:val="both"/>
        <w:rPr>
          <w:rFonts w:ascii="Arial" w:hAnsi="Arial" w:cs="Arial"/>
        </w:rPr>
      </w:pPr>
      <w:r w:rsidRPr="00E9568B">
        <w:rPr>
          <w:rFonts w:ascii="Arial" w:hAnsi="Arial" w:cs="Arial"/>
        </w:rPr>
        <w:t>The findings in Chapter 4 show that employee engagement alone is not sufficient to improve retention. Instead, its effectiveness depends on how it interacts with structural workplace conditions such as workload, control systems, and job design. Therefore, the recommendations focus on improving both engagement practices and the underlying conditions of work.</w:t>
      </w:r>
    </w:p>
    <w:p w14:paraId="242203B4" w14:textId="49094FFF" w:rsidR="00E9568B" w:rsidRDefault="00E9568B" w:rsidP="00E9568B">
      <w:pPr>
        <w:jc w:val="both"/>
        <w:rPr>
          <w:rFonts w:ascii="Arial" w:hAnsi="Arial" w:cs="Arial"/>
          <w:b/>
          <w:bCs/>
        </w:rPr>
      </w:pPr>
      <w:r w:rsidRPr="00E9568B">
        <w:rPr>
          <w:rFonts w:ascii="Arial" w:hAnsi="Arial" w:cs="Arial"/>
          <w:b/>
          <w:bCs/>
        </w:rPr>
        <w:t>5.</w:t>
      </w:r>
      <w:r w:rsidR="00E25C94">
        <w:rPr>
          <w:rFonts w:ascii="Arial" w:hAnsi="Arial" w:cs="Arial"/>
          <w:b/>
          <w:bCs/>
        </w:rPr>
        <w:t>5</w:t>
      </w:r>
      <w:r w:rsidRPr="00E9568B">
        <w:rPr>
          <w:rFonts w:ascii="Arial" w:hAnsi="Arial" w:cs="Arial"/>
          <w:b/>
          <w:bCs/>
        </w:rPr>
        <w:t>.1 Redesign Workload and Shift Structures</w:t>
      </w:r>
    </w:p>
    <w:p w14:paraId="76EF8062" w14:textId="1C521BA6" w:rsidR="00333822" w:rsidRPr="00333822" w:rsidRDefault="00333822" w:rsidP="00E9568B">
      <w:pPr>
        <w:jc w:val="both"/>
        <w:rPr>
          <w:rFonts w:ascii="Arial" w:hAnsi="Arial" w:cs="Arial"/>
        </w:rPr>
      </w:pPr>
      <w:r w:rsidRPr="00333822">
        <w:rPr>
          <w:rFonts w:ascii="Arial" w:hAnsi="Arial" w:cs="Arial"/>
        </w:rPr>
        <w:t>This recommendation responds directly to Theme 1 (Work Intensity and Job Pressure) and Objective 2, which identified workload as a key factor affecting both engagement and retention.</w:t>
      </w:r>
    </w:p>
    <w:p w14:paraId="47F4D639" w14:textId="77777777" w:rsidR="00E9568B" w:rsidRPr="00E9568B" w:rsidRDefault="00E9568B" w:rsidP="00E9568B">
      <w:pPr>
        <w:jc w:val="both"/>
        <w:rPr>
          <w:rFonts w:ascii="Arial" w:hAnsi="Arial" w:cs="Arial"/>
        </w:rPr>
      </w:pPr>
      <w:r w:rsidRPr="00E9568B">
        <w:rPr>
          <w:rFonts w:ascii="Arial" w:hAnsi="Arial" w:cs="Arial"/>
        </w:rPr>
        <w:t>A key finding of the study is that high workload and sustained pressure significantly reduce employee engagement and increase turnover intentions. Employees in both Movianto UK and DHL Supply Chain Healthcare reported long hours, strict targets, and limited recovery time.</w:t>
      </w:r>
    </w:p>
    <w:p w14:paraId="16CB2DA3" w14:textId="77777777" w:rsidR="00E9568B" w:rsidRPr="00E9568B" w:rsidRDefault="00E9568B" w:rsidP="00E9568B">
      <w:pPr>
        <w:jc w:val="both"/>
        <w:rPr>
          <w:rFonts w:ascii="Arial" w:hAnsi="Arial" w:cs="Arial"/>
        </w:rPr>
      </w:pPr>
      <w:r w:rsidRPr="00E9568B">
        <w:rPr>
          <w:rFonts w:ascii="Arial" w:hAnsi="Arial" w:cs="Arial"/>
        </w:rPr>
        <w:t>To address this, organisations should redesign workload and shift structures to create a more sustainable work environment.</w:t>
      </w:r>
    </w:p>
    <w:p w14:paraId="0BA29365" w14:textId="77777777" w:rsidR="00E9568B" w:rsidRPr="00E9568B" w:rsidRDefault="00E9568B" w:rsidP="00E9568B">
      <w:pPr>
        <w:jc w:val="both"/>
        <w:rPr>
          <w:rFonts w:ascii="Arial" w:hAnsi="Arial" w:cs="Arial"/>
        </w:rPr>
      </w:pPr>
      <w:r w:rsidRPr="00E9568B">
        <w:rPr>
          <w:rFonts w:ascii="Arial" w:hAnsi="Arial" w:cs="Arial"/>
        </w:rPr>
        <w:t>This can be achieved by:</w:t>
      </w:r>
    </w:p>
    <w:p w14:paraId="76FD409C" w14:textId="77777777" w:rsidR="00E9568B" w:rsidRPr="00E9568B" w:rsidRDefault="00E9568B" w:rsidP="00E9568B">
      <w:pPr>
        <w:numPr>
          <w:ilvl w:val="0"/>
          <w:numId w:val="5"/>
        </w:numPr>
        <w:jc w:val="both"/>
        <w:rPr>
          <w:rFonts w:ascii="Arial" w:hAnsi="Arial" w:cs="Arial"/>
        </w:rPr>
      </w:pPr>
      <w:r w:rsidRPr="00E9568B">
        <w:rPr>
          <w:rFonts w:ascii="Arial" w:hAnsi="Arial" w:cs="Arial"/>
        </w:rPr>
        <w:t xml:space="preserve">Reviewing performance targets to ensure they are realistic and achievable </w:t>
      </w:r>
    </w:p>
    <w:p w14:paraId="6CA4A657" w14:textId="77777777" w:rsidR="00E9568B" w:rsidRPr="00E9568B" w:rsidRDefault="00E9568B" w:rsidP="00E9568B">
      <w:pPr>
        <w:numPr>
          <w:ilvl w:val="0"/>
          <w:numId w:val="5"/>
        </w:numPr>
        <w:jc w:val="both"/>
        <w:rPr>
          <w:rFonts w:ascii="Arial" w:hAnsi="Arial" w:cs="Arial"/>
        </w:rPr>
      </w:pPr>
      <w:r w:rsidRPr="00E9568B">
        <w:rPr>
          <w:rFonts w:ascii="Arial" w:hAnsi="Arial" w:cs="Arial"/>
        </w:rPr>
        <w:t xml:space="preserve">Introducing more flexible shift patterns where possible </w:t>
      </w:r>
    </w:p>
    <w:p w14:paraId="038E599C" w14:textId="77777777" w:rsidR="00E9568B" w:rsidRPr="00E9568B" w:rsidRDefault="00E9568B" w:rsidP="00E9568B">
      <w:pPr>
        <w:numPr>
          <w:ilvl w:val="0"/>
          <w:numId w:val="5"/>
        </w:numPr>
        <w:jc w:val="both"/>
        <w:rPr>
          <w:rFonts w:ascii="Arial" w:hAnsi="Arial" w:cs="Arial"/>
        </w:rPr>
      </w:pPr>
      <w:r w:rsidRPr="00E9568B">
        <w:rPr>
          <w:rFonts w:ascii="Arial" w:hAnsi="Arial" w:cs="Arial"/>
        </w:rPr>
        <w:t xml:space="preserve">Increasing staffing levels during peak demand periods </w:t>
      </w:r>
    </w:p>
    <w:p w14:paraId="07106ED9" w14:textId="77777777" w:rsidR="00E9568B" w:rsidRPr="00E9568B" w:rsidRDefault="00E9568B" w:rsidP="00E9568B">
      <w:pPr>
        <w:numPr>
          <w:ilvl w:val="0"/>
          <w:numId w:val="5"/>
        </w:numPr>
        <w:jc w:val="both"/>
        <w:rPr>
          <w:rFonts w:ascii="Arial" w:hAnsi="Arial" w:cs="Arial"/>
        </w:rPr>
      </w:pPr>
      <w:r w:rsidRPr="00E9568B">
        <w:rPr>
          <w:rFonts w:ascii="Arial" w:hAnsi="Arial" w:cs="Arial"/>
        </w:rPr>
        <w:t xml:space="preserve">Allowing recovery time between shifts to reduce fatigue </w:t>
      </w:r>
    </w:p>
    <w:p w14:paraId="1C791EA6" w14:textId="3665E506" w:rsidR="00E9568B" w:rsidRPr="00E9568B" w:rsidRDefault="00E9568B" w:rsidP="00E9568B">
      <w:pPr>
        <w:jc w:val="both"/>
        <w:rPr>
          <w:rFonts w:ascii="Arial" w:hAnsi="Arial" w:cs="Arial"/>
        </w:rPr>
      </w:pPr>
      <w:r w:rsidRPr="00E9568B">
        <w:rPr>
          <w:rFonts w:ascii="Arial" w:hAnsi="Arial" w:cs="Arial"/>
        </w:rPr>
        <w:t>These changes would help rebalance job demands and resources, in line with the Job Demands–Resources (JD-R) model (Bakker Demerouti, 2017).</w:t>
      </w:r>
    </w:p>
    <w:p w14:paraId="6D999966" w14:textId="77777777" w:rsidR="00E9568B" w:rsidRDefault="00E9568B" w:rsidP="00E9568B">
      <w:pPr>
        <w:jc w:val="both"/>
        <w:rPr>
          <w:rFonts w:ascii="Arial" w:hAnsi="Arial" w:cs="Arial"/>
        </w:rPr>
      </w:pPr>
      <w:r w:rsidRPr="00E9568B">
        <w:rPr>
          <w:rFonts w:ascii="Arial" w:hAnsi="Arial" w:cs="Arial"/>
        </w:rPr>
        <w:t>Improving workload conditions is likely to have a stronger impact on retention than engagement initiatives alone, as it addresses one of the main causes of dissatisfaction identified in the findings.</w:t>
      </w:r>
    </w:p>
    <w:p w14:paraId="64D2AA47" w14:textId="77777777" w:rsidR="00333822" w:rsidRDefault="00333822" w:rsidP="00E9568B">
      <w:pPr>
        <w:jc w:val="both"/>
        <w:rPr>
          <w:rFonts w:ascii="Arial" w:hAnsi="Arial" w:cs="Arial"/>
        </w:rPr>
      </w:pPr>
    </w:p>
    <w:p w14:paraId="4CDC05BB" w14:textId="77777777" w:rsidR="00660292" w:rsidRDefault="00660292" w:rsidP="00E9568B">
      <w:pPr>
        <w:jc w:val="both"/>
        <w:rPr>
          <w:rFonts w:ascii="Arial" w:hAnsi="Arial" w:cs="Arial"/>
        </w:rPr>
      </w:pPr>
    </w:p>
    <w:p w14:paraId="7B29E1B6" w14:textId="77777777" w:rsidR="00333822" w:rsidRPr="00E9568B" w:rsidRDefault="00333822" w:rsidP="00E9568B">
      <w:pPr>
        <w:jc w:val="both"/>
        <w:rPr>
          <w:rFonts w:ascii="Arial" w:hAnsi="Arial" w:cs="Arial"/>
        </w:rPr>
      </w:pPr>
    </w:p>
    <w:p w14:paraId="7D4732F6" w14:textId="3ACD640F" w:rsidR="00E9568B" w:rsidRDefault="00E9568B" w:rsidP="00E9568B">
      <w:pPr>
        <w:jc w:val="both"/>
        <w:rPr>
          <w:rFonts w:ascii="Arial" w:hAnsi="Arial" w:cs="Arial"/>
          <w:b/>
          <w:bCs/>
        </w:rPr>
      </w:pPr>
      <w:r w:rsidRPr="00E9568B">
        <w:rPr>
          <w:rFonts w:ascii="Arial" w:hAnsi="Arial" w:cs="Arial"/>
          <w:b/>
          <w:bCs/>
        </w:rPr>
        <w:lastRenderedPageBreak/>
        <w:t>5.</w:t>
      </w:r>
      <w:r w:rsidR="00E25C94">
        <w:rPr>
          <w:rFonts w:ascii="Arial" w:hAnsi="Arial" w:cs="Arial"/>
          <w:b/>
          <w:bCs/>
        </w:rPr>
        <w:t>5</w:t>
      </w:r>
      <w:r w:rsidRPr="00E9568B">
        <w:rPr>
          <w:rFonts w:ascii="Arial" w:hAnsi="Arial" w:cs="Arial"/>
          <w:b/>
          <w:bCs/>
        </w:rPr>
        <w:t>.2 Strengthen Employee Autonomy and Voice</w:t>
      </w:r>
    </w:p>
    <w:p w14:paraId="70F21FF0" w14:textId="2D7156A9" w:rsidR="00333822" w:rsidRPr="00E9568B" w:rsidRDefault="00333822" w:rsidP="00E9568B">
      <w:pPr>
        <w:jc w:val="both"/>
        <w:rPr>
          <w:rFonts w:ascii="Arial" w:hAnsi="Arial" w:cs="Arial"/>
          <w:b/>
          <w:bCs/>
        </w:rPr>
      </w:pPr>
      <w:r w:rsidRPr="00333822">
        <w:rPr>
          <w:rFonts w:ascii="Arial" w:hAnsi="Arial" w:cs="Arial"/>
        </w:rPr>
        <w:t>This recommendation addresses Theme 3 (Limited Autonomy and Employee Voice) and Objective 1, which highlighted the gap between engagement rhetoric and actual participation</w:t>
      </w:r>
      <w:r w:rsidRPr="00333822">
        <w:rPr>
          <w:rFonts w:ascii="Arial" w:hAnsi="Arial" w:cs="Arial"/>
          <w:b/>
          <w:bCs/>
        </w:rPr>
        <w:t>.</w:t>
      </w:r>
    </w:p>
    <w:p w14:paraId="2F7AF49D" w14:textId="77777777" w:rsidR="00E9568B" w:rsidRPr="00E9568B" w:rsidRDefault="00E9568B" w:rsidP="00E9568B">
      <w:pPr>
        <w:jc w:val="both"/>
        <w:rPr>
          <w:rFonts w:ascii="Arial" w:hAnsi="Arial" w:cs="Arial"/>
        </w:rPr>
      </w:pPr>
      <w:r w:rsidRPr="00E9568B">
        <w:rPr>
          <w:rFonts w:ascii="Arial" w:hAnsi="Arial" w:cs="Arial"/>
        </w:rPr>
        <w:t>The findings highlight that employees experience limited autonomy and weak participation in decision-making. While organisations promote engagement through communication and feedback systems, these are often perceived as symbolic rather than meaningful.</w:t>
      </w:r>
    </w:p>
    <w:p w14:paraId="1B06FE95" w14:textId="77777777" w:rsidR="00E9568B" w:rsidRPr="00E9568B" w:rsidRDefault="00E9568B" w:rsidP="00E9568B">
      <w:pPr>
        <w:jc w:val="both"/>
        <w:rPr>
          <w:rFonts w:ascii="Arial" w:hAnsi="Arial" w:cs="Arial"/>
        </w:rPr>
      </w:pPr>
      <w:r w:rsidRPr="00E9568B">
        <w:rPr>
          <w:rFonts w:ascii="Arial" w:hAnsi="Arial" w:cs="Arial"/>
        </w:rPr>
        <w:t>To improve engagement and retention, organisations should strengthen employee voice and increase autonomy within operational limits.</w:t>
      </w:r>
    </w:p>
    <w:p w14:paraId="766161E8" w14:textId="77777777" w:rsidR="00E9568B" w:rsidRPr="00E9568B" w:rsidRDefault="00E9568B" w:rsidP="00E9568B">
      <w:pPr>
        <w:jc w:val="both"/>
        <w:rPr>
          <w:rFonts w:ascii="Arial" w:hAnsi="Arial" w:cs="Arial"/>
        </w:rPr>
      </w:pPr>
      <w:r w:rsidRPr="00E9568B">
        <w:rPr>
          <w:rFonts w:ascii="Arial" w:hAnsi="Arial" w:cs="Arial"/>
        </w:rPr>
        <w:t>This can be achieved by:</w:t>
      </w:r>
    </w:p>
    <w:p w14:paraId="10F601F0" w14:textId="77777777" w:rsidR="00E9568B" w:rsidRPr="00E9568B" w:rsidRDefault="00E9568B" w:rsidP="00E9568B">
      <w:pPr>
        <w:numPr>
          <w:ilvl w:val="0"/>
          <w:numId w:val="6"/>
        </w:numPr>
        <w:jc w:val="both"/>
        <w:rPr>
          <w:rFonts w:ascii="Arial" w:hAnsi="Arial" w:cs="Arial"/>
        </w:rPr>
      </w:pPr>
      <w:r w:rsidRPr="00E9568B">
        <w:rPr>
          <w:rFonts w:ascii="Arial" w:hAnsi="Arial" w:cs="Arial"/>
        </w:rPr>
        <w:t xml:space="preserve">Introducing structured feedback systems where employee input leads to visible changes </w:t>
      </w:r>
    </w:p>
    <w:p w14:paraId="48B50304" w14:textId="77777777" w:rsidR="00E9568B" w:rsidRPr="00E9568B" w:rsidRDefault="00E9568B" w:rsidP="00E9568B">
      <w:pPr>
        <w:numPr>
          <w:ilvl w:val="0"/>
          <w:numId w:val="6"/>
        </w:numPr>
        <w:jc w:val="both"/>
        <w:rPr>
          <w:rFonts w:ascii="Arial" w:hAnsi="Arial" w:cs="Arial"/>
        </w:rPr>
      </w:pPr>
      <w:r w:rsidRPr="00E9568B">
        <w:rPr>
          <w:rFonts w:ascii="Arial" w:hAnsi="Arial" w:cs="Arial"/>
        </w:rPr>
        <w:t xml:space="preserve">Involving employees in operational decision-making where feasible </w:t>
      </w:r>
    </w:p>
    <w:p w14:paraId="63419E72" w14:textId="77777777" w:rsidR="00E9568B" w:rsidRPr="00E9568B" w:rsidRDefault="00E9568B" w:rsidP="00E9568B">
      <w:pPr>
        <w:numPr>
          <w:ilvl w:val="0"/>
          <w:numId w:val="6"/>
        </w:numPr>
        <w:jc w:val="both"/>
        <w:rPr>
          <w:rFonts w:ascii="Arial" w:hAnsi="Arial" w:cs="Arial"/>
        </w:rPr>
      </w:pPr>
      <w:r w:rsidRPr="00E9568B">
        <w:rPr>
          <w:rFonts w:ascii="Arial" w:hAnsi="Arial" w:cs="Arial"/>
        </w:rPr>
        <w:t xml:space="preserve">Creating regular forums for open discussion between staff and management </w:t>
      </w:r>
    </w:p>
    <w:p w14:paraId="67686E21" w14:textId="77777777" w:rsidR="00E9568B" w:rsidRPr="00E9568B" w:rsidRDefault="00E9568B" w:rsidP="00E9568B">
      <w:pPr>
        <w:numPr>
          <w:ilvl w:val="0"/>
          <w:numId w:val="6"/>
        </w:numPr>
        <w:jc w:val="both"/>
        <w:rPr>
          <w:rFonts w:ascii="Arial" w:hAnsi="Arial" w:cs="Arial"/>
        </w:rPr>
      </w:pPr>
      <w:r w:rsidRPr="00E9568B">
        <w:rPr>
          <w:rFonts w:ascii="Arial" w:hAnsi="Arial" w:cs="Arial"/>
        </w:rPr>
        <w:t xml:space="preserve">Empowering team leaders to adapt processes based on local needs </w:t>
      </w:r>
    </w:p>
    <w:p w14:paraId="2C55C55A" w14:textId="77777777" w:rsidR="00E9568B" w:rsidRPr="00E9568B" w:rsidRDefault="00E9568B" w:rsidP="00E9568B">
      <w:pPr>
        <w:jc w:val="both"/>
        <w:rPr>
          <w:rFonts w:ascii="Arial" w:hAnsi="Arial" w:cs="Arial"/>
        </w:rPr>
      </w:pPr>
      <w:r w:rsidRPr="00E9568B">
        <w:rPr>
          <w:rFonts w:ascii="Arial" w:hAnsi="Arial" w:cs="Arial"/>
        </w:rPr>
        <w:t>While regulatory requirements limit full autonomy, small increases in decision-making power can improve employee satisfaction and commitment.</w:t>
      </w:r>
    </w:p>
    <w:p w14:paraId="7180CD9B" w14:textId="77777777" w:rsidR="00E9568B" w:rsidRPr="00E9568B" w:rsidRDefault="00E9568B" w:rsidP="00E9568B">
      <w:pPr>
        <w:jc w:val="both"/>
        <w:rPr>
          <w:rFonts w:ascii="Arial" w:hAnsi="Arial" w:cs="Arial"/>
        </w:rPr>
      </w:pPr>
      <w:r w:rsidRPr="00E9568B">
        <w:rPr>
          <w:rFonts w:ascii="Arial" w:hAnsi="Arial" w:cs="Arial"/>
        </w:rPr>
        <w:t>This recommendation addresses the gap between engagement rhetoric and reality and aligns with critical HRM perspectives that emphasise the importance of genuine participation (Legge, 2005).</w:t>
      </w:r>
    </w:p>
    <w:p w14:paraId="34082C5E" w14:textId="36A97CAC" w:rsidR="00E9568B" w:rsidRPr="00E9568B" w:rsidRDefault="00E9568B" w:rsidP="00E9568B">
      <w:pPr>
        <w:jc w:val="both"/>
        <w:rPr>
          <w:rFonts w:ascii="Arial" w:hAnsi="Arial" w:cs="Arial"/>
          <w:b/>
          <w:bCs/>
        </w:rPr>
      </w:pPr>
      <w:r w:rsidRPr="00E9568B">
        <w:rPr>
          <w:rFonts w:ascii="Arial" w:hAnsi="Arial" w:cs="Arial"/>
          <w:b/>
          <w:bCs/>
        </w:rPr>
        <w:t>5.</w:t>
      </w:r>
      <w:r w:rsidR="00E25C94">
        <w:rPr>
          <w:rFonts w:ascii="Arial" w:hAnsi="Arial" w:cs="Arial"/>
          <w:b/>
          <w:bCs/>
        </w:rPr>
        <w:t>5</w:t>
      </w:r>
      <w:r w:rsidRPr="00E9568B">
        <w:rPr>
          <w:rFonts w:ascii="Arial" w:hAnsi="Arial" w:cs="Arial"/>
          <w:b/>
          <w:bCs/>
        </w:rPr>
        <w:t>.3 Align Engagement Strategies with Actual Working Conditions</w:t>
      </w:r>
    </w:p>
    <w:p w14:paraId="389ADB21" w14:textId="77777777" w:rsidR="00E9568B" w:rsidRPr="00E9568B" w:rsidRDefault="00E9568B" w:rsidP="00E9568B">
      <w:pPr>
        <w:jc w:val="both"/>
        <w:rPr>
          <w:rFonts w:ascii="Arial" w:hAnsi="Arial" w:cs="Arial"/>
        </w:rPr>
      </w:pPr>
      <w:r w:rsidRPr="00E9568B">
        <w:rPr>
          <w:rFonts w:ascii="Arial" w:hAnsi="Arial" w:cs="Arial"/>
        </w:rPr>
        <w:t>The study shows that many engagement initiatives are perceived as disconnected from everyday work. Recognition programmes and communication campaigns do not address core issues such as workload, pressure, and control.</w:t>
      </w:r>
    </w:p>
    <w:p w14:paraId="27D557AF" w14:textId="77777777" w:rsidR="00E9568B" w:rsidRPr="00E9568B" w:rsidRDefault="00E9568B" w:rsidP="00E9568B">
      <w:pPr>
        <w:jc w:val="both"/>
        <w:rPr>
          <w:rFonts w:ascii="Arial" w:hAnsi="Arial" w:cs="Arial"/>
        </w:rPr>
      </w:pPr>
      <w:r w:rsidRPr="00E9568B">
        <w:rPr>
          <w:rFonts w:ascii="Arial" w:hAnsi="Arial" w:cs="Arial"/>
        </w:rPr>
        <w:t>Organisations should ensure that engagement strategies are directly linked to real working conditions.</w:t>
      </w:r>
    </w:p>
    <w:p w14:paraId="3E918E1F" w14:textId="77777777" w:rsidR="00E9568B" w:rsidRPr="00E9568B" w:rsidRDefault="00E9568B" w:rsidP="00E9568B">
      <w:pPr>
        <w:jc w:val="both"/>
        <w:rPr>
          <w:rFonts w:ascii="Arial" w:hAnsi="Arial" w:cs="Arial"/>
        </w:rPr>
      </w:pPr>
      <w:r w:rsidRPr="00E9568B">
        <w:rPr>
          <w:rFonts w:ascii="Arial" w:hAnsi="Arial" w:cs="Arial"/>
        </w:rPr>
        <w:t>This can be achieved by:</w:t>
      </w:r>
    </w:p>
    <w:p w14:paraId="710601EB" w14:textId="77777777" w:rsidR="00E9568B" w:rsidRPr="00E9568B" w:rsidRDefault="00E9568B" w:rsidP="00E9568B">
      <w:pPr>
        <w:numPr>
          <w:ilvl w:val="0"/>
          <w:numId w:val="7"/>
        </w:numPr>
        <w:jc w:val="both"/>
        <w:rPr>
          <w:rFonts w:ascii="Arial" w:hAnsi="Arial" w:cs="Arial"/>
        </w:rPr>
      </w:pPr>
      <w:r w:rsidRPr="00E9568B">
        <w:rPr>
          <w:rFonts w:ascii="Arial" w:hAnsi="Arial" w:cs="Arial"/>
        </w:rPr>
        <w:t xml:space="preserve">Integrating engagement initiatives with operational improvements </w:t>
      </w:r>
    </w:p>
    <w:p w14:paraId="0E84793A" w14:textId="77777777" w:rsidR="00E9568B" w:rsidRPr="00E9568B" w:rsidRDefault="00E9568B" w:rsidP="00E9568B">
      <w:pPr>
        <w:numPr>
          <w:ilvl w:val="0"/>
          <w:numId w:val="7"/>
        </w:numPr>
        <w:jc w:val="both"/>
        <w:rPr>
          <w:rFonts w:ascii="Arial" w:hAnsi="Arial" w:cs="Arial"/>
        </w:rPr>
      </w:pPr>
      <w:r w:rsidRPr="00E9568B">
        <w:rPr>
          <w:rFonts w:ascii="Arial" w:hAnsi="Arial" w:cs="Arial"/>
        </w:rPr>
        <w:t xml:space="preserve">Linking recognition to meaningful contributions rather than symbolic rewards </w:t>
      </w:r>
    </w:p>
    <w:p w14:paraId="0B2B6C6E" w14:textId="77777777" w:rsidR="00E9568B" w:rsidRPr="00E9568B" w:rsidRDefault="00E9568B" w:rsidP="00E9568B">
      <w:pPr>
        <w:numPr>
          <w:ilvl w:val="0"/>
          <w:numId w:val="7"/>
        </w:numPr>
        <w:jc w:val="both"/>
        <w:rPr>
          <w:rFonts w:ascii="Arial" w:hAnsi="Arial" w:cs="Arial"/>
        </w:rPr>
      </w:pPr>
      <w:r w:rsidRPr="00E9568B">
        <w:rPr>
          <w:rFonts w:ascii="Arial" w:hAnsi="Arial" w:cs="Arial"/>
        </w:rPr>
        <w:t xml:space="preserve">Ensuring that communication reflects actual workplace challenges </w:t>
      </w:r>
    </w:p>
    <w:p w14:paraId="1BEB80F2" w14:textId="77777777" w:rsidR="00E9568B" w:rsidRPr="00E9568B" w:rsidRDefault="00E9568B" w:rsidP="00E9568B">
      <w:pPr>
        <w:numPr>
          <w:ilvl w:val="0"/>
          <w:numId w:val="7"/>
        </w:numPr>
        <w:jc w:val="both"/>
        <w:rPr>
          <w:rFonts w:ascii="Arial" w:hAnsi="Arial" w:cs="Arial"/>
        </w:rPr>
      </w:pPr>
      <w:r w:rsidRPr="00E9568B">
        <w:rPr>
          <w:rFonts w:ascii="Arial" w:hAnsi="Arial" w:cs="Arial"/>
        </w:rPr>
        <w:t xml:space="preserve">Evaluating engagement programmes based on employee feedback, not just participation rates </w:t>
      </w:r>
    </w:p>
    <w:p w14:paraId="34BE743E" w14:textId="77777777" w:rsidR="00E9568B" w:rsidRPr="00E9568B" w:rsidRDefault="00E9568B" w:rsidP="00E9568B">
      <w:pPr>
        <w:jc w:val="both"/>
        <w:rPr>
          <w:rFonts w:ascii="Arial" w:hAnsi="Arial" w:cs="Arial"/>
        </w:rPr>
      </w:pPr>
      <w:r w:rsidRPr="00E9568B">
        <w:rPr>
          <w:rFonts w:ascii="Arial" w:hAnsi="Arial" w:cs="Arial"/>
        </w:rPr>
        <w:t>This approach would shift engagement from a symbolic activity to a practical tool for improving the work environment.</w:t>
      </w:r>
    </w:p>
    <w:p w14:paraId="4097EF4D" w14:textId="4E3BAD2A" w:rsidR="00F5567A" w:rsidRDefault="00E9568B" w:rsidP="00E9568B">
      <w:pPr>
        <w:jc w:val="both"/>
        <w:rPr>
          <w:rFonts w:ascii="Arial" w:hAnsi="Arial" w:cs="Arial"/>
        </w:rPr>
      </w:pPr>
      <w:r w:rsidRPr="00E9568B">
        <w:rPr>
          <w:rFonts w:ascii="Arial" w:hAnsi="Arial" w:cs="Arial"/>
        </w:rPr>
        <w:t>It also supports the argument that engagement must be embedded within organisational systems rather than applied as a standalone strategy (Torrington et al., 2020).</w:t>
      </w:r>
    </w:p>
    <w:p w14:paraId="77029E59" w14:textId="77777777" w:rsidR="00333822" w:rsidRDefault="00333822" w:rsidP="00E9568B">
      <w:pPr>
        <w:jc w:val="both"/>
        <w:rPr>
          <w:rFonts w:ascii="Arial" w:hAnsi="Arial" w:cs="Arial"/>
        </w:rPr>
      </w:pPr>
    </w:p>
    <w:p w14:paraId="1D393062" w14:textId="77777777" w:rsidR="00333822" w:rsidRPr="00E9568B" w:rsidRDefault="00333822" w:rsidP="00E9568B">
      <w:pPr>
        <w:jc w:val="both"/>
        <w:rPr>
          <w:rFonts w:ascii="Arial" w:hAnsi="Arial" w:cs="Arial"/>
        </w:rPr>
      </w:pPr>
    </w:p>
    <w:p w14:paraId="400EB6A5" w14:textId="41F8CF6A" w:rsidR="00E9568B" w:rsidRPr="00E9568B" w:rsidRDefault="00E9568B" w:rsidP="00E9568B">
      <w:pPr>
        <w:jc w:val="both"/>
        <w:rPr>
          <w:rFonts w:ascii="Arial" w:hAnsi="Arial" w:cs="Arial"/>
          <w:b/>
          <w:bCs/>
        </w:rPr>
      </w:pPr>
      <w:r w:rsidRPr="00E9568B">
        <w:rPr>
          <w:rFonts w:ascii="Arial" w:hAnsi="Arial" w:cs="Arial"/>
          <w:b/>
          <w:bCs/>
        </w:rPr>
        <w:lastRenderedPageBreak/>
        <w:t>5.</w:t>
      </w:r>
      <w:r w:rsidR="00E25C94">
        <w:rPr>
          <w:rFonts w:ascii="Arial" w:hAnsi="Arial" w:cs="Arial"/>
          <w:b/>
          <w:bCs/>
        </w:rPr>
        <w:t>5</w:t>
      </w:r>
      <w:r w:rsidRPr="00E9568B">
        <w:rPr>
          <w:rFonts w:ascii="Arial" w:hAnsi="Arial" w:cs="Arial"/>
          <w:b/>
          <w:bCs/>
        </w:rPr>
        <w:t>.4 Improve Career Development and Job Security</w:t>
      </w:r>
    </w:p>
    <w:p w14:paraId="0F81B202" w14:textId="77777777" w:rsidR="00E9568B" w:rsidRPr="00E9568B" w:rsidRDefault="00E9568B" w:rsidP="00E9568B">
      <w:pPr>
        <w:jc w:val="both"/>
        <w:rPr>
          <w:rFonts w:ascii="Arial" w:hAnsi="Arial" w:cs="Arial"/>
        </w:rPr>
      </w:pPr>
      <w:r w:rsidRPr="00E9568B">
        <w:rPr>
          <w:rFonts w:ascii="Arial" w:hAnsi="Arial" w:cs="Arial"/>
        </w:rPr>
        <w:t>Retention is influenced not only by engagement but also by long-term employment conditions. The findings suggest that limited career progression and job insecurity contribute to employee turnover.</w:t>
      </w:r>
    </w:p>
    <w:p w14:paraId="7D96B6F0" w14:textId="77777777" w:rsidR="00E9568B" w:rsidRPr="00E9568B" w:rsidRDefault="00E9568B" w:rsidP="00E9568B">
      <w:pPr>
        <w:jc w:val="both"/>
        <w:rPr>
          <w:rFonts w:ascii="Arial" w:hAnsi="Arial" w:cs="Arial"/>
        </w:rPr>
      </w:pPr>
      <w:r w:rsidRPr="00E9568B">
        <w:rPr>
          <w:rFonts w:ascii="Arial" w:hAnsi="Arial" w:cs="Arial"/>
        </w:rPr>
        <w:t>Organisations should invest in career development and provide clearer pathways for progression.</w:t>
      </w:r>
    </w:p>
    <w:p w14:paraId="19F50894" w14:textId="77777777" w:rsidR="00E9568B" w:rsidRPr="00E9568B" w:rsidRDefault="00E9568B" w:rsidP="00E9568B">
      <w:pPr>
        <w:jc w:val="both"/>
        <w:rPr>
          <w:rFonts w:ascii="Arial" w:hAnsi="Arial" w:cs="Arial"/>
        </w:rPr>
      </w:pPr>
      <w:r w:rsidRPr="00E9568B">
        <w:rPr>
          <w:rFonts w:ascii="Arial" w:hAnsi="Arial" w:cs="Arial"/>
        </w:rPr>
        <w:t>This can be achieved by:</w:t>
      </w:r>
    </w:p>
    <w:p w14:paraId="6856E51D" w14:textId="77777777" w:rsidR="00E9568B" w:rsidRPr="00E9568B" w:rsidRDefault="00E9568B" w:rsidP="00E9568B">
      <w:pPr>
        <w:numPr>
          <w:ilvl w:val="0"/>
          <w:numId w:val="8"/>
        </w:numPr>
        <w:jc w:val="both"/>
        <w:rPr>
          <w:rFonts w:ascii="Arial" w:hAnsi="Arial" w:cs="Arial"/>
        </w:rPr>
      </w:pPr>
      <w:r w:rsidRPr="00E9568B">
        <w:rPr>
          <w:rFonts w:ascii="Arial" w:hAnsi="Arial" w:cs="Arial"/>
        </w:rPr>
        <w:t xml:space="preserve">Developing structured career pathways within warehouse and logistics roles </w:t>
      </w:r>
    </w:p>
    <w:p w14:paraId="68A07115" w14:textId="77777777" w:rsidR="00E9568B" w:rsidRPr="00E9568B" w:rsidRDefault="00E9568B" w:rsidP="00E9568B">
      <w:pPr>
        <w:numPr>
          <w:ilvl w:val="0"/>
          <w:numId w:val="8"/>
        </w:numPr>
        <w:jc w:val="both"/>
        <w:rPr>
          <w:rFonts w:ascii="Arial" w:hAnsi="Arial" w:cs="Arial"/>
        </w:rPr>
      </w:pPr>
      <w:r w:rsidRPr="00E9568B">
        <w:rPr>
          <w:rFonts w:ascii="Arial" w:hAnsi="Arial" w:cs="Arial"/>
        </w:rPr>
        <w:t xml:space="preserve">Providing training and upskilling opportunities </w:t>
      </w:r>
    </w:p>
    <w:p w14:paraId="6E1F33E1" w14:textId="77777777" w:rsidR="00E9568B" w:rsidRPr="00E9568B" w:rsidRDefault="00E9568B" w:rsidP="00E9568B">
      <w:pPr>
        <w:numPr>
          <w:ilvl w:val="0"/>
          <w:numId w:val="8"/>
        </w:numPr>
        <w:jc w:val="both"/>
        <w:rPr>
          <w:rFonts w:ascii="Arial" w:hAnsi="Arial" w:cs="Arial"/>
        </w:rPr>
      </w:pPr>
      <w:r w:rsidRPr="00E9568B">
        <w:rPr>
          <w:rFonts w:ascii="Arial" w:hAnsi="Arial" w:cs="Arial"/>
        </w:rPr>
        <w:t xml:space="preserve">Offering internal promotion where possible </w:t>
      </w:r>
    </w:p>
    <w:p w14:paraId="3E16253E" w14:textId="77777777" w:rsidR="00E9568B" w:rsidRPr="00E9568B" w:rsidRDefault="00E9568B" w:rsidP="00E9568B">
      <w:pPr>
        <w:numPr>
          <w:ilvl w:val="0"/>
          <w:numId w:val="8"/>
        </w:numPr>
        <w:jc w:val="both"/>
        <w:rPr>
          <w:rFonts w:ascii="Arial" w:hAnsi="Arial" w:cs="Arial"/>
        </w:rPr>
      </w:pPr>
      <w:r w:rsidRPr="00E9568B">
        <w:rPr>
          <w:rFonts w:ascii="Arial" w:hAnsi="Arial" w:cs="Arial"/>
        </w:rPr>
        <w:t xml:space="preserve">Communicating clearly about job stability and future opportunities </w:t>
      </w:r>
    </w:p>
    <w:p w14:paraId="729F8194" w14:textId="77777777" w:rsidR="00E9568B" w:rsidRPr="00E9568B" w:rsidRDefault="00E9568B" w:rsidP="00E9568B">
      <w:pPr>
        <w:jc w:val="both"/>
        <w:rPr>
          <w:rFonts w:ascii="Arial" w:hAnsi="Arial" w:cs="Arial"/>
        </w:rPr>
      </w:pPr>
      <w:r w:rsidRPr="00E9568B">
        <w:rPr>
          <w:rFonts w:ascii="Arial" w:hAnsi="Arial" w:cs="Arial"/>
        </w:rPr>
        <w:t>Improving career development would strengthen the psychological contract between employees and the organisation, supporting social exchange theory (Saks, 2006).</w:t>
      </w:r>
    </w:p>
    <w:p w14:paraId="6D4EA022" w14:textId="3601DA7F" w:rsidR="009E4CA0" w:rsidRDefault="00E9568B" w:rsidP="00E9568B">
      <w:pPr>
        <w:jc w:val="both"/>
        <w:rPr>
          <w:rFonts w:ascii="Arial" w:hAnsi="Arial" w:cs="Arial"/>
        </w:rPr>
      </w:pPr>
      <w:r w:rsidRPr="00E9568B">
        <w:rPr>
          <w:rFonts w:ascii="Arial" w:hAnsi="Arial" w:cs="Arial"/>
        </w:rPr>
        <w:t>Employees are more likely to stay when they see a future within the organisation.</w:t>
      </w:r>
    </w:p>
    <w:p w14:paraId="1B3FFEC1" w14:textId="77777777" w:rsidR="00333822" w:rsidRPr="00E9568B" w:rsidRDefault="00333822" w:rsidP="00E9568B">
      <w:pPr>
        <w:jc w:val="both"/>
        <w:rPr>
          <w:rFonts w:ascii="Arial" w:hAnsi="Arial" w:cs="Arial"/>
        </w:rPr>
      </w:pPr>
    </w:p>
    <w:p w14:paraId="2C36D484" w14:textId="244FD5A6" w:rsidR="00E9568B" w:rsidRPr="00E9568B" w:rsidRDefault="00E9568B" w:rsidP="00E9568B">
      <w:pPr>
        <w:jc w:val="both"/>
        <w:rPr>
          <w:rFonts w:ascii="Arial" w:hAnsi="Arial" w:cs="Arial"/>
          <w:b/>
          <w:bCs/>
        </w:rPr>
      </w:pPr>
      <w:r w:rsidRPr="00E9568B">
        <w:rPr>
          <w:rFonts w:ascii="Arial" w:hAnsi="Arial" w:cs="Arial"/>
          <w:b/>
          <w:bCs/>
        </w:rPr>
        <w:t>5.</w:t>
      </w:r>
      <w:r w:rsidR="00E25C94">
        <w:rPr>
          <w:rFonts w:ascii="Arial" w:hAnsi="Arial" w:cs="Arial"/>
          <w:b/>
          <w:bCs/>
        </w:rPr>
        <w:t>5</w:t>
      </w:r>
      <w:r w:rsidRPr="00E9568B">
        <w:rPr>
          <w:rFonts w:ascii="Arial" w:hAnsi="Arial" w:cs="Arial"/>
          <w:b/>
          <w:bCs/>
        </w:rPr>
        <w:t>.5 Balance Compliance with Employee Experience</w:t>
      </w:r>
    </w:p>
    <w:p w14:paraId="4E838E7D" w14:textId="77777777" w:rsidR="00E9568B" w:rsidRPr="00E9568B" w:rsidRDefault="00E9568B" w:rsidP="00E9568B">
      <w:pPr>
        <w:jc w:val="both"/>
        <w:rPr>
          <w:rFonts w:ascii="Arial" w:hAnsi="Arial" w:cs="Arial"/>
        </w:rPr>
      </w:pPr>
      <w:r w:rsidRPr="00E9568B">
        <w:rPr>
          <w:rFonts w:ascii="Arial" w:hAnsi="Arial" w:cs="Arial"/>
        </w:rPr>
        <w:t>The pharmaceutical logistics sector requires strict compliance with regulatory standards. However, the findings show that excessive control and monitoring reduce engagement and autonomy.</w:t>
      </w:r>
    </w:p>
    <w:p w14:paraId="27FE36A4" w14:textId="77777777" w:rsidR="00E9568B" w:rsidRPr="00E9568B" w:rsidRDefault="00E9568B" w:rsidP="00E9568B">
      <w:pPr>
        <w:jc w:val="both"/>
        <w:rPr>
          <w:rFonts w:ascii="Arial" w:hAnsi="Arial" w:cs="Arial"/>
        </w:rPr>
      </w:pPr>
      <w:r w:rsidRPr="00E9568B">
        <w:rPr>
          <w:rFonts w:ascii="Arial" w:hAnsi="Arial" w:cs="Arial"/>
        </w:rPr>
        <w:t>Organisations should aim to balance compliance requirements with employee experience.</w:t>
      </w:r>
    </w:p>
    <w:p w14:paraId="5E82F443" w14:textId="77777777" w:rsidR="00E9568B" w:rsidRPr="00E9568B" w:rsidRDefault="00E9568B" w:rsidP="00E9568B">
      <w:pPr>
        <w:jc w:val="both"/>
        <w:rPr>
          <w:rFonts w:ascii="Arial" w:hAnsi="Arial" w:cs="Arial"/>
        </w:rPr>
      </w:pPr>
      <w:r w:rsidRPr="00E9568B">
        <w:rPr>
          <w:rFonts w:ascii="Arial" w:hAnsi="Arial" w:cs="Arial"/>
        </w:rPr>
        <w:t>This can be achieved by:</w:t>
      </w:r>
    </w:p>
    <w:p w14:paraId="60E1A181" w14:textId="77777777" w:rsidR="00E9568B" w:rsidRPr="00E9568B" w:rsidRDefault="00E9568B" w:rsidP="00E9568B">
      <w:pPr>
        <w:numPr>
          <w:ilvl w:val="0"/>
          <w:numId w:val="9"/>
        </w:numPr>
        <w:jc w:val="both"/>
        <w:rPr>
          <w:rFonts w:ascii="Arial" w:hAnsi="Arial" w:cs="Arial"/>
        </w:rPr>
      </w:pPr>
      <w:r w:rsidRPr="00E9568B">
        <w:rPr>
          <w:rFonts w:ascii="Arial" w:hAnsi="Arial" w:cs="Arial"/>
        </w:rPr>
        <w:t xml:space="preserve">Simplifying procedures where possible without compromising safety </w:t>
      </w:r>
    </w:p>
    <w:p w14:paraId="4AFDB2AC" w14:textId="77777777" w:rsidR="00E9568B" w:rsidRPr="00E9568B" w:rsidRDefault="00E9568B" w:rsidP="00E9568B">
      <w:pPr>
        <w:numPr>
          <w:ilvl w:val="0"/>
          <w:numId w:val="9"/>
        </w:numPr>
        <w:jc w:val="both"/>
        <w:rPr>
          <w:rFonts w:ascii="Arial" w:hAnsi="Arial" w:cs="Arial"/>
        </w:rPr>
      </w:pPr>
      <w:r w:rsidRPr="00E9568B">
        <w:rPr>
          <w:rFonts w:ascii="Arial" w:hAnsi="Arial" w:cs="Arial"/>
        </w:rPr>
        <w:t xml:space="preserve">Using technology to reduce unnecessary monitoring </w:t>
      </w:r>
    </w:p>
    <w:p w14:paraId="01BC3E0A" w14:textId="77777777" w:rsidR="00E9568B" w:rsidRPr="00E9568B" w:rsidRDefault="00E9568B" w:rsidP="00E9568B">
      <w:pPr>
        <w:numPr>
          <w:ilvl w:val="0"/>
          <w:numId w:val="9"/>
        </w:numPr>
        <w:jc w:val="both"/>
        <w:rPr>
          <w:rFonts w:ascii="Arial" w:hAnsi="Arial" w:cs="Arial"/>
        </w:rPr>
      </w:pPr>
      <w:r w:rsidRPr="00E9568B">
        <w:rPr>
          <w:rFonts w:ascii="Arial" w:hAnsi="Arial" w:cs="Arial"/>
        </w:rPr>
        <w:t xml:space="preserve">Providing clear explanations of regulatory requirements to employees </w:t>
      </w:r>
    </w:p>
    <w:p w14:paraId="2DA4B909" w14:textId="77777777" w:rsidR="00E9568B" w:rsidRPr="00E9568B" w:rsidRDefault="00E9568B" w:rsidP="00E9568B">
      <w:pPr>
        <w:numPr>
          <w:ilvl w:val="0"/>
          <w:numId w:val="9"/>
        </w:numPr>
        <w:jc w:val="both"/>
        <w:rPr>
          <w:rFonts w:ascii="Arial" w:hAnsi="Arial" w:cs="Arial"/>
        </w:rPr>
      </w:pPr>
      <w:r w:rsidRPr="00E9568B">
        <w:rPr>
          <w:rFonts w:ascii="Arial" w:hAnsi="Arial" w:cs="Arial"/>
        </w:rPr>
        <w:t xml:space="preserve">Training managers to apply rules in a supportive rather than purely controlling way </w:t>
      </w:r>
    </w:p>
    <w:p w14:paraId="235B58FA" w14:textId="77777777" w:rsidR="00E9568B" w:rsidRPr="00E9568B" w:rsidRDefault="00E9568B" w:rsidP="00E9568B">
      <w:pPr>
        <w:jc w:val="both"/>
        <w:rPr>
          <w:rFonts w:ascii="Arial" w:hAnsi="Arial" w:cs="Arial"/>
        </w:rPr>
      </w:pPr>
      <w:r w:rsidRPr="00E9568B">
        <w:rPr>
          <w:rFonts w:ascii="Arial" w:hAnsi="Arial" w:cs="Arial"/>
        </w:rPr>
        <w:t>While compliance cannot be removed, how it is implemented can significantly affect employee experience.</w:t>
      </w:r>
    </w:p>
    <w:p w14:paraId="02713CF9" w14:textId="77777777" w:rsidR="00E9568B" w:rsidRPr="00E9568B" w:rsidRDefault="00E9568B" w:rsidP="00E9568B">
      <w:pPr>
        <w:jc w:val="both"/>
        <w:rPr>
          <w:rFonts w:ascii="Arial" w:hAnsi="Arial" w:cs="Arial"/>
        </w:rPr>
      </w:pPr>
      <w:r w:rsidRPr="00E9568B">
        <w:rPr>
          <w:rFonts w:ascii="Arial" w:hAnsi="Arial" w:cs="Arial"/>
        </w:rPr>
        <w:t>This recommendation reflects labour process theory, which highlights how control systems shape workplace behaviour and perceptions (Edwards, 1979; Thompson, 2011).</w:t>
      </w:r>
    </w:p>
    <w:p w14:paraId="6FB19691" w14:textId="6A3EF211" w:rsidR="00E9568B" w:rsidRPr="00E9568B" w:rsidRDefault="00E9568B" w:rsidP="00E9568B">
      <w:pPr>
        <w:jc w:val="both"/>
        <w:rPr>
          <w:rFonts w:ascii="Arial" w:hAnsi="Arial" w:cs="Arial"/>
          <w:b/>
          <w:bCs/>
        </w:rPr>
      </w:pPr>
      <w:r w:rsidRPr="00E9568B">
        <w:rPr>
          <w:rFonts w:ascii="Arial" w:hAnsi="Arial" w:cs="Arial"/>
          <w:b/>
          <w:bCs/>
        </w:rPr>
        <w:t>5.</w:t>
      </w:r>
      <w:r w:rsidR="00E25C94">
        <w:rPr>
          <w:rFonts w:ascii="Arial" w:hAnsi="Arial" w:cs="Arial"/>
          <w:b/>
          <w:bCs/>
        </w:rPr>
        <w:t>5</w:t>
      </w:r>
      <w:r w:rsidRPr="00E9568B">
        <w:rPr>
          <w:rFonts w:ascii="Arial" w:hAnsi="Arial" w:cs="Arial"/>
          <w:b/>
          <w:bCs/>
        </w:rPr>
        <w:t>.6 Move Beyond Symbolic Engagement Practices</w:t>
      </w:r>
    </w:p>
    <w:p w14:paraId="0AEA234D" w14:textId="77777777" w:rsidR="00E9568B" w:rsidRPr="00E9568B" w:rsidRDefault="00E9568B" w:rsidP="00E9568B">
      <w:pPr>
        <w:jc w:val="both"/>
        <w:rPr>
          <w:rFonts w:ascii="Arial" w:hAnsi="Arial" w:cs="Arial"/>
        </w:rPr>
      </w:pPr>
      <w:r w:rsidRPr="00E9568B">
        <w:rPr>
          <w:rFonts w:ascii="Arial" w:hAnsi="Arial" w:cs="Arial"/>
        </w:rPr>
        <w:t>A key conclusion of the study is that engagement often functions as a managerial tool rather than a meaningful improvement in working conditions.</w:t>
      </w:r>
    </w:p>
    <w:p w14:paraId="535906BB" w14:textId="77777777" w:rsidR="00E9568B" w:rsidRDefault="00E9568B" w:rsidP="00E9568B">
      <w:pPr>
        <w:jc w:val="both"/>
        <w:rPr>
          <w:rFonts w:ascii="Arial" w:hAnsi="Arial" w:cs="Arial"/>
        </w:rPr>
      </w:pPr>
      <w:r w:rsidRPr="00E9568B">
        <w:rPr>
          <w:rFonts w:ascii="Arial" w:hAnsi="Arial" w:cs="Arial"/>
        </w:rPr>
        <w:t>Organisations should move beyond symbolic engagement practices and focus on substantive changes.</w:t>
      </w:r>
    </w:p>
    <w:p w14:paraId="507205F1" w14:textId="77777777" w:rsidR="00333822" w:rsidRDefault="00333822" w:rsidP="00E9568B">
      <w:pPr>
        <w:jc w:val="both"/>
        <w:rPr>
          <w:rFonts w:ascii="Arial" w:hAnsi="Arial" w:cs="Arial"/>
        </w:rPr>
      </w:pPr>
    </w:p>
    <w:p w14:paraId="54BAAAF6" w14:textId="77777777" w:rsidR="00333822" w:rsidRPr="00E9568B" w:rsidRDefault="00333822" w:rsidP="00E9568B">
      <w:pPr>
        <w:jc w:val="both"/>
        <w:rPr>
          <w:rFonts w:ascii="Arial" w:hAnsi="Arial" w:cs="Arial"/>
        </w:rPr>
      </w:pPr>
    </w:p>
    <w:p w14:paraId="196411E5" w14:textId="77777777" w:rsidR="00E9568B" w:rsidRPr="00E9568B" w:rsidRDefault="00E9568B" w:rsidP="00E9568B">
      <w:pPr>
        <w:jc w:val="both"/>
        <w:rPr>
          <w:rFonts w:ascii="Arial" w:hAnsi="Arial" w:cs="Arial"/>
        </w:rPr>
      </w:pPr>
      <w:r w:rsidRPr="00E9568B">
        <w:rPr>
          <w:rFonts w:ascii="Arial" w:hAnsi="Arial" w:cs="Arial"/>
        </w:rPr>
        <w:lastRenderedPageBreak/>
        <w:t>This can be achieved by:</w:t>
      </w:r>
    </w:p>
    <w:p w14:paraId="2F0F4F7D" w14:textId="77777777" w:rsidR="00E9568B" w:rsidRPr="00E9568B" w:rsidRDefault="00E9568B" w:rsidP="00E9568B">
      <w:pPr>
        <w:numPr>
          <w:ilvl w:val="0"/>
          <w:numId w:val="10"/>
        </w:numPr>
        <w:jc w:val="both"/>
        <w:rPr>
          <w:rFonts w:ascii="Arial" w:hAnsi="Arial" w:cs="Arial"/>
        </w:rPr>
      </w:pPr>
      <w:r w:rsidRPr="00E9568B">
        <w:rPr>
          <w:rFonts w:ascii="Arial" w:hAnsi="Arial" w:cs="Arial"/>
        </w:rPr>
        <w:t xml:space="preserve">Prioritising improvements in workload, job design, and working conditions </w:t>
      </w:r>
    </w:p>
    <w:p w14:paraId="79694B51" w14:textId="77777777" w:rsidR="00E9568B" w:rsidRPr="00E9568B" w:rsidRDefault="00E9568B" w:rsidP="00E9568B">
      <w:pPr>
        <w:numPr>
          <w:ilvl w:val="0"/>
          <w:numId w:val="10"/>
        </w:numPr>
        <w:jc w:val="both"/>
        <w:rPr>
          <w:rFonts w:ascii="Arial" w:hAnsi="Arial" w:cs="Arial"/>
        </w:rPr>
      </w:pPr>
      <w:r w:rsidRPr="00E9568B">
        <w:rPr>
          <w:rFonts w:ascii="Arial" w:hAnsi="Arial" w:cs="Arial"/>
        </w:rPr>
        <w:t xml:space="preserve">Using engagement data to identify real issues rather than confirm positive narratives </w:t>
      </w:r>
    </w:p>
    <w:p w14:paraId="577B6B9E" w14:textId="77777777" w:rsidR="00E9568B" w:rsidRPr="00E9568B" w:rsidRDefault="00E9568B" w:rsidP="00E9568B">
      <w:pPr>
        <w:numPr>
          <w:ilvl w:val="0"/>
          <w:numId w:val="10"/>
        </w:numPr>
        <w:jc w:val="both"/>
        <w:rPr>
          <w:rFonts w:ascii="Arial" w:hAnsi="Arial" w:cs="Arial"/>
        </w:rPr>
      </w:pPr>
      <w:r w:rsidRPr="00E9568B">
        <w:rPr>
          <w:rFonts w:ascii="Arial" w:hAnsi="Arial" w:cs="Arial"/>
        </w:rPr>
        <w:t xml:space="preserve">Aligning engagement strategies with broader organisational change initiatives </w:t>
      </w:r>
    </w:p>
    <w:p w14:paraId="34DC7CB8" w14:textId="77777777" w:rsidR="00E9568B" w:rsidRPr="00E9568B" w:rsidRDefault="00E9568B" w:rsidP="00E9568B">
      <w:pPr>
        <w:numPr>
          <w:ilvl w:val="0"/>
          <w:numId w:val="10"/>
        </w:numPr>
        <w:jc w:val="both"/>
        <w:rPr>
          <w:rFonts w:ascii="Arial" w:hAnsi="Arial" w:cs="Arial"/>
        </w:rPr>
      </w:pPr>
      <w:r w:rsidRPr="00E9568B">
        <w:rPr>
          <w:rFonts w:ascii="Arial" w:hAnsi="Arial" w:cs="Arial"/>
        </w:rPr>
        <w:t xml:space="preserve">Holding management accountable for improving employee experience </w:t>
      </w:r>
    </w:p>
    <w:p w14:paraId="09A95D0A" w14:textId="77777777" w:rsidR="00E9568B" w:rsidRPr="00E9568B" w:rsidRDefault="00E9568B" w:rsidP="00E9568B">
      <w:pPr>
        <w:jc w:val="both"/>
        <w:rPr>
          <w:rFonts w:ascii="Arial" w:hAnsi="Arial" w:cs="Arial"/>
        </w:rPr>
      </w:pPr>
      <w:r w:rsidRPr="00E9568B">
        <w:rPr>
          <w:rFonts w:ascii="Arial" w:hAnsi="Arial" w:cs="Arial"/>
        </w:rPr>
        <w:t>This approach recognises that engagement is not an end in itself but part of a wider system of organisational practices.</w:t>
      </w:r>
    </w:p>
    <w:p w14:paraId="4162F2F8" w14:textId="1C38B819" w:rsidR="00E9568B" w:rsidRDefault="00E9568B" w:rsidP="00E9568B">
      <w:pPr>
        <w:jc w:val="both"/>
        <w:rPr>
          <w:rFonts w:ascii="Arial" w:hAnsi="Arial" w:cs="Arial"/>
        </w:rPr>
      </w:pPr>
      <w:r w:rsidRPr="00E9568B">
        <w:rPr>
          <w:rFonts w:ascii="Arial" w:hAnsi="Arial" w:cs="Arial"/>
        </w:rPr>
        <w:t xml:space="preserve">Without addressing structural issues, engagement initiatives are unlikely to achieve long-term </w:t>
      </w:r>
      <w:r w:rsidR="000D3F4E">
        <w:rPr>
          <w:rFonts w:ascii="Arial" w:hAnsi="Arial" w:cs="Arial"/>
        </w:rPr>
        <w:t>improvements in retention</w:t>
      </w:r>
      <w:r w:rsidRPr="00E9568B">
        <w:rPr>
          <w:rFonts w:ascii="Arial" w:hAnsi="Arial" w:cs="Arial"/>
        </w:rPr>
        <w:t>.</w:t>
      </w:r>
    </w:p>
    <w:p w14:paraId="0505A38D" w14:textId="30308DEE" w:rsidR="008C7D0A" w:rsidRDefault="008C7D0A" w:rsidP="008C7D0A">
      <w:pPr>
        <w:jc w:val="both"/>
        <w:rPr>
          <w:rFonts w:ascii="Arial" w:hAnsi="Arial" w:cs="Arial"/>
          <w:b/>
          <w:bCs/>
        </w:rPr>
      </w:pPr>
      <w:r w:rsidRPr="00AD6216">
        <w:rPr>
          <w:rFonts w:ascii="Arial" w:hAnsi="Arial" w:cs="Arial"/>
          <w:b/>
          <w:bCs/>
        </w:rPr>
        <w:t>5.</w:t>
      </w:r>
      <w:r w:rsidR="00E25C94">
        <w:rPr>
          <w:rFonts w:ascii="Arial" w:hAnsi="Arial" w:cs="Arial"/>
          <w:b/>
          <w:bCs/>
        </w:rPr>
        <w:t>5</w:t>
      </w:r>
      <w:r>
        <w:rPr>
          <w:rFonts w:ascii="Arial" w:hAnsi="Arial" w:cs="Arial"/>
          <w:b/>
          <w:bCs/>
        </w:rPr>
        <w:t>.7</w:t>
      </w:r>
      <w:r w:rsidRPr="00AD6216">
        <w:rPr>
          <w:rFonts w:ascii="Arial" w:hAnsi="Arial" w:cs="Arial"/>
          <w:b/>
          <w:bCs/>
        </w:rPr>
        <w:t xml:space="preserve"> Limitations of the Study</w:t>
      </w:r>
    </w:p>
    <w:p w14:paraId="445FF85E" w14:textId="77777777" w:rsidR="008C7D0A" w:rsidRPr="00AD6216" w:rsidRDefault="008C7D0A" w:rsidP="008C7D0A">
      <w:pPr>
        <w:jc w:val="both"/>
        <w:rPr>
          <w:rFonts w:ascii="Arial" w:hAnsi="Arial" w:cs="Arial"/>
        </w:rPr>
      </w:pPr>
      <w:r w:rsidRPr="00AD6216">
        <w:rPr>
          <w:rFonts w:ascii="Arial" w:hAnsi="Arial" w:cs="Arial"/>
        </w:rPr>
        <w:t>This study has several limitations that should be acknowledged.</w:t>
      </w:r>
    </w:p>
    <w:p w14:paraId="30C80511" w14:textId="77777777" w:rsidR="008C7D0A" w:rsidRPr="00AD6216" w:rsidRDefault="008C7D0A" w:rsidP="008C7D0A">
      <w:pPr>
        <w:jc w:val="both"/>
        <w:rPr>
          <w:rFonts w:ascii="Arial" w:hAnsi="Arial" w:cs="Arial"/>
        </w:rPr>
      </w:pPr>
      <w:r w:rsidRPr="00AD6216">
        <w:rPr>
          <w:rFonts w:ascii="Arial" w:hAnsi="Arial" w:cs="Arial"/>
        </w:rPr>
        <w:t>First, the research relies on qualitative secondary data. While this allows access to a wide range of perspectives, the data were not originally collected for research purposes. As a result, some sources may reflect bias, particularly organisational documents that present engagement positively.</w:t>
      </w:r>
    </w:p>
    <w:p w14:paraId="04772BA1" w14:textId="77777777" w:rsidR="008C7D0A" w:rsidRPr="00AD6216" w:rsidRDefault="008C7D0A" w:rsidP="008C7D0A">
      <w:pPr>
        <w:jc w:val="both"/>
        <w:rPr>
          <w:rFonts w:ascii="Arial" w:hAnsi="Arial" w:cs="Arial"/>
        </w:rPr>
      </w:pPr>
      <w:r w:rsidRPr="00AD6216">
        <w:rPr>
          <w:rFonts w:ascii="Arial" w:hAnsi="Arial" w:cs="Arial"/>
        </w:rPr>
        <w:t>Second, employee review data may not represent all employees. Individuals who share experiences online may have particularly strong positive or negative views.</w:t>
      </w:r>
    </w:p>
    <w:p w14:paraId="6AD179C8" w14:textId="3F7B2498" w:rsidR="008C7D0A" w:rsidRPr="00AD6216" w:rsidRDefault="008C7D0A" w:rsidP="008C7D0A">
      <w:pPr>
        <w:jc w:val="both"/>
        <w:rPr>
          <w:rFonts w:ascii="Arial" w:hAnsi="Arial" w:cs="Arial"/>
        </w:rPr>
      </w:pPr>
      <w:r w:rsidRPr="00AD6216">
        <w:rPr>
          <w:rFonts w:ascii="Arial" w:hAnsi="Arial" w:cs="Arial"/>
        </w:rPr>
        <w:t xml:space="preserve">To reduce these limitations, the study </w:t>
      </w:r>
      <w:r w:rsidR="00E25C94">
        <w:rPr>
          <w:rFonts w:ascii="Arial" w:hAnsi="Arial" w:cs="Arial"/>
        </w:rPr>
        <w:t>employed data triangulation,</w:t>
      </w:r>
      <w:r w:rsidRPr="00AD6216">
        <w:rPr>
          <w:rFonts w:ascii="Arial" w:hAnsi="Arial" w:cs="Arial"/>
        </w:rPr>
        <w:t xml:space="preserve"> combining multiple sources and comparing organisational narratives with employee perspectives.</w:t>
      </w:r>
    </w:p>
    <w:p w14:paraId="0139D3A3" w14:textId="77777777" w:rsidR="008C7D0A" w:rsidRPr="00AD6216" w:rsidRDefault="008C7D0A" w:rsidP="008C7D0A">
      <w:pPr>
        <w:jc w:val="both"/>
        <w:rPr>
          <w:rFonts w:ascii="Arial" w:hAnsi="Arial" w:cs="Arial"/>
        </w:rPr>
      </w:pPr>
      <w:r w:rsidRPr="00AD6216">
        <w:rPr>
          <w:rFonts w:ascii="Arial" w:hAnsi="Arial" w:cs="Arial"/>
        </w:rPr>
        <w:t>Finally, the study focuses on two organisations within one sector. While this allows detailed analysis, the findings may not be fully generalisable to other industries.</w:t>
      </w:r>
    </w:p>
    <w:p w14:paraId="0228D8A5" w14:textId="77777777" w:rsidR="008C7D0A" w:rsidRPr="00E9568B" w:rsidRDefault="008C7D0A" w:rsidP="00E9568B">
      <w:pPr>
        <w:jc w:val="both"/>
        <w:rPr>
          <w:rFonts w:ascii="Arial" w:hAnsi="Arial" w:cs="Arial"/>
        </w:rPr>
      </w:pPr>
    </w:p>
    <w:p w14:paraId="69AC1E3F" w14:textId="0C0478A3" w:rsidR="00E9568B" w:rsidRPr="00E9568B" w:rsidRDefault="00E9568B" w:rsidP="00E9568B">
      <w:pPr>
        <w:jc w:val="both"/>
        <w:rPr>
          <w:rFonts w:ascii="Arial" w:hAnsi="Arial" w:cs="Arial"/>
          <w:b/>
          <w:bCs/>
        </w:rPr>
      </w:pPr>
      <w:r w:rsidRPr="00E9568B">
        <w:rPr>
          <w:rFonts w:ascii="Arial" w:hAnsi="Arial" w:cs="Arial"/>
          <w:b/>
          <w:bCs/>
        </w:rPr>
        <w:t>5.</w:t>
      </w:r>
      <w:r w:rsidR="00E25C94">
        <w:rPr>
          <w:rFonts w:ascii="Arial" w:hAnsi="Arial" w:cs="Arial"/>
          <w:b/>
          <w:bCs/>
        </w:rPr>
        <w:t>5</w:t>
      </w:r>
      <w:r w:rsidRPr="00E9568B">
        <w:rPr>
          <w:rFonts w:ascii="Arial" w:hAnsi="Arial" w:cs="Arial"/>
          <w:b/>
          <w:bCs/>
        </w:rPr>
        <w:t>.</w:t>
      </w:r>
      <w:r w:rsidR="008C7D0A">
        <w:rPr>
          <w:rFonts w:ascii="Arial" w:hAnsi="Arial" w:cs="Arial"/>
          <w:b/>
          <w:bCs/>
        </w:rPr>
        <w:t>8</w:t>
      </w:r>
      <w:r w:rsidRPr="00E9568B">
        <w:rPr>
          <w:rFonts w:ascii="Arial" w:hAnsi="Arial" w:cs="Arial"/>
          <w:b/>
          <w:bCs/>
        </w:rPr>
        <w:t xml:space="preserve"> Summary of Recommendations</w:t>
      </w:r>
    </w:p>
    <w:p w14:paraId="0B1147A8" w14:textId="77777777" w:rsidR="00E9568B" w:rsidRPr="00E9568B" w:rsidRDefault="00E9568B" w:rsidP="00E9568B">
      <w:pPr>
        <w:jc w:val="both"/>
        <w:rPr>
          <w:rFonts w:ascii="Arial" w:hAnsi="Arial" w:cs="Arial"/>
        </w:rPr>
      </w:pPr>
      <w:r w:rsidRPr="00E9568B">
        <w:rPr>
          <w:rFonts w:ascii="Arial" w:hAnsi="Arial" w:cs="Arial"/>
        </w:rPr>
        <w:t>Overall, the recommendations highlight the need for a shift in how organisations approach employee engagement. Rather than relying on engagement as a standalone solution, organisations should integrate it with improvements in working conditions, job design, and organisational practices.</w:t>
      </w:r>
    </w:p>
    <w:p w14:paraId="30F6B9AB" w14:textId="10DE351A" w:rsidR="00E9568B" w:rsidRPr="00E9568B" w:rsidRDefault="00E9568B" w:rsidP="00E9568B">
      <w:pPr>
        <w:jc w:val="both"/>
        <w:rPr>
          <w:rFonts w:ascii="Arial" w:hAnsi="Arial" w:cs="Arial"/>
        </w:rPr>
      </w:pPr>
      <w:r w:rsidRPr="00E9568B">
        <w:rPr>
          <w:rFonts w:ascii="Arial" w:hAnsi="Arial" w:cs="Arial"/>
        </w:rPr>
        <w:t xml:space="preserve">For companies such as Movianto UK and DHL Supply Chain Healthcare, improving staff retention requires a balanced approach that recognises both the </w:t>
      </w:r>
      <w:r w:rsidR="000D3F4E">
        <w:rPr>
          <w:rFonts w:ascii="Arial" w:hAnsi="Arial" w:cs="Arial"/>
        </w:rPr>
        <w:t>sector's operational demands and the workforce's needs</w:t>
      </w:r>
      <w:r w:rsidRPr="00E9568B">
        <w:rPr>
          <w:rFonts w:ascii="Arial" w:hAnsi="Arial" w:cs="Arial"/>
        </w:rPr>
        <w:t>.</w:t>
      </w:r>
    </w:p>
    <w:p w14:paraId="5D35435C" w14:textId="740BDDFF" w:rsidR="00AD6216" w:rsidRDefault="00E9568B" w:rsidP="00E9568B">
      <w:pPr>
        <w:jc w:val="both"/>
        <w:rPr>
          <w:rFonts w:ascii="Arial" w:hAnsi="Arial" w:cs="Arial"/>
        </w:rPr>
      </w:pPr>
      <w:r w:rsidRPr="00E9568B">
        <w:rPr>
          <w:rFonts w:ascii="Arial" w:hAnsi="Arial" w:cs="Arial"/>
        </w:rPr>
        <w:t>By addressing structural constraints alongside engagement practices, organisations can create a more sustainable and effective approach to workforce management.</w:t>
      </w:r>
    </w:p>
    <w:p w14:paraId="6AD6591D" w14:textId="77777777" w:rsidR="00AD6216" w:rsidRDefault="00AD6216" w:rsidP="00E9568B">
      <w:pPr>
        <w:jc w:val="both"/>
        <w:rPr>
          <w:rFonts w:ascii="Arial" w:hAnsi="Arial" w:cs="Arial"/>
          <w:sz w:val="24"/>
          <w:szCs w:val="24"/>
        </w:rPr>
      </w:pPr>
    </w:p>
    <w:p w14:paraId="09E1121C" w14:textId="77777777" w:rsidR="00333822" w:rsidRDefault="00333822" w:rsidP="00E9568B">
      <w:pPr>
        <w:jc w:val="both"/>
        <w:rPr>
          <w:rFonts w:ascii="Arial" w:hAnsi="Arial" w:cs="Arial"/>
          <w:sz w:val="24"/>
          <w:szCs w:val="24"/>
        </w:rPr>
      </w:pPr>
    </w:p>
    <w:p w14:paraId="4D2B1AC2" w14:textId="77777777" w:rsidR="00333822" w:rsidRDefault="00333822" w:rsidP="00E9568B">
      <w:pPr>
        <w:jc w:val="both"/>
        <w:rPr>
          <w:rFonts w:ascii="Arial" w:hAnsi="Arial" w:cs="Arial"/>
          <w:sz w:val="24"/>
          <w:szCs w:val="24"/>
        </w:rPr>
      </w:pPr>
    </w:p>
    <w:p w14:paraId="0447D9DD" w14:textId="77777777" w:rsidR="00333822" w:rsidRDefault="00333822" w:rsidP="00E9568B">
      <w:pPr>
        <w:jc w:val="both"/>
        <w:rPr>
          <w:rFonts w:ascii="Arial" w:hAnsi="Arial" w:cs="Arial"/>
          <w:sz w:val="24"/>
          <w:szCs w:val="24"/>
        </w:rPr>
      </w:pPr>
    </w:p>
    <w:p w14:paraId="18A3DF4C" w14:textId="77777777" w:rsidR="00333822" w:rsidRPr="009E4CA0" w:rsidRDefault="00333822" w:rsidP="00E9568B">
      <w:pPr>
        <w:jc w:val="both"/>
        <w:rPr>
          <w:rFonts w:ascii="Arial" w:hAnsi="Arial" w:cs="Arial"/>
          <w:sz w:val="24"/>
          <w:szCs w:val="24"/>
        </w:rPr>
      </w:pPr>
    </w:p>
    <w:p w14:paraId="153D29B5" w14:textId="711977DD" w:rsidR="00AD6216" w:rsidRPr="00660292" w:rsidRDefault="00AD6216" w:rsidP="00FF03DF">
      <w:pPr>
        <w:pStyle w:val="Heading2"/>
        <w:rPr>
          <w:rFonts w:ascii="Arial" w:hAnsi="Arial" w:cs="Arial"/>
          <w:b/>
          <w:bCs/>
          <w:color w:val="000000" w:themeColor="text1"/>
          <w:sz w:val="24"/>
          <w:szCs w:val="24"/>
        </w:rPr>
      </w:pPr>
      <w:bookmarkStart w:id="43" w:name="_Toc228563727"/>
      <w:r w:rsidRPr="00660292">
        <w:rPr>
          <w:rFonts w:ascii="Arial" w:hAnsi="Arial" w:cs="Arial"/>
          <w:b/>
          <w:bCs/>
          <w:color w:val="000000" w:themeColor="text1"/>
          <w:sz w:val="24"/>
          <w:szCs w:val="24"/>
        </w:rPr>
        <w:lastRenderedPageBreak/>
        <w:t>5.</w:t>
      </w:r>
      <w:r w:rsidR="00E25C94" w:rsidRPr="00660292">
        <w:rPr>
          <w:rFonts w:ascii="Arial" w:hAnsi="Arial" w:cs="Arial"/>
          <w:b/>
          <w:bCs/>
          <w:color w:val="000000" w:themeColor="text1"/>
          <w:sz w:val="24"/>
          <w:szCs w:val="24"/>
        </w:rPr>
        <w:t>6</w:t>
      </w:r>
      <w:r w:rsidRPr="00660292">
        <w:rPr>
          <w:rFonts w:ascii="Arial" w:hAnsi="Arial" w:cs="Arial"/>
          <w:b/>
          <w:bCs/>
          <w:color w:val="000000" w:themeColor="text1"/>
          <w:sz w:val="24"/>
          <w:szCs w:val="24"/>
        </w:rPr>
        <w:t xml:space="preserve"> Implications of Findings</w:t>
      </w:r>
      <w:bookmarkEnd w:id="43"/>
    </w:p>
    <w:p w14:paraId="6675BC20" w14:textId="727273F9" w:rsidR="00AD6216" w:rsidRPr="008C7D0A" w:rsidRDefault="00AD6216" w:rsidP="00AD6216">
      <w:pPr>
        <w:jc w:val="both"/>
        <w:rPr>
          <w:rFonts w:ascii="Arial" w:hAnsi="Arial" w:cs="Arial"/>
          <w:b/>
          <w:bCs/>
        </w:rPr>
      </w:pPr>
      <w:r w:rsidRPr="008C7D0A">
        <w:rPr>
          <w:rFonts w:ascii="Arial" w:hAnsi="Arial" w:cs="Arial"/>
          <w:b/>
          <w:bCs/>
        </w:rPr>
        <w:t>5.</w:t>
      </w:r>
      <w:r w:rsidR="00E25C94">
        <w:rPr>
          <w:rFonts w:ascii="Arial" w:hAnsi="Arial" w:cs="Arial"/>
          <w:b/>
          <w:bCs/>
        </w:rPr>
        <w:t>6</w:t>
      </w:r>
      <w:r w:rsidRPr="008C7D0A">
        <w:rPr>
          <w:rFonts w:ascii="Arial" w:hAnsi="Arial" w:cs="Arial"/>
          <w:b/>
          <w:bCs/>
        </w:rPr>
        <w:t>.1 Practical Implications</w:t>
      </w:r>
    </w:p>
    <w:p w14:paraId="4DBEFA61" w14:textId="77777777" w:rsidR="00AD6216" w:rsidRPr="00AD6216" w:rsidRDefault="00AD6216" w:rsidP="00AD6216">
      <w:pPr>
        <w:jc w:val="both"/>
        <w:rPr>
          <w:rFonts w:ascii="Arial" w:hAnsi="Arial" w:cs="Arial"/>
        </w:rPr>
      </w:pPr>
      <w:r w:rsidRPr="00AD6216">
        <w:rPr>
          <w:rFonts w:ascii="Arial" w:hAnsi="Arial" w:cs="Arial"/>
        </w:rPr>
        <w:t>The findings suggest that organisations should reconsider how they use engagement strategies in highly regulated environments. Engagement should not be treated as a standalone solution but integrated with improvements in workload, job design, and management practices.</w:t>
      </w:r>
    </w:p>
    <w:p w14:paraId="32984484" w14:textId="77777777" w:rsidR="00AD6216" w:rsidRPr="00AD6216" w:rsidRDefault="00AD6216" w:rsidP="00AD6216">
      <w:pPr>
        <w:jc w:val="both"/>
        <w:rPr>
          <w:rFonts w:ascii="Arial" w:hAnsi="Arial" w:cs="Arial"/>
        </w:rPr>
      </w:pPr>
      <w:r w:rsidRPr="00AD6216">
        <w:rPr>
          <w:rFonts w:ascii="Arial" w:hAnsi="Arial" w:cs="Arial"/>
        </w:rPr>
        <w:t>For organisations such as Movianto UK and DHL Supply Chain Healthcare, this means focusing on operational changes rather than relying only on communication or recognition initiatives. Improving working conditions is likely to have a stronger impact on retention than engagement programmes alone.</w:t>
      </w:r>
    </w:p>
    <w:p w14:paraId="2A18055E" w14:textId="1B8C4618" w:rsidR="00AD6216" w:rsidRPr="00AD6216" w:rsidRDefault="00AD6216" w:rsidP="00AD6216">
      <w:pPr>
        <w:jc w:val="both"/>
        <w:rPr>
          <w:rFonts w:ascii="Arial" w:hAnsi="Arial" w:cs="Arial"/>
          <w:b/>
          <w:bCs/>
        </w:rPr>
      </w:pPr>
      <w:r w:rsidRPr="00AD6216">
        <w:rPr>
          <w:rFonts w:ascii="Arial" w:hAnsi="Arial" w:cs="Arial"/>
          <w:b/>
          <w:bCs/>
        </w:rPr>
        <w:t>5.</w:t>
      </w:r>
      <w:r w:rsidR="00E25C94">
        <w:rPr>
          <w:rFonts w:ascii="Arial" w:hAnsi="Arial" w:cs="Arial"/>
          <w:b/>
          <w:bCs/>
        </w:rPr>
        <w:t>6</w:t>
      </w:r>
      <w:r w:rsidRPr="00AD6216">
        <w:rPr>
          <w:rFonts w:ascii="Arial" w:hAnsi="Arial" w:cs="Arial"/>
          <w:b/>
          <w:bCs/>
        </w:rPr>
        <w:t>.2 Theoretical Implications</w:t>
      </w:r>
    </w:p>
    <w:p w14:paraId="7692AF4D" w14:textId="77777777" w:rsidR="00AD6216" w:rsidRPr="00AD6216" w:rsidRDefault="00AD6216" w:rsidP="00AD6216">
      <w:pPr>
        <w:jc w:val="both"/>
        <w:rPr>
          <w:rFonts w:ascii="Arial" w:hAnsi="Arial" w:cs="Arial"/>
        </w:rPr>
      </w:pPr>
      <w:r w:rsidRPr="00AD6216">
        <w:rPr>
          <w:rFonts w:ascii="Arial" w:hAnsi="Arial" w:cs="Arial"/>
        </w:rPr>
        <w:t>This study contributes to the academic debate by showing that engagement is context-dependent rather than universally effective. It supports critical HRM perspectives, which argue that engagement operates within systems of organisational control (Legge, 2005; Thompson, 2011).</w:t>
      </w:r>
    </w:p>
    <w:p w14:paraId="37F5A508" w14:textId="61BA1BA8" w:rsidR="00E25C94" w:rsidRPr="00AD6216" w:rsidRDefault="00AD6216" w:rsidP="00AD6216">
      <w:pPr>
        <w:jc w:val="both"/>
        <w:rPr>
          <w:rFonts w:ascii="Arial" w:hAnsi="Arial" w:cs="Arial"/>
        </w:rPr>
      </w:pPr>
      <w:r w:rsidRPr="00AD6216">
        <w:rPr>
          <w:rFonts w:ascii="Arial" w:hAnsi="Arial" w:cs="Arial"/>
        </w:rPr>
        <w:t>It also extends the Job Demands–Resources model by demonstrating that high job demands in regulated environments can limit the impact of engagement. This suggests that future research should consider structural conditions more explicitly when examining engagement outcomes.</w:t>
      </w:r>
    </w:p>
    <w:p w14:paraId="644579E9" w14:textId="46BCBA77" w:rsidR="001A6F94" w:rsidRPr="00660292" w:rsidRDefault="00AD6216" w:rsidP="00FF03DF">
      <w:pPr>
        <w:pStyle w:val="Heading2"/>
        <w:rPr>
          <w:rFonts w:ascii="Arial" w:hAnsi="Arial" w:cs="Arial"/>
          <w:b/>
          <w:bCs/>
          <w:color w:val="000000" w:themeColor="text1"/>
          <w:sz w:val="24"/>
          <w:szCs w:val="24"/>
        </w:rPr>
      </w:pPr>
      <w:bookmarkStart w:id="44" w:name="_Toc228563728"/>
      <w:r w:rsidRPr="00660292">
        <w:rPr>
          <w:rFonts w:ascii="Arial" w:hAnsi="Arial" w:cs="Arial"/>
          <w:b/>
          <w:bCs/>
          <w:color w:val="000000" w:themeColor="text1"/>
          <w:sz w:val="24"/>
          <w:szCs w:val="24"/>
        </w:rPr>
        <w:t>5.</w:t>
      </w:r>
      <w:r w:rsidR="00E25C94" w:rsidRPr="00660292">
        <w:rPr>
          <w:rFonts w:ascii="Arial" w:hAnsi="Arial" w:cs="Arial"/>
          <w:b/>
          <w:bCs/>
          <w:color w:val="000000" w:themeColor="text1"/>
          <w:sz w:val="24"/>
          <w:szCs w:val="24"/>
        </w:rPr>
        <w:t>7</w:t>
      </w:r>
      <w:r w:rsidRPr="00660292">
        <w:rPr>
          <w:rFonts w:ascii="Arial" w:hAnsi="Arial" w:cs="Arial"/>
          <w:b/>
          <w:bCs/>
          <w:color w:val="000000" w:themeColor="text1"/>
          <w:sz w:val="24"/>
          <w:szCs w:val="24"/>
        </w:rPr>
        <w:t xml:space="preserve"> Limitations of the Study</w:t>
      </w:r>
      <w:bookmarkEnd w:id="44"/>
    </w:p>
    <w:p w14:paraId="1E349196" w14:textId="6665F5D9" w:rsidR="00AD6216" w:rsidRPr="00AD6216" w:rsidRDefault="00AD6216" w:rsidP="00AD6216">
      <w:pPr>
        <w:jc w:val="both"/>
        <w:rPr>
          <w:rFonts w:ascii="Arial" w:hAnsi="Arial" w:cs="Arial"/>
        </w:rPr>
      </w:pPr>
      <w:r w:rsidRPr="00AD6216">
        <w:rPr>
          <w:rFonts w:ascii="Arial" w:hAnsi="Arial" w:cs="Arial"/>
        </w:rPr>
        <w:t>This study has several limitations that should be acknowledged.</w:t>
      </w:r>
      <w:r w:rsidR="00333822">
        <w:rPr>
          <w:rFonts w:ascii="Arial" w:hAnsi="Arial" w:cs="Arial"/>
        </w:rPr>
        <w:t xml:space="preserve"> </w:t>
      </w:r>
      <w:r w:rsidRPr="00AD6216">
        <w:rPr>
          <w:rFonts w:ascii="Arial" w:hAnsi="Arial" w:cs="Arial"/>
        </w:rPr>
        <w:t>First, the research relies on qualitative secondary data. While this allows access to a wide range of perspectives, the data were not originally collected for research purposes. As a result, some sources may reflect bias, particularly organisational documents that present engagement positively.</w:t>
      </w:r>
    </w:p>
    <w:p w14:paraId="61C1ED2C" w14:textId="77777777" w:rsidR="00AD6216" w:rsidRPr="00AD6216" w:rsidRDefault="00AD6216" w:rsidP="00AD6216">
      <w:pPr>
        <w:jc w:val="both"/>
        <w:rPr>
          <w:rFonts w:ascii="Arial" w:hAnsi="Arial" w:cs="Arial"/>
        </w:rPr>
      </w:pPr>
      <w:r w:rsidRPr="00AD6216">
        <w:rPr>
          <w:rFonts w:ascii="Arial" w:hAnsi="Arial" w:cs="Arial"/>
        </w:rPr>
        <w:t>Second, employee review data may not represent all employees. Individuals who share experiences online may have particularly strong positive or negative views.</w:t>
      </w:r>
    </w:p>
    <w:p w14:paraId="67B4AE56" w14:textId="15C5F38F" w:rsidR="00AD6216" w:rsidRPr="00AD6216" w:rsidRDefault="00AD6216" w:rsidP="00AD6216">
      <w:pPr>
        <w:jc w:val="both"/>
        <w:rPr>
          <w:rFonts w:ascii="Arial" w:hAnsi="Arial" w:cs="Arial"/>
        </w:rPr>
      </w:pPr>
      <w:r w:rsidRPr="00AD6216">
        <w:rPr>
          <w:rFonts w:ascii="Arial" w:hAnsi="Arial" w:cs="Arial"/>
        </w:rPr>
        <w:t xml:space="preserve">To reduce these limitations, the study </w:t>
      </w:r>
      <w:r w:rsidR="0031128A">
        <w:rPr>
          <w:rFonts w:ascii="Arial" w:hAnsi="Arial" w:cs="Arial"/>
        </w:rPr>
        <w:t>employed data triangulation,</w:t>
      </w:r>
      <w:r w:rsidRPr="00AD6216">
        <w:rPr>
          <w:rFonts w:ascii="Arial" w:hAnsi="Arial" w:cs="Arial"/>
        </w:rPr>
        <w:t xml:space="preserve"> combining multiple sources and comparing organisational narratives with employee perspectives.</w:t>
      </w:r>
    </w:p>
    <w:p w14:paraId="19911507" w14:textId="77777777" w:rsidR="00AD6216" w:rsidRPr="00AD6216" w:rsidRDefault="00AD6216" w:rsidP="00AD6216">
      <w:pPr>
        <w:jc w:val="both"/>
        <w:rPr>
          <w:rFonts w:ascii="Arial" w:hAnsi="Arial" w:cs="Arial"/>
        </w:rPr>
      </w:pPr>
      <w:r w:rsidRPr="00AD6216">
        <w:rPr>
          <w:rFonts w:ascii="Arial" w:hAnsi="Arial" w:cs="Arial"/>
        </w:rPr>
        <w:t>Finally, the study focuses on two organisations within one sector. While this allows detailed analysis, the findings may not be fully generalisable to other industries.</w:t>
      </w:r>
    </w:p>
    <w:p w14:paraId="6CF202E5" w14:textId="69F7E2DA" w:rsidR="00AD6216" w:rsidRPr="00660292" w:rsidRDefault="00AD6216" w:rsidP="00FF03DF">
      <w:pPr>
        <w:pStyle w:val="Heading2"/>
        <w:rPr>
          <w:rFonts w:ascii="Arial" w:hAnsi="Arial" w:cs="Arial"/>
          <w:b/>
          <w:bCs/>
          <w:color w:val="000000" w:themeColor="text1"/>
          <w:sz w:val="24"/>
          <w:szCs w:val="24"/>
        </w:rPr>
      </w:pPr>
      <w:bookmarkStart w:id="45" w:name="_Toc228563729"/>
      <w:r w:rsidRPr="00660292">
        <w:rPr>
          <w:rFonts w:ascii="Arial" w:hAnsi="Arial" w:cs="Arial"/>
          <w:b/>
          <w:bCs/>
          <w:color w:val="000000" w:themeColor="text1"/>
          <w:sz w:val="24"/>
          <w:szCs w:val="24"/>
        </w:rPr>
        <w:t>5.</w:t>
      </w:r>
      <w:r w:rsidR="00E25C94" w:rsidRPr="00660292">
        <w:rPr>
          <w:rFonts w:ascii="Arial" w:hAnsi="Arial" w:cs="Arial"/>
          <w:b/>
          <w:bCs/>
          <w:color w:val="000000" w:themeColor="text1"/>
          <w:sz w:val="24"/>
          <w:szCs w:val="24"/>
        </w:rPr>
        <w:t>8</w:t>
      </w:r>
      <w:r w:rsidRPr="00660292">
        <w:rPr>
          <w:rFonts w:ascii="Arial" w:hAnsi="Arial" w:cs="Arial"/>
          <w:b/>
          <w:bCs/>
          <w:color w:val="000000" w:themeColor="text1"/>
          <w:sz w:val="24"/>
          <w:szCs w:val="24"/>
        </w:rPr>
        <w:t xml:space="preserve"> Recommendations for Future Research</w:t>
      </w:r>
      <w:bookmarkEnd w:id="45"/>
    </w:p>
    <w:p w14:paraId="08360754" w14:textId="77777777" w:rsidR="00AD6216" w:rsidRPr="00AD6216" w:rsidRDefault="00AD6216" w:rsidP="00AD6216">
      <w:pPr>
        <w:jc w:val="both"/>
        <w:rPr>
          <w:rFonts w:ascii="Arial" w:hAnsi="Arial" w:cs="Arial"/>
        </w:rPr>
      </w:pPr>
      <w:r w:rsidRPr="00AD6216">
        <w:rPr>
          <w:rFonts w:ascii="Arial" w:hAnsi="Arial" w:cs="Arial"/>
        </w:rPr>
        <w:t>Future research could build on this study in several ways.</w:t>
      </w:r>
    </w:p>
    <w:p w14:paraId="1BC3E10F" w14:textId="77777777" w:rsidR="00AD6216" w:rsidRPr="00AD6216" w:rsidRDefault="00AD6216" w:rsidP="00AD6216">
      <w:pPr>
        <w:jc w:val="both"/>
        <w:rPr>
          <w:rFonts w:ascii="Arial" w:hAnsi="Arial" w:cs="Arial"/>
        </w:rPr>
      </w:pPr>
      <w:r w:rsidRPr="00AD6216">
        <w:rPr>
          <w:rFonts w:ascii="Arial" w:hAnsi="Arial" w:cs="Arial"/>
        </w:rPr>
        <w:t>First, primary data collection, such as interviews or surveys, could provide deeper insight into employee experiences and engagement practices.</w:t>
      </w:r>
    </w:p>
    <w:p w14:paraId="449DB120" w14:textId="4F255578" w:rsidR="00AD6216" w:rsidRPr="00AD6216" w:rsidRDefault="00AD6216" w:rsidP="00AD6216">
      <w:pPr>
        <w:jc w:val="both"/>
        <w:rPr>
          <w:rFonts w:ascii="Arial" w:hAnsi="Arial" w:cs="Arial"/>
        </w:rPr>
      </w:pPr>
      <w:r w:rsidRPr="00AD6216">
        <w:rPr>
          <w:rFonts w:ascii="Arial" w:hAnsi="Arial" w:cs="Arial"/>
        </w:rPr>
        <w:t xml:space="preserve">Second, research could examine other sectors to </w:t>
      </w:r>
      <w:r>
        <w:rPr>
          <w:rFonts w:ascii="Arial" w:hAnsi="Arial" w:cs="Arial"/>
        </w:rPr>
        <w:t>determine whether similar patterns exist in less-regulated</w:t>
      </w:r>
      <w:r w:rsidRPr="00AD6216">
        <w:rPr>
          <w:rFonts w:ascii="Arial" w:hAnsi="Arial" w:cs="Arial"/>
        </w:rPr>
        <w:t xml:space="preserve"> environments.</w:t>
      </w:r>
    </w:p>
    <w:p w14:paraId="70A0E6B3" w14:textId="77777777" w:rsidR="00AD6216" w:rsidRPr="00AD6216" w:rsidRDefault="00AD6216" w:rsidP="00AD6216">
      <w:pPr>
        <w:jc w:val="both"/>
        <w:rPr>
          <w:rFonts w:ascii="Arial" w:hAnsi="Arial" w:cs="Arial"/>
        </w:rPr>
      </w:pPr>
      <w:r w:rsidRPr="00AD6216">
        <w:rPr>
          <w:rFonts w:ascii="Arial" w:hAnsi="Arial" w:cs="Arial"/>
        </w:rPr>
        <w:t>Third, future studies could explore the long-term impact of structural changes, such as workload redesign or increased autonomy, on engagement and retention.</w:t>
      </w:r>
    </w:p>
    <w:p w14:paraId="67BF4534" w14:textId="77777777" w:rsidR="00AD6216" w:rsidRPr="00AD6216" w:rsidRDefault="00AD6216" w:rsidP="00AD6216">
      <w:pPr>
        <w:jc w:val="both"/>
        <w:rPr>
          <w:rFonts w:ascii="Arial" w:hAnsi="Arial" w:cs="Arial"/>
        </w:rPr>
      </w:pPr>
      <w:r w:rsidRPr="00AD6216">
        <w:rPr>
          <w:rFonts w:ascii="Arial" w:hAnsi="Arial" w:cs="Arial"/>
        </w:rPr>
        <w:t>Finally, quantitative research could test the relationships identified in this study on a larger scale.</w:t>
      </w:r>
    </w:p>
    <w:p w14:paraId="0FBC4BC0" w14:textId="11F42FA0" w:rsidR="00EA41AA" w:rsidRPr="00660292" w:rsidRDefault="008C6877" w:rsidP="00FF03DF">
      <w:pPr>
        <w:pStyle w:val="Heading2"/>
        <w:rPr>
          <w:rFonts w:ascii="Arial" w:hAnsi="Arial" w:cs="Arial"/>
          <w:b/>
          <w:bCs/>
          <w:color w:val="000000" w:themeColor="text1"/>
          <w:sz w:val="28"/>
          <w:szCs w:val="28"/>
        </w:rPr>
      </w:pPr>
      <w:bookmarkStart w:id="46" w:name="_Toc228563730"/>
      <w:r w:rsidRPr="00660292">
        <w:rPr>
          <w:rFonts w:ascii="Arial" w:hAnsi="Arial" w:cs="Arial"/>
          <w:b/>
          <w:bCs/>
          <w:color w:val="000000" w:themeColor="text1"/>
          <w:sz w:val="28"/>
          <w:szCs w:val="28"/>
        </w:rPr>
        <w:lastRenderedPageBreak/>
        <w:t>REFERENCES</w:t>
      </w:r>
      <w:bookmarkEnd w:id="46"/>
    </w:p>
    <w:p w14:paraId="45B2C88F" w14:textId="77777777" w:rsidR="00EA41AA" w:rsidRPr="00EA41AA" w:rsidRDefault="00EA41AA" w:rsidP="00EA41AA">
      <w:pPr>
        <w:jc w:val="both"/>
        <w:rPr>
          <w:rFonts w:ascii="Arial" w:hAnsi="Arial" w:cs="Arial"/>
        </w:rPr>
      </w:pPr>
      <w:r w:rsidRPr="00EA41AA">
        <w:rPr>
          <w:rFonts w:ascii="Arial" w:hAnsi="Arial" w:cs="Arial"/>
        </w:rPr>
        <w:t xml:space="preserve">Albrecht, S.L., Bakker, A.B., Gruman, J.A., Macey, W.H. &amp; Saks, A.M. (2015) ‘Employee engagement, human resource management practices and competitive advantage’, </w:t>
      </w:r>
      <w:r w:rsidRPr="00EA41AA">
        <w:rPr>
          <w:rFonts w:ascii="Arial" w:hAnsi="Arial" w:cs="Arial"/>
          <w:i/>
          <w:iCs/>
        </w:rPr>
        <w:t>Journal of Organizational Effectiveness: People and Performance</w:t>
      </w:r>
      <w:r w:rsidRPr="00EA41AA">
        <w:rPr>
          <w:rFonts w:ascii="Arial" w:hAnsi="Arial" w:cs="Arial"/>
        </w:rPr>
        <w:t>, 2(1), pp. 7–35.</w:t>
      </w:r>
    </w:p>
    <w:p w14:paraId="76C4FE8C" w14:textId="77777777" w:rsidR="00EA41AA" w:rsidRPr="00EA41AA" w:rsidRDefault="00EA41AA" w:rsidP="00EA41AA">
      <w:pPr>
        <w:jc w:val="both"/>
        <w:rPr>
          <w:rFonts w:ascii="Arial" w:hAnsi="Arial" w:cs="Arial"/>
        </w:rPr>
      </w:pPr>
      <w:r w:rsidRPr="00EA41AA">
        <w:rPr>
          <w:rFonts w:ascii="Arial" w:hAnsi="Arial" w:cs="Arial"/>
        </w:rPr>
        <w:t xml:space="preserve">Allen, D.G., Bryant, P.C. &amp; Vardaman, J.M. (2010) ‘Retaining talent: Replacing misconceptions with evidence-based strategies’, </w:t>
      </w:r>
      <w:r w:rsidRPr="00EA41AA">
        <w:rPr>
          <w:rFonts w:ascii="Arial" w:hAnsi="Arial" w:cs="Arial"/>
          <w:i/>
          <w:iCs/>
        </w:rPr>
        <w:t>Academy of Management Perspectives</w:t>
      </w:r>
      <w:r w:rsidRPr="00EA41AA">
        <w:rPr>
          <w:rFonts w:ascii="Arial" w:hAnsi="Arial" w:cs="Arial"/>
        </w:rPr>
        <w:t>, 24(2), pp. 48–64.</w:t>
      </w:r>
    </w:p>
    <w:p w14:paraId="7E663093" w14:textId="77777777" w:rsidR="00EA41AA" w:rsidRPr="00EA41AA" w:rsidRDefault="00EA41AA" w:rsidP="00EA41AA">
      <w:pPr>
        <w:jc w:val="both"/>
        <w:rPr>
          <w:rFonts w:ascii="Arial" w:hAnsi="Arial" w:cs="Arial"/>
        </w:rPr>
      </w:pPr>
      <w:r w:rsidRPr="00EA41AA">
        <w:rPr>
          <w:rFonts w:ascii="Arial" w:hAnsi="Arial" w:cs="Arial"/>
        </w:rPr>
        <w:t xml:space="preserve">Armstrong, M. &amp; Taylor, S. (2020) </w:t>
      </w:r>
      <w:r w:rsidRPr="00EA41AA">
        <w:rPr>
          <w:rFonts w:ascii="Arial" w:hAnsi="Arial" w:cs="Arial"/>
          <w:i/>
          <w:iCs/>
        </w:rPr>
        <w:t>Armstrong’s Handbook of Human Resource Management Practice</w:t>
      </w:r>
      <w:r w:rsidRPr="00EA41AA">
        <w:rPr>
          <w:rFonts w:ascii="Arial" w:hAnsi="Arial" w:cs="Arial"/>
        </w:rPr>
        <w:t>. 15th edn. London: Kogan Page.</w:t>
      </w:r>
    </w:p>
    <w:p w14:paraId="31627103" w14:textId="77777777" w:rsidR="00EA41AA" w:rsidRPr="00EA41AA" w:rsidRDefault="00EA41AA" w:rsidP="00EA41AA">
      <w:pPr>
        <w:jc w:val="both"/>
        <w:rPr>
          <w:rFonts w:ascii="Arial" w:hAnsi="Arial" w:cs="Arial"/>
        </w:rPr>
      </w:pPr>
      <w:r w:rsidRPr="00EA41AA">
        <w:rPr>
          <w:rFonts w:ascii="Arial" w:hAnsi="Arial" w:cs="Arial"/>
        </w:rPr>
        <w:t xml:space="preserve">Bakker, A.B. &amp; Demerouti, E. (2017) ‘Job demands–resources theory: Taking stock and looking forward’, </w:t>
      </w:r>
      <w:r w:rsidRPr="00EA41AA">
        <w:rPr>
          <w:rFonts w:ascii="Arial" w:hAnsi="Arial" w:cs="Arial"/>
          <w:i/>
          <w:iCs/>
        </w:rPr>
        <w:t>Journal of Occupational Health Psychology</w:t>
      </w:r>
      <w:r w:rsidRPr="00EA41AA">
        <w:rPr>
          <w:rFonts w:ascii="Arial" w:hAnsi="Arial" w:cs="Arial"/>
        </w:rPr>
        <w:t>, 22(3), pp. 273–285.</w:t>
      </w:r>
    </w:p>
    <w:p w14:paraId="28965270" w14:textId="77777777" w:rsidR="00EA41AA" w:rsidRPr="00EA41AA" w:rsidRDefault="00EA41AA" w:rsidP="00EA41AA">
      <w:pPr>
        <w:jc w:val="both"/>
        <w:rPr>
          <w:rFonts w:ascii="Arial" w:hAnsi="Arial" w:cs="Arial"/>
        </w:rPr>
      </w:pPr>
      <w:r w:rsidRPr="00EA41AA">
        <w:rPr>
          <w:rFonts w:ascii="Arial" w:hAnsi="Arial" w:cs="Arial"/>
        </w:rPr>
        <w:t xml:space="preserve">Braun, V. &amp; Clarke, V. (2006) ‘Using thematic analysis in psychology’, </w:t>
      </w:r>
      <w:r w:rsidRPr="00EA41AA">
        <w:rPr>
          <w:rFonts w:ascii="Arial" w:hAnsi="Arial" w:cs="Arial"/>
          <w:i/>
          <w:iCs/>
        </w:rPr>
        <w:t>Qualitative Research in Psychology</w:t>
      </w:r>
      <w:r w:rsidRPr="00EA41AA">
        <w:rPr>
          <w:rFonts w:ascii="Arial" w:hAnsi="Arial" w:cs="Arial"/>
        </w:rPr>
        <w:t>, 3(2), pp. 77–101.</w:t>
      </w:r>
    </w:p>
    <w:p w14:paraId="29E55E11" w14:textId="77777777" w:rsidR="00EA41AA" w:rsidRPr="00EA41AA" w:rsidRDefault="00EA41AA" w:rsidP="00EA41AA">
      <w:pPr>
        <w:jc w:val="both"/>
        <w:rPr>
          <w:rFonts w:ascii="Arial" w:hAnsi="Arial" w:cs="Arial"/>
        </w:rPr>
      </w:pPr>
      <w:r w:rsidRPr="00EA41AA">
        <w:rPr>
          <w:rFonts w:ascii="Arial" w:hAnsi="Arial" w:cs="Arial"/>
        </w:rPr>
        <w:t xml:space="preserve">Bryman, A. (2016) </w:t>
      </w:r>
      <w:r w:rsidRPr="00EA41AA">
        <w:rPr>
          <w:rFonts w:ascii="Arial" w:hAnsi="Arial" w:cs="Arial"/>
          <w:i/>
          <w:iCs/>
        </w:rPr>
        <w:t>Social Research Methods</w:t>
      </w:r>
      <w:r w:rsidRPr="00EA41AA">
        <w:rPr>
          <w:rFonts w:ascii="Arial" w:hAnsi="Arial" w:cs="Arial"/>
        </w:rPr>
        <w:t>. 5th edn. Oxford: Oxford University Press.</w:t>
      </w:r>
    </w:p>
    <w:p w14:paraId="5F5681AC" w14:textId="77777777" w:rsidR="00EA41AA" w:rsidRPr="00EA41AA" w:rsidRDefault="00EA41AA" w:rsidP="00EA41AA">
      <w:pPr>
        <w:jc w:val="both"/>
        <w:rPr>
          <w:rFonts w:ascii="Arial" w:hAnsi="Arial" w:cs="Arial"/>
        </w:rPr>
      </w:pPr>
      <w:r w:rsidRPr="00EA41AA">
        <w:rPr>
          <w:rFonts w:ascii="Arial" w:hAnsi="Arial" w:cs="Arial"/>
        </w:rPr>
        <w:t xml:space="preserve">CIPD (2023) </w:t>
      </w:r>
      <w:r w:rsidRPr="00EA41AA">
        <w:rPr>
          <w:rFonts w:ascii="Arial" w:hAnsi="Arial" w:cs="Arial"/>
          <w:i/>
          <w:iCs/>
        </w:rPr>
        <w:t>Employee Engagement and Motivation Factsheet</w:t>
      </w:r>
      <w:r w:rsidRPr="00EA41AA">
        <w:rPr>
          <w:rFonts w:ascii="Arial" w:hAnsi="Arial" w:cs="Arial"/>
        </w:rPr>
        <w:t xml:space="preserve">. Available at: </w:t>
      </w:r>
      <w:hyperlink r:id="rId14" w:tgtFrame="_new" w:history="1">
        <w:r w:rsidRPr="00EA41AA">
          <w:rPr>
            <w:rStyle w:val="Hyperlink"/>
            <w:rFonts w:ascii="Arial" w:hAnsi="Arial" w:cs="Arial"/>
          </w:rPr>
          <w:t>https://www.cipd.co.uk</w:t>
        </w:r>
      </w:hyperlink>
      <w:r w:rsidRPr="00EA41AA">
        <w:rPr>
          <w:rFonts w:ascii="Arial" w:hAnsi="Arial" w:cs="Arial"/>
        </w:rPr>
        <w:t xml:space="preserve"> (Accessed: 10 March 2025).</w:t>
      </w:r>
    </w:p>
    <w:p w14:paraId="14B998FA" w14:textId="77777777" w:rsidR="00EA41AA" w:rsidRPr="00EA41AA" w:rsidRDefault="00EA41AA" w:rsidP="00EA41AA">
      <w:pPr>
        <w:jc w:val="both"/>
        <w:rPr>
          <w:rFonts w:ascii="Arial" w:hAnsi="Arial" w:cs="Arial"/>
        </w:rPr>
      </w:pPr>
      <w:r w:rsidRPr="00EA41AA">
        <w:rPr>
          <w:rFonts w:ascii="Arial" w:hAnsi="Arial" w:cs="Arial"/>
        </w:rPr>
        <w:t xml:space="preserve">Demerouti, E., Bakker, A.B., Nachreiner, F. &amp; Schaufeli, W.B. (2001) ‘The job demands-resources model of burnout’, </w:t>
      </w:r>
      <w:r w:rsidRPr="00EA41AA">
        <w:rPr>
          <w:rFonts w:ascii="Arial" w:hAnsi="Arial" w:cs="Arial"/>
          <w:i/>
          <w:iCs/>
        </w:rPr>
        <w:t>Journal of Applied Psychology</w:t>
      </w:r>
      <w:r w:rsidRPr="00EA41AA">
        <w:rPr>
          <w:rFonts w:ascii="Arial" w:hAnsi="Arial" w:cs="Arial"/>
        </w:rPr>
        <w:t>, 86(3), pp. 499–512.</w:t>
      </w:r>
    </w:p>
    <w:p w14:paraId="2F2E5B1B" w14:textId="77777777" w:rsidR="00EA41AA" w:rsidRPr="00EA41AA" w:rsidRDefault="00EA41AA" w:rsidP="00EA41AA">
      <w:pPr>
        <w:jc w:val="both"/>
        <w:rPr>
          <w:rFonts w:ascii="Arial" w:hAnsi="Arial" w:cs="Arial"/>
        </w:rPr>
      </w:pPr>
      <w:r w:rsidRPr="00EA41AA">
        <w:rPr>
          <w:rFonts w:ascii="Arial" w:hAnsi="Arial" w:cs="Arial"/>
        </w:rPr>
        <w:t xml:space="preserve">Edwards, R. (1979) </w:t>
      </w:r>
      <w:r w:rsidRPr="00EA41AA">
        <w:rPr>
          <w:rFonts w:ascii="Arial" w:hAnsi="Arial" w:cs="Arial"/>
          <w:i/>
          <w:iCs/>
        </w:rPr>
        <w:t>Contested Terrain: The Transformation of the Workplace in the Twentieth Century</w:t>
      </w:r>
      <w:r w:rsidRPr="00EA41AA">
        <w:rPr>
          <w:rFonts w:ascii="Arial" w:hAnsi="Arial" w:cs="Arial"/>
        </w:rPr>
        <w:t>. New York: Basic Books.</w:t>
      </w:r>
    </w:p>
    <w:p w14:paraId="2069DBB3" w14:textId="77777777" w:rsidR="00EA41AA" w:rsidRPr="00EA41AA" w:rsidRDefault="00EA41AA" w:rsidP="00EA41AA">
      <w:pPr>
        <w:jc w:val="both"/>
        <w:rPr>
          <w:rFonts w:ascii="Arial" w:hAnsi="Arial" w:cs="Arial"/>
        </w:rPr>
      </w:pPr>
      <w:r w:rsidRPr="00EA41AA">
        <w:rPr>
          <w:rFonts w:ascii="Arial" w:hAnsi="Arial" w:cs="Arial"/>
        </w:rPr>
        <w:t xml:space="preserve">Fleming, P. (2017) </w:t>
      </w:r>
      <w:r w:rsidRPr="00EA41AA">
        <w:rPr>
          <w:rFonts w:ascii="Arial" w:hAnsi="Arial" w:cs="Arial"/>
          <w:i/>
          <w:iCs/>
        </w:rPr>
        <w:t>The Human Capital Hoax: Work, Debt and Insecurity in the Era of Uberization</w:t>
      </w:r>
      <w:r w:rsidRPr="00EA41AA">
        <w:rPr>
          <w:rFonts w:ascii="Arial" w:hAnsi="Arial" w:cs="Arial"/>
        </w:rPr>
        <w:t>. London: Pluto Press.</w:t>
      </w:r>
    </w:p>
    <w:p w14:paraId="181E210B" w14:textId="77777777" w:rsidR="00EA41AA" w:rsidRPr="00EA41AA" w:rsidRDefault="00EA41AA" w:rsidP="00EA41AA">
      <w:pPr>
        <w:jc w:val="both"/>
        <w:rPr>
          <w:rFonts w:ascii="Arial" w:hAnsi="Arial" w:cs="Arial"/>
        </w:rPr>
      </w:pPr>
      <w:r w:rsidRPr="00EA41AA">
        <w:rPr>
          <w:rFonts w:ascii="Arial" w:hAnsi="Arial" w:cs="Arial"/>
        </w:rPr>
        <w:t xml:space="preserve">Guest, D.E. (2017) ‘Human resource management and employee well-being: Towards a new analytic framework’, </w:t>
      </w:r>
      <w:r w:rsidRPr="00EA41AA">
        <w:rPr>
          <w:rFonts w:ascii="Arial" w:hAnsi="Arial" w:cs="Arial"/>
          <w:i/>
          <w:iCs/>
        </w:rPr>
        <w:t>Human Resource Management Journal</w:t>
      </w:r>
      <w:r w:rsidRPr="00EA41AA">
        <w:rPr>
          <w:rFonts w:ascii="Arial" w:hAnsi="Arial" w:cs="Arial"/>
        </w:rPr>
        <w:t>, 27(1), pp. 22–38.</w:t>
      </w:r>
    </w:p>
    <w:p w14:paraId="56E6739E" w14:textId="77777777" w:rsidR="00EA41AA" w:rsidRPr="00EA41AA" w:rsidRDefault="00EA41AA" w:rsidP="00EA41AA">
      <w:pPr>
        <w:jc w:val="both"/>
        <w:rPr>
          <w:rFonts w:ascii="Arial" w:hAnsi="Arial" w:cs="Arial"/>
        </w:rPr>
      </w:pPr>
      <w:r w:rsidRPr="00EA41AA">
        <w:rPr>
          <w:rFonts w:ascii="Arial" w:hAnsi="Arial" w:cs="Arial"/>
        </w:rPr>
        <w:t xml:space="preserve">Hackman, J.R. &amp; Oldham, G.R. (1976) ‘Motivation through the design of work’, </w:t>
      </w:r>
      <w:r w:rsidRPr="00EA41AA">
        <w:rPr>
          <w:rFonts w:ascii="Arial" w:hAnsi="Arial" w:cs="Arial"/>
          <w:i/>
          <w:iCs/>
        </w:rPr>
        <w:t>Organizational Behavior and Human Performance</w:t>
      </w:r>
      <w:r w:rsidRPr="00EA41AA">
        <w:rPr>
          <w:rFonts w:ascii="Arial" w:hAnsi="Arial" w:cs="Arial"/>
        </w:rPr>
        <w:t>, 16(2), pp. 250–279.</w:t>
      </w:r>
    </w:p>
    <w:p w14:paraId="61EE5F52" w14:textId="77777777" w:rsidR="00EA41AA" w:rsidRPr="00EA41AA" w:rsidRDefault="00EA41AA" w:rsidP="00EA41AA">
      <w:pPr>
        <w:jc w:val="both"/>
        <w:rPr>
          <w:rFonts w:ascii="Arial" w:hAnsi="Arial" w:cs="Arial"/>
        </w:rPr>
      </w:pPr>
      <w:r w:rsidRPr="00EA41AA">
        <w:rPr>
          <w:rFonts w:ascii="Arial" w:hAnsi="Arial" w:cs="Arial"/>
        </w:rPr>
        <w:t xml:space="preserve">Harter, J.K., Schmidt, F.L. &amp; Hayes, T.L. (2002) ‘Business-unit-level relationship between employee satisfaction, employee engagement, and business outcomes’, </w:t>
      </w:r>
      <w:r w:rsidRPr="00EA41AA">
        <w:rPr>
          <w:rFonts w:ascii="Arial" w:hAnsi="Arial" w:cs="Arial"/>
          <w:i/>
          <w:iCs/>
        </w:rPr>
        <w:t>Journal of Applied Psychology</w:t>
      </w:r>
      <w:r w:rsidRPr="00EA41AA">
        <w:rPr>
          <w:rFonts w:ascii="Arial" w:hAnsi="Arial" w:cs="Arial"/>
        </w:rPr>
        <w:t>, 87(2), pp. 268–279.</w:t>
      </w:r>
    </w:p>
    <w:p w14:paraId="10CBAE59" w14:textId="77777777" w:rsidR="00EA41AA" w:rsidRPr="00EA41AA" w:rsidRDefault="00EA41AA" w:rsidP="00EA41AA">
      <w:pPr>
        <w:jc w:val="both"/>
        <w:rPr>
          <w:rFonts w:ascii="Arial" w:hAnsi="Arial" w:cs="Arial"/>
        </w:rPr>
      </w:pPr>
      <w:r w:rsidRPr="00EA41AA">
        <w:rPr>
          <w:rFonts w:ascii="Arial" w:hAnsi="Arial" w:cs="Arial"/>
        </w:rPr>
        <w:t xml:space="preserve">Kahn, W.A. (1990) ‘Psychological conditions of personal engagement and disengagement at work’, </w:t>
      </w:r>
      <w:r w:rsidRPr="00EA41AA">
        <w:rPr>
          <w:rFonts w:ascii="Arial" w:hAnsi="Arial" w:cs="Arial"/>
          <w:i/>
          <w:iCs/>
        </w:rPr>
        <w:t>Academy of Management Journal</w:t>
      </w:r>
      <w:r w:rsidRPr="00EA41AA">
        <w:rPr>
          <w:rFonts w:ascii="Arial" w:hAnsi="Arial" w:cs="Arial"/>
        </w:rPr>
        <w:t>, 33(4), pp. 692–724.</w:t>
      </w:r>
    </w:p>
    <w:p w14:paraId="70EC52D6" w14:textId="77777777" w:rsidR="00EA41AA" w:rsidRPr="00EA41AA" w:rsidRDefault="00EA41AA" w:rsidP="00EA41AA">
      <w:pPr>
        <w:jc w:val="both"/>
        <w:rPr>
          <w:rFonts w:ascii="Arial" w:hAnsi="Arial" w:cs="Arial"/>
        </w:rPr>
      </w:pPr>
      <w:r w:rsidRPr="00EA41AA">
        <w:rPr>
          <w:rFonts w:ascii="Arial" w:hAnsi="Arial" w:cs="Arial"/>
        </w:rPr>
        <w:t xml:space="preserve">Legge, K. (2005) </w:t>
      </w:r>
      <w:r w:rsidRPr="00EA41AA">
        <w:rPr>
          <w:rFonts w:ascii="Arial" w:hAnsi="Arial" w:cs="Arial"/>
          <w:i/>
          <w:iCs/>
        </w:rPr>
        <w:t>Human Resource Management: Rhetorics and Realities</w:t>
      </w:r>
      <w:r w:rsidRPr="00EA41AA">
        <w:rPr>
          <w:rFonts w:ascii="Arial" w:hAnsi="Arial" w:cs="Arial"/>
        </w:rPr>
        <w:t>. Basingstoke: Palgrave Macmillan.</w:t>
      </w:r>
    </w:p>
    <w:p w14:paraId="3532D906" w14:textId="77777777" w:rsidR="00EA41AA" w:rsidRPr="00EA41AA" w:rsidRDefault="00EA41AA" w:rsidP="00EA41AA">
      <w:pPr>
        <w:jc w:val="both"/>
        <w:rPr>
          <w:rFonts w:ascii="Arial" w:hAnsi="Arial" w:cs="Arial"/>
        </w:rPr>
      </w:pPr>
      <w:r w:rsidRPr="00EA41AA">
        <w:rPr>
          <w:rFonts w:ascii="Arial" w:hAnsi="Arial" w:cs="Arial"/>
        </w:rPr>
        <w:t xml:space="preserve">Macey, W.H. &amp; Schneider, B. (2008) ‘The meaning of employee engagement’, </w:t>
      </w:r>
      <w:r w:rsidRPr="00EA41AA">
        <w:rPr>
          <w:rFonts w:ascii="Arial" w:hAnsi="Arial" w:cs="Arial"/>
          <w:i/>
          <w:iCs/>
        </w:rPr>
        <w:t>Industrial and Organizational Psychology</w:t>
      </w:r>
      <w:r w:rsidRPr="00EA41AA">
        <w:rPr>
          <w:rFonts w:ascii="Arial" w:hAnsi="Arial" w:cs="Arial"/>
        </w:rPr>
        <w:t>, 1(1), pp. 3–30.</w:t>
      </w:r>
    </w:p>
    <w:p w14:paraId="7ABC89A0" w14:textId="77777777" w:rsidR="00EA41AA" w:rsidRPr="00EA41AA" w:rsidRDefault="00EA41AA" w:rsidP="00EA41AA">
      <w:pPr>
        <w:jc w:val="both"/>
        <w:rPr>
          <w:rFonts w:ascii="Arial" w:hAnsi="Arial" w:cs="Arial"/>
        </w:rPr>
      </w:pPr>
      <w:r w:rsidRPr="00EA41AA">
        <w:rPr>
          <w:rFonts w:ascii="Arial" w:hAnsi="Arial" w:cs="Arial"/>
        </w:rPr>
        <w:t xml:space="preserve">MHRA (2022) </w:t>
      </w:r>
      <w:r w:rsidRPr="00EA41AA">
        <w:rPr>
          <w:rFonts w:ascii="Arial" w:hAnsi="Arial" w:cs="Arial"/>
          <w:i/>
          <w:iCs/>
        </w:rPr>
        <w:t>Good Distribution Practice Guidelines</w:t>
      </w:r>
      <w:r w:rsidRPr="00EA41AA">
        <w:rPr>
          <w:rFonts w:ascii="Arial" w:hAnsi="Arial" w:cs="Arial"/>
        </w:rPr>
        <w:t xml:space="preserve">. Available at: </w:t>
      </w:r>
      <w:hyperlink r:id="rId15" w:tgtFrame="_new" w:history="1">
        <w:r w:rsidRPr="00EA41AA">
          <w:rPr>
            <w:rStyle w:val="Hyperlink"/>
            <w:rFonts w:ascii="Arial" w:hAnsi="Arial" w:cs="Arial"/>
          </w:rPr>
          <w:t>https://www.gov.uk</w:t>
        </w:r>
      </w:hyperlink>
      <w:r w:rsidRPr="00EA41AA">
        <w:rPr>
          <w:rFonts w:ascii="Arial" w:hAnsi="Arial" w:cs="Arial"/>
        </w:rPr>
        <w:t xml:space="preserve"> (Accessed: 12 March 2025).</w:t>
      </w:r>
    </w:p>
    <w:p w14:paraId="2DF8C626" w14:textId="77777777" w:rsidR="00EA41AA" w:rsidRPr="00EA41AA" w:rsidRDefault="00EA41AA" w:rsidP="00EA41AA">
      <w:pPr>
        <w:jc w:val="both"/>
        <w:rPr>
          <w:rFonts w:ascii="Arial" w:hAnsi="Arial" w:cs="Arial"/>
        </w:rPr>
      </w:pPr>
      <w:r w:rsidRPr="00EA41AA">
        <w:rPr>
          <w:rFonts w:ascii="Arial" w:hAnsi="Arial" w:cs="Arial"/>
        </w:rPr>
        <w:t xml:space="preserve">Robbins, S.P. &amp; Judge, T.A. (2019) </w:t>
      </w:r>
      <w:r w:rsidRPr="00EA41AA">
        <w:rPr>
          <w:rFonts w:ascii="Arial" w:hAnsi="Arial" w:cs="Arial"/>
          <w:i/>
          <w:iCs/>
        </w:rPr>
        <w:t>Organizational Behavior</w:t>
      </w:r>
      <w:r w:rsidRPr="00EA41AA">
        <w:rPr>
          <w:rFonts w:ascii="Arial" w:hAnsi="Arial" w:cs="Arial"/>
        </w:rPr>
        <w:t>. 18th edn. Harlow: Pearson.</w:t>
      </w:r>
    </w:p>
    <w:p w14:paraId="3BD65F92" w14:textId="77777777" w:rsidR="00EA41AA" w:rsidRPr="00EA41AA" w:rsidRDefault="00EA41AA" w:rsidP="00EA41AA">
      <w:pPr>
        <w:jc w:val="both"/>
        <w:rPr>
          <w:rFonts w:ascii="Arial" w:hAnsi="Arial" w:cs="Arial"/>
        </w:rPr>
      </w:pPr>
      <w:r w:rsidRPr="00EA41AA">
        <w:rPr>
          <w:rFonts w:ascii="Arial" w:hAnsi="Arial" w:cs="Arial"/>
        </w:rPr>
        <w:t xml:space="preserve">Saks, A.M. (2006) ‘Antecedents and consequences of employee engagement’, </w:t>
      </w:r>
      <w:r w:rsidRPr="00EA41AA">
        <w:rPr>
          <w:rFonts w:ascii="Arial" w:hAnsi="Arial" w:cs="Arial"/>
          <w:i/>
          <w:iCs/>
        </w:rPr>
        <w:t>Journal of Managerial Psychology</w:t>
      </w:r>
      <w:r w:rsidRPr="00EA41AA">
        <w:rPr>
          <w:rFonts w:ascii="Arial" w:hAnsi="Arial" w:cs="Arial"/>
        </w:rPr>
        <w:t>, 21(7), pp. 600–619.</w:t>
      </w:r>
    </w:p>
    <w:p w14:paraId="2A1D2D9F" w14:textId="77777777" w:rsidR="00EA41AA" w:rsidRPr="00EA41AA" w:rsidRDefault="00EA41AA" w:rsidP="00EA41AA">
      <w:pPr>
        <w:jc w:val="both"/>
        <w:rPr>
          <w:rFonts w:ascii="Arial" w:hAnsi="Arial" w:cs="Arial"/>
        </w:rPr>
      </w:pPr>
      <w:r w:rsidRPr="00EA41AA">
        <w:rPr>
          <w:rFonts w:ascii="Arial" w:hAnsi="Arial" w:cs="Arial"/>
        </w:rPr>
        <w:lastRenderedPageBreak/>
        <w:t xml:space="preserve">Saunders, M., Lewis, P. &amp; Thornhill, A. (2019) </w:t>
      </w:r>
      <w:r w:rsidRPr="00EA41AA">
        <w:rPr>
          <w:rFonts w:ascii="Arial" w:hAnsi="Arial" w:cs="Arial"/>
          <w:i/>
          <w:iCs/>
        </w:rPr>
        <w:t>Research Methods for Business Students</w:t>
      </w:r>
      <w:r w:rsidRPr="00EA41AA">
        <w:rPr>
          <w:rFonts w:ascii="Arial" w:hAnsi="Arial" w:cs="Arial"/>
        </w:rPr>
        <w:t>. 8th edn. Harlow: Pearson.</w:t>
      </w:r>
    </w:p>
    <w:p w14:paraId="3C6BEE79" w14:textId="77777777" w:rsidR="00EA41AA" w:rsidRPr="00EA41AA" w:rsidRDefault="00EA41AA" w:rsidP="00EA41AA">
      <w:pPr>
        <w:jc w:val="both"/>
        <w:rPr>
          <w:rFonts w:ascii="Arial" w:hAnsi="Arial" w:cs="Arial"/>
        </w:rPr>
      </w:pPr>
      <w:r w:rsidRPr="00EA41AA">
        <w:rPr>
          <w:rFonts w:ascii="Arial" w:hAnsi="Arial" w:cs="Arial"/>
        </w:rPr>
        <w:t xml:space="preserve">Thompson, P. (2011) ‘The trouble with HRM’, </w:t>
      </w:r>
      <w:r w:rsidRPr="00EA41AA">
        <w:rPr>
          <w:rFonts w:ascii="Arial" w:hAnsi="Arial" w:cs="Arial"/>
          <w:i/>
          <w:iCs/>
        </w:rPr>
        <w:t>Human Resource Management Journal</w:t>
      </w:r>
      <w:r w:rsidRPr="00EA41AA">
        <w:rPr>
          <w:rFonts w:ascii="Arial" w:hAnsi="Arial" w:cs="Arial"/>
        </w:rPr>
        <w:t>, 21(4), pp. 355–367.</w:t>
      </w:r>
    </w:p>
    <w:p w14:paraId="13A87D43" w14:textId="77777777" w:rsidR="00EA41AA" w:rsidRPr="00EA41AA" w:rsidRDefault="00EA41AA" w:rsidP="00EA41AA">
      <w:pPr>
        <w:jc w:val="both"/>
        <w:rPr>
          <w:rFonts w:ascii="Arial" w:hAnsi="Arial" w:cs="Arial"/>
        </w:rPr>
      </w:pPr>
      <w:r w:rsidRPr="00EA41AA">
        <w:rPr>
          <w:rFonts w:ascii="Arial" w:hAnsi="Arial" w:cs="Arial"/>
        </w:rPr>
        <w:t xml:space="preserve">Torrington, D., Hall, L., Taylor, S. &amp; Atkinson, C. (2020) </w:t>
      </w:r>
      <w:r w:rsidRPr="00EA41AA">
        <w:rPr>
          <w:rFonts w:ascii="Arial" w:hAnsi="Arial" w:cs="Arial"/>
          <w:i/>
          <w:iCs/>
        </w:rPr>
        <w:t>Human Resource Management</w:t>
      </w:r>
      <w:r w:rsidRPr="00EA41AA">
        <w:rPr>
          <w:rFonts w:ascii="Arial" w:hAnsi="Arial" w:cs="Arial"/>
        </w:rPr>
        <w:t>. 11th edn. Harlow: Pearson.</w:t>
      </w:r>
    </w:p>
    <w:p w14:paraId="41DA3CFF" w14:textId="77777777" w:rsidR="00EA41AA" w:rsidRPr="00EA41AA" w:rsidRDefault="00EA41AA" w:rsidP="00EA41AA">
      <w:pPr>
        <w:jc w:val="both"/>
        <w:rPr>
          <w:rFonts w:ascii="Arial" w:hAnsi="Arial" w:cs="Arial"/>
        </w:rPr>
      </w:pPr>
      <w:r w:rsidRPr="00EA41AA">
        <w:rPr>
          <w:rFonts w:ascii="Arial" w:hAnsi="Arial" w:cs="Arial"/>
        </w:rPr>
        <w:t xml:space="preserve">Yin, R.K. (2018) </w:t>
      </w:r>
      <w:r w:rsidRPr="00EA41AA">
        <w:rPr>
          <w:rFonts w:ascii="Arial" w:hAnsi="Arial" w:cs="Arial"/>
          <w:i/>
          <w:iCs/>
        </w:rPr>
        <w:t>Case Study Research and Applications</w:t>
      </w:r>
      <w:r w:rsidRPr="00EA41AA">
        <w:rPr>
          <w:rFonts w:ascii="Arial" w:hAnsi="Arial" w:cs="Arial"/>
        </w:rPr>
        <w:t>. 6th edn. Thousand Oaks: Sage.</w:t>
      </w:r>
    </w:p>
    <w:p w14:paraId="39EAAE46" w14:textId="77777777" w:rsidR="008C6877" w:rsidRPr="00EA41AA" w:rsidRDefault="008C6877" w:rsidP="00EA41AA">
      <w:pPr>
        <w:jc w:val="both"/>
        <w:rPr>
          <w:rFonts w:ascii="Arial" w:hAnsi="Arial" w:cs="Arial"/>
        </w:rPr>
      </w:pPr>
    </w:p>
    <w:sectPr w:rsidR="008C6877" w:rsidRPr="00EA41A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Bentil Oduro" w:date="2026-03-19T15:30:00Z" w:initials="BO">
    <w:p w14:paraId="3408DF49" w14:textId="77777777" w:rsidR="00C22EC3" w:rsidRDefault="00C22EC3" w:rsidP="00C22EC3">
      <w:pPr>
        <w:pStyle w:val="CommentText"/>
      </w:pPr>
      <w:r>
        <w:rPr>
          <w:rStyle w:val="CommentReference"/>
        </w:rPr>
        <w:annotationRef/>
      </w:r>
      <w:r>
        <w:t>designed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408DF49"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8828C6D" w16cex:dateUtc="2026-03-19T15: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408DF49" w16cid:durableId="58828C6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D2FCC" w14:textId="77777777" w:rsidR="00891FB3" w:rsidRDefault="00891FB3" w:rsidP="003C43FE">
      <w:pPr>
        <w:spacing w:after="0" w:line="240" w:lineRule="auto"/>
      </w:pPr>
      <w:r>
        <w:separator/>
      </w:r>
    </w:p>
  </w:endnote>
  <w:endnote w:type="continuationSeparator" w:id="0">
    <w:p w14:paraId="5F72380C" w14:textId="77777777" w:rsidR="00891FB3" w:rsidRDefault="00891FB3" w:rsidP="003C4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716DDC" w14:textId="77777777" w:rsidR="00891FB3" w:rsidRDefault="00891FB3" w:rsidP="003C43FE">
      <w:pPr>
        <w:spacing w:after="0" w:line="240" w:lineRule="auto"/>
      </w:pPr>
      <w:r>
        <w:separator/>
      </w:r>
    </w:p>
  </w:footnote>
  <w:footnote w:type="continuationSeparator" w:id="0">
    <w:p w14:paraId="49C54C52" w14:textId="77777777" w:rsidR="00891FB3" w:rsidRDefault="00891FB3" w:rsidP="003C43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C084E"/>
    <w:multiLevelType w:val="hybridMultilevel"/>
    <w:tmpl w:val="8348E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B5D70"/>
    <w:multiLevelType w:val="multilevel"/>
    <w:tmpl w:val="CA7EED34"/>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 w15:restartNumberingAfterBreak="0">
    <w:nsid w:val="14AD6BC7"/>
    <w:multiLevelType w:val="multilevel"/>
    <w:tmpl w:val="13A4D6F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593B2C"/>
    <w:multiLevelType w:val="multilevel"/>
    <w:tmpl w:val="79448C0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BF54AD"/>
    <w:multiLevelType w:val="multilevel"/>
    <w:tmpl w:val="4FAE272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2A0C4724"/>
    <w:multiLevelType w:val="multilevel"/>
    <w:tmpl w:val="C6DA499A"/>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5A6D36"/>
    <w:multiLevelType w:val="multilevel"/>
    <w:tmpl w:val="F0B054FC"/>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FD3B79"/>
    <w:multiLevelType w:val="multilevel"/>
    <w:tmpl w:val="B2E69726"/>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F93FBA"/>
    <w:multiLevelType w:val="multilevel"/>
    <w:tmpl w:val="EC5AF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956154"/>
    <w:multiLevelType w:val="multilevel"/>
    <w:tmpl w:val="3894F76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424E8B"/>
    <w:multiLevelType w:val="multilevel"/>
    <w:tmpl w:val="E698E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AD6627"/>
    <w:multiLevelType w:val="multilevel"/>
    <w:tmpl w:val="5EC896B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854E3B"/>
    <w:multiLevelType w:val="multilevel"/>
    <w:tmpl w:val="FB1E6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756077"/>
    <w:multiLevelType w:val="multilevel"/>
    <w:tmpl w:val="1CF6572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20716B"/>
    <w:multiLevelType w:val="multilevel"/>
    <w:tmpl w:val="AB709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222267"/>
    <w:multiLevelType w:val="multilevel"/>
    <w:tmpl w:val="E8BAF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0B6586"/>
    <w:multiLevelType w:val="multilevel"/>
    <w:tmpl w:val="47723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9D564D1"/>
    <w:multiLevelType w:val="multilevel"/>
    <w:tmpl w:val="C8529F6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47525B"/>
    <w:multiLevelType w:val="multilevel"/>
    <w:tmpl w:val="8166ADE0"/>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1956D3"/>
    <w:multiLevelType w:val="multilevel"/>
    <w:tmpl w:val="24764E6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FF7E0B"/>
    <w:multiLevelType w:val="multilevel"/>
    <w:tmpl w:val="987AF40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7D3246E2"/>
    <w:multiLevelType w:val="multilevel"/>
    <w:tmpl w:val="206E7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4746043">
    <w:abstractNumId w:val="20"/>
  </w:num>
  <w:num w:numId="2" w16cid:durableId="1196311870">
    <w:abstractNumId w:val="1"/>
  </w:num>
  <w:num w:numId="3" w16cid:durableId="1834756115">
    <w:abstractNumId w:val="4"/>
  </w:num>
  <w:num w:numId="4" w16cid:durableId="2102144576">
    <w:abstractNumId w:val="0"/>
  </w:num>
  <w:num w:numId="5" w16cid:durableId="1042750431">
    <w:abstractNumId w:val="21"/>
  </w:num>
  <w:num w:numId="6" w16cid:durableId="960920164">
    <w:abstractNumId w:val="8"/>
  </w:num>
  <w:num w:numId="7" w16cid:durableId="1880892954">
    <w:abstractNumId w:val="12"/>
  </w:num>
  <w:num w:numId="8" w16cid:durableId="1472360532">
    <w:abstractNumId w:val="14"/>
  </w:num>
  <w:num w:numId="9" w16cid:durableId="1056970077">
    <w:abstractNumId w:val="10"/>
  </w:num>
  <w:num w:numId="10" w16cid:durableId="395784617">
    <w:abstractNumId w:val="15"/>
  </w:num>
  <w:num w:numId="11" w16cid:durableId="1001615456">
    <w:abstractNumId w:val="2"/>
  </w:num>
  <w:num w:numId="12" w16cid:durableId="2071228646">
    <w:abstractNumId w:val="9"/>
  </w:num>
  <w:num w:numId="13" w16cid:durableId="361174353">
    <w:abstractNumId w:val="19"/>
  </w:num>
  <w:num w:numId="14" w16cid:durableId="2145538826">
    <w:abstractNumId w:val="17"/>
  </w:num>
  <w:num w:numId="15" w16cid:durableId="1529176606">
    <w:abstractNumId w:val="11"/>
  </w:num>
  <w:num w:numId="16" w16cid:durableId="595943514">
    <w:abstractNumId w:val="13"/>
  </w:num>
  <w:num w:numId="17" w16cid:durableId="181826288">
    <w:abstractNumId w:val="5"/>
  </w:num>
  <w:num w:numId="18" w16cid:durableId="1416786429">
    <w:abstractNumId w:val="6"/>
  </w:num>
  <w:num w:numId="19" w16cid:durableId="488833039">
    <w:abstractNumId w:val="7"/>
  </w:num>
  <w:num w:numId="20" w16cid:durableId="183523362">
    <w:abstractNumId w:val="18"/>
  </w:num>
  <w:num w:numId="21" w16cid:durableId="1621763411">
    <w:abstractNumId w:val="16"/>
  </w:num>
  <w:num w:numId="22" w16cid:durableId="1287275137">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Bentil Oduro">
    <w15:presenceInfo w15:providerId="AD" w15:userId="S::ab6230@coventry.ac.uk::76ac4dc7-e215-4ee9-a196-62950de0f91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123"/>
    <w:rsid w:val="00003CFC"/>
    <w:rsid w:val="000126D8"/>
    <w:rsid w:val="00044666"/>
    <w:rsid w:val="00054099"/>
    <w:rsid w:val="0008570F"/>
    <w:rsid w:val="000C2310"/>
    <w:rsid w:val="000C554A"/>
    <w:rsid w:val="000D3F4E"/>
    <w:rsid w:val="000E77D2"/>
    <w:rsid w:val="000F5C6C"/>
    <w:rsid w:val="00165D52"/>
    <w:rsid w:val="00193781"/>
    <w:rsid w:val="001A6F94"/>
    <w:rsid w:val="001B38CE"/>
    <w:rsid w:val="00200C0F"/>
    <w:rsid w:val="0023120F"/>
    <w:rsid w:val="0024517A"/>
    <w:rsid w:val="002D2251"/>
    <w:rsid w:val="0031128A"/>
    <w:rsid w:val="00333822"/>
    <w:rsid w:val="00354DA4"/>
    <w:rsid w:val="0035780D"/>
    <w:rsid w:val="003A435B"/>
    <w:rsid w:val="003B14EE"/>
    <w:rsid w:val="003C43FE"/>
    <w:rsid w:val="003E203D"/>
    <w:rsid w:val="00406E25"/>
    <w:rsid w:val="00415EA3"/>
    <w:rsid w:val="004356AB"/>
    <w:rsid w:val="004357EB"/>
    <w:rsid w:val="00454526"/>
    <w:rsid w:val="00471E6F"/>
    <w:rsid w:val="004E033F"/>
    <w:rsid w:val="005139FE"/>
    <w:rsid w:val="005210CD"/>
    <w:rsid w:val="00551089"/>
    <w:rsid w:val="00555A71"/>
    <w:rsid w:val="00580D6C"/>
    <w:rsid w:val="005D1A52"/>
    <w:rsid w:val="00613E1D"/>
    <w:rsid w:val="00660292"/>
    <w:rsid w:val="006B343C"/>
    <w:rsid w:val="006D26A7"/>
    <w:rsid w:val="006F2585"/>
    <w:rsid w:val="00790846"/>
    <w:rsid w:val="008031CD"/>
    <w:rsid w:val="00833281"/>
    <w:rsid w:val="00866D86"/>
    <w:rsid w:val="00891FB3"/>
    <w:rsid w:val="008C1C4C"/>
    <w:rsid w:val="008C6877"/>
    <w:rsid w:val="008C75E1"/>
    <w:rsid w:val="008C78A5"/>
    <w:rsid w:val="008C7D0A"/>
    <w:rsid w:val="00905F1A"/>
    <w:rsid w:val="009076F0"/>
    <w:rsid w:val="009335E2"/>
    <w:rsid w:val="00940240"/>
    <w:rsid w:val="009A20D2"/>
    <w:rsid w:val="009C0E17"/>
    <w:rsid w:val="009D1AE4"/>
    <w:rsid w:val="009D3E55"/>
    <w:rsid w:val="009E4CA0"/>
    <w:rsid w:val="00A20CA8"/>
    <w:rsid w:val="00A50854"/>
    <w:rsid w:val="00AA0954"/>
    <w:rsid w:val="00AC42E4"/>
    <w:rsid w:val="00AD6216"/>
    <w:rsid w:val="00AE3C6F"/>
    <w:rsid w:val="00B149BF"/>
    <w:rsid w:val="00B471FF"/>
    <w:rsid w:val="00BA3FA9"/>
    <w:rsid w:val="00BD208E"/>
    <w:rsid w:val="00BD44A6"/>
    <w:rsid w:val="00C22EC3"/>
    <w:rsid w:val="00C32036"/>
    <w:rsid w:val="00C6228C"/>
    <w:rsid w:val="00C80FB8"/>
    <w:rsid w:val="00CA0FC4"/>
    <w:rsid w:val="00CE0044"/>
    <w:rsid w:val="00CE00D7"/>
    <w:rsid w:val="00D370B2"/>
    <w:rsid w:val="00D45666"/>
    <w:rsid w:val="00DB3174"/>
    <w:rsid w:val="00DB5EB8"/>
    <w:rsid w:val="00DD58AB"/>
    <w:rsid w:val="00E2343F"/>
    <w:rsid w:val="00E25C94"/>
    <w:rsid w:val="00E324FB"/>
    <w:rsid w:val="00E451E5"/>
    <w:rsid w:val="00E513A0"/>
    <w:rsid w:val="00E76808"/>
    <w:rsid w:val="00E87A16"/>
    <w:rsid w:val="00E9568B"/>
    <w:rsid w:val="00EA1584"/>
    <w:rsid w:val="00EA41AA"/>
    <w:rsid w:val="00EC03AA"/>
    <w:rsid w:val="00EC5966"/>
    <w:rsid w:val="00F24027"/>
    <w:rsid w:val="00F477C0"/>
    <w:rsid w:val="00F5567A"/>
    <w:rsid w:val="00F77DAF"/>
    <w:rsid w:val="00F80B08"/>
    <w:rsid w:val="00FB2F7C"/>
    <w:rsid w:val="00FB39BA"/>
    <w:rsid w:val="00FC0123"/>
    <w:rsid w:val="00FD5CD4"/>
    <w:rsid w:val="00FF0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1AD63"/>
  <w15:chartTrackingRefBased/>
  <w15:docId w15:val="{7EF8003F-29D5-4EAB-9211-33DE9767A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1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01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01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01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01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01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01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01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01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1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01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01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01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01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01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01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01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0123"/>
    <w:rPr>
      <w:rFonts w:eastAsiaTheme="majorEastAsia" w:cstheme="majorBidi"/>
      <w:color w:val="272727" w:themeColor="text1" w:themeTint="D8"/>
    </w:rPr>
  </w:style>
  <w:style w:type="paragraph" w:styleId="Title">
    <w:name w:val="Title"/>
    <w:basedOn w:val="Normal"/>
    <w:next w:val="Normal"/>
    <w:link w:val="TitleChar"/>
    <w:uiPriority w:val="10"/>
    <w:qFormat/>
    <w:rsid w:val="00FC01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01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01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1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0123"/>
    <w:pPr>
      <w:spacing w:before="160"/>
      <w:jc w:val="center"/>
    </w:pPr>
    <w:rPr>
      <w:i/>
      <w:iCs/>
      <w:color w:val="404040" w:themeColor="text1" w:themeTint="BF"/>
    </w:rPr>
  </w:style>
  <w:style w:type="character" w:customStyle="1" w:styleId="QuoteChar">
    <w:name w:val="Quote Char"/>
    <w:basedOn w:val="DefaultParagraphFont"/>
    <w:link w:val="Quote"/>
    <w:uiPriority w:val="29"/>
    <w:rsid w:val="00FC0123"/>
    <w:rPr>
      <w:i/>
      <w:iCs/>
      <w:color w:val="404040" w:themeColor="text1" w:themeTint="BF"/>
    </w:rPr>
  </w:style>
  <w:style w:type="paragraph" w:styleId="ListParagraph">
    <w:name w:val="List Paragraph"/>
    <w:basedOn w:val="Normal"/>
    <w:uiPriority w:val="34"/>
    <w:qFormat/>
    <w:rsid w:val="00FC0123"/>
    <w:pPr>
      <w:ind w:left="720"/>
      <w:contextualSpacing/>
    </w:pPr>
  </w:style>
  <w:style w:type="character" w:styleId="IntenseEmphasis">
    <w:name w:val="Intense Emphasis"/>
    <w:basedOn w:val="DefaultParagraphFont"/>
    <w:uiPriority w:val="21"/>
    <w:qFormat/>
    <w:rsid w:val="00FC0123"/>
    <w:rPr>
      <w:i/>
      <w:iCs/>
      <w:color w:val="0F4761" w:themeColor="accent1" w:themeShade="BF"/>
    </w:rPr>
  </w:style>
  <w:style w:type="paragraph" w:styleId="IntenseQuote">
    <w:name w:val="Intense Quote"/>
    <w:basedOn w:val="Normal"/>
    <w:next w:val="Normal"/>
    <w:link w:val="IntenseQuoteChar"/>
    <w:uiPriority w:val="30"/>
    <w:qFormat/>
    <w:rsid w:val="00FC01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0123"/>
    <w:rPr>
      <w:i/>
      <w:iCs/>
      <w:color w:val="0F4761" w:themeColor="accent1" w:themeShade="BF"/>
    </w:rPr>
  </w:style>
  <w:style w:type="character" w:styleId="IntenseReference">
    <w:name w:val="Intense Reference"/>
    <w:basedOn w:val="DefaultParagraphFont"/>
    <w:uiPriority w:val="32"/>
    <w:qFormat/>
    <w:rsid w:val="00FC0123"/>
    <w:rPr>
      <w:b/>
      <w:bCs/>
      <w:smallCaps/>
      <w:color w:val="0F4761" w:themeColor="accent1" w:themeShade="BF"/>
      <w:spacing w:val="5"/>
    </w:rPr>
  </w:style>
  <w:style w:type="character" w:styleId="CommentReference">
    <w:name w:val="annotation reference"/>
    <w:basedOn w:val="DefaultParagraphFont"/>
    <w:uiPriority w:val="99"/>
    <w:semiHidden/>
    <w:unhideWhenUsed/>
    <w:rsid w:val="00C22EC3"/>
    <w:rPr>
      <w:sz w:val="16"/>
      <w:szCs w:val="16"/>
    </w:rPr>
  </w:style>
  <w:style w:type="paragraph" w:styleId="CommentText">
    <w:name w:val="annotation text"/>
    <w:basedOn w:val="Normal"/>
    <w:link w:val="CommentTextChar"/>
    <w:uiPriority w:val="99"/>
    <w:unhideWhenUsed/>
    <w:rsid w:val="00C22EC3"/>
    <w:pPr>
      <w:spacing w:line="240" w:lineRule="auto"/>
    </w:pPr>
    <w:rPr>
      <w:sz w:val="20"/>
      <w:szCs w:val="20"/>
    </w:rPr>
  </w:style>
  <w:style w:type="character" w:customStyle="1" w:styleId="CommentTextChar">
    <w:name w:val="Comment Text Char"/>
    <w:basedOn w:val="DefaultParagraphFont"/>
    <w:link w:val="CommentText"/>
    <w:uiPriority w:val="99"/>
    <w:rsid w:val="00C22EC3"/>
    <w:rPr>
      <w:sz w:val="20"/>
      <w:szCs w:val="20"/>
    </w:rPr>
  </w:style>
  <w:style w:type="paragraph" w:styleId="CommentSubject">
    <w:name w:val="annotation subject"/>
    <w:basedOn w:val="CommentText"/>
    <w:next w:val="CommentText"/>
    <w:link w:val="CommentSubjectChar"/>
    <w:uiPriority w:val="99"/>
    <w:semiHidden/>
    <w:unhideWhenUsed/>
    <w:rsid w:val="00C22EC3"/>
    <w:rPr>
      <w:b/>
      <w:bCs/>
    </w:rPr>
  </w:style>
  <w:style w:type="character" w:customStyle="1" w:styleId="CommentSubjectChar">
    <w:name w:val="Comment Subject Char"/>
    <w:basedOn w:val="CommentTextChar"/>
    <w:link w:val="CommentSubject"/>
    <w:uiPriority w:val="99"/>
    <w:semiHidden/>
    <w:rsid w:val="00C22EC3"/>
    <w:rPr>
      <w:b/>
      <w:bCs/>
      <w:sz w:val="20"/>
      <w:szCs w:val="20"/>
    </w:rPr>
  </w:style>
  <w:style w:type="paragraph" w:styleId="Revision">
    <w:name w:val="Revision"/>
    <w:hidden/>
    <w:uiPriority w:val="99"/>
    <w:semiHidden/>
    <w:rsid w:val="008C75E1"/>
    <w:pPr>
      <w:spacing w:after="0" w:line="240" w:lineRule="auto"/>
    </w:pPr>
  </w:style>
  <w:style w:type="table" w:styleId="TableGrid">
    <w:name w:val="Table Grid"/>
    <w:basedOn w:val="TableNormal"/>
    <w:uiPriority w:val="39"/>
    <w:rsid w:val="000126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6877"/>
    <w:rPr>
      <w:color w:val="467886" w:themeColor="hyperlink"/>
      <w:u w:val="single"/>
    </w:rPr>
  </w:style>
  <w:style w:type="character" w:styleId="UnresolvedMention">
    <w:name w:val="Unresolved Mention"/>
    <w:basedOn w:val="DefaultParagraphFont"/>
    <w:uiPriority w:val="99"/>
    <w:semiHidden/>
    <w:unhideWhenUsed/>
    <w:rsid w:val="008C6877"/>
    <w:rPr>
      <w:color w:val="605E5C"/>
      <w:shd w:val="clear" w:color="auto" w:fill="E1DFDD"/>
    </w:rPr>
  </w:style>
  <w:style w:type="paragraph" w:styleId="Header">
    <w:name w:val="header"/>
    <w:basedOn w:val="Normal"/>
    <w:link w:val="HeaderChar"/>
    <w:uiPriority w:val="99"/>
    <w:unhideWhenUsed/>
    <w:rsid w:val="003C4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3FE"/>
  </w:style>
  <w:style w:type="paragraph" w:styleId="Footer">
    <w:name w:val="footer"/>
    <w:basedOn w:val="Normal"/>
    <w:link w:val="FooterChar"/>
    <w:uiPriority w:val="99"/>
    <w:unhideWhenUsed/>
    <w:rsid w:val="003C43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3FE"/>
  </w:style>
  <w:style w:type="paragraph" w:styleId="TOCHeading">
    <w:name w:val="TOC Heading"/>
    <w:basedOn w:val="Heading1"/>
    <w:next w:val="Normal"/>
    <w:uiPriority w:val="39"/>
    <w:unhideWhenUsed/>
    <w:qFormat/>
    <w:rsid w:val="00F477C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60292"/>
    <w:pPr>
      <w:tabs>
        <w:tab w:val="right" w:leader="dot" w:pos="9016"/>
      </w:tabs>
      <w:spacing w:after="100"/>
    </w:pPr>
    <w:rPr>
      <w:b/>
      <w:bCs/>
      <w:noProof/>
    </w:rPr>
  </w:style>
  <w:style w:type="paragraph" w:styleId="TOC2">
    <w:name w:val="toc 2"/>
    <w:basedOn w:val="Normal"/>
    <w:next w:val="Normal"/>
    <w:autoRedefine/>
    <w:uiPriority w:val="39"/>
    <w:unhideWhenUsed/>
    <w:rsid w:val="00660292"/>
    <w:pPr>
      <w:tabs>
        <w:tab w:val="right" w:leader="dot" w:pos="9016"/>
      </w:tabs>
      <w:spacing w:after="100"/>
      <w:ind w:left="220"/>
    </w:pPr>
    <w:rPr>
      <w:rFonts w:ascii="Arial" w:hAnsi="Arial"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www.gov.uk" TargetMode="Externa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cip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4CC48A-112D-444D-AFBE-C24A875BB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4448</TotalTime>
  <Pages>41</Pages>
  <Words>17090</Words>
  <Characters>97414</Characters>
  <Application>Microsoft Office Word</Application>
  <DocSecurity>0</DocSecurity>
  <Lines>811</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Parasca</dc:creator>
  <cp:keywords/>
  <dc:description/>
  <cp:lastModifiedBy>Petru Parasca</cp:lastModifiedBy>
  <cp:revision>56</cp:revision>
  <dcterms:created xsi:type="dcterms:W3CDTF">2026-03-19T15:22:00Z</dcterms:created>
  <dcterms:modified xsi:type="dcterms:W3CDTF">2026-05-02T17:12:00Z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bc625813-0eb5-4586-b020-fcf95f3ac9c1</vt:lpwstr>
  </property>
</Properties>
</file>