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AAF07" w14:textId="6E131A43" w:rsidR="000108BE" w:rsidRPr="000108BE" w:rsidRDefault="000108BE" w:rsidP="000108BE">
      <w:pPr>
        <w:spacing w:after="0" w:line="240" w:lineRule="auto"/>
        <w:rPr>
          <w:rFonts w:ascii="Times New Roman" w:eastAsia="Times New Roman" w:hAnsi="Times New Roman" w:cs="Times New Roman"/>
          <w:sz w:val="24"/>
          <w:szCs w:val="24"/>
        </w:rPr>
      </w:pPr>
      <w:r>
        <w:rPr>
          <w:rFonts w:ascii="Calibri" w:eastAsia="Times New Roman" w:hAnsi="Calibri" w:cs="Calibri"/>
          <w:color w:val="0E101A"/>
          <w:sz w:val="16"/>
          <w:szCs w:val="16"/>
        </w:rPr>
        <w:t xml:space="preserve">                                                                                                                                                                               </w:t>
      </w:r>
      <w:r w:rsidRPr="000108BE">
        <w:rPr>
          <w:rFonts w:ascii="Calibri" w:eastAsia="Times New Roman" w:hAnsi="Calibri" w:cs="Calibri"/>
          <w:color w:val="0E101A"/>
          <w:sz w:val="16"/>
          <w:szCs w:val="16"/>
        </w:rPr>
        <w:t>SUBMITTED BY AMBER EASTHER</w:t>
      </w:r>
    </w:p>
    <w:p w14:paraId="5159806D" w14:textId="77777777" w:rsidR="000108BE" w:rsidRPr="000108BE" w:rsidRDefault="000108BE" w:rsidP="000108BE">
      <w:pPr>
        <w:spacing w:after="0" w:line="240" w:lineRule="auto"/>
        <w:rPr>
          <w:rFonts w:ascii="Times New Roman" w:eastAsia="Times New Roman" w:hAnsi="Times New Roman" w:cs="Times New Roman"/>
          <w:sz w:val="24"/>
          <w:szCs w:val="24"/>
        </w:rPr>
      </w:pPr>
    </w:p>
    <w:p w14:paraId="71A0AA1D" w14:textId="4BEBF365"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4"/>
          <w:szCs w:val="24"/>
        </w:rPr>
        <w:t>DIABETES TYPE II</w:t>
      </w:r>
    </w:p>
    <w:p w14:paraId="3BAB168B" w14:textId="77777777" w:rsidR="000108BE" w:rsidRPr="000108BE" w:rsidRDefault="000108BE" w:rsidP="000108BE">
      <w:pPr>
        <w:spacing w:after="0" w:line="240" w:lineRule="auto"/>
        <w:rPr>
          <w:rFonts w:ascii="Times New Roman" w:eastAsia="Times New Roman" w:hAnsi="Times New Roman" w:cs="Times New Roman"/>
          <w:sz w:val="24"/>
          <w:szCs w:val="24"/>
        </w:rPr>
      </w:pPr>
    </w:p>
    <w:p w14:paraId="2D8C9DA7"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A long-term condition (LTC) is not curable, yet it can be managed or controlled effectively with medicine and additional supporting treatments. Type 2 diabetes Mellitus (T2DM) occurs due to the inability of glucose production adequately because of persistently elevated blood sugar levels. This occurs when Insulin, a hormone produced by beta cells in the pancreas, are responsible for maintaining sugar levels within the body. However, in T2DM, beta cells cannot sufficiently Insulin according to body requirements- known as insulin resistance.</w:t>
      </w:r>
    </w:p>
    <w:p w14:paraId="0688CA44"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According to 2021 statistics, in England and Wales, more than 15 million people are living with long-term conditions, and 90% are T2DM; moreover, individuals with a family history are prone to develop T2DM later in life. This poster aims to emphasise the biopsychosocial aspect, discuss how it impacts T2DM on an individual, and identify the impact of comorbidities of T2DM. Furthermore, apply health promotion and T2DM prevention by employing evidence-based theories and models that enhance individuals' health () </w:t>
      </w:r>
    </w:p>
    <w:p w14:paraId="48C447D4"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 </w:t>
      </w:r>
    </w:p>
    <w:p w14:paraId="2D04618A" w14:textId="77777777" w:rsidR="000108BE" w:rsidRPr="000108BE" w:rsidRDefault="000108BE" w:rsidP="000108BE">
      <w:pPr>
        <w:spacing w:after="240" w:line="240" w:lineRule="auto"/>
        <w:rPr>
          <w:rFonts w:ascii="Times New Roman" w:eastAsia="Times New Roman" w:hAnsi="Times New Roman" w:cs="Times New Roman"/>
          <w:sz w:val="24"/>
          <w:szCs w:val="24"/>
        </w:rPr>
      </w:pPr>
    </w:p>
    <w:p w14:paraId="1C1EB697"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b/>
          <w:bCs/>
          <w:color w:val="0E101A"/>
          <w:sz w:val="20"/>
          <w:szCs w:val="20"/>
        </w:rPr>
        <w:t>Biological </w:t>
      </w:r>
    </w:p>
    <w:p w14:paraId="614F6EF5"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T2DM is inherited, and genetics play a crucial role in development, environment, and lifestyle. </w:t>
      </w:r>
    </w:p>
    <w:p w14:paraId="3F609E5F" w14:textId="77777777" w:rsidR="000108BE" w:rsidRPr="000108BE" w:rsidRDefault="000108BE" w:rsidP="000108BE">
      <w:pPr>
        <w:spacing w:after="0" w:line="240" w:lineRule="auto"/>
        <w:rPr>
          <w:rFonts w:ascii="Times New Roman" w:eastAsia="Times New Roman" w:hAnsi="Times New Roman" w:cs="Times New Roman"/>
          <w:sz w:val="24"/>
          <w:szCs w:val="24"/>
        </w:rPr>
      </w:pPr>
    </w:p>
    <w:p w14:paraId="78A87587"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Prolonged blood glucose can damage the body tissue and organs due to raised BS. Early modification can reverse, yet long BS level leads to irreparable damage. The circulatory system is due to the build-up of higher glucose levels within the vessels which thicken the blood. Insufficient circulation leads to delayed wound healing or poor recovery from infection. Furthermore, loss of sensation leads to nerve damage which is dangerous with the potential of foot gangrene; this could result in foot amputation. </w:t>
      </w:r>
    </w:p>
    <w:p w14:paraId="71B1C622" w14:textId="77777777" w:rsidR="000108BE" w:rsidRPr="000108BE" w:rsidRDefault="000108BE" w:rsidP="000108BE">
      <w:pPr>
        <w:spacing w:after="0" w:line="240" w:lineRule="auto"/>
        <w:rPr>
          <w:rFonts w:ascii="Times New Roman" w:eastAsia="Times New Roman" w:hAnsi="Times New Roman" w:cs="Times New Roman"/>
          <w:sz w:val="24"/>
          <w:szCs w:val="24"/>
        </w:rPr>
      </w:pPr>
    </w:p>
    <w:p w14:paraId="4C0AFD90"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Numerous comorbidities are associated with T2DM, such as stroke and heart disease due to blockage of arteries and fat deposition to build up into the arteries that carry blood to the heart and brain.</w:t>
      </w:r>
    </w:p>
    <w:p w14:paraId="5CAE56DA"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Women are at greater risk of T2DM with Ovary Syndrome (PCO) as it is associated with insulin resistance and higher insulin circulation. Approximately 10-20% of women develop T2DM at some time in life. Moreover, further comorbidities generally associated with T2DM are stroke and heart disease due to blockage of arteries and fat deposition to build up into the arteries that carry blood to the heart and brain.</w:t>
      </w:r>
    </w:p>
    <w:p w14:paraId="2746C55C" w14:textId="77777777" w:rsidR="000108BE" w:rsidRPr="000108BE" w:rsidRDefault="000108BE" w:rsidP="000108BE">
      <w:pPr>
        <w:spacing w:after="240" w:line="240" w:lineRule="auto"/>
        <w:rPr>
          <w:rFonts w:ascii="Times New Roman" w:eastAsia="Times New Roman" w:hAnsi="Times New Roman" w:cs="Times New Roman"/>
          <w:sz w:val="24"/>
          <w:szCs w:val="24"/>
        </w:rPr>
      </w:pPr>
      <w:r w:rsidRPr="000108BE">
        <w:rPr>
          <w:rFonts w:ascii="Times New Roman" w:eastAsia="Times New Roman" w:hAnsi="Times New Roman" w:cs="Times New Roman"/>
          <w:sz w:val="24"/>
          <w:szCs w:val="24"/>
        </w:rPr>
        <w:br/>
      </w:r>
      <w:r w:rsidRPr="000108BE">
        <w:rPr>
          <w:rFonts w:ascii="Times New Roman" w:eastAsia="Times New Roman" w:hAnsi="Times New Roman" w:cs="Times New Roman"/>
          <w:sz w:val="24"/>
          <w:szCs w:val="24"/>
        </w:rPr>
        <w:br/>
      </w:r>
      <w:r w:rsidRPr="000108BE">
        <w:rPr>
          <w:rFonts w:ascii="Times New Roman" w:eastAsia="Times New Roman" w:hAnsi="Times New Roman" w:cs="Times New Roman"/>
          <w:sz w:val="24"/>
          <w:szCs w:val="24"/>
        </w:rPr>
        <w:br/>
      </w:r>
      <w:r w:rsidRPr="000108BE">
        <w:rPr>
          <w:rFonts w:ascii="Times New Roman" w:eastAsia="Times New Roman" w:hAnsi="Times New Roman" w:cs="Times New Roman"/>
          <w:sz w:val="24"/>
          <w:szCs w:val="24"/>
        </w:rPr>
        <w:br/>
      </w:r>
      <w:r w:rsidRPr="000108BE">
        <w:rPr>
          <w:rFonts w:ascii="Times New Roman" w:eastAsia="Times New Roman" w:hAnsi="Times New Roman" w:cs="Times New Roman"/>
          <w:sz w:val="24"/>
          <w:szCs w:val="24"/>
        </w:rPr>
        <w:br/>
      </w:r>
      <w:r w:rsidRPr="000108BE">
        <w:rPr>
          <w:rFonts w:ascii="Times New Roman" w:eastAsia="Times New Roman" w:hAnsi="Times New Roman" w:cs="Times New Roman"/>
          <w:sz w:val="24"/>
          <w:szCs w:val="24"/>
        </w:rPr>
        <w:br/>
      </w:r>
    </w:p>
    <w:p w14:paraId="610E1DEE"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b/>
          <w:bCs/>
          <w:color w:val="0E101A"/>
          <w:sz w:val="20"/>
          <w:szCs w:val="20"/>
        </w:rPr>
        <w:t>Psychological </w:t>
      </w:r>
    </w:p>
    <w:p w14:paraId="759F268C"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DT2M does not merely affect physically; besides, it significantly impacts individuals' cognitive wellbeing and quality of life. A current study discovered that 3 in 5 people suffer from psychological and emotional wellbeing, an intensification of depression and anxiety disorders () </w:t>
      </w:r>
    </w:p>
    <w:p w14:paraId="7596C90F"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Depression can exaggerate health outcomes and raise the burden on the healthcare system as there is evidence that increased depression leads to individuals developing heart disease (). Continuous psychological support enhances an individual's life and is required regularly, such as involvement with a social group and family support. Therefore, individuals with polypharmacy ought to consider the root cause, such as antidepressant medication side effect is weight gain which increases a person's risk of acquiring T2DM.</w:t>
      </w:r>
    </w:p>
    <w:p w14:paraId="34AC3C8F"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T2DM has a psychological impact on an individual; for instance, potential personality changes-living with a long-term illness can have negatively affected an individual and their family. These incorporate stress, depression, and loss of self-image, including behavioural issues, which may lead to relationship breakdown uncertainty not managed promptly (NSF, 20)</w:t>
      </w:r>
    </w:p>
    <w:p w14:paraId="4E9C1A62" w14:textId="77777777" w:rsidR="000108BE" w:rsidRPr="000108BE" w:rsidRDefault="000108BE" w:rsidP="000108BE">
      <w:pPr>
        <w:spacing w:after="240" w:line="240" w:lineRule="auto"/>
        <w:rPr>
          <w:rFonts w:ascii="Times New Roman" w:eastAsia="Times New Roman" w:hAnsi="Times New Roman" w:cs="Times New Roman"/>
          <w:sz w:val="24"/>
          <w:szCs w:val="24"/>
        </w:rPr>
      </w:pPr>
    </w:p>
    <w:p w14:paraId="55ACF2AC"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b/>
          <w:bCs/>
          <w:color w:val="0E101A"/>
          <w:sz w:val="20"/>
          <w:szCs w:val="20"/>
        </w:rPr>
        <w:lastRenderedPageBreak/>
        <w:t>Social</w:t>
      </w:r>
    </w:p>
    <w:p w14:paraId="66E69EDA"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The determinant of health includes environment, economic status, social, physical, and cultural aspects that have modified health and wellbeing-outlining, including the condition in which people are born, live, work and age (). This creates an inadequate discrepancy in health outcomes. This framework of people's lives determines their health, such as a lack of social support. According to (PHE), people with lower income are more predisposed to T2DM. Correspondingly, cultural barriers are a vital component of T2DM. The language barrier is the most impost factor contributing to insufficient knowledge regarding LTC and self-management due to ineffective communication.</w:t>
      </w:r>
    </w:p>
    <w:p w14:paraId="38690064" w14:textId="77777777" w:rsidR="000108BE" w:rsidRPr="000108BE" w:rsidRDefault="000108BE" w:rsidP="000108BE">
      <w:pPr>
        <w:spacing w:after="0" w:line="240" w:lineRule="auto"/>
        <w:rPr>
          <w:rFonts w:ascii="Times New Roman" w:eastAsia="Times New Roman" w:hAnsi="Times New Roman" w:cs="Times New Roman"/>
          <w:sz w:val="24"/>
          <w:szCs w:val="24"/>
        </w:rPr>
      </w:pPr>
    </w:p>
    <w:p w14:paraId="2F40C516"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Living with LTC can affect individuals' family life, job, finances and family. In addition, diabetes type 2 is a chronic condition that constantly requires blood sugar levels alongside physical and diet monitoring (). South Asian and African Caribbean descent are six-time higher in the development of T2DM (the kings fund,2010 p47). South Asian people are more likely to experience insulin resistance at an earlier age. This interrelates to body fat which accumulates around the waist. Therefore, building fat around vital organs like the liver and pancreas can influence individual health and increase the risk of T2DM. Effective management approaches combined with an awareness of T2DM can reduce disease complexity.</w:t>
      </w:r>
    </w:p>
    <w:p w14:paraId="62D59EC7" w14:textId="77777777" w:rsidR="000108BE" w:rsidRPr="000108BE" w:rsidRDefault="000108BE" w:rsidP="000108BE">
      <w:pPr>
        <w:spacing w:after="240" w:line="240" w:lineRule="auto"/>
        <w:rPr>
          <w:rFonts w:ascii="Times New Roman" w:eastAsia="Times New Roman" w:hAnsi="Times New Roman" w:cs="Times New Roman"/>
          <w:sz w:val="24"/>
          <w:szCs w:val="24"/>
        </w:rPr>
      </w:pPr>
      <w:r w:rsidRPr="000108BE">
        <w:rPr>
          <w:rFonts w:ascii="Times New Roman" w:eastAsia="Times New Roman" w:hAnsi="Times New Roman" w:cs="Times New Roman"/>
          <w:sz w:val="24"/>
          <w:szCs w:val="24"/>
        </w:rPr>
        <w:br/>
      </w:r>
      <w:r w:rsidRPr="000108BE">
        <w:rPr>
          <w:rFonts w:ascii="Times New Roman" w:eastAsia="Times New Roman" w:hAnsi="Times New Roman" w:cs="Times New Roman"/>
          <w:sz w:val="24"/>
          <w:szCs w:val="24"/>
        </w:rPr>
        <w:br/>
      </w:r>
    </w:p>
    <w:p w14:paraId="38392491"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b/>
          <w:bCs/>
          <w:color w:val="0E101A"/>
          <w:sz w:val="20"/>
          <w:szCs w:val="20"/>
        </w:rPr>
        <w:t>Health prevention and promotion:</w:t>
      </w:r>
    </w:p>
    <w:p w14:paraId="033C9437" w14:textId="77777777" w:rsidR="000108BE" w:rsidRPr="000108BE" w:rsidRDefault="000108BE" w:rsidP="000108BE">
      <w:pPr>
        <w:spacing w:after="0" w:line="240" w:lineRule="auto"/>
        <w:rPr>
          <w:rFonts w:ascii="Times New Roman" w:eastAsia="Times New Roman" w:hAnsi="Times New Roman" w:cs="Times New Roman"/>
          <w:sz w:val="24"/>
          <w:szCs w:val="24"/>
        </w:rPr>
      </w:pPr>
    </w:p>
    <w:p w14:paraId="460EA4AC"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The Healthier you: NHS Diabetes prevention programme (NHS DPP) is a combined pledge from PHE. This is evidence-based, and its objectives are to focus on high-risk individuals or populations and refer them to NHS DPP. This NHS DPP was established in 2016, emphasising organised frameworks that empower individuals to make informed decisions about their health using behavioural change theory. Provide tailored support over nine months to enhance by advising about lifestyle changes such as physical activity, improving their diet by making low carbohydrate and low-fat diet and achieving a healthy weight. These simple modifications can prevent complications such as amputation and slower disease progression.</w:t>
      </w:r>
    </w:p>
    <w:p w14:paraId="3AD03826"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Moreover, people from ethnic minority groups and people living in deprived areas within the most socioeconomically deprived quintiles suggested that the programme effectively reaches those with greater risk of T2DM-people generally face more significant barriers to accessing health and care services (Bakhai.C2021). New data suggests that the healthy living programme resulted in a 7% reduction in the number of new diagnoses of T2DM in England between 2018 and 2019 Manchester 1824(2022).</w:t>
      </w:r>
    </w:p>
    <w:p w14:paraId="6106D63B" w14:textId="77777777" w:rsidR="000108BE" w:rsidRPr="000108BE" w:rsidRDefault="000108BE" w:rsidP="000108BE">
      <w:pPr>
        <w:spacing w:after="240" w:line="240" w:lineRule="auto"/>
        <w:rPr>
          <w:rFonts w:ascii="Times New Roman" w:eastAsia="Times New Roman" w:hAnsi="Times New Roman" w:cs="Times New Roman"/>
          <w:sz w:val="24"/>
          <w:szCs w:val="24"/>
        </w:rPr>
      </w:pPr>
      <w:r w:rsidRPr="000108BE">
        <w:rPr>
          <w:rFonts w:ascii="Times New Roman" w:eastAsia="Times New Roman" w:hAnsi="Times New Roman" w:cs="Times New Roman"/>
          <w:sz w:val="24"/>
          <w:szCs w:val="24"/>
        </w:rPr>
        <w:br/>
      </w:r>
    </w:p>
    <w:p w14:paraId="5E5579C3"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E101A"/>
          <w:sz w:val="20"/>
          <w:szCs w:val="20"/>
        </w:rPr>
        <w:t>On the other hand, DESMOND is another approach which provides a structured educational programme for individuals diagnosed withT2DM in multi-languages such as Gujarati, Punjabi and Urdu. It aims to encourage individuals and enable them to effectively self-manage T2DM this is The South Asian Specialist Intervention (SASI) aims to improve health consequences for the South Asian population with Diabetes and uses tailored lifestyle interventions to decrease health inequalities (Editor, 2019)</w:t>
      </w:r>
    </w:p>
    <w:p w14:paraId="102D1000" w14:textId="77777777" w:rsidR="000108BE" w:rsidRPr="000108BE" w:rsidRDefault="000108BE" w:rsidP="000108BE">
      <w:pPr>
        <w:spacing w:after="240" w:line="240" w:lineRule="auto"/>
        <w:rPr>
          <w:rFonts w:ascii="Times New Roman" w:eastAsia="Times New Roman" w:hAnsi="Times New Roman" w:cs="Times New Roman"/>
          <w:sz w:val="24"/>
          <w:szCs w:val="24"/>
        </w:rPr>
      </w:pPr>
      <w:r w:rsidRPr="000108BE">
        <w:rPr>
          <w:rFonts w:ascii="Times New Roman" w:eastAsia="Times New Roman" w:hAnsi="Times New Roman" w:cs="Times New Roman"/>
          <w:sz w:val="24"/>
          <w:szCs w:val="24"/>
        </w:rPr>
        <w:br/>
      </w:r>
      <w:r w:rsidRPr="000108BE">
        <w:rPr>
          <w:rFonts w:ascii="Times New Roman" w:eastAsia="Times New Roman" w:hAnsi="Times New Roman" w:cs="Times New Roman"/>
          <w:sz w:val="24"/>
          <w:szCs w:val="24"/>
        </w:rPr>
        <w:br/>
      </w:r>
    </w:p>
    <w:p w14:paraId="2BCB8187"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noProof/>
          <w:color w:val="000000"/>
          <w:sz w:val="20"/>
          <w:szCs w:val="20"/>
          <w:bdr w:val="none" w:sz="0" w:space="0" w:color="auto" w:frame="1"/>
        </w:rPr>
        <w:lastRenderedPageBreak/>
        <w:drawing>
          <wp:inline distT="0" distB="0" distL="0" distR="0" wp14:anchorId="6E125DF0" wp14:editId="51AAAF3B">
            <wp:extent cx="5010150" cy="2695575"/>
            <wp:effectExtent l="0" t="0" r="0" b="0"/>
            <wp:docPr id="5" name="Picture 5" descr="page2image29777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2image2977721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0150" cy="2695575"/>
                    </a:xfrm>
                    <a:prstGeom prst="rect">
                      <a:avLst/>
                    </a:prstGeom>
                    <a:noFill/>
                    <a:ln>
                      <a:noFill/>
                    </a:ln>
                  </pic:spPr>
                </pic:pic>
              </a:graphicData>
            </a:graphic>
          </wp:inline>
        </w:drawing>
      </w:r>
    </w:p>
    <w:p w14:paraId="3934F45B" w14:textId="77777777" w:rsidR="000108BE" w:rsidRPr="000108BE" w:rsidRDefault="000108BE" w:rsidP="000108BE">
      <w:pPr>
        <w:spacing w:after="240" w:line="240" w:lineRule="auto"/>
        <w:rPr>
          <w:rFonts w:ascii="Times New Roman" w:eastAsia="Times New Roman" w:hAnsi="Times New Roman" w:cs="Times New Roman"/>
          <w:sz w:val="24"/>
          <w:szCs w:val="24"/>
        </w:rPr>
      </w:pPr>
    </w:p>
    <w:p w14:paraId="3F8F1882"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00000"/>
          <w:sz w:val="20"/>
          <w:szCs w:val="20"/>
        </w:rPr>
        <w:t>The South Asian Specialist Intervention (SASI): To enhance health consequences for South Asian people with Diabetes and use tailored lifestyle interventions to reduce health inequalities. They use behavioural in conjunction with lifestyle changes, empowering the individual to be autonomous and self-manage their condition at home. A pilot study shows that significantly, people have improved their HbA1c level, Blood pressure is more settled now, and 59% of patients have improved their cholesterol level- these will reduce cardiovascular risk.</w:t>
      </w:r>
    </w:p>
    <w:p w14:paraId="6FABF7B5" w14:textId="77777777" w:rsidR="000108BE" w:rsidRPr="000108BE" w:rsidRDefault="000108BE" w:rsidP="000108BE">
      <w:pPr>
        <w:spacing w:after="0" w:line="240" w:lineRule="auto"/>
        <w:rPr>
          <w:rFonts w:ascii="Times New Roman" w:eastAsia="Times New Roman" w:hAnsi="Times New Roman" w:cs="Times New Roman"/>
          <w:sz w:val="24"/>
          <w:szCs w:val="24"/>
        </w:rPr>
      </w:pPr>
    </w:p>
    <w:p w14:paraId="334ADBB5"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00000"/>
          <w:sz w:val="20"/>
          <w:szCs w:val="20"/>
        </w:rPr>
        <w:t>Person-centred care is a framework that focuses on the person as a whole and for the healthcare professional to build a trusting rapport with the individual. With support and treatment, this, in time, will allow for autonomy. Additionally, type 2 diabetes is a self-manageable long-term condition, which is detrimental for the person to be aware of medicines management, living a healthy lifestyle and understanding the complications. Health promotion focuses on supporting individuals and increasing their understanding regarding T2DM and how to manage their symptoms to minimise risk or complications. Nurse-patient relationships will improve the quality of care based on patient-centred care communication. Annual flu vaccination and pneumococcal vaccination are recommended. Lowering carbohydrates, fat, and salt, stopping smoking, and moderate physical activity for 30 minutes five a day can reduce the burden on the NHS.</w:t>
      </w:r>
    </w:p>
    <w:p w14:paraId="59DB7975"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Calibri" w:eastAsia="Times New Roman" w:hAnsi="Calibri" w:cs="Calibri"/>
          <w:color w:val="000000"/>
          <w:sz w:val="20"/>
          <w:szCs w:val="20"/>
        </w:rPr>
        <w:t>Moreover, it is crucial to know and understand individuals and their lives. Provide information and education about the T2DM remission programme as it is evidence-based. If an individual loses 15 kg within 3 -5 months, this could significantly increase the chance of remission.</w:t>
      </w:r>
    </w:p>
    <w:p w14:paraId="53CF5B03"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Times New Roman" w:eastAsia="Times New Roman" w:hAnsi="Times New Roman" w:cs="Times New Roman"/>
          <w:b/>
          <w:bCs/>
          <w:color w:val="0E101A"/>
          <w:sz w:val="24"/>
          <w:szCs w:val="24"/>
        </w:rPr>
        <w:t>                                                        </w:t>
      </w:r>
    </w:p>
    <w:p w14:paraId="54E3764D" w14:textId="77777777" w:rsidR="000108BE" w:rsidRPr="000108BE" w:rsidRDefault="000108BE" w:rsidP="000108BE">
      <w:pPr>
        <w:spacing w:after="240" w:line="240" w:lineRule="auto"/>
        <w:rPr>
          <w:rFonts w:ascii="Times New Roman" w:eastAsia="Times New Roman" w:hAnsi="Times New Roman" w:cs="Times New Roman"/>
          <w:sz w:val="24"/>
          <w:szCs w:val="24"/>
        </w:rPr>
      </w:pPr>
      <w:r w:rsidRPr="000108BE">
        <w:rPr>
          <w:rFonts w:ascii="Times New Roman" w:eastAsia="Times New Roman" w:hAnsi="Times New Roman" w:cs="Times New Roman"/>
          <w:sz w:val="24"/>
          <w:szCs w:val="24"/>
        </w:rPr>
        <w:br/>
      </w:r>
    </w:p>
    <w:p w14:paraId="353E5D9C"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Times New Roman" w:eastAsia="Times New Roman" w:hAnsi="Times New Roman" w:cs="Times New Roman"/>
          <w:b/>
          <w:bCs/>
          <w:color w:val="0E101A"/>
          <w:sz w:val="24"/>
          <w:szCs w:val="24"/>
        </w:rPr>
        <w:t>References</w:t>
      </w:r>
    </w:p>
    <w:p w14:paraId="349A0A41" w14:textId="77777777" w:rsidR="000108BE" w:rsidRPr="000108BE" w:rsidRDefault="000108BE" w:rsidP="000108BE">
      <w:pPr>
        <w:spacing w:after="0" w:line="240" w:lineRule="auto"/>
        <w:rPr>
          <w:rFonts w:ascii="Times New Roman" w:eastAsia="Times New Roman" w:hAnsi="Times New Roman" w:cs="Times New Roman"/>
          <w:sz w:val="24"/>
          <w:szCs w:val="24"/>
        </w:rPr>
      </w:pPr>
    </w:p>
    <w:p w14:paraId="14883EA0" w14:textId="77777777" w:rsidR="000108BE" w:rsidRPr="000108BE" w:rsidRDefault="000108BE" w:rsidP="000108BE">
      <w:pPr>
        <w:spacing w:after="0" w:line="240" w:lineRule="auto"/>
        <w:rPr>
          <w:rFonts w:ascii="Times New Roman" w:eastAsia="Times New Roman" w:hAnsi="Times New Roman" w:cs="Times New Roman"/>
          <w:sz w:val="24"/>
          <w:szCs w:val="24"/>
        </w:rPr>
      </w:pPr>
      <w:proofErr w:type="spellStart"/>
      <w:r w:rsidRPr="000108BE">
        <w:rPr>
          <w:rFonts w:ascii="Times New Roman" w:eastAsia="Times New Roman" w:hAnsi="Times New Roman" w:cs="Times New Roman"/>
          <w:color w:val="0E101A"/>
          <w:sz w:val="24"/>
          <w:szCs w:val="24"/>
        </w:rPr>
        <w:t>Bakhai</w:t>
      </w:r>
      <w:proofErr w:type="spellEnd"/>
      <w:r w:rsidRPr="000108BE">
        <w:rPr>
          <w:rFonts w:ascii="Times New Roman" w:eastAsia="Times New Roman" w:hAnsi="Times New Roman" w:cs="Times New Roman"/>
          <w:color w:val="0E101A"/>
          <w:sz w:val="24"/>
          <w:szCs w:val="24"/>
        </w:rPr>
        <w:t>. C (2021) 'The NHS Diabetes Prevention Programme: Here to support our population at high risk of type 2 diabetes, Diabetes</w:t>
      </w:r>
      <w:r w:rsidRPr="000108BE">
        <w:rPr>
          <w:rFonts w:ascii="Times New Roman" w:eastAsia="Times New Roman" w:hAnsi="Times New Roman" w:cs="Times New Roman"/>
          <w:i/>
          <w:iCs/>
          <w:color w:val="0E101A"/>
          <w:sz w:val="24"/>
          <w:szCs w:val="24"/>
        </w:rPr>
        <w:t xml:space="preserve"> on the net.</w:t>
      </w:r>
      <w:r w:rsidRPr="000108BE">
        <w:rPr>
          <w:rFonts w:ascii="Times New Roman" w:eastAsia="Times New Roman" w:hAnsi="Times New Roman" w:cs="Times New Roman"/>
          <w:color w:val="0E101A"/>
          <w:sz w:val="24"/>
          <w:szCs w:val="24"/>
        </w:rPr>
        <w:t xml:space="preserve"> Vol:23, No:03. Page:65. Available at:</w:t>
      </w:r>
      <w:r w:rsidRPr="000108BE">
        <w:rPr>
          <w:rFonts w:ascii="Times New Roman" w:eastAsia="Times New Roman" w:hAnsi="Times New Roman" w:cs="Times New Roman"/>
          <w:color w:val="000000"/>
          <w:sz w:val="24"/>
          <w:szCs w:val="24"/>
        </w:rPr>
        <w:t xml:space="preserve"> </w:t>
      </w:r>
      <w:proofErr w:type="gramStart"/>
      <w:r w:rsidRPr="000108BE">
        <w:rPr>
          <w:rFonts w:ascii="Times New Roman" w:eastAsia="Times New Roman" w:hAnsi="Times New Roman" w:cs="Times New Roman"/>
          <w:color w:val="0E101A"/>
          <w:sz w:val="24"/>
          <w:szCs w:val="24"/>
        </w:rPr>
        <w:t>https://diabetesonthenet.com/diabetes-primary-care/nhs-diabetes-prevention-programme-here-support-our-population-high-risk-type-2-diabetes/  (</w:t>
      </w:r>
      <w:proofErr w:type="gramEnd"/>
      <w:r w:rsidRPr="000108BE">
        <w:rPr>
          <w:rFonts w:ascii="Times New Roman" w:eastAsia="Times New Roman" w:hAnsi="Times New Roman" w:cs="Times New Roman"/>
          <w:color w:val="0E101A"/>
          <w:sz w:val="24"/>
          <w:szCs w:val="24"/>
        </w:rPr>
        <w:t>Accessed 10 June 2022)</w:t>
      </w:r>
    </w:p>
    <w:p w14:paraId="49D73FE4" w14:textId="77777777" w:rsidR="000108BE" w:rsidRPr="000108BE" w:rsidRDefault="000108BE" w:rsidP="000108BE">
      <w:pPr>
        <w:spacing w:after="240" w:line="240" w:lineRule="auto"/>
        <w:rPr>
          <w:rFonts w:ascii="Times New Roman" w:eastAsia="Times New Roman" w:hAnsi="Times New Roman" w:cs="Times New Roman"/>
          <w:sz w:val="24"/>
          <w:szCs w:val="24"/>
        </w:rPr>
      </w:pPr>
    </w:p>
    <w:p w14:paraId="61BAD768"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Times New Roman" w:eastAsia="Times New Roman" w:hAnsi="Times New Roman" w:cs="Times New Roman"/>
          <w:color w:val="0E101A"/>
          <w:sz w:val="24"/>
          <w:szCs w:val="24"/>
        </w:rPr>
        <w:t xml:space="preserve">(2019,) (updated 2022). DESMOND-Diabetic Education and Self-Management for Ongoing Newly Diagnosed. </w:t>
      </w:r>
      <w:r w:rsidRPr="000108BE">
        <w:rPr>
          <w:rFonts w:ascii="Times New Roman" w:eastAsia="Times New Roman" w:hAnsi="Times New Roman" w:cs="Times New Roman"/>
          <w:i/>
          <w:iCs/>
          <w:color w:val="0E101A"/>
          <w:sz w:val="24"/>
          <w:szCs w:val="24"/>
        </w:rPr>
        <w:t xml:space="preserve">Diabetes.co.uk, the global diabetes community. </w:t>
      </w:r>
      <w:r w:rsidRPr="000108BE">
        <w:rPr>
          <w:rFonts w:ascii="Times New Roman" w:eastAsia="Times New Roman" w:hAnsi="Times New Roman" w:cs="Times New Roman"/>
          <w:color w:val="0E101A"/>
          <w:sz w:val="24"/>
          <w:szCs w:val="24"/>
        </w:rPr>
        <w:t xml:space="preserve">Available at: </w:t>
      </w:r>
      <w:proofErr w:type="gramStart"/>
      <w:r w:rsidRPr="000108BE">
        <w:rPr>
          <w:rFonts w:ascii="Times New Roman" w:eastAsia="Times New Roman" w:hAnsi="Times New Roman" w:cs="Times New Roman"/>
          <w:color w:val="0E101A"/>
          <w:sz w:val="24"/>
          <w:szCs w:val="24"/>
        </w:rPr>
        <w:t>https://www.diabetes.co.uk/education/desmond.html  (</w:t>
      </w:r>
      <w:proofErr w:type="gramEnd"/>
      <w:r w:rsidRPr="000108BE">
        <w:rPr>
          <w:rFonts w:ascii="Times New Roman" w:eastAsia="Times New Roman" w:hAnsi="Times New Roman" w:cs="Times New Roman"/>
          <w:color w:val="0E101A"/>
          <w:sz w:val="24"/>
          <w:szCs w:val="24"/>
        </w:rPr>
        <w:t>Accessed: 12 June 2022)</w:t>
      </w:r>
    </w:p>
    <w:p w14:paraId="57E698DB" w14:textId="77777777" w:rsidR="000108BE" w:rsidRPr="000108BE" w:rsidRDefault="000108BE" w:rsidP="000108BE">
      <w:pPr>
        <w:spacing w:after="240" w:line="240" w:lineRule="auto"/>
        <w:rPr>
          <w:rFonts w:ascii="Times New Roman" w:eastAsia="Times New Roman" w:hAnsi="Times New Roman" w:cs="Times New Roman"/>
          <w:sz w:val="24"/>
          <w:szCs w:val="24"/>
        </w:rPr>
      </w:pPr>
      <w:r w:rsidRPr="000108BE">
        <w:rPr>
          <w:rFonts w:ascii="Times New Roman" w:eastAsia="Times New Roman" w:hAnsi="Times New Roman" w:cs="Times New Roman"/>
          <w:sz w:val="24"/>
          <w:szCs w:val="24"/>
        </w:rPr>
        <w:lastRenderedPageBreak/>
        <w:br/>
      </w:r>
      <w:r w:rsidRPr="000108BE">
        <w:rPr>
          <w:rFonts w:ascii="Times New Roman" w:eastAsia="Times New Roman" w:hAnsi="Times New Roman" w:cs="Times New Roman"/>
          <w:sz w:val="24"/>
          <w:szCs w:val="24"/>
        </w:rPr>
        <w:br/>
      </w:r>
    </w:p>
    <w:p w14:paraId="4482EEDD" w14:textId="77777777" w:rsidR="000108BE" w:rsidRPr="000108BE" w:rsidRDefault="000108BE" w:rsidP="000108BE">
      <w:pPr>
        <w:spacing w:after="0" w:line="240" w:lineRule="auto"/>
        <w:rPr>
          <w:rFonts w:ascii="Times New Roman" w:eastAsia="Times New Roman" w:hAnsi="Times New Roman" w:cs="Times New Roman"/>
          <w:sz w:val="24"/>
          <w:szCs w:val="24"/>
        </w:rPr>
      </w:pPr>
      <w:r w:rsidRPr="000108BE">
        <w:rPr>
          <w:rFonts w:ascii="Times New Roman" w:eastAsia="Times New Roman" w:hAnsi="Times New Roman" w:cs="Times New Roman"/>
          <w:color w:val="0E101A"/>
          <w:sz w:val="24"/>
          <w:szCs w:val="24"/>
        </w:rPr>
        <w:t> </w:t>
      </w:r>
    </w:p>
    <w:p w14:paraId="342F0D87" w14:textId="77777777" w:rsidR="000108BE" w:rsidRDefault="000108BE"/>
    <w:sectPr w:rsidR="000108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8BE"/>
    <w:rsid w:val="000108BE"/>
    <w:rsid w:val="00130CF9"/>
    <w:rsid w:val="008A1146"/>
    <w:rsid w:val="00F06E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160B3"/>
  <w15:chartTrackingRefBased/>
  <w15:docId w15:val="{23801F1E-E915-4B78-98B8-3B376E671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398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3" ma:contentTypeDescription="Create a new document." ma:contentTypeScope="" ma:versionID="1be7a6ab83f1270db90d76b310bc44c7">
  <xsd:schema xmlns:xsd="http://www.w3.org/2001/XMLSchema" xmlns:xs="http://www.w3.org/2001/XMLSchema" xmlns:p="http://schemas.microsoft.com/office/2006/metadata/properties" xmlns:ns3="da3f2772-8f1e-4acb-bd98-3a0ee892f48a" targetNamespace="http://schemas.microsoft.com/office/2006/metadata/properties" ma:root="true" ma:fieldsID="4447bba51366a563f731e57c681b16b6"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6DB1350D-0453-4B69-AD8D-930299EBF9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DF11B2-D0E3-405B-8B04-2BB73025A4A0}">
  <ds:schemaRefs>
    <ds:schemaRef ds:uri="http://schemas.microsoft.com/sharepoint/v3/contenttype/forms"/>
  </ds:schemaRefs>
</ds:datastoreItem>
</file>

<file path=customXml/itemProps3.xml><?xml version="1.0" encoding="utf-8"?>
<ds:datastoreItem xmlns:ds="http://schemas.openxmlformats.org/officeDocument/2006/customXml" ds:itemID="{9CF8EB34-FE71-4832-B865-F2C3D3C18122}">
  <ds:schemaRefs>
    <ds:schemaRef ds:uri="da3f2772-8f1e-4acb-bd98-3a0ee892f48a"/>
    <ds:schemaRef ds:uri="http://purl.org/dc/elements/1.1/"/>
    <ds:schemaRef ds:uri="http://schemas.microsoft.com/office/infopath/2007/PartnerControls"/>
    <ds:schemaRef ds:uri="http://schemas.openxmlformats.org/package/2006/metadata/core-properties"/>
    <ds:schemaRef ds:uri="http://www.w3.org/XML/1998/namespace"/>
    <ds:schemaRef ds:uri="http://schemas.microsoft.com/office/2006/metadata/properties"/>
    <ds:schemaRef ds:uri="http://schemas.microsoft.com/office/2006/documentManagement/typ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1382</Words>
  <Characters>7881</Characters>
  <Application>Microsoft Office Word</Application>
  <DocSecurity>0</DocSecurity>
  <Lines>65</Lines>
  <Paragraphs>18</Paragraphs>
  <ScaleCrop>false</ScaleCrop>
  <Company/>
  <LinksUpToDate>false</LinksUpToDate>
  <CharactersWithSpaces>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Easther (2221183)</dc:creator>
  <cp:keywords/>
  <dc:description/>
  <cp:lastModifiedBy>Amber Easther (2221183)</cp:lastModifiedBy>
  <cp:revision>2</cp:revision>
  <dcterms:created xsi:type="dcterms:W3CDTF">2022-11-22T15:05:00Z</dcterms:created>
  <dcterms:modified xsi:type="dcterms:W3CDTF">2022-11-22T15:05:00Z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