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BE657" w14:textId="77777777" w:rsidR="00C844D9" w:rsidRPr="00934EF8" w:rsidRDefault="00C844D9" w:rsidP="00C844D9">
      <w:pPr>
        <w:spacing w:after="200" w:line="360" w:lineRule="auto"/>
        <w:rPr>
          <w:rFonts w:ascii="Arial" w:eastAsia="Times New Roman" w:hAnsi="Arial" w:cs="Arial"/>
          <w:kern w:val="0"/>
          <w:lang w:val="en-US"/>
          <w14:ligatures w14:val="none"/>
        </w:rPr>
      </w:pPr>
    </w:p>
    <w:p w14:paraId="2FC07471" w14:textId="77777777" w:rsidR="00C844D9" w:rsidRPr="00934EF8" w:rsidRDefault="00C844D9" w:rsidP="00C844D9">
      <w:pPr>
        <w:spacing w:after="200" w:line="360" w:lineRule="auto"/>
        <w:jc w:val="center"/>
        <w:rPr>
          <w:rFonts w:ascii="Arial" w:eastAsia="Times New Roman" w:hAnsi="Arial" w:cs="Arial"/>
          <w:kern w:val="0"/>
          <w:lang w:val="en-US"/>
          <w14:ligatures w14:val="none"/>
        </w:rPr>
      </w:pPr>
      <w:r w:rsidRPr="00BC2FD2">
        <w:rPr>
          <w:rFonts w:ascii="Times New Roman" w:eastAsia="Calibri" w:hAnsi="Times New Roman" w:cs="Times New Roman"/>
          <w:noProof/>
          <w:kern w:val="0"/>
          <w:lang w:val="en-US"/>
          <w14:ligatures w14:val="none"/>
        </w:rPr>
        <w:drawing>
          <wp:inline distT="0" distB="0" distL="0" distR="0" wp14:anchorId="6A08A34F" wp14:editId="686DF6BF">
            <wp:extent cx="3324225" cy="1279416"/>
            <wp:effectExtent l="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Trinity Saint David  - MATLAB Access for Everyone - MATLAB &amp; Simulin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7471" cy="1288363"/>
                    </a:xfrm>
                    <a:prstGeom prst="rect">
                      <a:avLst/>
                    </a:prstGeom>
                    <a:noFill/>
                    <a:ln>
                      <a:noFill/>
                    </a:ln>
                  </pic:spPr>
                </pic:pic>
              </a:graphicData>
            </a:graphic>
          </wp:inline>
        </w:drawing>
      </w:r>
    </w:p>
    <w:p w14:paraId="74BC4400" w14:textId="77777777" w:rsidR="00181327" w:rsidRDefault="00181327" w:rsidP="00181327">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00BD5503" w14:textId="06228105" w:rsidR="00C844D9" w:rsidRPr="002F1CEA" w:rsidRDefault="00C844D9" w:rsidP="00181327">
      <w:p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r w:rsidRPr="002F1CEA">
        <w:rPr>
          <w:rFonts w:ascii="Times New Roman" w:eastAsia="Times New Roman" w:hAnsi="Times New Roman" w:cs="Times New Roman"/>
          <w:b/>
          <w:bCs/>
          <w:kern w:val="0"/>
          <w:sz w:val="36"/>
          <w:szCs w:val="36"/>
          <w:lang w:eastAsia="en-GB"/>
          <w14:ligatures w14:val="none"/>
        </w:rPr>
        <w:t>BA (Hons) International Hotel Management – 3 Year</w:t>
      </w:r>
    </w:p>
    <w:p w14:paraId="2A777188" w14:textId="77777777" w:rsidR="00C844D9" w:rsidRPr="0054596B" w:rsidRDefault="00C844D9" w:rsidP="00C844D9">
      <w:pPr>
        <w:spacing w:before="100" w:beforeAutospacing="1" w:after="100" w:afterAutospacing="1" w:line="360" w:lineRule="auto"/>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Module Title:</w:t>
      </w:r>
      <w:r w:rsidRPr="002733C7">
        <w:rPr>
          <w:rFonts w:ascii="Times New Roman" w:eastAsia="Times New Roman" w:hAnsi="Times New Roman" w:cs="Times New Roman"/>
          <w:kern w:val="0"/>
          <w:lang w:eastAsia="en-GB"/>
          <w14:ligatures w14:val="none"/>
        </w:rPr>
        <w:t xml:space="preserve"> </w:t>
      </w:r>
      <w:r w:rsidRPr="0054596B">
        <w:rPr>
          <w:rFonts w:ascii="Times New Roman" w:hAnsi="Times New Roman" w:cs="Times New Roman"/>
        </w:rPr>
        <w:t>Hotel Placement Research Project</w:t>
      </w:r>
      <w:r w:rsidRPr="0054596B">
        <w:rPr>
          <w:rFonts w:ascii="Times New Roman" w:eastAsia="Times New Roman" w:hAnsi="Times New Roman" w:cs="Times New Roman"/>
          <w:kern w:val="0"/>
          <w:lang w:eastAsia="en-GB"/>
          <w14:ligatures w14:val="none"/>
        </w:rPr>
        <w:br/>
      </w:r>
      <w:r w:rsidRPr="0054596B">
        <w:rPr>
          <w:rFonts w:ascii="Times New Roman" w:eastAsia="Times New Roman" w:hAnsi="Times New Roman" w:cs="Times New Roman"/>
          <w:b/>
          <w:bCs/>
          <w:kern w:val="0"/>
          <w:lang w:eastAsia="en-GB"/>
          <w14:ligatures w14:val="none"/>
        </w:rPr>
        <w:t>Module Code:</w:t>
      </w:r>
      <w:r w:rsidRPr="0054596B">
        <w:rPr>
          <w:rFonts w:ascii="Times New Roman" w:eastAsia="Times New Roman" w:hAnsi="Times New Roman" w:cs="Times New Roman"/>
          <w:kern w:val="0"/>
          <w:lang w:eastAsia="en-GB"/>
          <w14:ligatures w14:val="none"/>
        </w:rPr>
        <w:t xml:space="preserve"> </w:t>
      </w:r>
      <w:r w:rsidRPr="0054596B">
        <w:rPr>
          <w:rFonts w:ascii="Times New Roman" w:hAnsi="Times New Roman" w:cs="Times New Roman"/>
        </w:rPr>
        <w:t>BMIH6008</w:t>
      </w:r>
    </w:p>
    <w:p w14:paraId="434B336A" w14:textId="77777777" w:rsidR="00C844D9" w:rsidRDefault="00C844D9" w:rsidP="00C844D9">
      <w:pPr>
        <w:spacing w:line="360" w:lineRule="auto"/>
        <w:rPr>
          <w:rFonts w:ascii="Times New Roman" w:eastAsia="Aptos" w:hAnsi="Times New Roman" w:cs="Times New Roman"/>
          <w:b/>
          <w:bCs/>
          <w:i/>
          <w:iCs/>
          <w:sz w:val="28"/>
          <w:szCs w:val="28"/>
        </w:rPr>
      </w:pPr>
      <w:r w:rsidRPr="0054596B">
        <w:rPr>
          <w:rFonts w:ascii="Times New Roman" w:eastAsia="Times New Roman" w:hAnsi="Times New Roman" w:cs="Times New Roman"/>
          <w:b/>
          <w:bCs/>
          <w:kern w:val="0"/>
          <w:lang w:eastAsia="en-GB"/>
          <w14:ligatures w14:val="none"/>
        </w:rPr>
        <w:t>Assignment Title:</w:t>
      </w:r>
      <w:r w:rsidRPr="0054596B">
        <w:rPr>
          <w:rFonts w:ascii="Times New Roman" w:eastAsia="Times New Roman" w:hAnsi="Times New Roman" w:cs="Times New Roman"/>
          <w:kern w:val="0"/>
          <w:lang w:eastAsia="en-GB"/>
          <w14:ligatures w14:val="none"/>
        </w:rPr>
        <w:br/>
      </w:r>
      <w:r w:rsidRPr="0054596B">
        <w:rPr>
          <w:rFonts w:ascii="Times New Roman" w:eastAsia="Aptos" w:hAnsi="Times New Roman" w:cs="Times New Roman"/>
          <w:b/>
          <w:bCs/>
          <w:i/>
          <w:iCs/>
          <w:sz w:val="27"/>
          <w:szCs w:val="27"/>
        </w:rPr>
        <w:t>Health, Safety, and Privacy in Hospitality: A Case Study at Coldra Court Hotel</w:t>
      </w:r>
    </w:p>
    <w:p w14:paraId="37004E83" w14:textId="77777777" w:rsidR="00C844D9" w:rsidRPr="0054596B" w:rsidRDefault="00C844D9" w:rsidP="00C844D9">
      <w:pPr>
        <w:spacing w:line="360" w:lineRule="auto"/>
        <w:rPr>
          <w:rFonts w:ascii="Times New Roman" w:eastAsia="Aptos" w:hAnsi="Times New Roman" w:cs="Times New Roman"/>
          <w:b/>
          <w:bCs/>
          <w:i/>
          <w:iCs/>
          <w:sz w:val="28"/>
          <w:szCs w:val="28"/>
        </w:rPr>
      </w:pPr>
      <w:r w:rsidRPr="002733C7">
        <w:rPr>
          <w:rFonts w:ascii="Times New Roman" w:eastAsia="Times New Roman" w:hAnsi="Times New Roman" w:cs="Times New Roman"/>
          <w:b/>
          <w:bCs/>
          <w:kern w:val="0"/>
          <w:lang w:eastAsia="en-GB"/>
          <w14:ligatures w14:val="none"/>
        </w:rPr>
        <w:t>Submitted by:</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Name:</w:t>
      </w:r>
      <w:r w:rsidRPr="002733C7">
        <w:rPr>
          <w:rFonts w:ascii="Times New Roman" w:eastAsia="Times New Roman" w:hAnsi="Times New Roman" w:cs="Times New Roman"/>
          <w:kern w:val="0"/>
          <w:lang w:eastAsia="en-GB"/>
          <w14:ligatures w14:val="none"/>
        </w:rPr>
        <w:t xml:space="preserve"> Rezaul Rabbani</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Student ID:</w:t>
      </w:r>
      <w:r w:rsidRPr="002733C7">
        <w:rPr>
          <w:rFonts w:ascii="Times New Roman" w:eastAsia="Times New Roman" w:hAnsi="Times New Roman" w:cs="Times New Roman"/>
          <w:kern w:val="0"/>
          <w:lang w:eastAsia="en-GB"/>
          <w14:ligatures w14:val="none"/>
        </w:rPr>
        <w:t xml:space="preserve"> 1813391</w:t>
      </w:r>
    </w:p>
    <w:p w14:paraId="21D0CBBD" w14:textId="1E456D5F" w:rsidR="00C844D9" w:rsidRPr="002733C7" w:rsidRDefault="00C844D9" w:rsidP="00C844D9">
      <w:pPr>
        <w:spacing w:before="100" w:beforeAutospacing="1" w:after="100" w:afterAutospacing="1" w:line="360" w:lineRule="auto"/>
        <w:rPr>
          <w:rFonts w:ascii="Times New Roman" w:eastAsia="Times New Roman" w:hAnsi="Times New Roman" w:cs="Times New Roman"/>
          <w:kern w:val="0"/>
          <w:lang w:eastAsia="en-GB"/>
          <w14:ligatures w14:val="none"/>
        </w:rPr>
      </w:pPr>
      <w:r w:rsidRPr="002733C7">
        <w:rPr>
          <w:rFonts w:ascii="Times New Roman" w:eastAsia="Times New Roman" w:hAnsi="Times New Roman" w:cs="Times New Roman"/>
          <w:b/>
          <w:bCs/>
          <w:kern w:val="0"/>
          <w:lang w:eastAsia="en-GB"/>
          <w14:ligatures w14:val="none"/>
        </w:rPr>
        <w:t>Lecturer:</w:t>
      </w:r>
      <w:r w:rsidRPr="002733C7">
        <w:rPr>
          <w:rFonts w:ascii="Times New Roman" w:eastAsia="Times New Roman" w:hAnsi="Times New Roman" w:cs="Times New Roman"/>
          <w:kern w:val="0"/>
          <w:lang w:eastAsia="en-GB"/>
          <w14:ligatures w14:val="none"/>
        </w:rPr>
        <w:t xml:space="preserve"> Dr Ernest </w:t>
      </w:r>
      <w:proofErr w:type="spellStart"/>
      <w:r w:rsidRPr="002733C7">
        <w:rPr>
          <w:rFonts w:ascii="Times New Roman" w:eastAsia="Times New Roman" w:hAnsi="Times New Roman" w:cs="Times New Roman"/>
          <w:kern w:val="0"/>
          <w:lang w:eastAsia="en-GB"/>
          <w14:ligatures w14:val="none"/>
        </w:rPr>
        <w:t>Balutie</w:t>
      </w:r>
      <w:proofErr w:type="spellEnd"/>
      <w:r w:rsidRPr="002733C7">
        <w:rPr>
          <w:rFonts w:ascii="Times New Roman" w:eastAsia="Times New Roman" w:hAnsi="Times New Roman" w:cs="Times New Roman"/>
          <w:kern w:val="0"/>
          <w:lang w:eastAsia="en-GB"/>
          <w14:ligatures w14:val="none"/>
        </w:rPr>
        <w:t xml:space="preserve"> </w:t>
      </w:r>
      <w:proofErr w:type="spellStart"/>
      <w:r w:rsidRPr="002733C7">
        <w:rPr>
          <w:rFonts w:ascii="Times New Roman" w:eastAsia="Times New Roman" w:hAnsi="Times New Roman" w:cs="Times New Roman"/>
          <w:kern w:val="0"/>
          <w:lang w:eastAsia="en-GB"/>
          <w14:ligatures w14:val="none"/>
        </w:rPr>
        <w:t>Wavei</w:t>
      </w:r>
      <w:proofErr w:type="spellEnd"/>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Word Count:</w:t>
      </w:r>
      <w:r w:rsidRPr="002733C7">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78</w:t>
      </w:r>
      <w:r w:rsidR="00B17E38">
        <w:rPr>
          <w:rFonts w:ascii="Times New Roman" w:eastAsia="Times New Roman" w:hAnsi="Times New Roman" w:cs="Times New Roman"/>
          <w:kern w:val="0"/>
          <w:lang w:eastAsia="en-GB"/>
          <w14:ligatures w14:val="none"/>
        </w:rPr>
        <w:t>68</w:t>
      </w:r>
      <w:r w:rsidRPr="002733C7">
        <w:rPr>
          <w:rFonts w:ascii="Times New Roman" w:eastAsia="Times New Roman" w:hAnsi="Times New Roman" w:cs="Times New Roman"/>
          <w:kern w:val="0"/>
          <w:lang w:eastAsia="en-GB"/>
          <w14:ligatures w14:val="none"/>
        </w:rPr>
        <w:br/>
      </w:r>
      <w:r w:rsidRPr="002733C7">
        <w:rPr>
          <w:rFonts w:ascii="Times New Roman" w:eastAsia="Times New Roman" w:hAnsi="Times New Roman" w:cs="Times New Roman"/>
          <w:b/>
          <w:bCs/>
          <w:kern w:val="0"/>
          <w:lang w:eastAsia="en-GB"/>
          <w14:ligatures w14:val="none"/>
        </w:rPr>
        <w:t>Submission Date:</w:t>
      </w:r>
      <w:r w:rsidRPr="002733C7">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12</w:t>
      </w:r>
      <w:r w:rsidRPr="0054596B">
        <w:rPr>
          <w:rFonts w:ascii="Times New Roman" w:eastAsia="Times New Roman" w:hAnsi="Times New Roman" w:cs="Times New Roman"/>
          <w:kern w:val="0"/>
          <w:vertAlign w:val="superscript"/>
          <w:lang w:eastAsia="en-GB"/>
          <w14:ligatures w14:val="none"/>
        </w:rPr>
        <w:t>th</w:t>
      </w:r>
      <w:r>
        <w:rPr>
          <w:rFonts w:ascii="Times New Roman" w:eastAsia="Times New Roman" w:hAnsi="Times New Roman" w:cs="Times New Roman"/>
          <w:kern w:val="0"/>
          <w:lang w:eastAsia="en-GB"/>
          <w14:ligatures w14:val="none"/>
        </w:rPr>
        <w:t xml:space="preserve"> June 2025</w:t>
      </w:r>
    </w:p>
    <w:p w14:paraId="6224C476" w14:textId="77777777" w:rsidR="00C844D9" w:rsidRPr="002733C7" w:rsidRDefault="00C844D9" w:rsidP="00C844D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791C28D" w14:textId="77777777" w:rsidR="00C844D9" w:rsidRDefault="00C844D9" w:rsidP="00C844D9">
      <w:pPr>
        <w:spacing w:before="100" w:beforeAutospacing="1" w:after="100" w:afterAutospacing="1" w:line="360" w:lineRule="auto"/>
        <w:jc w:val="both"/>
        <w:rPr>
          <w:rFonts w:ascii="Times New Roman" w:eastAsia="Times New Roman" w:hAnsi="Times New Roman" w:cs="Times New Roman"/>
          <w:b/>
          <w:bCs/>
          <w:kern w:val="0"/>
          <w:lang w:val="en-US"/>
          <w14:ligatures w14:val="none"/>
        </w:rPr>
      </w:pPr>
    </w:p>
    <w:p w14:paraId="6DE17356" w14:textId="77777777" w:rsidR="00C844D9" w:rsidRDefault="00C844D9" w:rsidP="00C844D9">
      <w:pPr>
        <w:spacing w:before="100" w:beforeAutospacing="1" w:after="100" w:afterAutospacing="1" w:line="360" w:lineRule="auto"/>
        <w:jc w:val="both"/>
        <w:rPr>
          <w:rFonts w:ascii="Times New Roman" w:eastAsia="Times New Roman" w:hAnsi="Times New Roman" w:cs="Times New Roman"/>
          <w:b/>
          <w:bCs/>
          <w:kern w:val="0"/>
          <w:lang w:val="en-US"/>
          <w14:ligatures w14:val="none"/>
        </w:rPr>
      </w:pPr>
    </w:p>
    <w:p w14:paraId="7D129B75" w14:textId="77777777" w:rsidR="00C844D9" w:rsidRDefault="00C844D9" w:rsidP="00C844D9">
      <w:pPr>
        <w:spacing w:before="100" w:beforeAutospacing="1" w:after="100" w:afterAutospacing="1" w:line="360" w:lineRule="auto"/>
        <w:jc w:val="both"/>
        <w:rPr>
          <w:rFonts w:ascii="Times New Roman" w:eastAsia="Times New Roman" w:hAnsi="Times New Roman" w:cs="Times New Roman"/>
          <w:b/>
          <w:bCs/>
          <w:kern w:val="0"/>
          <w:lang w:val="en-US"/>
          <w14:ligatures w14:val="none"/>
        </w:rPr>
      </w:pPr>
    </w:p>
    <w:p w14:paraId="4DE2C307" w14:textId="77777777" w:rsidR="00C844D9" w:rsidRDefault="00C844D9" w:rsidP="00C844D9">
      <w:pPr>
        <w:spacing w:before="100" w:beforeAutospacing="1" w:after="100" w:afterAutospacing="1" w:line="360" w:lineRule="auto"/>
        <w:jc w:val="both"/>
        <w:rPr>
          <w:rFonts w:ascii="Times New Roman" w:eastAsia="Times New Roman" w:hAnsi="Times New Roman" w:cs="Times New Roman"/>
          <w:b/>
          <w:bCs/>
          <w:kern w:val="0"/>
          <w:sz w:val="28"/>
          <w:szCs w:val="28"/>
          <w:u w:val="single"/>
          <w:lang w:val="en-US"/>
          <w14:ligatures w14:val="none"/>
        </w:rPr>
      </w:pPr>
    </w:p>
    <w:p w14:paraId="36E83EF1" w14:textId="77777777" w:rsidR="00EB7339" w:rsidRDefault="00EB7339" w:rsidP="00C844D9">
      <w:pPr>
        <w:spacing w:before="100" w:beforeAutospacing="1" w:after="100" w:afterAutospacing="1" w:line="360" w:lineRule="auto"/>
        <w:jc w:val="both"/>
        <w:rPr>
          <w:rFonts w:ascii="Times New Roman" w:eastAsia="Times New Roman" w:hAnsi="Times New Roman" w:cs="Times New Roman"/>
          <w:b/>
          <w:bCs/>
          <w:kern w:val="0"/>
          <w:sz w:val="32"/>
          <w:szCs w:val="32"/>
          <w:u w:val="single"/>
          <w:lang w:val="en-US"/>
          <w14:ligatures w14:val="none"/>
        </w:rPr>
      </w:pPr>
    </w:p>
    <w:p w14:paraId="0F60B033" w14:textId="0BF8C0D9" w:rsidR="00C844D9" w:rsidRPr="004E142E" w:rsidRDefault="00C844D9" w:rsidP="00C844D9">
      <w:pPr>
        <w:spacing w:before="100" w:beforeAutospacing="1" w:after="100" w:afterAutospacing="1" w:line="360" w:lineRule="auto"/>
        <w:jc w:val="both"/>
        <w:rPr>
          <w:rFonts w:ascii="Times New Roman" w:eastAsia="Times New Roman" w:hAnsi="Times New Roman" w:cs="Times New Roman"/>
          <w:kern w:val="0"/>
          <w:sz w:val="32"/>
          <w:szCs w:val="32"/>
          <w:u w:val="single"/>
          <w:lang w:eastAsia="en-GB"/>
          <w14:ligatures w14:val="none"/>
        </w:rPr>
      </w:pPr>
      <w:r w:rsidRPr="004E142E">
        <w:rPr>
          <w:rFonts w:ascii="Times New Roman" w:eastAsia="Times New Roman" w:hAnsi="Times New Roman" w:cs="Times New Roman"/>
          <w:b/>
          <w:bCs/>
          <w:kern w:val="0"/>
          <w:sz w:val="32"/>
          <w:szCs w:val="32"/>
          <w:u w:val="single"/>
          <w:lang w:val="en-US"/>
          <w14:ligatures w14:val="none"/>
        </w:rPr>
        <w:lastRenderedPageBreak/>
        <w:t xml:space="preserve">AI </w:t>
      </w:r>
      <w:r w:rsidR="00EB7339" w:rsidRPr="00EB7339">
        <w:rPr>
          <w:rFonts w:ascii="Times New Roman" w:eastAsia="Times New Roman" w:hAnsi="Times New Roman" w:cs="Times New Roman"/>
          <w:b/>
          <w:bCs/>
          <w:kern w:val="0"/>
          <w:sz w:val="32"/>
          <w:szCs w:val="32"/>
          <w:u w:val="single"/>
          <w14:ligatures w14:val="none"/>
        </w:rPr>
        <w:t>Declaration</w:t>
      </w:r>
      <w:r w:rsidR="00EB7339">
        <w:rPr>
          <w:rFonts w:ascii="Times New Roman" w:eastAsia="Times New Roman" w:hAnsi="Times New Roman" w:cs="Times New Roman"/>
          <w:b/>
          <w:bCs/>
          <w:kern w:val="0"/>
          <w:sz w:val="32"/>
          <w:szCs w:val="32"/>
          <w:u w:val="single"/>
          <w14:ligatures w14:val="none"/>
        </w:rPr>
        <w:t xml:space="preserve"> </w:t>
      </w:r>
      <w:r w:rsidRPr="004E142E">
        <w:rPr>
          <w:rFonts w:ascii="Times New Roman" w:eastAsia="Times New Roman" w:hAnsi="Times New Roman" w:cs="Times New Roman"/>
          <w:b/>
          <w:bCs/>
          <w:kern w:val="0"/>
          <w:sz w:val="32"/>
          <w:szCs w:val="32"/>
          <w:u w:val="single"/>
          <w:lang w:val="en-US"/>
          <w14:ligatures w14:val="none"/>
        </w:rPr>
        <w:t>Statement</w:t>
      </w:r>
    </w:p>
    <w:p w14:paraId="0B54410A" w14:textId="77777777" w:rsidR="00C844D9" w:rsidRDefault="00C844D9" w:rsidP="00C844D9">
      <w:pPr>
        <w:spacing w:after="200" w:line="360" w:lineRule="auto"/>
        <w:jc w:val="both"/>
        <w:rPr>
          <w:rFonts w:ascii="Times New Roman" w:eastAsia="Calibri" w:hAnsi="Times New Roman" w:cs="Times New Roman"/>
          <w:kern w:val="0"/>
          <w:lang w:val="en-US"/>
          <w14:ligatures w14:val="none"/>
        </w:rPr>
      </w:pPr>
      <w:r w:rsidRPr="002733C7">
        <w:rPr>
          <w:rFonts w:ascii="Times New Roman" w:eastAsia="Calibri" w:hAnsi="Times New Roman" w:cs="Times New Roman"/>
          <w:kern w:val="0"/>
          <w:lang w:val="en-US"/>
          <w14:ligatures w14:val="none"/>
        </w:rPr>
        <w:t>“I confirm that I have not presented any AI generated text as my own work. I confirm I have copies of my drafts, notes and any other resources I used before and after the use of AI tools which I may be asked to provide in evidence”</w:t>
      </w:r>
    </w:p>
    <w:p w14:paraId="3A4FCC10" w14:textId="77777777" w:rsidR="00C844D9" w:rsidRDefault="00C844D9" w:rsidP="00C844D9">
      <w:pPr>
        <w:spacing w:after="200" w:line="360" w:lineRule="auto"/>
        <w:jc w:val="both"/>
        <w:rPr>
          <w:rFonts w:ascii="Times New Roman" w:eastAsia="Calibri" w:hAnsi="Times New Roman" w:cs="Times New Roman"/>
          <w:kern w:val="0"/>
          <w:lang w:val="en-US"/>
          <w14:ligatures w14:val="none"/>
        </w:rPr>
      </w:pPr>
    </w:p>
    <w:p w14:paraId="22545AD4" w14:textId="77777777" w:rsidR="00C844D9" w:rsidRDefault="00C844D9" w:rsidP="00C844D9">
      <w:pPr>
        <w:spacing w:line="360" w:lineRule="auto"/>
        <w:rPr>
          <w:rFonts w:ascii="Times New Roman" w:hAnsi="Times New Roman" w:cs="Times New Roman"/>
          <w:b/>
          <w:bCs/>
          <w:sz w:val="28"/>
          <w:szCs w:val="28"/>
          <w:u w:val="single"/>
        </w:rPr>
      </w:pPr>
    </w:p>
    <w:p w14:paraId="192D48C4" w14:textId="77777777" w:rsidR="00C844D9" w:rsidRDefault="00C844D9" w:rsidP="00C844D9">
      <w:pPr>
        <w:spacing w:line="360" w:lineRule="auto"/>
        <w:rPr>
          <w:rFonts w:ascii="Times New Roman" w:hAnsi="Times New Roman" w:cs="Times New Roman"/>
          <w:b/>
          <w:bCs/>
          <w:sz w:val="28"/>
          <w:szCs w:val="28"/>
          <w:u w:val="single"/>
        </w:rPr>
      </w:pPr>
    </w:p>
    <w:p w14:paraId="7EBC2B28" w14:textId="77777777" w:rsidR="00EB7339" w:rsidRDefault="00EB7339" w:rsidP="00C844D9">
      <w:pPr>
        <w:spacing w:line="360" w:lineRule="auto"/>
        <w:rPr>
          <w:rFonts w:ascii="Times New Roman" w:hAnsi="Times New Roman" w:cs="Times New Roman"/>
          <w:b/>
          <w:bCs/>
          <w:sz w:val="32"/>
          <w:szCs w:val="32"/>
          <w:u w:val="single"/>
        </w:rPr>
      </w:pPr>
    </w:p>
    <w:p w14:paraId="47622E79" w14:textId="77777777" w:rsidR="00EB7339" w:rsidRDefault="00EB7339" w:rsidP="00C844D9">
      <w:pPr>
        <w:spacing w:line="360" w:lineRule="auto"/>
        <w:rPr>
          <w:rFonts w:ascii="Times New Roman" w:hAnsi="Times New Roman" w:cs="Times New Roman"/>
          <w:b/>
          <w:bCs/>
          <w:sz w:val="32"/>
          <w:szCs w:val="32"/>
          <w:u w:val="single"/>
        </w:rPr>
      </w:pPr>
    </w:p>
    <w:p w14:paraId="675920B0" w14:textId="77777777" w:rsidR="00EB7339" w:rsidRDefault="00EB7339" w:rsidP="00C844D9">
      <w:pPr>
        <w:spacing w:line="360" w:lineRule="auto"/>
        <w:rPr>
          <w:rFonts w:ascii="Times New Roman" w:hAnsi="Times New Roman" w:cs="Times New Roman"/>
          <w:b/>
          <w:bCs/>
          <w:sz w:val="32"/>
          <w:szCs w:val="32"/>
          <w:u w:val="single"/>
        </w:rPr>
      </w:pPr>
    </w:p>
    <w:p w14:paraId="1DA28BA6" w14:textId="77777777" w:rsidR="00EB7339" w:rsidRDefault="00EB7339" w:rsidP="00C844D9">
      <w:pPr>
        <w:spacing w:line="360" w:lineRule="auto"/>
        <w:rPr>
          <w:rFonts w:ascii="Times New Roman" w:hAnsi="Times New Roman" w:cs="Times New Roman"/>
          <w:b/>
          <w:bCs/>
          <w:sz w:val="32"/>
          <w:szCs w:val="32"/>
          <w:u w:val="single"/>
        </w:rPr>
      </w:pPr>
    </w:p>
    <w:p w14:paraId="05713960" w14:textId="77777777" w:rsidR="00EB7339" w:rsidRDefault="00EB7339" w:rsidP="00C844D9">
      <w:pPr>
        <w:spacing w:line="360" w:lineRule="auto"/>
        <w:rPr>
          <w:rFonts w:ascii="Times New Roman" w:hAnsi="Times New Roman" w:cs="Times New Roman"/>
          <w:b/>
          <w:bCs/>
          <w:sz w:val="32"/>
          <w:szCs w:val="32"/>
          <w:u w:val="single"/>
        </w:rPr>
      </w:pPr>
    </w:p>
    <w:p w14:paraId="5E388178" w14:textId="77777777" w:rsidR="00EB7339" w:rsidRDefault="00EB7339" w:rsidP="00C844D9">
      <w:pPr>
        <w:spacing w:line="360" w:lineRule="auto"/>
        <w:rPr>
          <w:rFonts w:ascii="Times New Roman" w:hAnsi="Times New Roman" w:cs="Times New Roman"/>
          <w:b/>
          <w:bCs/>
          <w:sz w:val="32"/>
          <w:szCs w:val="32"/>
          <w:u w:val="single"/>
        </w:rPr>
      </w:pPr>
    </w:p>
    <w:p w14:paraId="7A245702" w14:textId="77777777" w:rsidR="00EB7339" w:rsidRDefault="00EB7339" w:rsidP="00C844D9">
      <w:pPr>
        <w:spacing w:line="360" w:lineRule="auto"/>
        <w:rPr>
          <w:rFonts w:ascii="Times New Roman" w:hAnsi="Times New Roman" w:cs="Times New Roman"/>
          <w:b/>
          <w:bCs/>
          <w:sz w:val="32"/>
          <w:szCs w:val="32"/>
          <w:u w:val="single"/>
        </w:rPr>
      </w:pPr>
    </w:p>
    <w:p w14:paraId="0D245ACC" w14:textId="77777777" w:rsidR="00EB7339" w:rsidRDefault="00EB7339" w:rsidP="00C844D9">
      <w:pPr>
        <w:spacing w:line="360" w:lineRule="auto"/>
        <w:rPr>
          <w:rFonts w:ascii="Times New Roman" w:hAnsi="Times New Roman" w:cs="Times New Roman"/>
          <w:b/>
          <w:bCs/>
          <w:sz w:val="32"/>
          <w:szCs w:val="32"/>
          <w:u w:val="single"/>
        </w:rPr>
      </w:pPr>
    </w:p>
    <w:p w14:paraId="3344309B" w14:textId="77777777" w:rsidR="00EB7339" w:rsidRDefault="00EB7339" w:rsidP="00C844D9">
      <w:pPr>
        <w:spacing w:line="360" w:lineRule="auto"/>
        <w:rPr>
          <w:rFonts w:ascii="Times New Roman" w:hAnsi="Times New Roman" w:cs="Times New Roman"/>
          <w:b/>
          <w:bCs/>
          <w:sz w:val="32"/>
          <w:szCs w:val="32"/>
          <w:u w:val="single"/>
        </w:rPr>
      </w:pPr>
    </w:p>
    <w:p w14:paraId="392562BB" w14:textId="77777777" w:rsidR="00EB7339" w:rsidRDefault="00EB7339" w:rsidP="00C844D9">
      <w:pPr>
        <w:spacing w:line="360" w:lineRule="auto"/>
        <w:rPr>
          <w:rFonts w:ascii="Times New Roman" w:hAnsi="Times New Roman" w:cs="Times New Roman"/>
          <w:b/>
          <w:bCs/>
          <w:sz w:val="32"/>
          <w:szCs w:val="32"/>
          <w:u w:val="single"/>
        </w:rPr>
      </w:pPr>
    </w:p>
    <w:p w14:paraId="1BFD3EB4" w14:textId="77777777" w:rsidR="00EB7339" w:rsidRDefault="00EB7339" w:rsidP="00C844D9">
      <w:pPr>
        <w:spacing w:line="360" w:lineRule="auto"/>
        <w:rPr>
          <w:rFonts w:ascii="Times New Roman" w:hAnsi="Times New Roman" w:cs="Times New Roman"/>
          <w:b/>
          <w:bCs/>
          <w:sz w:val="32"/>
          <w:szCs w:val="32"/>
          <w:u w:val="single"/>
        </w:rPr>
      </w:pPr>
    </w:p>
    <w:p w14:paraId="124A7754" w14:textId="77777777" w:rsidR="00EB7339" w:rsidRDefault="00EB7339" w:rsidP="00C844D9">
      <w:pPr>
        <w:spacing w:line="360" w:lineRule="auto"/>
        <w:rPr>
          <w:rFonts w:ascii="Times New Roman" w:hAnsi="Times New Roman" w:cs="Times New Roman"/>
          <w:b/>
          <w:bCs/>
          <w:sz w:val="32"/>
          <w:szCs w:val="32"/>
          <w:u w:val="single"/>
        </w:rPr>
      </w:pPr>
    </w:p>
    <w:p w14:paraId="532BFA36" w14:textId="77777777" w:rsidR="00EB7339" w:rsidRDefault="00EB7339" w:rsidP="00C844D9">
      <w:pPr>
        <w:spacing w:line="360" w:lineRule="auto"/>
        <w:rPr>
          <w:rFonts w:ascii="Times New Roman" w:hAnsi="Times New Roman" w:cs="Times New Roman"/>
          <w:b/>
          <w:bCs/>
          <w:sz w:val="32"/>
          <w:szCs w:val="32"/>
          <w:u w:val="single"/>
        </w:rPr>
      </w:pPr>
    </w:p>
    <w:p w14:paraId="5BA9EDDE" w14:textId="77777777" w:rsidR="00EB7339" w:rsidRDefault="00EB7339" w:rsidP="00C844D9">
      <w:pPr>
        <w:spacing w:line="360" w:lineRule="auto"/>
        <w:rPr>
          <w:rFonts w:ascii="Times New Roman" w:hAnsi="Times New Roman" w:cs="Times New Roman"/>
          <w:b/>
          <w:bCs/>
          <w:sz w:val="32"/>
          <w:szCs w:val="32"/>
          <w:u w:val="single"/>
        </w:rPr>
      </w:pPr>
    </w:p>
    <w:p w14:paraId="794D4132" w14:textId="592AD7E9" w:rsidR="00C844D9" w:rsidRPr="004E142E" w:rsidRDefault="00C844D9" w:rsidP="00C844D9">
      <w:pPr>
        <w:spacing w:line="360" w:lineRule="auto"/>
        <w:rPr>
          <w:sz w:val="32"/>
          <w:szCs w:val="32"/>
        </w:rPr>
      </w:pPr>
      <w:r w:rsidRPr="004E142E">
        <w:rPr>
          <w:rFonts w:ascii="Times New Roman" w:hAnsi="Times New Roman" w:cs="Times New Roman"/>
          <w:b/>
          <w:bCs/>
          <w:sz w:val="32"/>
          <w:szCs w:val="32"/>
          <w:u w:val="single"/>
        </w:rPr>
        <w:lastRenderedPageBreak/>
        <w:t>Acknowledgements</w:t>
      </w:r>
      <w:r w:rsidRPr="004E142E">
        <w:rPr>
          <w:sz w:val="32"/>
          <w:szCs w:val="32"/>
        </w:rPr>
        <w:t xml:space="preserve"> </w:t>
      </w:r>
    </w:p>
    <w:p w14:paraId="23CB0BA2" w14:textId="77777777" w:rsidR="00C844D9" w:rsidRDefault="00C844D9" w:rsidP="00C844D9">
      <w:pPr>
        <w:spacing w:line="360" w:lineRule="auto"/>
        <w:jc w:val="both"/>
        <w:rPr>
          <w:rFonts w:ascii="Times New Roman" w:hAnsi="Times New Roman" w:cs="Times New Roman"/>
        </w:rPr>
      </w:pPr>
      <w:r w:rsidRPr="00F44039">
        <w:rPr>
          <w:rFonts w:ascii="Times New Roman" w:hAnsi="Times New Roman" w:cs="Times New Roman"/>
        </w:rPr>
        <w:t xml:space="preserve">I would like to express my sincere thanks to all those who have supported me throughout my studies and the completion of this research. Firstly, I am deeply grateful to my family for their constant encouragement, love, and patience. My heartfelt thanks also go to my supervisor </w:t>
      </w:r>
      <w:r>
        <w:rPr>
          <w:rFonts w:ascii="Times New Roman" w:hAnsi="Times New Roman" w:cs="Times New Roman"/>
        </w:rPr>
        <w:t xml:space="preserve">at Coldra Court Hotel </w:t>
      </w:r>
      <w:r w:rsidRPr="00F44039">
        <w:rPr>
          <w:rFonts w:ascii="Times New Roman" w:hAnsi="Times New Roman" w:cs="Times New Roman"/>
        </w:rPr>
        <w:t xml:space="preserve">for their invaluable guidance, insightful feedback, and ongoing support. I </w:t>
      </w:r>
      <w:r>
        <w:rPr>
          <w:rFonts w:ascii="Times New Roman" w:hAnsi="Times New Roman" w:cs="Times New Roman"/>
        </w:rPr>
        <w:t xml:space="preserve">also </w:t>
      </w:r>
      <w:r w:rsidRPr="00F44039">
        <w:rPr>
          <w:rFonts w:ascii="Times New Roman" w:hAnsi="Times New Roman" w:cs="Times New Roman"/>
        </w:rPr>
        <w:t xml:space="preserve">would like to extend my appreciation to the placement hotel for providing the opportunity and resources necessary for my research. I am also thankful to my university and the department for creating a supportive academic environment. </w:t>
      </w:r>
    </w:p>
    <w:p w14:paraId="3F8A120E" w14:textId="77777777" w:rsidR="00C844D9" w:rsidRDefault="00C844D9" w:rsidP="00C844D9">
      <w:pPr>
        <w:spacing w:line="360" w:lineRule="auto"/>
        <w:jc w:val="both"/>
        <w:rPr>
          <w:rFonts w:ascii="Times New Roman" w:hAnsi="Times New Roman" w:cs="Times New Roman"/>
        </w:rPr>
      </w:pPr>
    </w:p>
    <w:p w14:paraId="2EE37283" w14:textId="77777777" w:rsidR="00C844D9" w:rsidRDefault="00C844D9" w:rsidP="00C844D9">
      <w:pPr>
        <w:spacing w:line="360" w:lineRule="auto"/>
        <w:jc w:val="both"/>
        <w:rPr>
          <w:rFonts w:ascii="Times New Roman" w:hAnsi="Times New Roman" w:cs="Times New Roman"/>
        </w:rPr>
      </w:pPr>
    </w:p>
    <w:p w14:paraId="66ACD3BE" w14:textId="77777777" w:rsidR="00C844D9" w:rsidRDefault="00C844D9" w:rsidP="00C844D9">
      <w:pPr>
        <w:spacing w:line="360" w:lineRule="auto"/>
        <w:jc w:val="both"/>
        <w:rPr>
          <w:rFonts w:ascii="Times New Roman" w:hAnsi="Times New Roman" w:cs="Times New Roman"/>
        </w:rPr>
      </w:pPr>
    </w:p>
    <w:p w14:paraId="0F441D28" w14:textId="77777777" w:rsidR="00C844D9" w:rsidRDefault="00C844D9" w:rsidP="00C844D9">
      <w:pPr>
        <w:spacing w:line="360" w:lineRule="auto"/>
        <w:jc w:val="both"/>
        <w:rPr>
          <w:rFonts w:ascii="Times New Roman" w:hAnsi="Times New Roman" w:cs="Times New Roman"/>
        </w:rPr>
      </w:pPr>
    </w:p>
    <w:p w14:paraId="431F480B" w14:textId="77777777" w:rsidR="00C844D9" w:rsidRDefault="00C844D9" w:rsidP="00C844D9">
      <w:pPr>
        <w:spacing w:line="360" w:lineRule="auto"/>
        <w:jc w:val="both"/>
        <w:rPr>
          <w:rFonts w:ascii="Times New Roman" w:hAnsi="Times New Roman" w:cs="Times New Roman"/>
        </w:rPr>
      </w:pPr>
    </w:p>
    <w:p w14:paraId="221BB6E6" w14:textId="77777777" w:rsidR="00C844D9" w:rsidRDefault="00C844D9" w:rsidP="00C844D9">
      <w:pPr>
        <w:spacing w:line="360" w:lineRule="auto"/>
        <w:jc w:val="both"/>
        <w:rPr>
          <w:rFonts w:ascii="Times New Roman" w:hAnsi="Times New Roman" w:cs="Times New Roman"/>
        </w:rPr>
      </w:pPr>
    </w:p>
    <w:p w14:paraId="1C44546C" w14:textId="77777777" w:rsidR="00C844D9" w:rsidRDefault="00C844D9" w:rsidP="00C844D9">
      <w:pPr>
        <w:spacing w:line="360" w:lineRule="auto"/>
        <w:jc w:val="both"/>
        <w:rPr>
          <w:rFonts w:ascii="Times New Roman" w:hAnsi="Times New Roman" w:cs="Times New Roman"/>
        </w:rPr>
      </w:pPr>
    </w:p>
    <w:p w14:paraId="046775ED" w14:textId="77777777" w:rsidR="00C844D9" w:rsidRDefault="00C844D9" w:rsidP="00C844D9">
      <w:pPr>
        <w:spacing w:line="360" w:lineRule="auto"/>
        <w:jc w:val="both"/>
        <w:rPr>
          <w:rFonts w:ascii="Times New Roman" w:hAnsi="Times New Roman" w:cs="Times New Roman"/>
          <w:b/>
          <w:bCs/>
          <w:sz w:val="28"/>
          <w:szCs w:val="28"/>
        </w:rPr>
      </w:pPr>
    </w:p>
    <w:p w14:paraId="1023AB8A" w14:textId="77777777" w:rsidR="00C844D9" w:rsidRDefault="00C844D9" w:rsidP="00C844D9">
      <w:pPr>
        <w:spacing w:line="360" w:lineRule="auto"/>
        <w:jc w:val="both"/>
        <w:rPr>
          <w:rFonts w:ascii="Times New Roman" w:hAnsi="Times New Roman" w:cs="Times New Roman"/>
          <w:b/>
          <w:bCs/>
          <w:sz w:val="28"/>
          <w:szCs w:val="28"/>
        </w:rPr>
      </w:pPr>
    </w:p>
    <w:p w14:paraId="43788794" w14:textId="77777777" w:rsidR="00C844D9" w:rsidRDefault="00C844D9" w:rsidP="00C844D9">
      <w:pPr>
        <w:spacing w:line="360" w:lineRule="auto"/>
        <w:jc w:val="both"/>
        <w:rPr>
          <w:rFonts w:ascii="Times New Roman" w:hAnsi="Times New Roman" w:cs="Times New Roman"/>
          <w:b/>
          <w:bCs/>
          <w:sz w:val="28"/>
          <w:szCs w:val="28"/>
        </w:rPr>
      </w:pPr>
    </w:p>
    <w:p w14:paraId="44678B60" w14:textId="77777777" w:rsidR="00980150" w:rsidRDefault="00980150" w:rsidP="00C844D9">
      <w:pPr>
        <w:spacing w:line="360" w:lineRule="auto"/>
        <w:rPr>
          <w:rFonts w:ascii="Times New Roman" w:hAnsi="Times New Roman" w:cs="Times New Roman"/>
          <w:b/>
          <w:bCs/>
          <w:sz w:val="32"/>
          <w:szCs w:val="32"/>
        </w:rPr>
      </w:pPr>
    </w:p>
    <w:p w14:paraId="5BD8D1ED" w14:textId="77777777" w:rsidR="00980150" w:rsidRDefault="00980150" w:rsidP="00C844D9">
      <w:pPr>
        <w:spacing w:line="360" w:lineRule="auto"/>
        <w:rPr>
          <w:rFonts w:ascii="Times New Roman" w:hAnsi="Times New Roman" w:cs="Times New Roman"/>
          <w:b/>
          <w:bCs/>
          <w:sz w:val="32"/>
          <w:szCs w:val="32"/>
        </w:rPr>
      </w:pPr>
    </w:p>
    <w:p w14:paraId="4B94C2C5" w14:textId="77777777" w:rsidR="00980150" w:rsidRDefault="00980150" w:rsidP="00C844D9">
      <w:pPr>
        <w:spacing w:line="360" w:lineRule="auto"/>
        <w:rPr>
          <w:rFonts w:ascii="Times New Roman" w:hAnsi="Times New Roman" w:cs="Times New Roman"/>
          <w:b/>
          <w:bCs/>
          <w:sz w:val="32"/>
          <w:szCs w:val="32"/>
        </w:rPr>
      </w:pPr>
    </w:p>
    <w:p w14:paraId="2AD55126" w14:textId="77777777" w:rsidR="00980150" w:rsidRDefault="00980150" w:rsidP="00C844D9">
      <w:pPr>
        <w:spacing w:line="360" w:lineRule="auto"/>
        <w:rPr>
          <w:rFonts w:ascii="Times New Roman" w:hAnsi="Times New Roman" w:cs="Times New Roman"/>
          <w:b/>
          <w:bCs/>
          <w:sz w:val="32"/>
          <w:szCs w:val="32"/>
        </w:rPr>
      </w:pPr>
    </w:p>
    <w:p w14:paraId="3A109A30" w14:textId="77777777" w:rsidR="00980150" w:rsidRDefault="00980150" w:rsidP="00C844D9">
      <w:pPr>
        <w:spacing w:line="360" w:lineRule="auto"/>
        <w:rPr>
          <w:rFonts w:ascii="Times New Roman" w:hAnsi="Times New Roman" w:cs="Times New Roman"/>
          <w:b/>
          <w:bCs/>
          <w:sz w:val="32"/>
          <w:szCs w:val="32"/>
        </w:rPr>
      </w:pPr>
    </w:p>
    <w:p w14:paraId="2B93C942" w14:textId="77777777" w:rsidR="00980150" w:rsidRDefault="00980150" w:rsidP="00C844D9">
      <w:pPr>
        <w:spacing w:line="360" w:lineRule="auto"/>
        <w:rPr>
          <w:rFonts w:ascii="Times New Roman" w:hAnsi="Times New Roman" w:cs="Times New Roman"/>
          <w:b/>
          <w:bCs/>
          <w:sz w:val="32"/>
          <w:szCs w:val="32"/>
        </w:rPr>
      </w:pPr>
    </w:p>
    <w:p w14:paraId="01F60652" w14:textId="29F80991" w:rsidR="00C844D9" w:rsidRPr="004E142E" w:rsidRDefault="00C844D9" w:rsidP="00C844D9">
      <w:pPr>
        <w:spacing w:line="360" w:lineRule="auto"/>
        <w:rPr>
          <w:rFonts w:ascii="Times New Roman" w:hAnsi="Times New Roman" w:cs="Times New Roman"/>
          <w:b/>
          <w:bCs/>
          <w:sz w:val="32"/>
          <w:szCs w:val="32"/>
        </w:rPr>
      </w:pPr>
      <w:r w:rsidRPr="004E142E">
        <w:rPr>
          <w:rFonts w:ascii="Times New Roman" w:hAnsi="Times New Roman" w:cs="Times New Roman"/>
          <w:b/>
          <w:bCs/>
          <w:sz w:val="32"/>
          <w:szCs w:val="32"/>
        </w:rPr>
        <w:lastRenderedPageBreak/>
        <w:t>Abstract:</w:t>
      </w:r>
    </w:p>
    <w:p w14:paraId="565D2B30" w14:textId="77777777" w:rsidR="00C844D9" w:rsidRDefault="00C844D9" w:rsidP="00C844D9">
      <w:pPr>
        <w:spacing w:line="360" w:lineRule="auto"/>
        <w:jc w:val="both"/>
        <w:rPr>
          <w:rFonts w:ascii="Times New Roman" w:hAnsi="Times New Roman" w:cs="Times New Roman"/>
        </w:rPr>
      </w:pPr>
      <w:r w:rsidRPr="00F44039">
        <w:rPr>
          <w:rFonts w:ascii="Times New Roman" w:hAnsi="Times New Roman" w:cs="Times New Roman"/>
        </w:rPr>
        <w:t>This placement project aimed to evaluate the Health, Safety, and Privacy (HSP) standards at Coldra Court Hotel and explore effective strategies to enhance these standards. A case study methodology was adopted, focusing on Coldra Court Hotel in South-East Wales. This approach enabled the integration of relevant literature, direct observations from the placement experience, and secondary data to develop a comprehensive understanding of how HSP standards are implemented and perceived within a</w:t>
      </w:r>
      <w:r>
        <w:rPr>
          <w:rFonts w:ascii="Times New Roman" w:hAnsi="Times New Roman" w:cs="Times New Roman"/>
        </w:rPr>
        <w:t xml:space="preserve"> </w:t>
      </w:r>
      <w:r w:rsidRPr="00F44039">
        <w:rPr>
          <w:rFonts w:ascii="Times New Roman" w:hAnsi="Times New Roman" w:cs="Times New Roman"/>
        </w:rPr>
        <w:t>mid-scale hotel environment.</w:t>
      </w:r>
      <w:r w:rsidRPr="00F44039">
        <w:rPr>
          <w:rFonts w:ascii="Times New Roman" w:hAnsi="Times New Roman" w:cs="Times New Roman"/>
        </w:rPr>
        <w:cr/>
        <w:t>A thematic analysis was employed to interpret and analyse the data. The findings confirmed that Coldra Court adheres to fundamental HSP requirements, such as compliance with UK health and safety regulations and the General Data Protection Regulation (GDPR) framework. However, the implementation of these standards was found to be inconsistent, and several</w:t>
      </w:r>
      <w:r>
        <w:rPr>
          <w:rFonts w:ascii="Times New Roman" w:hAnsi="Times New Roman" w:cs="Times New Roman"/>
        </w:rPr>
        <w:t xml:space="preserve">           </w:t>
      </w:r>
      <w:r w:rsidRPr="00F44039">
        <w:rPr>
          <w:rFonts w:ascii="Times New Roman" w:hAnsi="Times New Roman" w:cs="Times New Roman"/>
        </w:rPr>
        <w:t xml:space="preserve"> industry</w:t>
      </w:r>
      <w:r>
        <w:rPr>
          <w:rFonts w:ascii="Times New Roman" w:hAnsi="Times New Roman" w:cs="Times New Roman"/>
        </w:rPr>
        <w:t xml:space="preserve"> </w:t>
      </w:r>
      <w:r w:rsidRPr="00F44039">
        <w:rPr>
          <w:rFonts w:ascii="Times New Roman" w:hAnsi="Times New Roman" w:cs="Times New Roman"/>
        </w:rPr>
        <w:t>best</w:t>
      </w:r>
      <w:r>
        <w:rPr>
          <w:rFonts w:ascii="Times New Roman" w:hAnsi="Times New Roman" w:cs="Times New Roman"/>
        </w:rPr>
        <w:t xml:space="preserve"> </w:t>
      </w:r>
      <w:r w:rsidRPr="00F44039">
        <w:rPr>
          <w:rFonts w:ascii="Times New Roman" w:hAnsi="Times New Roman" w:cs="Times New Roman"/>
        </w:rPr>
        <w:t>practices were notably absent.</w:t>
      </w:r>
      <w:r>
        <w:rPr>
          <w:rFonts w:ascii="Times New Roman" w:hAnsi="Times New Roman" w:cs="Times New Roman"/>
        </w:rPr>
        <w:t xml:space="preserve"> </w:t>
      </w:r>
      <w:r w:rsidRPr="00F44039">
        <w:rPr>
          <w:rFonts w:ascii="Times New Roman" w:hAnsi="Times New Roman" w:cs="Times New Roman"/>
        </w:rPr>
        <w:t>The analysis also revealed that HSP standards have a significant impact on guest behaviour. Positive guest experiences were largely attributed to staff professionalism and the cleanliness of public areas. Conversely, guest dissatisfaction was commonly linked to outdated infrastructure, a lack of structured operational practices, limited transparency in privacy policies, and the absence of modern digital tools.</w:t>
      </w:r>
      <w:r>
        <w:rPr>
          <w:rFonts w:ascii="Times New Roman" w:hAnsi="Times New Roman" w:cs="Times New Roman"/>
        </w:rPr>
        <w:t xml:space="preserve"> </w:t>
      </w:r>
      <w:r w:rsidRPr="00F44039">
        <w:rPr>
          <w:rFonts w:ascii="Times New Roman" w:hAnsi="Times New Roman" w:cs="Times New Roman"/>
        </w:rPr>
        <w:t xml:space="preserve">The project concluded with a set of recommendations aimed at improving HSP standards at </w:t>
      </w:r>
      <w:proofErr w:type="spellStart"/>
      <w:r w:rsidRPr="00F44039">
        <w:rPr>
          <w:rFonts w:ascii="Times New Roman" w:hAnsi="Times New Roman" w:cs="Times New Roman"/>
        </w:rPr>
        <w:t>Coldra</w:t>
      </w:r>
      <w:proofErr w:type="spellEnd"/>
      <w:r w:rsidRPr="00F44039">
        <w:rPr>
          <w:rFonts w:ascii="Times New Roman" w:hAnsi="Times New Roman" w:cs="Times New Roman"/>
        </w:rPr>
        <w:t xml:space="preserve"> Court Hotel.</w:t>
      </w:r>
    </w:p>
    <w:p w14:paraId="4F4EC182" w14:textId="77777777" w:rsidR="00C844D9" w:rsidRDefault="00C844D9" w:rsidP="00C844D9">
      <w:pPr>
        <w:pStyle w:val="Heading1"/>
        <w:tabs>
          <w:tab w:val="left" w:pos="1965"/>
        </w:tabs>
      </w:pPr>
    </w:p>
    <w:p w14:paraId="1B626661" w14:textId="77777777" w:rsidR="00C844D9" w:rsidRDefault="00C844D9" w:rsidP="00C844D9"/>
    <w:p w14:paraId="28FE5C06" w14:textId="77777777" w:rsidR="00C844D9" w:rsidRDefault="00C844D9" w:rsidP="00C844D9"/>
    <w:p w14:paraId="411D2247" w14:textId="77777777" w:rsidR="00C844D9" w:rsidRDefault="00C844D9" w:rsidP="00C844D9"/>
    <w:p w14:paraId="15B8DE4E" w14:textId="77777777" w:rsidR="00C844D9" w:rsidRDefault="00C844D9" w:rsidP="00C844D9"/>
    <w:p w14:paraId="70350803" w14:textId="77777777" w:rsidR="00C844D9" w:rsidRDefault="00C844D9" w:rsidP="00C844D9"/>
    <w:p w14:paraId="3D814557" w14:textId="77777777" w:rsidR="00C844D9" w:rsidRDefault="00C844D9" w:rsidP="00C844D9"/>
    <w:p w14:paraId="234DE3F6" w14:textId="77777777" w:rsidR="00C844D9" w:rsidRDefault="00C844D9" w:rsidP="00C844D9"/>
    <w:p w14:paraId="7E2F2789" w14:textId="77777777" w:rsidR="00C844D9" w:rsidRPr="007421C9" w:rsidRDefault="00C844D9" w:rsidP="00C844D9"/>
    <w:p w14:paraId="6CFB4912" w14:textId="77777777" w:rsidR="00980150" w:rsidRDefault="00980150" w:rsidP="00980150">
      <w:pPr>
        <w:pStyle w:val="TOCHeading"/>
        <w:rPr>
          <w:rFonts w:ascii="Times New Roman" w:eastAsiaTheme="minorHAnsi" w:hAnsi="Times New Roman" w:cstheme="minorBidi"/>
          <w:color w:val="auto"/>
          <w:kern w:val="2"/>
          <w:sz w:val="24"/>
          <w:szCs w:val="24"/>
          <w14:ligatures w14:val="standardContextual"/>
        </w:rPr>
      </w:pPr>
    </w:p>
    <w:p w14:paraId="1DD66FE6" w14:textId="77777777" w:rsidR="00174902" w:rsidRPr="00174902" w:rsidRDefault="00174902" w:rsidP="00174902"/>
    <w:sdt>
      <w:sdtPr>
        <w:rPr>
          <w:rFonts w:asciiTheme="minorHAnsi" w:eastAsiaTheme="minorHAnsi" w:hAnsiTheme="minorHAnsi" w:cstheme="minorBidi"/>
          <w:color w:val="auto"/>
          <w:kern w:val="2"/>
          <w:sz w:val="24"/>
          <w:szCs w:val="24"/>
          <w14:ligatures w14:val="standardContextual"/>
        </w:rPr>
        <w:id w:val="-208721604"/>
        <w:docPartObj>
          <w:docPartGallery w:val="Table of Contents"/>
          <w:docPartUnique/>
        </w:docPartObj>
      </w:sdtPr>
      <w:sdtEndPr>
        <w:rPr>
          <w:b/>
          <w:bCs/>
          <w:noProof/>
        </w:rPr>
      </w:sdtEndPr>
      <w:sdtContent>
        <w:p w14:paraId="7497CE01" w14:textId="02AECCBA" w:rsidR="00E15230" w:rsidRPr="00174902" w:rsidRDefault="00174902" w:rsidP="00174902">
          <w:pPr>
            <w:pStyle w:val="TOCHeading"/>
            <w:spacing w:line="360" w:lineRule="auto"/>
            <w:rPr>
              <w:rFonts w:ascii="Times New Roman" w:hAnsi="Times New Roman" w:cs="Times New Roman"/>
              <w:b/>
              <w:bCs/>
            </w:rPr>
          </w:pPr>
          <w:r w:rsidRPr="00174902">
            <w:rPr>
              <w:rFonts w:ascii="Times New Roman" w:hAnsi="Times New Roman" w:cs="Times New Roman"/>
              <w:b/>
              <w:bCs/>
            </w:rPr>
            <w:t xml:space="preserve">Table of </w:t>
          </w:r>
          <w:r w:rsidR="00E15230" w:rsidRPr="00174902">
            <w:rPr>
              <w:rFonts w:ascii="Times New Roman" w:hAnsi="Times New Roman" w:cs="Times New Roman"/>
              <w:b/>
              <w:bCs/>
            </w:rPr>
            <w:t>Contents</w:t>
          </w:r>
        </w:p>
        <w:p w14:paraId="73280DD2" w14:textId="0C33D09F" w:rsidR="00174902" w:rsidRPr="00042DE4" w:rsidRDefault="00E15230" w:rsidP="00C5596E">
          <w:pPr>
            <w:pStyle w:val="TOC1"/>
            <w:rPr>
              <w:rFonts w:eastAsiaTheme="minorEastAsia"/>
              <w:lang w:eastAsia="en-GB"/>
            </w:rPr>
          </w:pPr>
          <w:r>
            <w:fldChar w:fldCharType="begin"/>
          </w:r>
          <w:r>
            <w:instrText xml:space="preserve"> TOC \o "1-3" \h \z \u </w:instrText>
          </w:r>
          <w:r>
            <w:fldChar w:fldCharType="separate"/>
          </w:r>
          <w:hyperlink w:anchor="_Toc200551615" w:history="1">
            <w:r w:rsidR="00174902" w:rsidRPr="00042DE4">
              <w:rPr>
                <w:rStyle w:val="Hyperlink"/>
              </w:rPr>
              <w:t>1. Introduction</w:t>
            </w:r>
            <w:r w:rsidR="00174902" w:rsidRPr="00042DE4">
              <w:rPr>
                <w:webHidden/>
              </w:rPr>
              <w:tab/>
            </w:r>
            <w:r w:rsidR="00174902" w:rsidRPr="00042DE4">
              <w:rPr>
                <w:webHidden/>
              </w:rPr>
              <w:fldChar w:fldCharType="begin"/>
            </w:r>
            <w:r w:rsidR="00174902" w:rsidRPr="00042DE4">
              <w:rPr>
                <w:webHidden/>
              </w:rPr>
              <w:instrText xml:space="preserve"> PAGEREF _Toc200551615 \h </w:instrText>
            </w:r>
            <w:r w:rsidR="00174902" w:rsidRPr="00042DE4">
              <w:rPr>
                <w:webHidden/>
              </w:rPr>
            </w:r>
            <w:r w:rsidR="00174902" w:rsidRPr="00042DE4">
              <w:rPr>
                <w:webHidden/>
              </w:rPr>
              <w:fldChar w:fldCharType="separate"/>
            </w:r>
            <w:r w:rsidR="00042DE4">
              <w:rPr>
                <w:webHidden/>
              </w:rPr>
              <w:t>7</w:t>
            </w:r>
            <w:r w:rsidR="00174902" w:rsidRPr="00042DE4">
              <w:rPr>
                <w:webHidden/>
              </w:rPr>
              <w:fldChar w:fldCharType="end"/>
            </w:r>
          </w:hyperlink>
        </w:p>
        <w:p w14:paraId="4447B354" w14:textId="6824D685" w:rsidR="00174902" w:rsidRPr="00042DE4" w:rsidRDefault="00174902" w:rsidP="00174902">
          <w:pPr>
            <w:pStyle w:val="TOC2"/>
            <w:tabs>
              <w:tab w:val="right" w:leader="dot" w:pos="9016"/>
            </w:tabs>
            <w:rPr>
              <w:rFonts w:eastAsiaTheme="minorEastAsia" w:cs="Times New Roman"/>
              <w:noProof/>
              <w:lang w:eastAsia="en-GB"/>
            </w:rPr>
          </w:pPr>
          <w:hyperlink w:anchor="_Toc200551616" w:history="1">
            <w:r w:rsidRPr="00042DE4">
              <w:rPr>
                <w:rStyle w:val="Hyperlink"/>
                <w:rFonts w:cs="Times New Roman"/>
                <w:noProof/>
              </w:rPr>
              <w:t>1.1 Background</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_Toc200551616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7</w:t>
            </w:r>
            <w:r w:rsidRPr="00042DE4">
              <w:rPr>
                <w:rFonts w:cs="Times New Roman"/>
                <w:noProof/>
                <w:webHidden/>
              </w:rPr>
              <w:fldChar w:fldCharType="end"/>
            </w:r>
          </w:hyperlink>
        </w:p>
        <w:p w14:paraId="0DB77F86" w14:textId="78B18EDE" w:rsidR="00174902" w:rsidRPr="00042DE4" w:rsidRDefault="00174902">
          <w:pPr>
            <w:pStyle w:val="TOC2"/>
            <w:tabs>
              <w:tab w:val="right" w:leader="dot" w:pos="9016"/>
            </w:tabs>
            <w:rPr>
              <w:rFonts w:eastAsiaTheme="minorEastAsia" w:cs="Times New Roman"/>
              <w:noProof/>
              <w:lang w:eastAsia="en-GB"/>
            </w:rPr>
          </w:pPr>
          <w:hyperlink w:anchor="_Toc200551618" w:history="1">
            <w:r w:rsidRPr="00042DE4">
              <w:rPr>
                <w:rStyle w:val="Hyperlink"/>
                <w:rFonts w:cs="Times New Roman"/>
                <w:noProof/>
              </w:rPr>
              <w:t>1.2 Aim and Objectives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_Toc200551618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7</w:t>
            </w:r>
            <w:r w:rsidRPr="00042DE4">
              <w:rPr>
                <w:rFonts w:cs="Times New Roman"/>
                <w:noProof/>
                <w:webHidden/>
              </w:rPr>
              <w:fldChar w:fldCharType="end"/>
            </w:r>
          </w:hyperlink>
        </w:p>
        <w:p w14:paraId="53A401A2" w14:textId="226FC4AC" w:rsidR="00174902" w:rsidRPr="00042DE4" w:rsidRDefault="00174902">
          <w:pPr>
            <w:pStyle w:val="TOC2"/>
            <w:tabs>
              <w:tab w:val="right" w:leader="dot" w:pos="9016"/>
            </w:tabs>
            <w:rPr>
              <w:rFonts w:eastAsiaTheme="minorEastAsia" w:cs="Times New Roman"/>
              <w:noProof/>
              <w:lang w:eastAsia="en-GB"/>
            </w:rPr>
          </w:pPr>
          <w:hyperlink w:anchor="_Toc200551619" w:history="1">
            <w:r w:rsidRPr="00042DE4">
              <w:rPr>
                <w:rStyle w:val="Hyperlink"/>
                <w:rFonts w:cs="Times New Roman"/>
                <w:noProof/>
              </w:rPr>
              <w:t>1.3 Research questions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_Toc200551619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8</w:t>
            </w:r>
            <w:r w:rsidRPr="00042DE4">
              <w:rPr>
                <w:rFonts w:cs="Times New Roman"/>
                <w:noProof/>
                <w:webHidden/>
              </w:rPr>
              <w:fldChar w:fldCharType="end"/>
            </w:r>
          </w:hyperlink>
        </w:p>
        <w:p w14:paraId="55DF8868" w14:textId="78D599AE" w:rsidR="00174902" w:rsidRPr="00042DE4" w:rsidRDefault="00174902">
          <w:pPr>
            <w:pStyle w:val="TOC2"/>
            <w:tabs>
              <w:tab w:val="right" w:leader="dot" w:pos="9016"/>
            </w:tabs>
            <w:rPr>
              <w:rFonts w:eastAsiaTheme="minorEastAsia" w:cs="Times New Roman"/>
              <w:noProof/>
              <w:lang w:eastAsia="en-GB"/>
            </w:rPr>
          </w:pPr>
          <w:hyperlink w:anchor="_Toc200551620" w:history="1">
            <w:r w:rsidRPr="00042DE4">
              <w:rPr>
                <w:rStyle w:val="Hyperlink"/>
                <w:rFonts w:cs="Times New Roman"/>
                <w:noProof/>
              </w:rPr>
              <w:t>1.4 Report Structure</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_Toc200551620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8</w:t>
            </w:r>
            <w:r w:rsidRPr="00042DE4">
              <w:rPr>
                <w:rFonts w:cs="Times New Roman"/>
                <w:noProof/>
                <w:webHidden/>
              </w:rPr>
              <w:fldChar w:fldCharType="end"/>
            </w:r>
          </w:hyperlink>
        </w:p>
        <w:p w14:paraId="7B80CE7A" w14:textId="7E2997E9" w:rsidR="00174902" w:rsidRPr="00042DE4" w:rsidRDefault="00174902" w:rsidP="00C5596E">
          <w:pPr>
            <w:pStyle w:val="TOC1"/>
            <w:rPr>
              <w:rFonts w:eastAsiaTheme="minorEastAsia"/>
              <w:lang w:eastAsia="en-GB"/>
            </w:rPr>
          </w:pPr>
          <w:hyperlink w:anchor="_Toc200551621" w:history="1">
            <w:r w:rsidRPr="00042DE4">
              <w:rPr>
                <w:rStyle w:val="Hyperlink"/>
              </w:rPr>
              <w:t>2. Literature review</w:t>
            </w:r>
            <w:r w:rsidRPr="00042DE4">
              <w:rPr>
                <w:webHidden/>
              </w:rPr>
              <w:tab/>
            </w:r>
            <w:r w:rsidRPr="00042DE4">
              <w:rPr>
                <w:webHidden/>
              </w:rPr>
              <w:fldChar w:fldCharType="begin"/>
            </w:r>
            <w:r w:rsidRPr="00042DE4">
              <w:rPr>
                <w:webHidden/>
              </w:rPr>
              <w:instrText xml:space="preserve"> PAGEREF _Toc200551621 \h </w:instrText>
            </w:r>
            <w:r w:rsidRPr="00042DE4">
              <w:rPr>
                <w:webHidden/>
              </w:rPr>
            </w:r>
            <w:r w:rsidRPr="00042DE4">
              <w:rPr>
                <w:webHidden/>
              </w:rPr>
              <w:fldChar w:fldCharType="separate"/>
            </w:r>
            <w:r w:rsidR="00042DE4">
              <w:rPr>
                <w:webHidden/>
              </w:rPr>
              <w:t>9</w:t>
            </w:r>
            <w:r w:rsidRPr="00042DE4">
              <w:rPr>
                <w:webHidden/>
              </w:rPr>
              <w:fldChar w:fldCharType="end"/>
            </w:r>
          </w:hyperlink>
        </w:p>
        <w:p w14:paraId="5A40C50D" w14:textId="0140AC84" w:rsidR="00174902" w:rsidRPr="00042DE4" w:rsidRDefault="00174902" w:rsidP="00174902">
          <w:pPr>
            <w:pStyle w:val="TOC2"/>
            <w:tabs>
              <w:tab w:val="right" w:leader="dot" w:pos="9016"/>
            </w:tabs>
            <w:rPr>
              <w:rFonts w:eastAsiaTheme="minorEastAsia" w:cs="Times New Roman"/>
              <w:noProof/>
              <w:lang w:eastAsia="en-GB"/>
            </w:rPr>
          </w:pPr>
          <w:hyperlink w:anchor="_Toc200551622" w:history="1">
            <w:r w:rsidRPr="00042DE4">
              <w:rPr>
                <w:rStyle w:val="Hyperlink"/>
                <w:rFonts w:eastAsia="Times New Roman" w:cs="Times New Roman"/>
                <w:iCs/>
                <w:noProof/>
              </w:rPr>
              <w:t>2.1 Introduction</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_Toc200551622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9</w:t>
            </w:r>
            <w:r w:rsidRPr="00042DE4">
              <w:rPr>
                <w:rFonts w:cs="Times New Roman"/>
                <w:noProof/>
                <w:webHidden/>
              </w:rPr>
              <w:fldChar w:fldCharType="end"/>
            </w:r>
          </w:hyperlink>
        </w:p>
        <w:p w14:paraId="4DFEAD7D" w14:textId="56BE2AD5" w:rsidR="00174902" w:rsidRPr="00042DE4" w:rsidRDefault="00174902" w:rsidP="00C5596E">
          <w:pPr>
            <w:pStyle w:val="TOC2"/>
            <w:tabs>
              <w:tab w:val="right" w:leader="dot" w:pos="9016"/>
            </w:tabs>
            <w:rPr>
              <w:rFonts w:eastAsiaTheme="minorEastAsia" w:cs="Times New Roman"/>
              <w:noProof/>
              <w:lang w:eastAsia="en-GB"/>
            </w:rPr>
          </w:pPr>
          <w:hyperlink w:anchor="_Toc200551624" w:history="1">
            <w:r w:rsidRPr="00042DE4">
              <w:rPr>
                <w:rStyle w:val="Hyperlink"/>
                <w:rFonts w:eastAsia="Times New Roman" w:cs="Times New Roman"/>
                <w:iCs/>
                <w:noProof/>
              </w:rPr>
              <w:t>2.2 Health and Hygiene Standards in Hotels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_Toc200551624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9</w:t>
            </w:r>
            <w:r w:rsidRPr="00042DE4">
              <w:rPr>
                <w:rFonts w:cs="Times New Roman"/>
                <w:noProof/>
                <w:webHidden/>
              </w:rPr>
              <w:fldChar w:fldCharType="end"/>
            </w:r>
          </w:hyperlink>
        </w:p>
        <w:p w14:paraId="7C50CAEE" w14:textId="768FE969" w:rsidR="00174902" w:rsidRPr="00042DE4" w:rsidRDefault="00174902" w:rsidP="00C5596E">
          <w:pPr>
            <w:pStyle w:val="TOC2"/>
            <w:tabs>
              <w:tab w:val="right" w:leader="dot" w:pos="9016"/>
            </w:tabs>
            <w:rPr>
              <w:rFonts w:eastAsiaTheme="minorEastAsia" w:cs="Times New Roman"/>
              <w:noProof/>
              <w:lang w:eastAsia="en-GB"/>
            </w:rPr>
          </w:pPr>
          <w:hyperlink w:anchor="_Toc200551626" w:history="1">
            <w:r w:rsidRPr="00042DE4">
              <w:rPr>
                <w:rStyle w:val="Hyperlink"/>
                <w:rFonts w:eastAsia="Times New Roman" w:cs="Times New Roman"/>
                <w:iCs/>
                <w:noProof/>
              </w:rPr>
              <w:t>2.3 Guest Safety and Risk Management</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_Toc200551626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10</w:t>
            </w:r>
            <w:r w:rsidRPr="00042DE4">
              <w:rPr>
                <w:rFonts w:cs="Times New Roman"/>
                <w:noProof/>
                <w:webHidden/>
              </w:rPr>
              <w:fldChar w:fldCharType="end"/>
            </w:r>
          </w:hyperlink>
        </w:p>
        <w:p w14:paraId="4285FE21" w14:textId="633C3EAF" w:rsidR="00174902" w:rsidRPr="00042DE4" w:rsidRDefault="00174902">
          <w:pPr>
            <w:pStyle w:val="TOC2"/>
            <w:tabs>
              <w:tab w:val="right" w:leader="dot" w:pos="9016"/>
            </w:tabs>
            <w:rPr>
              <w:rFonts w:eastAsiaTheme="minorEastAsia" w:cs="Times New Roman"/>
              <w:noProof/>
              <w:lang w:eastAsia="en-GB"/>
            </w:rPr>
          </w:pPr>
          <w:hyperlink w:anchor="_Toc200551628" w:history="1">
            <w:r w:rsidRPr="00042DE4">
              <w:rPr>
                <w:rStyle w:val="Hyperlink"/>
                <w:rFonts w:eastAsia="Times New Roman" w:cs="Times New Roman"/>
                <w:iCs/>
                <w:noProof/>
              </w:rPr>
              <w:t>2.4 Digital Privacy and Cybersecurity in Hospitality</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_Toc200551628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10</w:t>
            </w:r>
            <w:r w:rsidRPr="00042DE4">
              <w:rPr>
                <w:rFonts w:cs="Times New Roman"/>
                <w:noProof/>
                <w:webHidden/>
              </w:rPr>
              <w:fldChar w:fldCharType="end"/>
            </w:r>
          </w:hyperlink>
        </w:p>
        <w:p w14:paraId="3BEAA16F" w14:textId="6DBA0C14" w:rsidR="00174902" w:rsidRPr="00042DE4" w:rsidRDefault="00174902" w:rsidP="00C5596E">
          <w:pPr>
            <w:pStyle w:val="TOC2"/>
            <w:tabs>
              <w:tab w:val="right" w:leader="dot" w:pos="9016"/>
            </w:tabs>
            <w:rPr>
              <w:rFonts w:eastAsiaTheme="minorEastAsia" w:cs="Times New Roman"/>
              <w:noProof/>
              <w:lang w:eastAsia="en-GB"/>
            </w:rPr>
          </w:pPr>
          <w:hyperlink w:anchor="_Toc200551629" w:history="1">
            <w:r w:rsidRPr="00042DE4">
              <w:rPr>
                <w:rStyle w:val="Hyperlink"/>
                <w:rFonts w:eastAsia="Times New Roman" w:cs="Times New Roman"/>
                <w:iCs/>
                <w:noProof/>
              </w:rPr>
              <w:t>2.5 Role of Technology in Enhancing HSP</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_Toc200551629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11</w:t>
            </w:r>
            <w:r w:rsidRPr="00042DE4">
              <w:rPr>
                <w:rFonts w:cs="Times New Roman"/>
                <w:noProof/>
                <w:webHidden/>
              </w:rPr>
              <w:fldChar w:fldCharType="end"/>
            </w:r>
          </w:hyperlink>
        </w:p>
        <w:p w14:paraId="333FED7A" w14:textId="44AC8871" w:rsidR="00174902" w:rsidRPr="00042DE4" w:rsidRDefault="00174902">
          <w:pPr>
            <w:pStyle w:val="TOC2"/>
            <w:tabs>
              <w:tab w:val="right" w:leader="dot" w:pos="9016"/>
            </w:tabs>
            <w:rPr>
              <w:rFonts w:eastAsiaTheme="minorEastAsia" w:cs="Times New Roman"/>
              <w:noProof/>
              <w:lang w:eastAsia="en-GB"/>
            </w:rPr>
          </w:pPr>
          <w:hyperlink w:anchor="_Toc200551631" w:history="1">
            <w:r w:rsidRPr="00042DE4">
              <w:rPr>
                <w:rStyle w:val="Hyperlink"/>
                <w:rFonts w:eastAsia="Times New Roman" w:cs="Times New Roman"/>
                <w:iCs/>
                <w:noProof/>
              </w:rPr>
              <w:t>2.6 Staff Training and Safety Culture</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_Toc200551631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11</w:t>
            </w:r>
            <w:r w:rsidRPr="00042DE4">
              <w:rPr>
                <w:rFonts w:cs="Times New Roman"/>
                <w:noProof/>
                <w:webHidden/>
              </w:rPr>
              <w:fldChar w:fldCharType="end"/>
            </w:r>
          </w:hyperlink>
        </w:p>
        <w:p w14:paraId="5370A9E8" w14:textId="268675DF" w:rsidR="00174902" w:rsidRPr="00042DE4" w:rsidRDefault="00174902" w:rsidP="00C5596E">
          <w:pPr>
            <w:pStyle w:val="TOC2"/>
            <w:tabs>
              <w:tab w:val="right" w:leader="dot" w:pos="9016"/>
            </w:tabs>
            <w:rPr>
              <w:rFonts w:eastAsiaTheme="minorEastAsia" w:cs="Times New Roman"/>
              <w:noProof/>
              <w:lang w:eastAsia="en-GB"/>
            </w:rPr>
          </w:pPr>
          <w:hyperlink w:anchor="_Toc200551632" w:history="1">
            <w:r w:rsidRPr="00042DE4">
              <w:rPr>
                <w:rStyle w:val="Hyperlink"/>
                <w:rFonts w:eastAsia="Times New Roman" w:cs="Times New Roman"/>
                <w:iCs/>
                <w:noProof/>
              </w:rPr>
              <w:t>2.8 Conclusion</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_Toc200551632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12</w:t>
            </w:r>
            <w:r w:rsidRPr="00042DE4">
              <w:rPr>
                <w:rFonts w:cs="Times New Roman"/>
                <w:noProof/>
                <w:webHidden/>
              </w:rPr>
              <w:fldChar w:fldCharType="end"/>
            </w:r>
          </w:hyperlink>
        </w:p>
        <w:p w14:paraId="243309CA" w14:textId="235E238A" w:rsidR="00174902" w:rsidRPr="00042DE4" w:rsidRDefault="00174902" w:rsidP="00C5596E">
          <w:pPr>
            <w:pStyle w:val="TOC1"/>
            <w:rPr>
              <w:rFonts w:eastAsiaTheme="minorEastAsia"/>
              <w:lang w:eastAsia="en-GB"/>
            </w:rPr>
          </w:pPr>
          <w:hyperlink w:anchor="_Toc200551634" w:history="1">
            <w:r w:rsidRPr="00042DE4">
              <w:rPr>
                <w:rStyle w:val="Hyperlink"/>
              </w:rPr>
              <w:t>3. Methodology</w:t>
            </w:r>
            <w:r w:rsidRPr="00042DE4">
              <w:rPr>
                <w:webHidden/>
              </w:rPr>
              <w:tab/>
            </w:r>
            <w:r w:rsidRPr="00042DE4">
              <w:rPr>
                <w:webHidden/>
              </w:rPr>
              <w:fldChar w:fldCharType="begin"/>
            </w:r>
            <w:r w:rsidRPr="00042DE4">
              <w:rPr>
                <w:webHidden/>
              </w:rPr>
              <w:instrText xml:space="preserve"> PAGEREF _Toc200551634 \h </w:instrText>
            </w:r>
            <w:r w:rsidRPr="00042DE4">
              <w:rPr>
                <w:webHidden/>
              </w:rPr>
            </w:r>
            <w:r w:rsidRPr="00042DE4">
              <w:rPr>
                <w:webHidden/>
              </w:rPr>
              <w:fldChar w:fldCharType="separate"/>
            </w:r>
            <w:r w:rsidR="00042DE4">
              <w:rPr>
                <w:webHidden/>
              </w:rPr>
              <w:t>13</w:t>
            </w:r>
            <w:r w:rsidRPr="00042DE4">
              <w:rPr>
                <w:webHidden/>
              </w:rPr>
              <w:fldChar w:fldCharType="end"/>
            </w:r>
          </w:hyperlink>
        </w:p>
        <w:p w14:paraId="550B626C" w14:textId="4FAF64B6" w:rsidR="00174902" w:rsidRPr="00042DE4" w:rsidRDefault="00174902">
          <w:pPr>
            <w:pStyle w:val="TOC2"/>
            <w:tabs>
              <w:tab w:val="right" w:leader="dot" w:pos="9016"/>
            </w:tabs>
            <w:rPr>
              <w:rFonts w:eastAsiaTheme="minorEastAsia" w:cs="Times New Roman"/>
              <w:noProof/>
              <w:lang w:eastAsia="en-GB"/>
            </w:rPr>
          </w:pPr>
          <w:hyperlink w:anchor="_Toc200551635" w:history="1">
            <w:r w:rsidRPr="00042DE4">
              <w:rPr>
                <w:rStyle w:val="Hyperlink"/>
                <w:rFonts w:cs="Times New Roman"/>
                <w:noProof/>
              </w:rPr>
              <w:t>3.1 Case study methodology</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_Toc200551635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13</w:t>
            </w:r>
            <w:r w:rsidRPr="00042DE4">
              <w:rPr>
                <w:rFonts w:cs="Times New Roman"/>
                <w:noProof/>
                <w:webHidden/>
              </w:rPr>
              <w:fldChar w:fldCharType="end"/>
            </w:r>
          </w:hyperlink>
        </w:p>
        <w:p w14:paraId="30CBB37C" w14:textId="155BA187" w:rsidR="00174902" w:rsidRPr="00042DE4" w:rsidRDefault="00174902">
          <w:pPr>
            <w:pStyle w:val="TOC2"/>
            <w:tabs>
              <w:tab w:val="right" w:leader="dot" w:pos="9016"/>
            </w:tabs>
            <w:rPr>
              <w:rFonts w:eastAsiaTheme="minorEastAsia" w:cs="Times New Roman"/>
              <w:noProof/>
              <w:lang w:eastAsia="en-GB"/>
            </w:rPr>
          </w:pPr>
          <w:hyperlink w:anchor="_Toc200551636" w:history="1">
            <w:r w:rsidRPr="00042DE4">
              <w:rPr>
                <w:rStyle w:val="Hyperlink"/>
                <w:rFonts w:cs="Times New Roman"/>
                <w:noProof/>
              </w:rPr>
              <w:t>3.2 Data collection</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_Toc200551636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13</w:t>
            </w:r>
            <w:r w:rsidRPr="00042DE4">
              <w:rPr>
                <w:rFonts w:cs="Times New Roman"/>
                <w:noProof/>
                <w:webHidden/>
              </w:rPr>
              <w:fldChar w:fldCharType="end"/>
            </w:r>
          </w:hyperlink>
        </w:p>
        <w:p w14:paraId="11B16541" w14:textId="6225AB67" w:rsidR="00174902" w:rsidRPr="00042DE4" w:rsidRDefault="00174902">
          <w:pPr>
            <w:pStyle w:val="TOC2"/>
            <w:tabs>
              <w:tab w:val="right" w:leader="dot" w:pos="9016"/>
            </w:tabs>
            <w:rPr>
              <w:rFonts w:eastAsiaTheme="minorEastAsia" w:cs="Times New Roman"/>
              <w:noProof/>
              <w:lang w:eastAsia="en-GB"/>
            </w:rPr>
          </w:pPr>
          <w:hyperlink w:anchor="_Toc200551637" w:history="1">
            <w:r w:rsidRPr="00042DE4">
              <w:rPr>
                <w:rStyle w:val="Hyperlink"/>
                <w:rFonts w:cs="Times New Roman"/>
                <w:noProof/>
              </w:rPr>
              <w:t>3.3 Data analysis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_Toc200551637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13</w:t>
            </w:r>
            <w:r w:rsidRPr="00042DE4">
              <w:rPr>
                <w:rFonts w:cs="Times New Roman"/>
                <w:noProof/>
                <w:webHidden/>
              </w:rPr>
              <w:fldChar w:fldCharType="end"/>
            </w:r>
          </w:hyperlink>
        </w:p>
        <w:p w14:paraId="5D8633D8" w14:textId="1CC5E97A" w:rsidR="00174902" w:rsidRPr="00042DE4" w:rsidRDefault="00174902">
          <w:pPr>
            <w:pStyle w:val="TOC2"/>
            <w:tabs>
              <w:tab w:val="right" w:leader="dot" w:pos="9016"/>
            </w:tabs>
            <w:rPr>
              <w:rFonts w:eastAsiaTheme="minorEastAsia" w:cs="Times New Roman"/>
              <w:noProof/>
              <w:lang w:eastAsia="en-GB"/>
            </w:rPr>
          </w:pPr>
          <w:hyperlink w:anchor="_Toc200551638" w:history="1">
            <w:r w:rsidRPr="00042DE4">
              <w:rPr>
                <w:rStyle w:val="Hyperlink"/>
                <w:rFonts w:cs="Times New Roman"/>
                <w:noProof/>
              </w:rPr>
              <w:t>3.4 Ethical considerations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_Toc200551638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14</w:t>
            </w:r>
            <w:r w:rsidRPr="00042DE4">
              <w:rPr>
                <w:rFonts w:cs="Times New Roman"/>
                <w:noProof/>
                <w:webHidden/>
              </w:rPr>
              <w:fldChar w:fldCharType="end"/>
            </w:r>
          </w:hyperlink>
        </w:p>
        <w:p w14:paraId="007FDF62" w14:textId="1B6AB486" w:rsidR="00174902" w:rsidRPr="00042DE4" w:rsidRDefault="00174902">
          <w:pPr>
            <w:pStyle w:val="TOC2"/>
            <w:tabs>
              <w:tab w:val="right" w:leader="dot" w:pos="9016"/>
            </w:tabs>
            <w:rPr>
              <w:rFonts w:eastAsiaTheme="minorEastAsia" w:cs="Times New Roman"/>
              <w:noProof/>
              <w:lang w:eastAsia="en-GB"/>
            </w:rPr>
          </w:pPr>
          <w:hyperlink w:anchor="_Toc200551639" w:history="1">
            <w:r w:rsidRPr="00042DE4">
              <w:rPr>
                <w:rStyle w:val="Hyperlink"/>
                <w:rFonts w:cs="Times New Roman"/>
                <w:noProof/>
              </w:rPr>
              <w:t>3.5 Limitations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_Toc200551639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14</w:t>
            </w:r>
            <w:r w:rsidRPr="00042DE4">
              <w:rPr>
                <w:rFonts w:cs="Times New Roman"/>
                <w:noProof/>
                <w:webHidden/>
              </w:rPr>
              <w:fldChar w:fldCharType="end"/>
            </w:r>
          </w:hyperlink>
        </w:p>
        <w:p w14:paraId="44A95405" w14:textId="6F22B782" w:rsidR="00174902" w:rsidRPr="00042DE4" w:rsidRDefault="00174902" w:rsidP="00C5596E">
          <w:pPr>
            <w:pStyle w:val="TOC1"/>
            <w:rPr>
              <w:rFonts w:eastAsiaTheme="minorEastAsia"/>
              <w:lang w:eastAsia="en-GB"/>
            </w:rPr>
          </w:pPr>
          <w:hyperlink w:anchor="_Toc200551640" w:history="1">
            <w:r w:rsidRPr="00042DE4">
              <w:rPr>
                <w:rStyle w:val="Hyperlink"/>
              </w:rPr>
              <w:t>4. Case Study Analysis – Coldra Court Hotel</w:t>
            </w:r>
            <w:r w:rsidRPr="00042DE4">
              <w:rPr>
                <w:webHidden/>
              </w:rPr>
              <w:tab/>
            </w:r>
            <w:r w:rsidRPr="00042DE4">
              <w:rPr>
                <w:webHidden/>
              </w:rPr>
              <w:fldChar w:fldCharType="begin"/>
            </w:r>
            <w:r w:rsidRPr="00042DE4">
              <w:rPr>
                <w:webHidden/>
              </w:rPr>
              <w:instrText xml:space="preserve"> PAGEREF _Toc200551640 \h </w:instrText>
            </w:r>
            <w:r w:rsidRPr="00042DE4">
              <w:rPr>
                <w:webHidden/>
              </w:rPr>
            </w:r>
            <w:r w:rsidRPr="00042DE4">
              <w:rPr>
                <w:webHidden/>
              </w:rPr>
              <w:fldChar w:fldCharType="separate"/>
            </w:r>
            <w:r w:rsidR="00042DE4">
              <w:rPr>
                <w:webHidden/>
              </w:rPr>
              <w:t>15</w:t>
            </w:r>
            <w:r w:rsidRPr="00042DE4">
              <w:rPr>
                <w:webHidden/>
              </w:rPr>
              <w:fldChar w:fldCharType="end"/>
            </w:r>
          </w:hyperlink>
        </w:p>
        <w:p w14:paraId="2F091E1C" w14:textId="336378E6" w:rsidR="00174902" w:rsidRPr="00042DE4" w:rsidRDefault="00174902">
          <w:pPr>
            <w:pStyle w:val="TOC2"/>
            <w:tabs>
              <w:tab w:val="right" w:leader="dot" w:pos="9016"/>
            </w:tabs>
            <w:rPr>
              <w:rFonts w:eastAsiaTheme="minorEastAsia" w:cs="Times New Roman"/>
              <w:noProof/>
              <w:lang w:eastAsia="en-GB"/>
            </w:rPr>
          </w:pPr>
          <w:hyperlink w:anchor="_Toc200551641" w:history="1">
            <w:r w:rsidRPr="00042DE4">
              <w:rPr>
                <w:rStyle w:val="Hyperlink"/>
                <w:rFonts w:cs="Times New Roman"/>
                <w:noProof/>
              </w:rPr>
              <w:t>4.1 Overview of Coldra Court Hotel</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_Toc200551641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15</w:t>
            </w:r>
            <w:r w:rsidRPr="00042DE4">
              <w:rPr>
                <w:rFonts w:cs="Times New Roman"/>
                <w:noProof/>
                <w:webHidden/>
              </w:rPr>
              <w:fldChar w:fldCharType="end"/>
            </w:r>
          </w:hyperlink>
        </w:p>
        <w:p w14:paraId="0BD4D265" w14:textId="52BE70F5" w:rsidR="00174902" w:rsidRPr="00042DE4" w:rsidRDefault="00174902">
          <w:pPr>
            <w:pStyle w:val="TOC2"/>
            <w:tabs>
              <w:tab w:val="right" w:leader="dot" w:pos="9016"/>
            </w:tabs>
            <w:rPr>
              <w:rFonts w:eastAsiaTheme="minorEastAsia" w:cs="Times New Roman"/>
              <w:noProof/>
              <w:lang w:eastAsia="en-GB"/>
            </w:rPr>
          </w:pPr>
          <w:hyperlink w:anchor="_Toc200551642" w:history="1">
            <w:r w:rsidRPr="00042DE4">
              <w:rPr>
                <w:rStyle w:val="Hyperlink"/>
                <w:rFonts w:cs="Times New Roman"/>
                <w:noProof/>
              </w:rPr>
              <w:t>4.2 SWOT Analysis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_Toc200551642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16</w:t>
            </w:r>
            <w:r w:rsidRPr="00042DE4">
              <w:rPr>
                <w:rFonts w:cs="Times New Roman"/>
                <w:noProof/>
                <w:webHidden/>
              </w:rPr>
              <w:fldChar w:fldCharType="end"/>
            </w:r>
          </w:hyperlink>
        </w:p>
        <w:p w14:paraId="7E982555" w14:textId="77CD0FC0" w:rsidR="00174902" w:rsidRPr="00042DE4" w:rsidRDefault="00174902">
          <w:pPr>
            <w:pStyle w:val="TOC2"/>
            <w:tabs>
              <w:tab w:val="right" w:leader="dot" w:pos="9016"/>
            </w:tabs>
            <w:rPr>
              <w:rFonts w:eastAsiaTheme="minorEastAsia" w:cs="Times New Roman"/>
              <w:noProof/>
              <w:lang w:eastAsia="en-GB"/>
            </w:rPr>
          </w:pPr>
          <w:hyperlink w:anchor="_Toc200551643" w:history="1">
            <w:r w:rsidRPr="00042DE4">
              <w:rPr>
                <w:rStyle w:val="Hyperlink"/>
                <w:rFonts w:cs="Times New Roman"/>
                <w:noProof/>
              </w:rPr>
              <w:t>4.3 PEST Analysis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_Toc200551643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18</w:t>
            </w:r>
            <w:r w:rsidRPr="00042DE4">
              <w:rPr>
                <w:rFonts w:cs="Times New Roman"/>
                <w:noProof/>
                <w:webHidden/>
              </w:rPr>
              <w:fldChar w:fldCharType="end"/>
            </w:r>
          </w:hyperlink>
        </w:p>
        <w:p w14:paraId="2DDD3A5F" w14:textId="4FC7105F" w:rsidR="00174902" w:rsidRPr="00042DE4" w:rsidRDefault="00174902">
          <w:pPr>
            <w:pStyle w:val="TOC2"/>
            <w:tabs>
              <w:tab w:val="right" w:leader="dot" w:pos="9016"/>
            </w:tabs>
            <w:rPr>
              <w:rFonts w:eastAsiaTheme="minorEastAsia" w:cs="Times New Roman"/>
              <w:noProof/>
              <w:lang w:eastAsia="en-GB"/>
            </w:rPr>
          </w:pPr>
          <w:hyperlink w:anchor="_Toc200551644" w:history="1">
            <w:r w:rsidRPr="00042DE4">
              <w:rPr>
                <w:rStyle w:val="Hyperlink"/>
                <w:rFonts w:cs="Times New Roman"/>
                <w:noProof/>
              </w:rPr>
              <w:t>4.4 Competitor Analysis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_Toc200551644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21</w:t>
            </w:r>
            <w:r w:rsidRPr="00042DE4">
              <w:rPr>
                <w:rFonts w:cs="Times New Roman"/>
                <w:noProof/>
                <w:webHidden/>
              </w:rPr>
              <w:fldChar w:fldCharType="end"/>
            </w:r>
          </w:hyperlink>
        </w:p>
        <w:p w14:paraId="1B15182B" w14:textId="05CC1FCA" w:rsidR="00174902" w:rsidRPr="00042DE4" w:rsidRDefault="00174902">
          <w:pPr>
            <w:pStyle w:val="TOC2"/>
            <w:tabs>
              <w:tab w:val="right" w:leader="dot" w:pos="9016"/>
            </w:tabs>
            <w:rPr>
              <w:rFonts w:eastAsiaTheme="minorEastAsia" w:cs="Times New Roman"/>
              <w:noProof/>
              <w:lang w:eastAsia="en-GB"/>
            </w:rPr>
          </w:pPr>
          <w:hyperlink w:anchor="_Toc200551645" w:history="1">
            <w:r w:rsidRPr="00042DE4">
              <w:rPr>
                <w:rStyle w:val="Hyperlink"/>
                <w:rFonts w:cs="Times New Roman"/>
                <w:noProof/>
              </w:rPr>
              <w:t>4.5 Observational Insights from Placement</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_Toc200551645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21</w:t>
            </w:r>
            <w:r w:rsidRPr="00042DE4">
              <w:rPr>
                <w:rFonts w:cs="Times New Roman"/>
                <w:noProof/>
                <w:webHidden/>
              </w:rPr>
              <w:fldChar w:fldCharType="end"/>
            </w:r>
          </w:hyperlink>
        </w:p>
        <w:p w14:paraId="134CF24E" w14:textId="3D2E482B" w:rsidR="00174902" w:rsidRPr="00042DE4" w:rsidRDefault="00174902">
          <w:pPr>
            <w:pStyle w:val="TOC2"/>
            <w:tabs>
              <w:tab w:val="right" w:leader="dot" w:pos="9016"/>
            </w:tabs>
            <w:rPr>
              <w:rFonts w:eastAsiaTheme="minorEastAsia" w:cs="Times New Roman"/>
              <w:noProof/>
              <w:lang w:eastAsia="en-GB"/>
            </w:rPr>
          </w:pPr>
          <w:hyperlink w:anchor="_Toc200551646" w:history="1">
            <w:r w:rsidRPr="00042DE4">
              <w:rPr>
                <w:rStyle w:val="Hyperlink"/>
                <w:rFonts w:cs="Times New Roman"/>
                <w:noProof/>
              </w:rPr>
              <w:t>4.6 Health and Safety Review</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_Toc200551646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22</w:t>
            </w:r>
            <w:r w:rsidRPr="00042DE4">
              <w:rPr>
                <w:rFonts w:cs="Times New Roman"/>
                <w:noProof/>
                <w:webHidden/>
              </w:rPr>
              <w:fldChar w:fldCharType="end"/>
            </w:r>
          </w:hyperlink>
        </w:p>
        <w:p w14:paraId="09F85529" w14:textId="3CBE27A7" w:rsidR="00174902" w:rsidRPr="00042DE4" w:rsidRDefault="00174902">
          <w:pPr>
            <w:pStyle w:val="TOC2"/>
            <w:tabs>
              <w:tab w:val="right" w:leader="dot" w:pos="9016"/>
            </w:tabs>
            <w:rPr>
              <w:rFonts w:eastAsiaTheme="minorEastAsia" w:cs="Times New Roman"/>
              <w:noProof/>
              <w:lang w:eastAsia="en-GB"/>
            </w:rPr>
          </w:pPr>
          <w:hyperlink w:anchor="_Toc200551647" w:history="1">
            <w:r w:rsidRPr="00042DE4">
              <w:rPr>
                <w:rStyle w:val="Hyperlink"/>
                <w:rFonts w:cs="Times New Roman"/>
                <w:noProof/>
              </w:rPr>
              <w:t>4.7 Data Privacy and Digital Security Practices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_Toc200551647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22</w:t>
            </w:r>
            <w:r w:rsidRPr="00042DE4">
              <w:rPr>
                <w:rFonts w:cs="Times New Roman"/>
                <w:noProof/>
                <w:webHidden/>
              </w:rPr>
              <w:fldChar w:fldCharType="end"/>
            </w:r>
          </w:hyperlink>
        </w:p>
        <w:p w14:paraId="16E7A990" w14:textId="42B91D3A" w:rsidR="00174902" w:rsidRPr="00042DE4" w:rsidRDefault="00174902">
          <w:pPr>
            <w:pStyle w:val="TOC2"/>
            <w:tabs>
              <w:tab w:val="right" w:leader="dot" w:pos="9016"/>
            </w:tabs>
            <w:rPr>
              <w:rFonts w:eastAsiaTheme="minorEastAsia" w:cs="Times New Roman"/>
              <w:noProof/>
              <w:lang w:eastAsia="en-GB"/>
            </w:rPr>
          </w:pPr>
          <w:hyperlink w:anchor="_Toc200551648" w:history="1">
            <w:r w:rsidRPr="00042DE4">
              <w:rPr>
                <w:rStyle w:val="Hyperlink"/>
                <w:rFonts w:cs="Times New Roman"/>
                <w:noProof/>
              </w:rPr>
              <w:t>4.8 Cultural and Organisational Influences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_Toc200551648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23</w:t>
            </w:r>
            <w:r w:rsidRPr="00042DE4">
              <w:rPr>
                <w:rFonts w:cs="Times New Roman"/>
                <w:noProof/>
                <w:webHidden/>
              </w:rPr>
              <w:fldChar w:fldCharType="end"/>
            </w:r>
          </w:hyperlink>
        </w:p>
        <w:p w14:paraId="5060BE78" w14:textId="577309F8" w:rsidR="00174902" w:rsidRPr="00042DE4" w:rsidRDefault="00174902">
          <w:pPr>
            <w:pStyle w:val="TOC2"/>
            <w:tabs>
              <w:tab w:val="right" w:leader="dot" w:pos="9016"/>
            </w:tabs>
            <w:rPr>
              <w:rFonts w:eastAsiaTheme="minorEastAsia" w:cs="Times New Roman"/>
              <w:noProof/>
              <w:lang w:eastAsia="en-GB"/>
            </w:rPr>
          </w:pPr>
          <w:hyperlink w:anchor="_Toc200551649" w:history="1">
            <w:r w:rsidRPr="00042DE4">
              <w:rPr>
                <w:rStyle w:val="Hyperlink"/>
                <w:rFonts w:cs="Times New Roman"/>
                <w:noProof/>
              </w:rPr>
              <w:t>4.9 Summary of Key Findings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_Toc200551649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23</w:t>
            </w:r>
            <w:r w:rsidRPr="00042DE4">
              <w:rPr>
                <w:rFonts w:cs="Times New Roman"/>
                <w:noProof/>
                <w:webHidden/>
              </w:rPr>
              <w:fldChar w:fldCharType="end"/>
            </w:r>
          </w:hyperlink>
        </w:p>
        <w:p w14:paraId="2A77F489" w14:textId="36630EE5" w:rsidR="00174902" w:rsidRPr="00042DE4" w:rsidRDefault="00174902">
          <w:pPr>
            <w:pStyle w:val="TOC2"/>
            <w:tabs>
              <w:tab w:val="right" w:leader="dot" w:pos="9016"/>
            </w:tabs>
            <w:rPr>
              <w:rFonts w:eastAsiaTheme="minorEastAsia" w:cs="Times New Roman"/>
              <w:noProof/>
              <w:lang w:eastAsia="en-GB"/>
            </w:rPr>
          </w:pPr>
          <w:hyperlink w:anchor="_Toc200551650" w:history="1">
            <w:r w:rsidRPr="00042DE4">
              <w:rPr>
                <w:rStyle w:val="Hyperlink"/>
                <w:rFonts w:cs="Times New Roman"/>
                <w:noProof/>
              </w:rPr>
              <w:t>4.10 Opportunities for Improvement</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_Toc200551650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23</w:t>
            </w:r>
            <w:r w:rsidRPr="00042DE4">
              <w:rPr>
                <w:rFonts w:cs="Times New Roman"/>
                <w:noProof/>
                <w:webHidden/>
              </w:rPr>
              <w:fldChar w:fldCharType="end"/>
            </w:r>
          </w:hyperlink>
        </w:p>
        <w:p w14:paraId="56ECF7AC" w14:textId="409DB960" w:rsidR="00174902" w:rsidRPr="00042DE4" w:rsidRDefault="00174902" w:rsidP="00C5596E">
          <w:pPr>
            <w:pStyle w:val="TOC1"/>
            <w:rPr>
              <w:rFonts w:eastAsiaTheme="minorEastAsia"/>
              <w:lang w:eastAsia="en-GB"/>
            </w:rPr>
          </w:pPr>
          <w:hyperlink w:anchor="_Toc200551651" w:history="1">
            <w:r w:rsidRPr="00042DE4">
              <w:rPr>
                <w:rStyle w:val="Hyperlink"/>
              </w:rPr>
              <w:t>5. Discussion</w:t>
            </w:r>
            <w:r w:rsidRPr="00042DE4">
              <w:rPr>
                <w:webHidden/>
              </w:rPr>
              <w:tab/>
            </w:r>
            <w:r w:rsidRPr="00042DE4">
              <w:rPr>
                <w:webHidden/>
              </w:rPr>
              <w:fldChar w:fldCharType="begin"/>
            </w:r>
            <w:r w:rsidRPr="00042DE4">
              <w:rPr>
                <w:webHidden/>
              </w:rPr>
              <w:instrText xml:space="preserve"> PAGEREF _Toc200551651 \h </w:instrText>
            </w:r>
            <w:r w:rsidRPr="00042DE4">
              <w:rPr>
                <w:webHidden/>
              </w:rPr>
            </w:r>
            <w:r w:rsidRPr="00042DE4">
              <w:rPr>
                <w:webHidden/>
              </w:rPr>
              <w:fldChar w:fldCharType="separate"/>
            </w:r>
            <w:r w:rsidR="00042DE4">
              <w:rPr>
                <w:webHidden/>
              </w:rPr>
              <w:t>24</w:t>
            </w:r>
            <w:r w:rsidRPr="00042DE4">
              <w:rPr>
                <w:webHidden/>
              </w:rPr>
              <w:fldChar w:fldCharType="end"/>
            </w:r>
          </w:hyperlink>
        </w:p>
        <w:p w14:paraId="5BE65B66" w14:textId="31F61B73" w:rsidR="00174902" w:rsidRPr="00042DE4" w:rsidRDefault="00174902">
          <w:pPr>
            <w:pStyle w:val="TOC2"/>
            <w:tabs>
              <w:tab w:val="right" w:leader="dot" w:pos="9016"/>
            </w:tabs>
            <w:rPr>
              <w:rFonts w:eastAsiaTheme="minorEastAsia" w:cs="Times New Roman"/>
              <w:noProof/>
              <w:lang w:eastAsia="en-GB"/>
            </w:rPr>
          </w:pPr>
          <w:hyperlink w:anchor="_Toc200551652" w:history="1">
            <w:r w:rsidRPr="00042DE4">
              <w:rPr>
                <w:rStyle w:val="Hyperlink"/>
                <w:rFonts w:cs="Times New Roman"/>
                <w:iCs/>
                <w:noProof/>
              </w:rPr>
              <w:t>5.1 Introduction</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_Toc200551652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24</w:t>
            </w:r>
            <w:r w:rsidRPr="00042DE4">
              <w:rPr>
                <w:rFonts w:cs="Times New Roman"/>
                <w:noProof/>
                <w:webHidden/>
              </w:rPr>
              <w:fldChar w:fldCharType="end"/>
            </w:r>
          </w:hyperlink>
        </w:p>
        <w:p w14:paraId="2F4D30B2" w14:textId="7A9CF29F" w:rsidR="00174902" w:rsidRPr="00042DE4" w:rsidRDefault="00174902">
          <w:pPr>
            <w:pStyle w:val="TOC2"/>
            <w:tabs>
              <w:tab w:val="right" w:leader="dot" w:pos="9016"/>
            </w:tabs>
            <w:rPr>
              <w:rFonts w:eastAsiaTheme="minorEastAsia" w:cs="Times New Roman"/>
              <w:noProof/>
              <w:lang w:eastAsia="en-GB"/>
            </w:rPr>
          </w:pPr>
          <w:hyperlink w:anchor="_Toc200551653" w:history="1">
            <w:r w:rsidRPr="00042DE4">
              <w:rPr>
                <w:rStyle w:val="Hyperlink"/>
                <w:rFonts w:cs="Times New Roman"/>
                <w:iCs/>
                <w:noProof/>
              </w:rPr>
              <w:t>5.2 Health and Hygiene Standards: Compliance, Gaps, and Guest Perception</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_Toc200551653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24</w:t>
            </w:r>
            <w:r w:rsidRPr="00042DE4">
              <w:rPr>
                <w:rFonts w:cs="Times New Roman"/>
                <w:noProof/>
                <w:webHidden/>
              </w:rPr>
              <w:fldChar w:fldCharType="end"/>
            </w:r>
          </w:hyperlink>
        </w:p>
        <w:p w14:paraId="3F51F1EF" w14:textId="21EDB14A" w:rsidR="00174902" w:rsidRPr="00042DE4" w:rsidRDefault="00174902">
          <w:pPr>
            <w:pStyle w:val="TOC2"/>
            <w:tabs>
              <w:tab w:val="right" w:leader="dot" w:pos="9016"/>
            </w:tabs>
            <w:rPr>
              <w:rFonts w:eastAsiaTheme="minorEastAsia" w:cs="Times New Roman"/>
              <w:noProof/>
              <w:lang w:eastAsia="en-GB"/>
            </w:rPr>
          </w:pPr>
          <w:hyperlink w:anchor="_Toc200551654" w:history="1">
            <w:r w:rsidRPr="00042DE4">
              <w:rPr>
                <w:rStyle w:val="Hyperlink"/>
                <w:rFonts w:cs="Times New Roman"/>
                <w:noProof/>
              </w:rPr>
              <w:t>5.3 Safety Management: Preparedness and Shortcomings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_Toc200551654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25</w:t>
            </w:r>
            <w:r w:rsidRPr="00042DE4">
              <w:rPr>
                <w:rFonts w:cs="Times New Roman"/>
                <w:noProof/>
                <w:webHidden/>
              </w:rPr>
              <w:fldChar w:fldCharType="end"/>
            </w:r>
          </w:hyperlink>
        </w:p>
        <w:p w14:paraId="45BB2C6D" w14:textId="2A4427DF" w:rsidR="00174902" w:rsidRPr="00042DE4" w:rsidRDefault="00174902">
          <w:pPr>
            <w:pStyle w:val="TOC2"/>
            <w:tabs>
              <w:tab w:val="right" w:leader="dot" w:pos="9016"/>
            </w:tabs>
            <w:rPr>
              <w:rFonts w:eastAsiaTheme="minorEastAsia" w:cs="Times New Roman"/>
              <w:noProof/>
              <w:lang w:eastAsia="en-GB"/>
            </w:rPr>
          </w:pPr>
          <w:hyperlink w:anchor="_Toc200551655" w:history="1">
            <w:r w:rsidRPr="00042DE4">
              <w:rPr>
                <w:rStyle w:val="Hyperlink"/>
                <w:rFonts w:cs="Times New Roman"/>
                <w:noProof/>
              </w:rPr>
              <w:t>5.4 Privacy and Data Protection</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_Toc200551655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25</w:t>
            </w:r>
            <w:r w:rsidRPr="00042DE4">
              <w:rPr>
                <w:rFonts w:cs="Times New Roman"/>
                <w:noProof/>
                <w:webHidden/>
              </w:rPr>
              <w:fldChar w:fldCharType="end"/>
            </w:r>
          </w:hyperlink>
        </w:p>
        <w:p w14:paraId="38A419D4" w14:textId="6D9F06B3" w:rsidR="00174902" w:rsidRPr="00042DE4" w:rsidRDefault="00174902">
          <w:pPr>
            <w:pStyle w:val="TOC2"/>
            <w:tabs>
              <w:tab w:val="right" w:leader="dot" w:pos="9016"/>
            </w:tabs>
            <w:rPr>
              <w:rFonts w:eastAsiaTheme="minorEastAsia" w:cs="Times New Roman"/>
              <w:noProof/>
              <w:lang w:eastAsia="en-GB"/>
            </w:rPr>
          </w:pPr>
          <w:hyperlink w:anchor="_Toc200551656" w:history="1">
            <w:r w:rsidRPr="00042DE4">
              <w:rPr>
                <w:rStyle w:val="Hyperlink"/>
                <w:rFonts w:cs="Times New Roman"/>
                <w:noProof/>
              </w:rPr>
              <w:t>5.5 Technology Integration: Opportunities and Lags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_Toc200551656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26</w:t>
            </w:r>
            <w:r w:rsidRPr="00042DE4">
              <w:rPr>
                <w:rFonts w:cs="Times New Roman"/>
                <w:noProof/>
                <w:webHidden/>
              </w:rPr>
              <w:fldChar w:fldCharType="end"/>
            </w:r>
          </w:hyperlink>
        </w:p>
        <w:p w14:paraId="0A7FB7C1" w14:textId="527CE4F6" w:rsidR="00174902" w:rsidRPr="00042DE4" w:rsidRDefault="00174902">
          <w:pPr>
            <w:pStyle w:val="TOC2"/>
            <w:tabs>
              <w:tab w:val="right" w:leader="dot" w:pos="9016"/>
            </w:tabs>
            <w:rPr>
              <w:rFonts w:eastAsiaTheme="minorEastAsia" w:cs="Times New Roman"/>
              <w:noProof/>
              <w:lang w:eastAsia="en-GB"/>
            </w:rPr>
          </w:pPr>
          <w:hyperlink w:anchor="_Toc200551657" w:history="1">
            <w:r w:rsidRPr="00042DE4">
              <w:rPr>
                <w:rStyle w:val="Hyperlink"/>
                <w:rFonts w:cs="Times New Roman"/>
                <w:noProof/>
              </w:rPr>
              <w:t>5.6 Staff Engagement and Safety Culture</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_Toc200551657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27</w:t>
            </w:r>
            <w:r w:rsidRPr="00042DE4">
              <w:rPr>
                <w:rFonts w:cs="Times New Roman"/>
                <w:noProof/>
                <w:webHidden/>
              </w:rPr>
              <w:fldChar w:fldCharType="end"/>
            </w:r>
          </w:hyperlink>
        </w:p>
        <w:p w14:paraId="60B92381" w14:textId="702D3362" w:rsidR="00174902" w:rsidRPr="00042DE4" w:rsidRDefault="00174902">
          <w:pPr>
            <w:pStyle w:val="TOC2"/>
            <w:tabs>
              <w:tab w:val="right" w:leader="dot" w:pos="9016"/>
            </w:tabs>
            <w:rPr>
              <w:rFonts w:eastAsiaTheme="minorEastAsia" w:cs="Times New Roman"/>
              <w:noProof/>
              <w:lang w:eastAsia="en-GB"/>
            </w:rPr>
          </w:pPr>
          <w:hyperlink w:anchor="_Toc200551658" w:history="1">
            <w:r w:rsidRPr="00042DE4">
              <w:rPr>
                <w:rStyle w:val="Hyperlink"/>
                <w:rFonts w:cs="Times New Roman"/>
                <w:noProof/>
              </w:rPr>
              <w:t>5.7 Competitor Benchmarking</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_Toc200551658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28</w:t>
            </w:r>
            <w:r w:rsidRPr="00042DE4">
              <w:rPr>
                <w:rFonts w:cs="Times New Roman"/>
                <w:noProof/>
                <w:webHidden/>
              </w:rPr>
              <w:fldChar w:fldCharType="end"/>
            </w:r>
          </w:hyperlink>
        </w:p>
        <w:p w14:paraId="3993F523" w14:textId="0C6A106A" w:rsidR="00174902" w:rsidRPr="00042DE4" w:rsidRDefault="00174902">
          <w:pPr>
            <w:pStyle w:val="TOC2"/>
            <w:tabs>
              <w:tab w:val="right" w:leader="dot" w:pos="9016"/>
            </w:tabs>
            <w:rPr>
              <w:rFonts w:eastAsiaTheme="minorEastAsia" w:cs="Times New Roman"/>
              <w:noProof/>
              <w:lang w:eastAsia="en-GB"/>
            </w:rPr>
          </w:pPr>
          <w:hyperlink w:anchor="_Toc200551659" w:history="1">
            <w:r w:rsidRPr="00042DE4">
              <w:rPr>
                <w:rStyle w:val="Hyperlink"/>
                <w:rFonts w:cs="Times New Roman"/>
                <w:noProof/>
              </w:rPr>
              <w:t>5.8 Guest Satisfaction and Behavioural Implications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_Toc200551659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29</w:t>
            </w:r>
            <w:r w:rsidRPr="00042DE4">
              <w:rPr>
                <w:rFonts w:cs="Times New Roman"/>
                <w:noProof/>
                <w:webHidden/>
              </w:rPr>
              <w:fldChar w:fldCharType="end"/>
            </w:r>
          </w:hyperlink>
        </w:p>
        <w:p w14:paraId="7C30216B" w14:textId="32054C7C" w:rsidR="00174902" w:rsidRPr="00042DE4" w:rsidRDefault="00174902">
          <w:pPr>
            <w:pStyle w:val="TOC2"/>
            <w:tabs>
              <w:tab w:val="right" w:leader="dot" w:pos="9016"/>
            </w:tabs>
            <w:rPr>
              <w:rFonts w:eastAsiaTheme="minorEastAsia" w:cs="Times New Roman"/>
              <w:noProof/>
              <w:lang w:eastAsia="en-GB"/>
            </w:rPr>
          </w:pPr>
          <w:hyperlink w:anchor="_Toc200551660" w:history="1">
            <w:r w:rsidRPr="00042DE4">
              <w:rPr>
                <w:rStyle w:val="Hyperlink"/>
                <w:rFonts w:cs="Times New Roman"/>
                <w:noProof/>
              </w:rPr>
              <w:t>5.9 Addressing the Research Questions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_Toc200551660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29</w:t>
            </w:r>
            <w:r w:rsidRPr="00042DE4">
              <w:rPr>
                <w:rFonts w:cs="Times New Roman"/>
                <w:noProof/>
                <w:webHidden/>
              </w:rPr>
              <w:fldChar w:fldCharType="end"/>
            </w:r>
          </w:hyperlink>
        </w:p>
        <w:p w14:paraId="5D7F00AD" w14:textId="00F671E0" w:rsidR="00174902" w:rsidRPr="00042DE4" w:rsidRDefault="00174902">
          <w:pPr>
            <w:pStyle w:val="TOC2"/>
            <w:tabs>
              <w:tab w:val="right" w:leader="dot" w:pos="9016"/>
            </w:tabs>
            <w:rPr>
              <w:rFonts w:eastAsiaTheme="minorEastAsia" w:cs="Times New Roman"/>
              <w:noProof/>
              <w:lang w:eastAsia="en-GB"/>
            </w:rPr>
          </w:pPr>
          <w:hyperlink w:anchor="_Toc200551661" w:history="1">
            <w:r w:rsidRPr="00042DE4">
              <w:rPr>
                <w:rStyle w:val="Hyperlink"/>
                <w:rFonts w:cs="Times New Roman"/>
                <w:noProof/>
              </w:rPr>
              <w:t>5.10 Summary</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_Toc200551661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30</w:t>
            </w:r>
            <w:r w:rsidRPr="00042DE4">
              <w:rPr>
                <w:rFonts w:cs="Times New Roman"/>
                <w:noProof/>
                <w:webHidden/>
              </w:rPr>
              <w:fldChar w:fldCharType="end"/>
            </w:r>
          </w:hyperlink>
        </w:p>
        <w:p w14:paraId="6C49E1F5" w14:textId="5D1971AF" w:rsidR="00174902" w:rsidRPr="00042DE4" w:rsidRDefault="00174902" w:rsidP="00C5596E">
          <w:pPr>
            <w:pStyle w:val="TOC1"/>
            <w:rPr>
              <w:rFonts w:eastAsiaTheme="minorEastAsia"/>
              <w:lang w:eastAsia="en-GB"/>
            </w:rPr>
          </w:pPr>
          <w:hyperlink w:anchor="_Toc200551662" w:history="1">
            <w:r w:rsidRPr="00042DE4">
              <w:rPr>
                <w:rStyle w:val="Hyperlink"/>
              </w:rPr>
              <w:t>6. Conclusion and Recommendations</w:t>
            </w:r>
            <w:r w:rsidRPr="00042DE4">
              <w:rPr>
                <w:webHidden/>
              </w:rPr>
              <w:tab/>
            </w:r>
            <w:r w:rsidRPr="00042DE4">
              <w:rPr>
                <w:webHidden/>
              </w:rPr>
              <w:fldChar w:fldCharType="begin"/>
            </w:r>
            <w:r w:rsidRPr="00042DE4">
              <w:rPr>
                <w:webHidden/>
              </w:rPr>
              <w:instrText xml:space="preserve"> PAGEREF _Toc200551662 \h </w:instrText>
            </w:r>
            <w:r w:rsidRPr="00042DE4">
              <w:rPr>
                <w:webHidden/>
              </w:rPr>
            </w:r>
            <w:r w:rsidRPr="00042DE4">
              <w:rPr>
                <w:webHidden/>
              </w:rPr>
              <w:fldChar w:fldCharType="separate"/>
            </w:r>
            <w:r w:rsidR="00042DE4">
              <w:rPr>
                <w:webHidden/>
              </w:rPr>
              <w:t>31</w:t>
            </w:r>
            <w:r w:rsidRPr="00042DE4">
              <w:rPr>
                <w:webHidden/>
              </w:rPr>
              <w:fldChar w:fldCharType="end"/>
            </w:r>
          </w:hyperlink>
        </w:p>
        <w:p w14:paraId="696E7088" w14:textId="76ADF6E2" w:rsidR="00174902" w:rsidRPr="00042DE4" w:rsidRDefault="00174902">
          <w:pPr>
            <w:pStyle w:val="TOC2"/>
            <w:tabs>
              <w:tab w:val="right" w:leader="dot" w:pos="9016"/>
            </w:tabs>
            <w:rPr>
              <w:rFonts w:eastAsiaTheme="minorEastAsia" w:cs="Times New Roman"/>
              <w:noProof/>
              <w:lang w:eastAsia="en-GB"/>
            </w:rPr>
          </w:pPr>
          <w:hyperlink w:anchor="_Toc200551663" w:history="1">
            <w:r w:rsidRPr="00042DE4">
              <w:rPr>
                <w:rStyle w:val="Hyperlink"/>
                <w:rFonts w:cs="Times New Roman"/>
                <w:noProof/>
              </w:rPr>
              <w:t>6.1 Conclusion</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_Toc200551663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31</w:t>
            </w:r>
            <w:r w:rsidRPr="00042DE4">
              <w:rPr>
                <w:rFonts w:cs="Times New Roman"/>
                <w:noProof/>
                <w:webHidden/>
              </w:rPr>
              <w:fldChar w:fldCharType="end"/>
            </w:r>
          </w:hyperlink>
        </w:p>
        <w:p w14:paraId="4CE00D69" w14:textId="16A09596" w:rsidR="00174902" w:rsidRPr="00042DE4" w:rsidRDefault="00174902">
          <w:pPr>
            <w:pStyle w:val="TOC2"/>
            <w:tabs>
              <w:tab w:val="right" w:leader="dot" w:pos="9016"/>
            </w:tabs>
            <w:rPr>
              <w:rFonts w:eastAsiaTheme="minorEastAsia" w:cs="Times New Roman"/>
              <w:noProof/>
              <w:lang w:eastAsia="en-GB"/>
            </w:rPr>
          </w:pPr>
          <w:hyperlink w:anchor="_Toc200551664" w:history="1">
            <w:r w:rsidRPr="00042DE4">
              <w:rPr>
                <w:rStyle w:val="Hyperlink"/>
                <w:rFonts w:cs="Times New Roman"/>
                <w:noProof/>
              </w:rPr>
              <w:t>6.2 Recommendations and Practical Strategies</w:t>
            </w:r>
            <w:r w:rsidRPr="00042DE4">
              <w:rPr>
                <w:rFonts w:cs="Times New Roman"/>
                <w:noProof/>
                <w:webHidden/>
              </w:rPr>
              <w:tab/>
            </w:r>
            <w:r w:rsidRPr="00042DE4">
              <w:rPr>
                <w:rFonts w:cs="Times New Roman"/>
                <w:noProof/>
                <w:webHidden/>
              </w:rPr>
              <w:fldChar w:fldCharType="begin"/>
            </w:r>
            <w:r w:rsidRPr="00042DE4">
              <w:rPr>
                <w:rFonts w:cs="Times New Roman"/>
                <w:noProof/>
                <w:webHidden/>
              </w:rPr>
              <w:instrText xml:space="preserve"> PAGEREF _Toc200551664 \h </w:instrText>
            </w:r>
            <w:r w:rsidRPr="00042DE4">
              <w:rPr>
                <w:rFonts w:cs="Times New Roman"/>
                <w:noProof/>
                <w:webHidden/>
              </w:rPr>
            </w:r>
            <w:r w:rsidRPr="00042DE4">
              <w:rPr>
                <w:rFonts w:cs="Times New Roman"/>
                <w:noProof/>
                <w:webHidden/>
              </w:rPr>
              <w:fldChar w:fldCharType="separate"/>
            </w:r>
            <w:r w:rsidR="00042DE4">
              <w:rPr>
                <w:rFonts w:cs="Times New Roman"/>
                <w:noProof/>
                <w:webHidden/>
              </w:rPr>
              <w:t>31</w:t>
            </w:r>
            <w:r w:rsidRPr="00042DE4">
              <w:rPr>
                <w:rFonts w:cs="Times New Roman"/>
                <w:noProof/>
                <w:webHidden/>
              </w:rPr>
              <w:fldChar w:fldCharType="end"/>
            </w:r>
          </w:hyperlink>
        </w:p>
        <w:p w14:paraId="4A6F6696" w14:textId="2F0A9741" w:rsidR="00174902" w:rsidRDefault="00174902" w:rsidP="00C5596E">
          <w:pPr>
            <w:pStyle w:val="TOC1"/>
            <w:rPr>
              <w:rFonts w:asciiTheme="minorHAnsi" w:eastAsiaTheme="minorEastAsia" w:hAnsiTheme="minorHAnsi"/>
              <w:lang w:eastAsia="en-GB"/>
            </w:rPr>
          </w:pPr>
          <w:hyperlink w:anchor="_Toc200551665" w:history="1">
            <w:r w:rsidRPr="00042DE4">
              <w:rPr>
                <w:rStyle w:val="Hyperlink"/>
              </w:rPr>
              <w:t>References</w:t>
            </w:r>
            <w:r w:rsidRPr="00042DE4">
              <w:rPr>
                <w:webHidden/>
              </w:rPr>
              <w:tab/>
            </w:r>
            <w:r w:rsidRPr="00042DE4">
              <w:rPr>
                <w:webHidden/>
              </w:rPr>
              <w:fldChar w:fldCharType="begin"/>
            </w:r>
            <w:r w:rsidRPr="00042DE4">
              <w:rPr>
                <w:webHidden/>
              </w:rPr>
              <w:instrText xml:space="preserve"> PAGEREF _Toc200551665 \h </w:instrText>
            </w:r>
            <w:r w:rsidRPr="00042DE4">
              <w:rPr>
                <w:webHidden/>
              </w:rPr>
            </w:r>
            <w:r w:rsidRPr="00042DE4">
              <w:rPr>
                <w:webHidden/>
              </w:rPr>
              <w:fldChar w:fldCharType="separate"/>
            </w:r>
            <w:r w:rsidR="00042DE4">
              <w:rPr>
                <w:webHidden/>
              </w:rPr>
              <w:t>35</w:t>
            </w:r>
            <w:r w:rsidRPr="00042DE4">
              <w:rPr>
                <w:webHidden/>
              </w:rPr>
              <w:fldChar w:fldCharType="end"/>
            </w:r>
          </w:hyperlink>
        </w:p>
        <w:p w14:paraId="7EC6E901" w14:textId="2EBF627C" w:rsidR="00E15230" w:rsidRDefault="00E15230">
          <w:r>
            <w:rPr>
              <w:b/>
              <w:bCs/>
              <w:noProof/>
            </w:rPr>
            <w:fldChar w:fldCharType="end"/>
          </w:r>
        </w:p>
      </w:sdtContent>
    </w:sdt>
    <w:p w14:paraId="720CA46F" w14:textId="15726F44" w:rsidR="00C844D9" w:rsidRPr="004E142E" w:rsidRDefault="00C844D9" w:rsidP="00C844D9">
      <w:pPr>
        <w:pStyle w:val="Heading1"/>
        <w:rPr>
          <w:rFonts w:ascii="Times New Roman" w:hAnsi="Times New Roman" w:cs="Times New Roman"/>
          <w:b/>
          <w:bCs/>
          <w:color w:val="auto"/>
          <w:sz w:val="32"/>
          <w:szCs w:val="32"/>
        </w:rPr>
      </w:pPr>
      <w:bookmarkStart w:id="0" w:name="_Toc200551615"/>
      <w:r w:rsidRPr="004E142E">
        <w:rPr>
          <w:rFonts w:ascii="Times New Roman" w:hAnsi="Times New Roman" w:cs="Times New Roman"/>
          <w:b/>
          <w:bCs/>
          <w:color w:val="auto"/>
          <w:sz w:val="32"/>
          <w:szCs w:val="32"/>
        </w:rPr>
        <w:lastRenderedPageBreak/>
        <w:t>1. Introduction</w:t>
      </w:r>
      <w:bookmarkEnd w:id="0"/>
      <w:r w:rsidRPr="004E142E">
        <w:rPr>
          <w:rFonts w:ascii="Times New Roman" w:hAnsi="Times New Roman" w:cs="Times New Roman"/>
          <w:b/>
          <w:bCs/>
          <w:color w:val="auto"/>
          <w:sz w:val="32"/>
          <w:szCs w:val="32"/>
        </w:rPr>
        <w:t xml:space="preserve"> </w:t>
      </w:r>
    </w:p>
    <w:p w14:paraId="6A0D254A" w14:textId="77777777" w:rsidR="00C844D9" w:rsidRPr="004E142E" w:rsidRDefault="00C844D9" w:rsidP="00C844D9">
      <w:pPr>
        <w:pStyle w:val="Heading2"/>
        <w:rPr>
          <w:rFonts w:ascii="Times New Roman" w:hAnsi="Times New Roman" w:cs="Times New Roman"/>
          <w:b/>
          <w:bCs/>
          <w:color w:val="auto"/>
          <w:sz w:val="28"/>
          <w:szCs w:val="28"/>
        </w:rPr>
      </w:pPr>
      <w:bookmarkStart w:id="1" w:name="_Toc200551616"/>
      <w:r w:rsidRPr="004E142E">
        <w:rPr>
          <w:rFonts w:ascii="Times New Roman" w:hAnsi="Times New Roman" w:cs="Times New Roman"/>
          <w:b/>
          <w:bCs/>
          <w:color w:val="auto"/>
          <w:sz w:val="28"/>
          <w:szCs w:val="28"/>
        </w:rPr>
        <w:t>1.1 Background</w:t>
      </w:r>
      <w:bookmarkEnd w:id="1"/>
      <w:r w:rsidRPr="004E142E">
        <w:rPr>
          <w:rFonts w:ascii="Times New Roman" w:hAnsi="Times New Roman" w:cs="Times New Roman"/>
          <w:b/>
          <w:bCs/>
          <w:color w:val="auto"/>
          <w:sz w:val="28"/>
          <w:szCs w:val="28"/>
        </w:rPr>
        <w:t xml:space="preserve"> </w:t>
      </w:r>
    </w:p>
    <w:p w14:paraId="155C888A" w14:textId="77777777" w:rsidR="00C844D9" w:rsidRPr="0059198B" w:rsidRDefault="00C844D9" w:rsidP="00C844D9">
      <w:pPr>
        <w:pStyle w:val="Heading2"/>
        <w:spacing w:line="360" w:lineRule="auto"/>
        <w:jc w:val="both"/>
        <w:rPr>
          <w:rFonts w:ascii="Times New Roman" w:hAnsi="Times New Roman" w:cs="Times New Roman"/>
          <w:color w:val="000000" w:themeColor="text1"/>
          <w:sz w:val="24"/>
          <w:szCs w:val="24"/>
        </w:rPr>
      </w:pPr>
      <w:bookmarkStart w:id="2" w:name="_Toc200551201"/>
      <w:bookmarkStart w:id="3" w:name="_Toc200551617"/>
      <w:r w:rsidRPr="0059198B">
        <w:rPr>
          <w:rFonts w:ascii="Times New Roman" w:hAnsi="Times New Roman" w:cs="Times New Roman"/>
          <w:color w:val="000000" w:themeColor="text1"/>
          <w:sz w:val="24"/>
          <w:szCs w:val="24"/>
        </w:rPr>
        <w:t xml:space="preserve">The </w:t>
      </w:r>
      <w:r w:rsidRPr="0059198B">
        <w:rPr>
          <w:rStyle w:val="Strong"/>
          <w:rFonts w:ascii="Times New Roman" w:hAnsi="Times New Roman" w:cs="Times New Roman"/>
          <w:b w:val="0"/>
          <w:bCs w:val="0"/>
          <w:color w:val="000000" w:themeColor="text1"/>
          <w:sz w:val="24"/>
          <w:szCs w:val="24"/>
        </w:rPr>
        <w:t>hospitality industry</w:t>
      </w:r>
      <w:r w:rsidRPr="0059198B">
        <w:rPr>
          <w:rFonts w:ascii="Times New Roman" w:hAnsi="Times New Roman" w:cs="Times New Roman"/>
          <w:color w:val="000000" w:themeColor="text1"/>
          <w:sz w:val="24"/>
          <w:szCs w:val="24"/>
        </w:rPr>
        <w:t xml:space="preserve"> is a highly</w:t>
      </w:r>
      <w:r w:rsidRPr="0059198B">
        <w:rPr>
          <w:rFonts w:ascii="Times New Roman" w:hAnsi="Times New Roman" w:cs="Times New Roman"/>
          <w:b/>
          <w:bCs/>
          <w:color w:val="000000" w:themeColor="text1"/>
          <w:sz w:val="24"/>
          <w:szCs w:val="24"/>
        </w:rPr>
        <w:t xml:space="preserve"> </w:t>
      </w:r>
      <w:r w:rsidRPr="0059198B">
        <w:rPr>
          <w:rStyle w:val="Strong"/>
          <w:rFonts w:ascii="Times New Roman" w:hAnsi="Times New Roman" w:cs="Times New Roman"/>
          <w:b w:val="0"/>
          <w:bCs w:val="0"/>
          <w:color w:val="000000" w:themeColor="text1"/>
          <w:sz w:val="24"/>
          <w:szCs w:val="24"/>
        </w:rPr>
        <w:t>service-oriented sector</w:t>
      </w:r>
      <w:r w:rsidRPr="0059198B">
        <w:rPr>
          <w:rFonts w:ascii="Times New Roman" w:hAnsi="Times New Roman" w:cs="Times New Roman"/>
          <w:color w:val="000000" w:themeColor="text1"/>
          <w:sz w:val="24"/>
          <w:szCs w:val="24"/>
        </w:rPr>
        <w:t xml:space="preserve"> in which </w:t>
      </w:r>
      <w:r w:rsidRPr="0059198B">
        <w:rPr>
          <w:rStyle w:val="Strong"/>
          <w:rFonts w:ascii="Times New Roman" w:hAnsi="Times New Roman" w:cs="Times New Roman"/>
          <w:b w:val="0"/>
          <w:bCs w:val="0"/>
          <w:color w:val="000000" w:themeColor="text1"/>
          <w:sz w:val="24"/>
          <w:szCs w:val="24"/>
        </w:rPr>
        <w:t>guest satisfaction</w:t>
      </w:r>
      <w:r w:rsidRPr="0059198B">
        <w:rPr>
          <w:rFonts w:ascii="Times New Roman" w:hAnsi="Times New Roman" w:cs="Times New Roman"/>
          <w:color w:val="000000" w:themeColor="text1"/>
          <w:sz w:val="24"/>
          <w:szCs w:val="24"/>
        </w:rPr>
        <w:t xml:space="preserve"> and </w:t>
      </w:r>
      <w:r w:rsidRPr="0059198B">
        <w:rPr>
          <w:rStyle w:val="Strong"/>
          <w:rFonts w:ascii="Times New Roman" w:hAnsi="Times New Roman" w:cs="Times New Roman"/>
          <w:b w:val="0"/>
          <w:bCs w:val="0"/>
          <w:color w:val="000000" w:themeColor="text1"/>
          <w:sz w:val="24"/>
          <w:szCs w:val="24"/>
        </w:rPr>
        <w:t>operational safety</w:t>
      </w:r>
      <w:r w:rsidRPr="0059198B">
        <w:rPr>
          <w:rFonts w:ascii="Times New Roman" w:hAnsi="Times New Roman" w:cs="Times New Roman"/>
          <w:color w:val="000000" w:themeColor="text1"/>
          <w:sz w:val="24"/>
          <w:szCs w:val="24"/>
        </w:rPr>
        <w:t xml:space="preserve"> are closely interlinked. In recent years, the concepts of</w:t>
      </w:r>
      <w:r w:rsidRPr="0059198B">
        <w:rPr>
          <w:rFonts w:ascii="Times New Roman" w:hAnsi="Times New Roman" w:cs="Times New Roman"/>
          <w:b/>
          <w:bCs/>
          <w:color w:val="000000" w:themeColor="text1"/>
          <w:sz w:val="24"/>
          <w:szCs w:val="24"/>
        </w:rPr>
        <w:t xml:space="preserve"> </w:t>
      </w:r>
      <w:r w:rsidRPr="0059198B">
        <w:rPr>
          <w:rStyle w:val="Strong"/>
          <w:rFonts w:ascii="Times New Roman" w:hAnsi="Times New Roman" w:cs="Times New Roman"/>
          <w:b w:val="0"/>
          <w:bCs w:val="0"/>
          <w:color w:val="000000" w:themeColor="text1"/>
          <w:sz w:val="24"/>
          <w:szCs w:val="24"/>
        </w:rPr>
        <w:t>health, safety, and</w:t>
      </w:r>
      <w:r w:rsidRPr="0059198B">
        <w:rPr>
          <w:rStyle w:val="Strong"/>
          <w:rFonts w:ascii="Times New Roman" w:hAnsi="Times New Roman" w:cs="Times New Roman"/>
          <w:color w:val="000000" w:themeColor="text1"/>
          <w:sz w:val="24"/>
          <w:szCs w:val="24"/>
        </w:rPr>
        <w:t xml:space="preserve"> </w:t>
      </w:r>
      <w:r w:rsidRPr="0059198B">
        <w:rPr>
          <w:rStyle w:val="Strong"/>
          <w:rFonts w:ascii="Times New Roman" w:hAnsi="Times New Roman" w:cs="Times New Roman"/>
          <w:b w:val="0"/>
          <w:bCs w:val="0"/>
          <w:color w:val="000000" w:themeColor="text1"/>
          <w:sz w:val="24"/>
          <w:szCs w:val="24"/>
        </w:rPr>
        <w:t>privacy</w:t>
      </w:r>
      <w:r w:rsidRPr="0059198B">
        <w:rPr>
          <w:rFonts w:ascii="Times New Roman" w:hAnsi="Times New Roman" w:cs="Times New Roman"/>
          <w:color w:val="000000" w:themeColor="text1"/>
          <w:sz w:val="24"/>
          <w:szCs w:val="24"/>
        </w:rPr>
        <w:t xml:space="preserve"> have received increased attention due to global disruptions such as the </w:t>
      </w:r>
      <w:r w:rsidRPr="0059198B">
        <w:rPr>
          <w:rStyle w:val="Strong"/>
          <w:rFonts w:ascii="Times New Roman" w:hAnsi="Times New Roman" w:cs="Times New Roman"/>
          <w:b w:val="0"/>
          <w:bCs w:val="0"/>
          <w:color w:val="000000" w:themeColor="text1"/>
          <w:sz w:val="24"/>
          <w:szCs w:val="24"/>
        </w:rPr>
        <w:t>COVID-19</w:t>
      </w:r>
      <w:r w:rsidRPr="0059198B">
        <w:rPr>
          <w:rStyle w:val="Strong"/>
          <w:rFonts w:ascii="Times New Roman" w:hAnsi="Times New Roman" w:cs="Times New Roman"/>
          <w:color w:val="000000" w:themeColor="text1"/>
          <w:sz w:val="24"/>
          <w:szCs w:val="24"/>
        </w:rPr>
        <w:t xml:space="preserve"> </w:t>
      </w:r>
      <w:r w:rsidRPr="0059198B">
        <w:rPr>
          <w:rStyle w:val="Strong"/>
          <w:rFonts w:ascii="Times New Roman" w:hAnsi="Times New Roman" w:cs="Times New Roman"/>
          <w:b w:val="0"/>
          <w:bCs w:val="0"/>
          <w:color w:val="000000" w:themeColor="text1"/>
          <w:sz w:val="24"/>
          <w:szCs w:val="24"/>
        </w:rPr>
        <w:t>pandemic</w:t>
      </w:r>
      <w:r w:rsidRPr="0059198B">
        <w:rPr>
          <w:rFonts w:ascii="Times New Roman" w:hAnsi="Times New Roman" w:cs="Times New Roman"/>
          <w:b/>
          <w:bCs/>
          <w:color w:val="000000" w:themeColor="text1"/>
          <w:sz w:val="24"/>
          <w:szCs w:val="24"/>
        </w:rPr>
        <w:t>,</w:t>
      </w:r>
      <w:r w:rsidRPr="0059198B">
        <w:rPr>
          <w:rFonts w:ascii="Times New Roman" w:hAnsi="Times New Roman" w:cs="Times New Roman"/>
          <w:color w:val="000000" w:themeColor="text1"/>
          <w:sz w:val="24"/>
          <w:szCs w:val="24"/>
        </w:rPr>
        <w:t xml:space="preserve"> rapid</w:t>
      </w:r>
      <w:r w:rsidRPr="0059198B">
        <w:rPr>
          <w:rFonts w:ascii="Times New Roman" w:hAnsi="Times New Roman" w:cs="Times New Roman"/>
          <w:b/>
          <w:bCs/>
          <w:color w:val="000000" w:themeColor="text1"/>
          <w:sz w:val="24"/>
          <w:szCs w:val="24"/>
        </w:rPr>
        <w:t xml:space="preserve"> </w:t>
      </w:r>
      <w:r w:rsidRPr="0059198B">
        <w:rPr>
          <w:rStyle w:val="Strong"/>
          <w:rFonts w:ascii="Times New Roman" w:hAnsi="Times New Roman" w:cs="Times New Roman"/>
          <w:b w:val="0"/>
          <w:bCs w:val="0"/>
          <w:color w:val="000000" w:themeColor="text1"/>
          <w:sz w:val="24"/>
          <w:szCs w:val="24"/>
        </w:rPr>
        <w:t>technological advancements</w:t>
      </w:r>
      <w:r w:rsidRPr="0059198B">
        <w:rPr>
          <w:rFonts w:ascii="Times New Roman" w:hAnsi="Times New Roman" w:cs="Times New Roman"/>
          <w:color w:val="000000" w:themeColor="text1"/>
          <w:sz w:val="24"/>
          <w:szCs w:val="24"/>
        </w:rPr>
        <w:t xml:space="preserve">, and evolving </w:t>
      </w:r>
      <w:r w:rsidRPr="0059198B">
        <w:rPr>
          <w:rStyle w:val="Strong"/>
          <w:rFonts w:ascii="Times New Roman" w:hAnsi="Times New Roman" w:cs="Times New Roman"/>
          <w:b w:val="0"/>
          <w:bCs w:val="0"/>
          <w:color w:val="000000" w:themeColor="text1"/>
          <w:sz w:val="24"/>
          <w:szCs w:val="24"/>
        </w:rPr>
        <w:t>consumer expectations</w:t>
      </w:r>
      <w:r w:rsidRPr="0059198B">
        <w:rPr>
          <w:rFonts w:ascii="Times New Roman" w:hAnsi="Times New Roman" w:cs="Times New Roman"/>
          <w:color w:val="000000" w:themeColor="text1"/>
          <w:sz w:val="24"/>
          <w:szCs w:val="24"/>
        </w:rPr>
        <w:t xml:space="preserve">. According to Jones and Comfort (2021), the pandemic has permanently influenced perceptions surrounding hygiene and guest well-being. As a result, hotels face continuous pressure to deliver </w:t>
      </w:r>
      <w:r w:rsidRPr="0059198B">
        <w:rPr>
          <w:rStyle w:val="Strong"/>
          <w:rFonts w:ascii="Times New Roman" w:hAnsi="Times New Roman" w:cs="Times New Roman"/>
          <w:b w:val="0"/>
          <w:bCs w:val="0"/>
          <w:color w:val="000000" w:themeColor="text1"/>
          <w:sz w:val="24"/>
          <w:szCs w:val="24"/>
        </w:rPr>
        <w:t>visible and verifiable</w:t>
      </w:r>
      <w:r w:rsidRPr="0059198B">
        <w:rPr>
          <w:rFonts w:ascii="Times New Roman" w:hAnsi="Times New Roman" w:cs="Times New Roman"/>
          <w:color w:val="000000" w:themeColor="text1"/>
          <w:sz w:val="24"/>
          <w:szCs w:val="24"/>
        </w:rPr>
        <w:t xml:space="preserve"> health and safety standards.</w:t>
      </w:r>
      <w:bookmarkEnd w:id="2"/>
      <w:bookmarkEnd w:id="3"/>
    </w:p>
    <w:p w14:paraId="19EEC4E4" w14:textId="77777777" w:rsidR="00C844D9" w:rsidRPr="0059198B" w:rsidRDefault="00C844D9" w:rsidP="00C844D9">
      <w:pPr>
        <w:pStyle w:val="NormalWeb"/>
        <w:spacing w:line="360" w:lineRule="auto"/>
        <w:jc w:val="both"/>
        <w:rPr>
          <w:b/>
          <w:bCs/>
        </w:rPr>
      </w:pPr>
      <w:r w:rsidRPr="0059198B">
        <w:t>Simultaneously, the</w:t>
      </w:r>
      <w:r w:rsidRPr="0059198B">
        <w:rPr>
          <w:b/>
          <w:bCs/>
        </w:rPr>
        <w:t xml:space="preserve"> </w:t>
      </w:r>
      <w:r w:rsidRPr="0059198B">
        <w:rPr>
          <w:rStyle w:val="Strong"/>
          <w:rFonts w:eastAsiaTheme="majorEastAsia"/>
          <w:b w:val="0"/>
          <w:bCs w:val="0"/>
        </w:rPr>
        <w:t>digitalisation</w:t>
      </w:r>
      <w:r w:rsidRPr="0059198B">
        <w:rPr>
          <w:b/>
          <w:bCs/>
        </w:rPr>
        <w:t xml:space="preserve"> </w:t>
      </w:r>
      <w:r w:rsidRPr="0059198B">
        <w:t>of hospitality services has heightened the risk of</w:t>
      </w:r>
      <w:r w:rsidRPr="0059198B">
        <w:rPr>
          <w:b/>
          <w:bCs/>
        </w:rPr>
        <w:t xml:space="preserve"> </w:t>
      </w:r>
      <w:r w:rsidRPr="0059198B">
        <w:t xml:space="preserve">exposure to </w:t>
      </w:r>
      <w:r w:rsidRPr="0059198B">
        <w:rPr>
          <w:rStyle w:val="Strong"/>
          <w:rFonts w:eastAsiaTheme="majorEastAsia"/>
          <w:b w:val="0"/>
          <w:bCs w:val="0"/>
        </w:rPr>
        <w:t>sensitive guest data</w:t>
      </w:r>
      <w:r w:rsidRPr="0059198B">
        <w:t>, raising ongoing concerns regarding</w:t>
      </w:r>
      <w:r w:rsidRPr="0059198B">
        <w:rPr>
          <w:b/>
          <w:bCs/>
        </w:rPr>
        <w:t xml:space="preserve"> </w:t>
      </w:r>
      <w:r w:rsidRPr="0059198B">
        <w:rPr>
          <w:rStyle w:val="Strong"/>
          <w:rFonts w:eastAsiaTheme="majorEastAsia"/>
          <w:b w:val="0"/>
          <w:bCs w:val="0"/>
        </w:rPr>
        <w:t>cybersecurity</w:t>
      </w:r>
      <w:r w:rsidRPr="0059198B">
        <w:rPr>
          <w:b/>
          <w:bCs/>
        </w:rPr>
        <w:t xml:space="preserve"> </w:t>
      </w:r>
      <w:r w:rsidRPr="0059198B">
        <w:t>and</w:t>
      </w:r>
      <w:r w:rsidRPr="0059198B">
        <w:rPr>
          <w:b/>
          <w:bCs/>
        </w:rPr>
        <w:t xml:space="preserve"> </w:t>
      </w:r>
      <w:r w:rsidRPr="0059198B">
        <w:rPr>
          <w:rStyle w:val="Strong"/>
          <w:rFonts w:eastAsiaTheme="majorEastAsia"/>
          <w:b w:val="0"/>
          <w:bCs w:val="0"/>
        </w:rPr>
        <w:t>GDPR compliance</w:t>
      </w:r>
      <w:r w:rsidRPr="0059198B">
        <w:rPr>
          <w:b/>
          <w:bCs/>
        </w:rPr>
        <w:t xml:space="preserve"> </w:t>
      </w:r>
      <w:r w:rsidRPr="0059198B">
        <w:t>(Sigala, 2018). Privacy is no longer confined to physical spaces, but also</w:t>
      </w:r>
      <w:r w:rsidRPr="0059198B">
        <w:rPr>
          <w:b/>
          <w:bCs/>
        </w:rPr>
        <w:t xml:space="preserve"> </w:t>
      </w:r>
      <w:r w:rsidRPr="0059198B">
        <w:t>encompasses how hotels manage</w:t>
      </w:r>
      <w:r w:rsidRPr="0059198B">
        <w:rPr>
          <w:b/>
          <w:bCs/>
        </w:rPr>
        <w:t xml:space="preserve"> </w:t>
      </w:r>
      <w:r w:rsidRPr="0059198B">
        <w:rPr>
          <w:rStyle w:val="Strong"/>
          <w:rFonts w:eastAsiaTheme="majorEastAsia"/>
          <w:b w:val="0"/>
          <w:bCs w:val="0"/>
        </w:rPr>
        <w:t>customer information</w:t>
      </w:r>
      <w:r w:rsidRPr="0059198B">
        <w:rPr>
          <w:b/>
          <w:bCs/>
        </w:rPr>
        <w:t xml:space="preserve">, </w:t>
      </w:r>
      <w:r w:rsidRPr="0059198B">
        <w:rPr>
          <w:rStyle w:val="Strong"/>
          <w:rFonts w:eastAsiaTheme="majorEastAsia"/>
          <w:b w:val="0"/>
          <w:bCs w:val="0"/>
        </w:rPr>
        <w:t>surveillance systems</w:t>
      </w:r>
      <w:r w:rsidRPr="0059198B">
        <w:rPr>
          <w:b/>
          <w:bCs/>
        </w:rPr>
        <w:t xml:space="preserve">, </w:t>
      </w:r>
      <w:r w:rsidRPr="0059198B">
        <w:t xml:space="preserve">and </w:t>
      </w:r>
      <w:r w:rsidRPr="0059198B">
        <w:rPr>
          <w:rStyle w:val="Strong"/>
          <w:rFonts w:eastAsiaTheme="majorEastAsia"/>
          <w:b w:val="0"/>
          <w:bCs w:val="0"/>
        </w:rPr>
        <w:t>online booking platforms</w:t>
      </w:r>
      <w:r w:rsidRPr="0059198B">
        <w:rPr>
          <w:b/>
          <w:bCs/>
        </w:rPr>
        <w:t xml:space="preserve"> </w:t>
      </w:r>
      <w:r w:rsidRPr="0059198B">
        <w:t>(</w:t>
      </w:r>
      <w:proofErr w:type="spellStart"/>
      <w:r w:rsidRPr="0059198B">
        <w:t>Tussyadiah</w:t>
      </w:r>
      <w:proofErr w:type="spellEnd"/>
      <w:r w:rsidRPr="0059198B">
        <w:t xml:space="preserve"> and Miller, 2019).</w:t>
      </w:r>
    </w:p>
    <w:p w14:paraId="78041F7D" w14:textId="77777777" w:rsidR="00C844D9" w:rsidRPr="0059198B" w:rsidRDefault="00C844D9" w:rsidP="00C844D9">
      <w:pPr>
        <w:pStyle w:val="NormalWeb"/>
        <w:spacing w:line="360" w:lineRule="auto"/>
        <w:jc w:val="both"/>
        <w:rPr>
          <w:b/>
          <w:bCs/>
        </w:rPr>
      </w:pPr>
      <w:r w:rsidRPr="0059198B">
        <w:t>In the</w:t>
      </w:r>
      <w:r w:rsidRPr="0059198B">
        <w:rPr>
          <w:b/>
          <w:bCs/>
        </w:rPr>
        <w:t xml:space="preserve"> </w:t>
      </w:r>
      <w:r w:rsidRPr="0059198B">
        <w:rPr>
          <w:rStyle w:val="Strong"/>
          <w:rFonts w:eastAsiaTheme="majorEastAsia"/>
          <w:b w:val="0"/>
          <w:bCs w:val="0"/>
        </w:rPr>
        <w:t>UK context</w:t>
      </w:r>
      <w:r w:rsidRPr="0059198B">
        <w:t>, the</w:t>
      </w:r>
      <w:r w:rsidRPr="0059198B">
        <w:rPr>
          <w:b/>
          <w:bCs/>
        </w:rPr>
        <w:t xml:space="preserve"> </w:t>
      </w:r>
      <w:r w:rsidRPr="0059198B">
        <w:rPr>
          <w:rStyle w:val="Strong"/>
          <w:rFonts w:eastAsiaTheme="majorEastAsia"/>
          <w:b w:val="0"/>
          <w:bCs w:val="0"/>
        </w:rPr>
        <w:t>Health and Safety at Work etc. Act 1974</w:t>
      </w:r>
      <w:r w:rsidRPr="0059198B">
        <w:rPr>
          <w:b/>
          <w:bCs/>
        </w:rPr>
        <w:t xml:space="preserve"> </w:t>
      </w:r>
      <w:r w:rsidRPr="0059198B">
        <w:t>and the</w:t>
      </w:r>
      <w:r w:rsidRPr="0059198B">
        <w:rPr>
          <w:b/>
          <w:bCs/>
        </w:rPr>
        <w:t xml:space="preserve"> </w:t>
      </w:r>
      <w:r w:rsidRPr="0059198B">
        <w:rPr>
          <w:rStyle w:val="Strong"/>
          <w:rFonts w:eastAsiaTheme="majorEastAsia"/>
          <w:b w:val="0"/>
          <w:bCs w:val="0"/>
        </w:rPr>
        <w:t>Data Protection Act 2018</w:t>
      </w:r>
      <w:r w:rsidRPr="0059198B">
        <w:rPr>
          <w:b/>
          <w:bCs/>
        </w:rPr>
        <w:t xml:space="preserve"> </w:t>
      </w:r>
      <w:r w:rsidRPr="0059198B">
        <w:t>provide the legislative foundation for protecting both the</w:t>
      </w:r>
      <w:r w:rsidRPr="0059198B">
        <w:rPr>
          <w:b/>
          <w:bCs/>
        </w:rPr>
        <w:t xml:space="preserve"> </w:t>
      </w:r>
      <w:r w:rsidRPr="0059198B">
        <w:rPr>
          <w:rStyle w:val="Strong"/>
          <w:rFonts w:eastAsiaTheme="majorEastAsia"/>
          <w:b w:val="0"/>
          <w:bCs w:val="0"/>
        </w:rPr>
        <w:t>physical</w:t>
      </w:r>
      <w:r w:rsidRPr="0059198B">
        <w:rPr>
          <w:b/>
          <w:bCs/>
        </w:rPr>
        <w:t xml:space="preserve"> </w:t>
      </w:r>
      <w:r w:rsidRPr="0059198B">
        <w:t xml:space="preserve">and </w:t>
      </w:r>
      <w:r w:rsidRPr="0059198B">
        <w:rPr>
          <w:rStyle w:val="Strong"/>
          <w:rFonts w:eastAsiaTheme="majorEastAsia"/>
          <w:b w:val="0"/>
          <w:bCs w:val="0"/>
        </w:rPr>
        <w:t>digital</w:t>
      </w:r>
      <w:r w:rsidRPr="0059198B">
        <w:rPr>
          <w:b/>
          <w:bCs/>
        </w:rPr>
        <w:t xml:space="preserve"> </w:t>
      </w:r>
      <w:r w:rsidRPr="0059198B">
        <w:t>aspects of</w:t>
      </w:r>
      <w:r w:rsidRPr="0059198B">
        <w:rPr>
          <w:b/>
          <w:bCs/>
        </w:rPr>
        <w:t xml:space="preserve"> </w:t>
      </w:r>
      <w:r w:rsidRPr="0059198B">
        <w:t>the guest experience (Health and Safety Executive, 2024).</w:t>
      </w:r>
      <w:r w:rsidRPr="0059198B">
        <w:rPr>
          <w:b/>
          <w:bCs/>
        </w:rPr>
        <w:t xml:space="preserve"> </w:t>
      </w:r>
      <w:r w:rsidRPr="0059198B">
        <w:rPr>
          <w:rStyle w:val="Strong"/>
          <w:rFonts w:eastAsiaTheme="majorEastAsia"/>
          <w:b w:val="0"/>
          <w:bCs w:val="0"/>
        </w:rPr>
        <w:t>Mid-scale hotels</w:t>
      </w:r>
      <w:r w:rsidRPr="0059198B">
        <w:rPr>
          <w:b/>
          <w:bCs/>
        </w:rPr>
        <w:t xml:space="preserve">, </w:t>
      </w:r>
      <w:r w:rsidRPr="0059198B">
        <w:t>such as</w:t>
      </w:r>
      <w:r w:rsidRPr="0059198B">
        <w:rPr>
          <w:b/>
          <w:bCs/>
        </w:rPr>
        <w:t xml:space="preserve"> </w:t>
      </w:r>
      <w:proofErr w:type="spellStart"/>
      <w:r w:rsidRPr="0059198B">
        <w:rPr>
          <w:rStyle w:val="Strong"/>
          <w:rFonts w:eastAsiaTheme="majorEastAsia"/>
          <w:b w:val="0"/>
          <w:bCs w:val="0"/>
        </w:rPr>
        <w:t>Coldra</w:t>
      </w:r>
      <w:proofErr w:type="spellEnd"/>
      <w:r w:rsidRPr="0059198B">
        <w:rPr>
          <w:rStyle w:val="Strong"/>
          <w:rFonts w:eastAsiaTheme="majorEastAsia"/>
          <w:b w:val="0"/>
          <w:bCs w:val="0"/>
        </w:rPr>
        <w:t xml:space="preserve"> Court Hotel</w:t>
      </w:r>
      <w:r w:rsidRPr="0059198B">
        <w:rPr>
          <w:b/>
          <w:bCs/>
        </w:rPr>
        <w:t>—</w:t>
      </w:r>
      <w:r w:rsidRPr="0059198B">
        <w:t>part of the</w:t>
      </w:r>
      <w:r w:rsidRPr="0059198B">
        <w:rPr>
          <w:b/>
          <w:bCs/>
        </w:rPr>
        <w:t xml:space="preserve"> </w:t>
      </w:r>
      <w:r w:rsidRPr="0059198B">
        <w:rPr>
          <w:rStyle w:val="Strong"/>
          <w:rFonts w:eastAsiaTheme="majorEastAsia"/>
          <w:b w:val="0"/>
          <w:bCs w:val="0"/>
        </w:rPr>
        <w:t>Celtic Collection</w:t>
      </w:r>
      <w:r w:rsidRPr="0059198B">
        <w:rPr>
          <w:b/>
          <w:bCs/>
        </w:rPr>
        <w:t xml:space="preserve"> </w:t>
      </w:r>
      <w:r w:rsidRPr="0059198B">
        <w:t xml:space="preserve">in </w:t>
      </w:r>
      <w:r w:rsidRPr="0059198B">
        <w:rPr>
          <w:rStyle w:val="Strong"/>
          <w:rFonts w:eastAsiaTheme="majorEastAsia"/>
          <w:b w:val="0"/>
          <w:bCs w:val="0"/>
        </w:rPr>
        <w:t>South-East Wales</w:t>
      </w:r>
      <w:r w:rsidRPr="0059198B">
        <w:rPr>
          <w:b/>
          <w:bCs/>
        </w:rPr>
        <w:t>—</w:t>
      </w:r>
      <w:r w:rsidRPr="0059198B">
        <w:t>operate at the</w:t>
      </w:r>
      <w:r w:rsidRPr="0059198B">
        <w:rPr>
          <w:b/>
          <w:bCs/>
        </w:rPr>
        <w:t xml:space="preserve"> </w:t>
      </w:r>
      <w:r w:rsidRPr="0059198B">
        <w:t>intersection of</w:t>
      </w:r>
      <w:r w:rsidRPr="0059198B">
        <w:rPr>
          <w:b/>
          <w:bCs/>
        </w:rPr>
        <w:t xml:space="preserve"> </w:t>
      </w:r>
      <w:r w:rsidRPr="0059198B">
        <w:rPr>
          <w:rStyle w:val="Strong"/>
          <w:rFonts w:eastAsiaTheme="majorEastAsia"/>
          <w:b w:val="0"/>
          <w:bCs w:val="0"/>
        </w:rPr>
        <w:t>cost-efficiency</w:t>
      </w:r>
      <w:r w:rsidRPr="0059198B">
        <w:rPr>
          <w:b/>
          <w:bCs/>
        </w:rPr>
        <w:t xml:space="preserve"> </w:t>
      </w:r>
      <w:r w:rsidRPr="0059198B">
        <w:t>and</w:t>
      </w:r>
      <w:r w:rsidRPr="0059198B">
        <w:rPr>
          <w:b/>
          <w:bCs/>
        </w:rPr>
        <w:t xml:space="preserve"> </w:t>
      </w:r>
      <w:r w:rsidRPr="0059198B">
        <w:rPr>
          <w:rStyle w:val="Strong"/>
          <w:rFonts w:eastAsiaTheme="majorEastAsia"/>
          <w:b w:val="0"/>
          <w:bCs w:val="0"/>
        </w:rPr>
        <w:t>quality service</w:t>
      </w:r>
      <w:r w:rsidRPr="0059198B">
        <w:rPr>
          <w:b/>
          <w:bCs/>
        </w:rPr>
        <w:t xml:space="preserve">. </w:t>
      </w:r>
      <w:r w:rsidRPr="0059198B">
        <w:t>Consequently, they are required to</w:t>
      </w:r>
      <w:r w:rsidRPr="0059198B">
        <w:rPr>
          <w:b/>
          <w:bCs/>
        </w:rPr>
        <w:t xml:space="preserve"> </w:t>
      </w:r>
      <w:r w:rsidRPr="0059198B">
        <w:t>adopt innovative strategies that balance</w:t>
      </w:r>
      <w:r w:rsidRPr="0059198B">
        <w:rPr>
          <w:b/>
          <w:bCs/>
        </w:rPr>
        <w:t xml:space="preserve"> </w:t>
      </w:r>
      <w:r w:rsidRPr="0059198B">
        <w:rPr>
          <w:rStyle w:val="Strong"/>
          <w:rFonts w:eastAsiaTheme="majorEastAsia"/>
          <w:b w:val="0"/>
          <w:bCs w:val="0"/>
        </w:rPr>
        <w:t>safety</w:t>
      </w:r>
      <w:r w:rsidRPr="0059198B">
        <w:rPr>
          <w:b/>
          <w:bCs/>
        </w:rPr>
        <w:t xml:space="preserve">, </w:t>
      </w:r>
      <w:r w:rsidRPr="0059198B">
        <w:rPr>
          <w:rStyle w:val="Strong"/>
          <w:rFonts w:eastAsiaTheme="majorEastAsia"/>
          <w:b w:val="0"/>
          <w:bCs w:val="0"/>
        </w:rPr>
        <w:t>operational feasibility</w:t>
      </w:r>
      <w:r w:rsidRPr="0059198B">
        <w:rPr>
          <w:b/>
          <w:bCs/>
        </w:rPr>
        <w:t xml:space="preserve">, </w:t>
      </w:r>
      <w:r w:rsidRPr="0059198B">
        <w:t>and</w:t>
      </w:r>
      <w:r w:rsidRPr="0059198B">
        <w:rPr>
          <w:b/>
          <w:bCs/>
        </w:rPr>
        <w:t xml:space="preserve"> </w:t>
      </w:r>
      <w:r w:rsidRPr="0059198B">
        <w:rPr>
          <w:rStyle w:val="Strong"/>
          <w:rFonts w:eastAsiaTheme="majorEastAsia"/>
          <w:b w:val="0"/>
          <w:bCs w:val="0"/>
        </w:rPr>
        <w:t>customer expectations</w:t>
      </w:r>
      <w:r w:rsidRPr="0059198B">
        <w:rPr>
          <w:b/>
          <w:bCs/>
        </w:rPr>
        <w:t>.</w:t>
      </w:r>
    </w:p>
    <w:p w14:paraId="5138F53F" w14:textId="77777777" w:rsidR="00C844D9" w:rsidRPr="0059198B" w:rsidRDefault="00C844D9" w:rsidP="00C844D9">
      <w:pPr>
        <w:pStyle w:val="NormalWeb"/>
        <w:spacing w:line="360" w:lineRule="auto"/>
        <w:jc w:val="both"/>
        <w:rPr>
          <w:b/>
          <w:bCs/>
        </w:rPr>
      </w:pPr>
      <w:r w:rsidRPr="0059198B">
        <w:t xml:space="preserve">This study examines how </w:t>
      </w:r>
      <w:proofErr w:type="spellStart"/>
      <w:r w:rsidRPr="0059198B">
        <w:t>Coldra</w:t>
      </w:r>
      <w:proofErr w:type="spellEnd"/>
      <w:r w:rsidRPr="0059198B">
        <w:t xml:space="preserve"> Court Hotel implements and manages</w:t>
      </w:r>
      <w:r w:rsidRPr="0059198B">
        <w:rPr>
          <w:b/>
          <w:bCs/>
        </w:rPr>
        <w:t xml:space="preserve"> </w:t>
      </w:r>
      <w:r w:rsidRPr="0059198B">
        <w:rPr>
          <w:rStyle w:val="Strong"/>
          <w:rFonts w:eastAsiaTheme="majorEastAsia"/>
          <w:b w:val="0"/>
          <w:bCs w:val="0"/>
        </w:rPr>
        <w:t>health, safety, and privacy practices</w:t>
      </w:r>
      <w:r w:rsidRPr="0059198B">
        <w:t>, particularly in a</w:t>
      </w:r>
      <w:r w:rsidRPr="0059198B">
        <w:rPr>
          <w:b/>
          <w:bCs/>
        </w:rPr>
        <w:t xml:space="preserve"> </w:t>
      </w:r>
      <w:r w:rsidRPr="0059198B">
        <w:rPr>
          <w:rStyle w:val="Strong"/>
          <w:rFonts w:eastAsiaTheme="majorEastAsia"/>
          <w:b w:val="0"/>
          <w:bCs w:val="0"/>
        </w:rPr>
        <w:t>post-pandemic environment</w:t>
      </w:r>
      <w:r w:rsidRPr="0059198B">
        <w:rPr>
          <w:b/>
          <w:bCs/>
        </w:rPr>
        <w:t xml:space="preserve">, </w:t>
      </w:r>
      <w:r w:rsidRPr="0059198B">
        <w:t>where such concerns are</w:t>
      </w:r>
      <w:r w:rsidRPr="0059198B">
        <w:rPr>
          <w:b/>
          <w:bCs/>
        </w:rPr>
        <w:t xml:space="preserve"> </w:t>
      </w:r>
      <w:r w:rsidRPr="0059198B">
        <w:t>central to</w:t>
      </w:r>
      <w:r w:rsidRPr="0059198B">
        <w:rPr>
          <w:b/>
          <w:bCs/>
        </w:rPr>
        <w:t xml:space="preserve"> </w:t>
      </w:r>
      <w:r w:rsidRPr="0059198B">
        <w:rPr>
          <w:rStyle w:val="Strong"/>
          <w:rFonts w:eastAsiaTheme="majorEastAsia"/>
          <w:b w:val="0"/>
          <w:bCs w:val="0"/>
        </w:rPr>
        <w:t>competitive advantage</w:t>
      </w:r>
      <w:r w:rsidRPr="0059198B">
        <w:rPr>
          <w:b/>
          <w:bCs/>
        </w:rPr>
        <w:t xml:space="preserve">, </w:t>
      </w:r>
      <w:r w:rsidRPr="0059198B">
        <w:rPr>
          <w:rStyle w:val="Strong"/>
          <w:rFonts w:eastAsiaTheme="majorEastAsia"/>
          <w:b w:val="0"/>
          <w:bCs w:val="0"/>
        </w:rPr>
        <w:t>brand reputation</w:t>
      </w:r>
      <w:r w:rsidRPr="0059198B">
        <w:rPr>
          <w:b/>
          <w:bCs/>
        </w:rPr>
        <w:t xml:space="preserve">, </w:t>
      </w:r>
      <w:r w:rsidRPr="0059198B">
        <w:t>and</w:t>
      </w:r>
      <w:r w:rsidRPr="0059198B">
        <w:rPr>
          <w:b/>
          <w:bCs/>
        </w:rPr>
        <w:t xml:space="preserve"> </w:t>
      </w:r>
      <w:r w:rsidRPr="0059198B">
        <w:rPr>
          <w:rStyle w:val="Strong"/>
          <w:rFonts w:eastAsiaTheme="majorEastAsia"/>
          <w:b w:val="0"/>
          <w:bCs w:val="0"/>
        </w:rPr>
        <w:t>regulatory compliance</w:t>
      </w:r>
      <w:r w:rsidRPr="0059198B">
        <w:rPr>
          <w:b/>
          <w:bCs/>
        </w:rPr>
        <w:t>.</w:t>
      </w:r>
    </w:p>
    <w:p w14:paraId="11254F07" w14:textId="77777777" w:rsidR="00C844D9" w:rsidRPr="004E142E" w:rsidRDefault="00C844D9" w:rsidP="00C844D9">
      <w:pPr>
        <w:pStyle w:val="Heading2"/>
        <w:rPr>
          <w:rFonts w:ascii="Times New Roman" w:hAnsi="Times New Roman" w:cs="Times New Roman"/>
          <w:b/>
          <w:bCs/>
          <w:color w:val="000000" w:themeColor="text1"/>
          <w:sz w:val="28"/>
          <w:szCs w:val="28"/>
        </w:rPr>
      </w:pPr>
      <w:bookmarkStart w:id="4" w:name="_Toc200551618"/>
      <w:r w:rsidRPr="004E142E">
        <w:rPr>
          <w:rFonts w:ascii="Times New Roman" w:hAnsi="Times New Roman" w:cs="Times New Roman"/>
          <w:b/>
          <w:bCs/>
          <w:color w:val="000000" w:themeColor="text1"/>
          <w:sz w:val="28"/>
          <w:szCs w:val="28"/>
        </w:rPr>
        <w:t>1.2 Aim and Objectives</w:t>
      </w:r>
      <w:bookmarkEnd w:id="4"/>
      <w:r w:rsidRPr="004E142E">
        <w:rPr>
          <w:rFonts w:ascii="Times New Roman" w:hAnsi="Times New Roman" w:cs="Times New Roman"/>
          <w:b/>
          <w:bCs/>
          <w:color w:val="000000" w:themeColor="text1"/>
          <w:sz w:val="28"/>
          <w:szCs w:val="28"/>
        </w:rPr>
        <w:t xml:space="preserve"> </w:t>
      </w:r>
    </w:p>
    <w:p w14:paraId="5F556A8D" w14:textId="77777777" w:rsidR="00C844D9" w:rsidRPr="00B17A5C" w:rsidRDefault="00C844D9" w:rsidP="00C844D9">
      <w:pPr>
        <w:spacing w:line="360" w:lineRule="auto"/>
        <w:jc w:val="both"/>
        <w:rPr>
          <w:rFonts w:ascii="Times New Roman" w:hAnsi="Times New Roman" w:cs="Times New Roman"/>
        </w:rPr>
      </w:pPr>
      <w:r w:rsidRPr="00B17A5C">
        <w:rPr>
          <w:rFonts w:ascii="Times New Roman" w:hAnsi="Times New Roman" w:cs="Times New Roman"/>
        </w:rPr>
        <w:t xml:space="preserve">The aim of this research is to evaluate the Health, Safety, and Privacy (HSP) standards at </w:t>
      </w:r>
      <w:proofErr w:type="spellStart"/>
      <w:r w:rsidRPr="00B17A5C">
        <w:rPr>
          <w:rFonts w:ascii="Times New Roman" w:hAnsi="Times New Roman" w:cs="Times New Roman"/>
        </w:rPr>
        <w:t>Coldra</w:t>
      </w:r>
      <w:proofErr w:type="spellEnd"/>
      <w:r w:rsidRPr="00B17A5C">
        <w:rPr>
          <w:rFonts w:ascii="Times New Roman" w:hAnsi="Times New Roman" w:cs="Times New Roman"/>
        </w:rPr>
        <w:t xml:space="preserve"> Court Hotel and to explore effective strategies for improving these standards.</w:t>
      </w:r>
    </w:p>
    <w:p w14:paraId="6AE5871A" w14:textId="77777777" w:rsidR="00C844D9" w:rsidRPr="00B17A5C" w:rsidRDefault="00C844D9" w:rsidP="00C844D9">
      <w:pPr>
        <w:spacing w:line="360" w:lineRule="auto"/>
        <w:jc w:val="both"/>
        <w:rPr>
          <w:rFonts w:ascii="Times New Roman" w:hAnsi="Times New Roman" w:cs="Times New Roman"/>
        </w:rPr>
      </w:pPr>
      <w:r w:rsidRPr="00B17A5C">
        <w:rPr>
          <w:rFonts w:ascii="Times New Roman" w:hAnsi="Times New Roman" w:cs="Times New Roman"/>
        </w:rPr>
        <w:t>The objectives of the project are –</w:t>
      </w:r>
    </w:p>
    <w:p w14:paraId="027CCF29" w14:textId="77777777" w:rsidR="00C844D9" w:rsidRPr="00B17A5C" w:rsidRDefault="00C844D9" w:rsidP="00C844D9">
      <w:pPr>
        <w:pStyle w:val="ListParagraph"/>
        <w:numPr>
          <w:ilvl w:val="0"/>
          <w:numId w:val="1"/>
        </w:numPr>
        <w:spacing w:line="360" w:lineRule="auto"/>
        <w:jc w:val="both"/>
        <w:rPr>
          <w:rFonts w:ascii="Times New Roman" w:hAnsi="Times New Roman" w:cs="Times New Roman"/>
        </w:rPr>
      </w:pPr>
      <w:r w:rsidRPr="00B17A5C">
        <w:rPr>
          <w:rFonts w:ascii="Times New Roman" w:hAnsi="Times New Roman" w:cs="Times New Roman"/>
        </w:rPr>
        <w:t xml:space="preserve">To identify the Health, Safety, and Privacy standards currently in place at </w:t>
      </w:r>
      <w:proofErr w:type="spellStart"/>
      <w:r w:rsidRPr="00B17A5C">
        <w:rPr>
          <w:rFonts w:ascii="Times New Roman" w:hAnsi="Times New Roman" w:cs="Times New Roman"/>
        </w:rPr>
        <w:t>Coldra</w:t>
      </w:r>
      <w:proofErr w:type="spellEnd"/>
      <w:r w:rsidRPr="00B17A5C">
        <w:rPr>
          <w:rFonts w:ascii="Times New Roman" w:hAnsi="Times New Roman" w:cs="Times New Roman"/>
        </w:rPr>
        <w:t xml:space="preserve"> Court Hotel</w:t>
      </w:r>
    </w:p>
    <w:p w14:paraId="0923FBCA" w14:textId="77777777" w:rsidR="00C844D9" w:rsidRPr="00B17A5C" w:rsidRDefault="00C844D9" w:rsidP="00C844D9">
      <w:pPr>
        <w:pStyle w:val="ListParagraph"/>
        <w:numPr>
          <w:ilvl w:val="0"/>
          <w:numId w:val="1"/>
        </w:numPr>
        <w:spacing w:line="360" w:lineRule="auto"/>
        <w:jc w:val="both"/>
        <w:rPr>
          <w:rFonts w:ascii="Times New Roman" w:hAnsi="Times New Roman" w:cs="Times New Roman"/>
        </w:rPr>
      </w:pPr>
      <w:r w:rsidRPr="00B17A5C">
        <w:rPr>
          <w:rFonts w:ascii="Times New Roman" w:hAnsi="Times New Roman" w:cs="Times New Roman"/>
        </w:rPr>
        <w:lastRenderedPageBreak/>
        <w:t>To assess the impact of Health, Safety, and Privacy standards on customer behaviour and satisfaction at the hotel</w:t>
      </w:r>
    </w:p>
    <w:p w14:paraId="447F2816" w14:textId="77777777" w:rsidR="00C844D9" w:rsidRPr="00B17A5C" w:rsidRDefault="00C844D9" w:rsidP="00C844D9">
      <w:pPr>
        <w:pStyle w:val="ListParagraph"/>
        <w:numPr>
          <w:ilvl w:val="0"/>
          <w:numId w:val="1"/>
        </w:numPr>
        <w:spacing w:line="360" w:lineRule="auto"/>
        <w:jc w:val="both"/>
        <w:rPr>
          <w:rFonts w:ascii="Times New Roman" w:hAnsi="Times New Roman" w:cs="Times New Roman"/>
        </w:rPr>
      </w:pPr>
      <w:r w:rsidRPr="00B17A5C">
        <w:rPr>
          <w:rFonts w:ascii="Times New Roman" w:hAnsi="Times New Roman" w:cs="Times New Roman"/>
        </w:rPr>
        <w:t xml:space="preserve">To recommend practical solutions and strategies for enhancing Health, Safety, and Privacy standards at </w:t>
      </w:r>
      <w:proofErr w:type="spellStart"/>
      <w:r w:rsidRPr="00B17A5C">
        <w:rPr>
          <w:rFonts w:ascii="Times New Roman" w:hAnsi="Times New Roman" w:cs="Times New Roman"/>
        </w:rPr>
        <w:t>Coldra</w:t>
      </w:r>
      <w:proofErr w:type="spellEnd"/>
      <w:r w:rsidRPr="00B17A5C">
        <w:rPr>
          <w:rFonts w:ascii="Times New Roman" w:hAnsi="Times New Roman" w:cs="Times New Roman"/>
        </w:rPr>
        <w:t xml:space="preserve"> Court Hotel</w:t>
      </w:r>
    </w:p>
    <w:p w14:paraId="5D31AB33" w14:textId="77777777" w:rsidR="00C844D9" w:rsidRPr="004E142E" w:rsidRDefault="00C844D9" w:rsidP="00C844D9">
      <w:pPr>
        <w:pStyle w:val="Heading2"/>
        <w:rPr>
          <w:rFonts w:ascii="Times New Roman" w:hAnsi="Times New Roman" w:cs="Times New Roman"/>
          <w:b/>
          <w:bCs/>
          <w:color w:val="000000" w:themeColor="text1"/>
          <w:sz w:val="28"/>
          <w:szCs w:val="28"/>
        </w:rPr>
      </w:pPr>
      <w:bookmarkStart w:id="5" w:name="_Toc200551619"/>
      <w:r w:rsidRPr="004E142E">
        <w:rPr>
          <w:rFonts w:ascii="Times New Roman" w:hAnsi="Times New Roman" w:cs="Times New Roman"/>
          <w:b/>
          <w:bCs/>
          <w:color w:val="000000" w:themeColor="text1"/>
          <w:sz w:val="28"/>
          <w:szCs w:val="28"/>
        </w:rPr>
        <w:t>1.3 Research questions</w:t>
      </w:r>
      <w:bookmarkEnd w:id="5"/>
      <w:r w:rsidRPr="004E142E">
        <w:rPr>
          <w:rFonts w:ascii="Times New Roman" w:hAnsi="Times New Roman" w:cs="Times New Roman"/>
          <w:b/>
          <w:bCs/>
          <w:color w:val="000000" w:themeColor="text1"/>
          <w:sz w:val="28"/>
          <w:szCs w:val="28"/>
        </w:rPr>
        <w:t xml:space="preserve"> </w:t>
      </w:r>
    </w:p>
    <w:p w14:paraId="55819E90" w14:textId="77777777" w:rsidR="00C844D9" w:rsidRDefault="00C844D9" w:rsidP="00C844D9">
      <w:pPr>
        <w:jc w:val="both"/>
      </w:pPr>
      <w:r>
        <w:t>The research questions guiding this study are:</w:t>
      </w:r>
    </w:p>
    <w:p w14:paraId="68ACEEC0" w14:textId="77777777" w:rsidR="00C844D9" w:rsidRPr="00F7780F" w:rsidRDefault="00C844D9" w:rsidP="00C844D9">
      <w:pPr>
        <w:spacing w:line="360" w:lineRule="auto"/>
        <w:jc w:val="both"/>
        <w:rPr>
          <w:rFonts w:ascii="Times New Roman" w:hAnsi="Times New Roman" w:cs="Times New Roman"/>
          <w:color w:val="000000" w:themeColor="text1"/>
        </w:rPr>
      </w:pPr>
      <w:r w:rsidRPr="0089607C">
        <w:rPr>
          <w:rFonts w:ascii="Times New Roman" w:hAnsi="Times New Roman" w:cs="Times New Roman"/>
          <w:b/>
          <w:bCs/>
          <w:color w:val="000000" w:themeColor="text1"/>
        </w:rPr>
        <w:t>Q1:</w:t>
      </w:r>
      <w:r w:rsidRPr="00F7780F">
        <w:rPr>
          <w:rFonts w:ascii="Times New Roman" w:hAnsi="Times New Roman" w:cs="Times New Roman"/>
          <w:color w:val="000000" w:themeColor="text1"/>
        </w:rPr>
        <w:t xml:space="preserve"> What Health, Safety, and Privacy standards does </w:t>
      </w:r>
      <w:proofErr w:type="spellStart"/>
      <w:r w:rsidRPr="00F7780F">
        <w:rPr>
          <w:rFonts w:ascii="Times New Roman" w:hAnsi="Times New Roman" w:cs="Times New Roman"/>
          <w:color w:val="000000" w:themeColor="text1"/>
        </w:rPr>
        <w:t>Coldra</w:t>
      </w:r>
      <w:proofErr w:type="spellEnd"/>
      <w:r w:rsidRPr="00F7780F">
        <w:rPr>
          <w:rFonts w:ascii="Times New Roman" w:hAnsi="Times New Roman" w:cs="Times New Roman"/>
          <w:color w:val="000000" w:themeColor="text1"/>
        </w:rPr>
        <w:t xml:space="preserve"> Court Hotel adhere to?</w:t>
      </w:r>
    </w:p>
    <w:p w14:paraId="4D501FEE" w14:textId="77777777" w:rsidR="00C844D9" w:rsidRPr="00F7780F" w:rsidRDefault="00C844D9" w:rsidP="00C844D9">
      <w:pPr>
        <w:spacing w:line="360" w:lineRule="auto"/>
        <w:jc w:val="both"/>
        <w:rPr>
          <w:rFonts w:ascii="Times New Roman" w:hAnsi="Times New Roman" w:cs="Times New Roman"/>
          <w:color w:val="000000" w:themeColor="text1"/>
        </w:rPr>
      </w:pPr>
      <w:r w:rsidRPr="0089607C">
        <w:rPr>
          <w:rFonts w:ascii="Times New Roman" w:hAnsi="Times New Roman" w:cs="Times New Roman"/>
          <w:b/>
          <w:bCs/>
          <w:color w:val="000000" w:themeColor="text1"/>
        </w:rPr>
        <w:t>Q2:</w:t>
      </w:r>
      <w:r w:rsidRPr="00F7780F">
        <w:rPr>
          <w:rFonts w:ascii="Times New Roman" w:hAnsi="Times New Roman" w:cs="Times New Roman"/>
          <w:color w:val="000000" w:themeColor="text1"/>
        </w:rPr>
        <w:t xml:space="preserve"> How do these Health, Safety, and Privacy standards influence customer behaviour and satisfaction at the hotel?</w:t>
      </w:r>
    </w:p>
    <w:p w14:paraId="15E5C1AF" w14:textId="77777777" w:rsidR="00C844D9" w:rsidRPr="00512C53" w:rsidRDefault="00C844D9" w:rsidP="00C844D9">
      <w:pPr>
        <w:pStyle w:val="Heading2"/>
        <w:rPr>
          <w:rFonts w:ascii="Times New Roman" w:hAnsi="Times New Roman" w:cs="Times New Roman"/>
          <w:b/>
          <w:bCs/>
          <w:color w:val="000000" w:themeColor="text1"/>
          <w:sz w:val="28"/>
          <w:szCs w:val="28"/>
        </w:rPr>
      </w:pPr>
      <w:bookmarkStart w:id="6" w:name="_Toc200551620"/>
      <w:r w:rsidRPr="00512C53">
        <w:rPr>
          <w:rFonts w:ascii="Times New Roman" w:hAnsi="Times New Roman" w:cs="Times New Roman"/>
          <w:b/>
          <w:bCs/>
          <w:color w:val="000000" w:themeColor="text1"/>
          <w:sz w:val="28"/>
          <w:szCs w:val="28"/>
        </w:rPr>
        <w:t>1.4 Report Structure</w:t>
      </w:r>
      <w:bookmarkEnd w:id="6"/>
    </w:p>
    <w:p w14:paraId="2A441058" w14:textId="77777777" w:rsidR="00C844D9" w:rsidRPr="00F7780F" w:rsidRDefault="00C844D9" w:rsidP="00C844D9">
      <w:pPr>
        <w:pStyle w:val="NormalWeb"/>
        <w:spacing w:line="360" w:lineRule="auto"/>
        <w:jc w:val="both"/>
      </w:pPr>
      <w:r w:rsidRPr="00F7780F">
        <w:t xml:space="preserve">This report is structured into </w:t>
      </w:r>
      <w:r w:rsidRPr="00F7780F">
        <w:rPr>
          <w:rStyle w:val="Strong"/>
          <w:rFonts w:eastAsiaTheme="majorEastAsia"/>
          <w:b w:val="0"/>
          <w:bCs w:val="0"/>
        </w:rPr>
        <w:t>six chapters</w:t>
      </w:r>
      <w:r w:rsidRPr="00F7780F">
        <w:t>.</w:t>
      </w:r>
    </w:p>
    <w:p w14:paraId="1033DB89" w14:textId="77777777" w:rsidR="00C844D9" w:rsidRPr="00F7780F" w:rsidRDefault="00C844D9" w:rsidP="00C844D9">
      <w:pPr>
        <w:pStyle w:val="NormalWeb"/>
        <w:numPr>
          <w:ilvl w:val="0"/>
          <w:numId w:val="2"/>
        </w:numPr>
        <w:spacing w:line="360" w:lineRule="auto"/>
        <w:jc w:val="both"/>
      </w:pPr>
      <w:r w:rsidRPr="0089607C">
        <w:rPr>
          <w:rStyle w:val="Strong"/>
          <w:rFonts w:eastAsiaTheme="majorEastAsia"/>
        </w:rPr>
        <w:t>Chapter 1</w:t>
      </w:r>
      <w:r w:rsidRPr="00F7780F">
        <w:t xml:space="preserve"> introduces the research background, objectives, and the significance of the study.</w:t>
      </w:r>
    </w:p>
    <w:p w14:paraId="3079C8E6" w14:textId="77777777" w:rsidR="00C844D9" w:rsidRPr="00F7780F" w:rsidRDefault="00C844D9" w:rsidP="00C844D9">
      <w:pPr>
        <w:pStyle w:val="NormalWeb"/>
        <w:numPr>
          <w:ilvl w:val="0"/>
          <w:numId w:val="2"/>
        </w:numPr>
        <w:spacing w:line="360" w:lineRule="auto"/>
        <w:jc w:val="both"/>
      </w:pPr>
      <w:r w:rsidRPr="0089607C">
        <w:rPr>
          <w:rStyle w:val="Strong"/>
          <w:rFonts w:eastAsiaTheme="majorEastAsia"/>
        </w:rPr>
        <w:t>Chapter 2</w:t>
      </w:r>
      <w:r w:rsidRPr="00F7780F">
        <w:t xml:space="preserve"> provides a review of relevant literature concerning Health, Safety, and Privacy within the hospitality sector.</w:t>
      </w:r>
    </w:p>
    <w:p w14:paraId="4B1CE6E3" w14:textId="77777777" w:rsidR="00C844D9" w:rsidRPr="00F7780F" w:rsidRDefault="00C844D9" w:rsidP="00C844D9">
      <w:pPr>
        <w:pStyle w:val="NormalWeb"/>
        <w:numPr>
          <w:ilvl w:val="0"/>
          <w:numId w:val="2"/>
        </w:numPr>
        <w:spacing w:line="360" w:lineRule="auto"/>
        <w:jc w:val="both"/>
      </w:pPr>
      <w:r w:rsidRPr="0089607C">
        <w:rPr>
          <w:rStyle w:val="Strong"/>
          <w:rFonts w:eastAsiaTheme="majorEastAsia"/>
        </w:rPr>
        <w:t>Chapter 3</w:t>
      </w:r>
      <w:r w:rsidRPr="00F7780F">
        <w:t xml:space="preserve"> outlines the research methodology employed.</w:t>
      </w:r>
    </w:p>
    <w:p w14:paraId="2ED2694F" w14:textId="77777777" w:rsidR="00C844D9" w:rsidRPr="00F7780F" w:rsidRDefault="00C844D9" w:rsidP="00C844D9">
      <w:pPr>
        <w:pStyle w:val="NormalWeb"/>
        <w:numPr>
          <w:ilvl w:val="0"/>
          <w:numId w:val="2"/>
        </w:numPr>
        <w:spacing w:line="360" w:lineRule="auto"/>
        <w:jc w:val="both"/>
      </w:pPr>
      <w:r w:rsidRPr="0089607C">
        <w:rPr>
          <w:rStyle w:val="Strong"/>
          <w:rFonts w:eastAsiaTheme="majorEastAsia"/>
        </w:rPr>
        <w:t>Chapter 4</w:t>
      </w:r>
      <w:r w:rsidRPr="00F7780F">
        <w:t xml:space="preserve"> presents the case study analysis of </w:t>
      </w:r>
      <w:proofErr w:type="spellStart"/>
      <w:r w:rsidRPr="00F7780F">
        <w:t>Coldra</w:t>
      </w:r>
      <w:proofErr w:type="spellEnd"/>
      <w:r w:rsidRPr="00F7780F">
        <w:t xml:space="preserve"> Court Hotel.</w:t>
      </w:r>
    </w:p>
    <w:p w14:paraId="591EC32E" w14:textId="77777777" w:rsidR="00C844D9" w:rsidRPr="00F7780F" w:rsidRDefault="00C844D9" w:rsidP="00C844D9">
      <w:pPr>
        <w:pStyle w:val="NormalWeb"/>
        <w:numPr>
          <w:ilvl w:val="0"/>
          <w:numId w:val="2"/>
        </w:numPr>
        <w:spacing w:line="360" w:lineRule="auto"/>
        <w:jc w:val="both"/>
      </w:pPr>
      <w:r w:rsidRPr="0089607C">
        <w:rPr>
          <w:rStyle w:val="Strong"/>
          <w:rFonts w:eastAsiaTheme="majorEastAsia"/>
        </w:rPr>
        <w:t>Chapter 5</w:t>
      </w:r>
      <w:r w:rsidRPr="00F7780F">
        <w:t xml:space="preserve"> offers a discussion of key findings, supported by critical analysis.</w:t>
      </w:r>
    </w:p>
    <w:p w14:paraId="0C32A07E" w14:textId="77777777" w:rsidR="00C844D9" w:rsidRPr="00F7780F" w:rsidRDefault="00C844D9" w:rsidP="00C844D9">
      <w:pPr>
        <w:pStyle w:val="NormalWeb"/>
        <w:numPr>
          <w:ilvl w:val="0"/>
          <w:numId w:val="2"/>
        </w:numPr>
        <w:spacing w:line="360" w:lineRule="auto"/>
        <w:jc w:val="both"/>
      </w:pPr>
      <w:r w:rsidRPr="0089607C">
        <w:rPr>
          <w:rStyle w:val="Strong"/>
          <w:rFonts w:eastAsiaTheme="majorEastAsia"/>
        </w:rPr>
        <w:t>Chapter 6</w:t>
      </w:r>
      <w:r w:rsidRPr="00F7780F">
        <w:t xml:space="preserve"> concludes the study with a set of practical recommendations.</w:t>
      </w:r>
    </w:p>
    <w:p w14:paraId="0D43C104" w14:textId="77777777" w:rsidR="00C844D9" w:rsidRDefault="00C844D9" w:rsidP="00C844D9">
      <w:pPr>
        <w:pStyle w:val="NormalWeb"/>
        <w:spacing w:line="360" w:lineRule="auto"/>
        <w:jc w:val="both"/>
      </w:pPr>
      <w:r w:rsidRPr="00F7780F">
        <w:rPr>
          <w:rStyle w:val="Strong"/>
          <w:rFonts w:eastAsiaTheme="majorEastAsia"/>
          <w:b w:val="0"/>
          <w:bCs w:val="0"/>
        </w:rPr>
        <w:t>References</w:t>
      </w:r>
      <w:r w:rsidRPr="00F7780F">
        <w:t xml:space="preserve"> and</w:t>
      </w:r>
      <w:r w:rsidRPr="00F7780F">
        <w:rPr>
          <w:b/>
          <w:bCs/>
        </w:rPr>
        <w:t xml:space="preserve"> </w:t>
      </w:r>
      <w:r w:rsidRPr="00F7780F">
        <w:rPr>
          <w:rStyle w:val="Strong"/>
          <w:rFonts w:eastAsiaTheme="majorEastAsia"/>
          <w:b w:val="0"/>
          <w:bCs w:val="0"/>
        </w:rPr>
        <w:t>appendices</w:t>
      </w:r>
      <w:r w:rsidRPr="00F7780F">
        <w:t xml:space="preserve"> are included to support the analysis and enhance the </w:t>
      </w:r>
      <w:r w:rsidRPr="00F7780F">
        <w:rPr>
          <w:rStyle w:val="Strong"/>
          <w:rFonts w:eastAsiaTheme="majorEastAsia"/>
          <w:b w:val="0"/>
          <w:bCs w:val="0"/>
        </w:rPr>
        <w:t>academic rigour</w:t>
      </w:r>
      <w:r w:rsidRPr="00F7780F">
        <w:t xml:space="preserve"> of the report.</w:t>
      </w:r>
    </w:p>
    <w:p w14:paraId="7B50759D" w14:textId="77777777" w:rsidR="00C844D9" w:rsidRDefault="00C844D9" w:rsidP="00C844D9">
      <w:pPr>
        <w:pStyle w:val="NormalWeb"/>
        <w:spacing w:line="360" w:lineRule="auto"/>
        <w:jc w:val="both"/>
      </w:pPr>
    </w:p>
    <w:p w14:paraId="58BD0CF5" w14:textId="77777777" w:rsidR="00C844D9" w:rsidRDefault="00C844D9" w:rsidP="00C844D9">
      <w:pPr>
        <w:pStyle w:val="NormalWeb"/>
        <w:spacing w:line="360" w:lineRule="auto"/>
        <w:jc w:val="both"/>
      </w:pPr>
    </w:p>
    <w:p w14:paraId="67A6F5D5" w14:textId="77777777" w:rsidR="00C844D9" w:rsidRDefault="00C844D9" w:rsidP="00C844D9">
      <w:pPr>
        <w:pStyle w:val="NormalWeb"/>
        <w:spacing w:line="360" w:lineRule="auto"/>
        <w:jc w:val="both"/>
      </w:pPr>
    </w:p>
    <w:p w14:paraId="0B31DCA0" w14:textId="77777777" w:rsidR="00C844D9" w:rsidRDefault="00C844D9" w:rsidP="00C844D9">
      <w:pPr>
        <w:pStyle w:val="NormalWeb"/>
        <w:spacing w:line="360" w:lineRule="auto"/>
        <w:jc w:val="both"/>
      </w:pPr>
    </w:p>
    <w:p w14:paraId="12E99D5A" w14:textId="77777777" w:rsidR="00C844D9" w:rsidRDefault="00C844D9" w:rsidP="00C844D9">
      <w:pPr>
        <w:pStyle w:val="NormalWeb"/>
        <w:spacing w:line="360" w:lineRule="auto"/>
        <w:jc w:val="both"/>
      </w:pPr>
    </w:p>
    <w:p w14:paraId="27463427" w14:textId="77777777" w:rsidR="00C844D9" w:rsidRPr="00F7780F" w:rsidRDefault="00C844D9" w:rsidP="00C844D9">
      <w:pPr>
        <w:keepNext/>
        <w:keepLines/>
        <w:spacing w:before="360" w:after="80" w:line="360" w:lineRule="auto"/>
        <w:jc w:val="both"/>
        <w:outlineLvl w:val="0"/>
        <w:rPr>
          <w:rFonts w:ascii="Times New Roman" w:eastAsia="Times New Roman" w:hAnsi="Times New Roman" w:cs="Times New Roman"/>
          <w:b/>
          <w:iCs/>
          <w:color w:val="171717"/>
          <w:sz w:val="32"/>
          <w:szCs w:val="32"/>
        </w:rPr>
      </w:pPr>
      <w:bookmarkStart w:id="7" w:name="_Toc200551621"/>
      <w:r w:rsidRPr="00F7780F">
        <w:rPr>
          <w:rFonts w:ascii="Times New Roman" w:eastAsia="Times New Roman" w:hAnsi="Times New Roman" w:cs="Times New Roman"/>
          <w:b/>
          <w:iCs/>
          <w:color w:val="171717"/>
          <w:sz w:val="32"/>
          <w:szCs w:val="32"/>
        </w:rPr>
        <w:lastRenderedPageBreak/>
        <w:t>2. Literature review</w:t>
      </w:r>
      <w:bookmarkEnd w:id="7"/>
      <w:r w:rsidRPr="00F7780F">
        <w:rPr>
          <w:rFonts w:ascii="Times New Roman" w:eastAsia="Times New Roman" w:hAnsi="Times New Roman" w:cs="Times New Roman"/>
          <w:b/>
          <w:iCs/>
          <w:color w:val="171717"/>
          <w:sz w:val="32"/>
          <w:szCs w:val="32"/>
        </w:rPr>
        <w:t xml:space="preserve"> </w:t>
      </w:r>
    </w:p>
    <w:p w14:paraId="4B4B8752" w14:textId="77777777" w:rsidR="00C844D9" w:rsidRPr="004E142E"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28"/>
        </w:rPr>
      </w:pPr>
      <w:bookmarkStart w:id="8" w:name="_Toc200551622"/>
      <w:r w:rsidRPr="00F7780F">
        <w:rPr>
          <w:rFonts w:ascii="Times New Roman" w:eastAsia="Times New Roman" w:hAnsi="Times New Roman" w:cs="Times New Roman"/>
          <w:b/>
          <w:iCs/>
          <w:color w:val="000000" w:themeColor="text1"/>
          <w:sz w:val="28"/>
          <w:szCs w:val="28"/>
        </w:rPr>
        <w:t>2.1 Introduction</w:t>
      </w:r>
      <w:bookmarkEnd w:id="8"/>
    </w:p>
    <w:p w14:paraId="2B9335BF" w14:textId="77777777" w:rsidR="00C844D9" w:rsidRPr="00F7780F" w:rsidRDefault="00C844D9" w:rsidP="00C844D9">
      <w:pPr>
        <w:keepNext/>
        <w:keepLines/>
        <w:spacing w:before="160" w:after="80" w:line="360" w:lineRule="auto"/>
        <w:jc w:val="both"/>
        <w:outlineLvl w:val="1"/>
        <w:rPr>
          <w:rFonts w:ascii="Times New Roman" w:eastAsia="Times New Roman" w:hAnsi="Times New Roman" w:cs="Times New Roman"/>
          <w:bCs/>
          <w:iCs/>
          <w:color w:val="000000" w:themeColor="text1"/>
        </w:rPr>
      </w:pPr>
      <w:bookmarkStart w:id="9" w:name="_Toc200551207"/>
      <w:bookmarkStart w:id="10" w:name="_Toc200551623"/>
      <w:r w:rsidRPr="00F7780F">
        <w:rPr>
          <w:rFonts w:ascii="Times New Roman" w:eastAsia="Times New Roman" w:hAnsi="Times New Roman" w:cs="Times New Roman"/>
          <w:bCs/>
          <w:iCs/>
          <w:color w:val="000000" w:themeColor="text1"/>
        </w:rPr>
        <w:t>In the dynamic hospitality sector, health, safety, and privacy (HSP) have evolved into strategic pillars that influence both guest satisfaction and operational efficiency. With increasing regulatory oversight, hygiene standards shaped by the COVID-19 pandemic, and ongoing digital transformation, the scope of these three dimensions has expanded considerably.</w:t>
      </w:r>
      <w:r>
        <w:rPr>
          <w:rFonts w:ascii="Times New Roman" w:eastAsia="Times New Roman" w:hAnsi="Times New Roman" w:cs="Times New Roman"/>
          <w:bCs/>
          <w:iCs/>
          <w:color w:val="000000" w:themeColor="text1"/>
        </w:rPr>
        <w:t xml:space="preserve"> </w:t>
      </w:r>
      <w:r w:rsidRPr="00F7780F">
        <w:rPr>
          <w:rFonts w:ascii="Times New Roman" w:eastAsia="Times New Roman" w:hAnsi="Times New Roman" w:cs="Times New Roman"/>
          <w:bCs/>
          <w:iCs/>
          <w:color w:val="000000" w:themeColor="text1"/>
        </w:rPr>
        <w:t>This literature review brings together current academic research and industry insights across several key areas: health and hygiene regulations, guest safety and risk management, data protection and cybersecurity, technological advancements, and the role of employee training and safety culture in promoting robust HSP standards within the hospitality industry.</w:t>
      </w:r>
      <w:bookmarkEnd w:id="9"/>
      <w:bookmarkEnd w:id="10"/>
    </w:p>
    <w:p w14:paraId="4981BBE0" w14:textId="77777777" w:rsidR="00C844D9"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28"/>
        </w:rPr>
      </w:pPr>
      <w:bookmarkStart w:id="11" w:name="_Toc200551624"/>
      <w:r w:rsidRPr="00F7780F">
        <w:rPr>
          <w:rFonts w:ascii="Times New Roman" w:eastAsia="Times New Roman" w:hAnsi="Times New Roman" w:cs="Times New Roman"/>
          <w:b/>
          <w:iCs/>
          <w:color w:val="000000" w:themeColor="text1"/>
          <w:sz w:val="28"/>
          <w:szCs w:val="28"/>
        </w:rPr>
        <w:t>2.2 Health and Hygiene Standards in Hotels</w:t>
      </w:r>
      <w:bookmarkEnd w:id="11"/>
    </w:p>
    <w:p w14:paraId="111151E6" w14:textId="77777777" w:rsidR="00C844D9" w:rsidRPr="00F7780F"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28"/>
        </w:rPr>
      </w:pPr>
      <w:bookmarkStart w:id="12" w:name="_Toc200551209"/>
      <w:bookmarkStart w:id="13" w:name="_Toc200551625"/>
      <w:r w:rsidRPr="004E142E">
        <w:rPr>
          <w:rFonts w:ascii="Times New Roman" w:eastAsia="Times New Roman" w:hAnsi="Times New Roman" w:cs="Times New Roman"/>
          <w:bCs/>
          <w:iCs/>
          <w:color w:val="000000" w:themeColor="text1"/>
        </w:rPr>
        <w:t>Historically, hygiene in the hospitality industry was regarded as a fundamental operational concern, essential for ensuring proper service delivery. However, the COVID-19 pandemic has significantly reshaped the sector’s understanding of health, hygiene, and associated responsibilities. According to Jiang and Wen (2020), guests’ perceptions of cleanliness have become as influential as room comfort or location in determining overall satisfaction. Enhanced health protocols—ranging from contactless check-ins to frequent disinfection of surfaces—are now considered core components of the guest experience.</w:t>
      </w:r>
      <w:r>
        <w:rPr>
          <w:rFonts w:ascii="Times New Roman" w:eastAsia="Times New Roman" w:hAnsi="Times New Roman" w:cs="Times New Roman"/>
          <w:bCs/>
          <w:iCs/>
          <w:color w:val="000000" w:themeColor="text1"/>
        </w:rPr>
        <w:t xml:space="preserve"> </w:t>
      </w:r>
      <w:r w:rsidRPr="004E142E">
        <w:rPr>
          <w:rFonts w:ascii="Times New Roman" w:eastAsia="Times New Roman" w:hAnsi="Times New Roman" w:cs="Times New Roman"/>
          <w:bCs/>
          <w:iCs/>
          <w:color w:val="000000" w:themeColor="text1"/>
        </w:rPr>
        <w:t>Pizam et al. (2014) contend that visible cleanliness not only reassures guests but also has a direct impact on repeat bookings. Hotels are now expected to comply with both internal hygiene standards and national public health regulations, such as those issued by the UK’s Health and Safety Executive (HSE). For instance, Naumov et al. (2021) found that sanitation and hygiene have become the two most critical factors influencing international travel decisions. Tourists are increasingly likely to compare the health and hygiene measures of potential destinations before making travel arrangements. A failure to uphold these standards can significantly damage an organisation’s reputation.</w:t>
      </w:r>
      <w:r>
        <w:rPr>
          <w:rFonts w:ascii="Times New Roman" w:eastAsia="Times New Roman" w:hAnsi="Times New Roman" w:cs="Times New Roman"/>
          <w:bCs/>
          <w:iCs/>
          <w:color w:val="000000" w:themeColor="text1"/>
        </w:rPr>
        <w:t xml:space="preserve"> </w:t>
      </w:r>
      <w:r w:rsidRPr="004E142E">
        <w:rPr>
          <w:rFonts w:ascii="Times New Roman" w:eastAsia="Times New Roman" w:hAnsi="Times New Roman" w:cs="Times New Roman"/>
          <w:bCs/>
          <w:iCs/>
          <w:color w:val="000000" w:themeColor="text1"/>
        </w:rPr>
        <w:t xml:space="preserve">In this context, </w:t>
      </w:r>
      <w:proofErr w:type="spellStart"/>
      <w:r w:rsidRPr="004E142E">
        <w:rPr>
          <w:rFonts w:ascii="Times New Roman" w:eastAsia="Times New Roman" w:hAnsi="Times New Roman" w:cs="Times New Roman"/>
          <w:bCs/>
          <w:iCs/>
          <w:color w:val="000000" w:themeColor="text1"/>
        </w:rPr>
        <w:t>Coldra</w:t>
      </w:r>
      <w:proofErr w:type="spellEnd"/>
      <w:r w:rsidRPr="004E142E">
        <w:rPr>
          <w:rFonts w:ascii="Times New Roman" w:eastAsia="Times New Roman" w:hAnsi="Times New Roman" w:cs="Times New Roman"/>
          <w:bCs/>
          <w:iCs/>
          <w:color w:val="000000" w:themeColor="text1"/>
        </w:rPr>
        <w:t xml:space="preserve"> Court Hotel must ensure that its health and hygiene protocols are both visible and verifiable, aligning with guest expectations and national regulations, to remain competitive in the post-pandemic hospitality landscape.</w:t>
      </w:r>
      <w:bookmarkEnd w:id="12"/>
      <w:bookmarkEnd w:id="13"/>
    </w:p>
    <w:p w14:paraId="607FB001" w14:textId="77777777" w:rsidR="00C844D9"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28"/>
        </w:rPr>
      </w:pPr>
    </w:p>
    <w:p w14:paraId="1D901332" w14:textId="77777777" w:rsidR="00C844D9"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28"/>
        </w:rPr>
      </w:pPr>
    </w:p>
    <w:p w14:paraId="3B3D302B" w14:textId="77777777" w:rsidR="00C844D9"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28"/>
        </w:rPr>
      </w:pPr>
      <w:bookmarkStart w:id="14" w:name="_Toc200551626"/>
      <w:r w:rsidRPr="00F7780F">
        <w:rPr>
          <w:rFonts w:ascii="Times New Roman" w:eastAsia="Times New Roman" w:hAnsi="Times New Roman" w:cs="Times New Roman"/>
          <w:b/>
          <w:iCs/>
          <w:color w:val="000000" w:themeColor="text1"/>
          <w:sz w:val="28"/>
          <w:szCs w:val="28"/>
        </w:rPr>
        <w:lastRenderedPageBreak/>
        <w:t>2.3 Guest Safety and Risk Management</w:t>
      </w:r>
      <w:bookmarkEnd w:id="14"/>
    </w:p>
    <w:p w14:paraId="356DB4A5" w14:textId="77777777" w:rsidR="00C844D9" w:rsidRPr="00F7780F"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28"/>
        </w:rPr>
      </w:pPr>
      <w:bookmarkStart w:id="15" w:name="_Toc200551627"/>
      <w:r w:rsidRPr="003274F5">
        <w:rPr>
          <w:rFonts w:ascii="Times New Roman" w:eastAsia="Times New Roman" w:hAnsi="Times New Roman" w:cs="Times New Roman"/>
          <w:bCs/>
          <w:iCs/>
          <w:color w:val="000000" w:themeColor="text1"/>
        </w:rPr>
        <w:t xml:space="preserve">Guest safety in hotels encompasses physical security, service-related safety, emergency response preparedness, and preventative measures (Jones and Comfort, 2021). The Health and Safety at Work etc. Act 1974 requires UK employers, including hotels, to ensure the safety of both employees and guests (British Safety Council, 2025). In line with this, </w:t>
      </w:r>
      <w:proofErr w:type="spellStart"/>
      <w:r w:rsidRPr="003274F5">
        <w:rPr>
          <w:rFonts w:ascii="Times New Roman" w:eastAsia="Times New Roman" w:hAnsi="Times New Roman" w:cs="Times New Roman"/>
          <w:bCs/>
          <w:iCs/>
          <w:color w:val="000000" w:themeColor="text1"/>
        </w:rPr>
        <w:t>Coldra</w:t>
      </w:r>
      <w:proofErr w:type="spellEnd"/>
      <w:r w:rsidRPr="003274F5">
        <w:rPr>
          <w:rFonts w:ascii="Times New Roman" w:eastAsia="Times New Roman" w:hAnsi="Times New Roman" w:cs="Times New Roman"/>
          <w:bCs/>
          <w:iCs/>
          <w:color w:val="000000" w:themeColor="text1"/>
        </w:rPr>
        <w:t xml:space="preserve"> Court Hotel in Newport implements a comprehensive safety strategy, featuring clearly marked fire exits, CCTV surveillance, slip-resistant flooring, and regular employee training to maintain a secure environment. The travel risk management standard ISO 31030 has also gained increased relevance in post-pandemic hospitality planning, and hotels such as </w:t>
      </w:r>
      <w:proofErr w:type="spellStart"/>
      <w:r w:rsidRPr="003274F5">
        <w:rPr>
          <w:rFonts w:ascii="Times New Roman" w:eastAsia="Times New Roman" w:hAnsi="Times New Roman" w:cs="Times New Roman"/>
          <w:bCs/>
          <w:iCs/>
          <w:color w:val="000000" w:themeColor="text1"/>
        </w:rPr>
        <w:t>Coldra</w:t>
      </w:r>
      <w:proofErr w:type="spellEnd"/>
      <w:r w:rsidRPr="003274F5">
        <w:rPr>
          <w:rFonts w:ascii="Times New Roman" w:eastAsia="Times New Roman" w:hAnsi="Times New Roman" w:cs="Times New Roman"/>
          <w:bCs/>
          <w:iCs/>
          <w:color w:val="000000" w:themeColor="text1"/>
        </w:rPr>
        <w:t xml:space="preserve"> Court have begun aligning their protocols accordingly (ISO, 2021). According to Enz (2009), effective safety management not only prevents harm but also fosters trust and reduces legal liability. Despite robust measures, incidents such as data breaches, guest injuries, or hygiene lapses can still occur and may result in significant reputational damage (</w:t>
      </w:r>
      <w:proofErr w:type="spellStart"/>
      <w:r w:rsidRPr="003274F5">
        <w:rPr>
          <w:rFonts w:ascii="Times New Roman" w:eastAsia="Times New Roman" w:hAnsi="Times New Roman" w:cs="Times New Roman"/>
          <w:bCs/>
          <w:iCs/>
          <w:color w:val="000000" w:themeColor="text1"/>
        </w:rPr>
        <w:t>Kasavana</w:t>
      </w:r>
      <w:proofErr w:type="spellEnd"/>
      <w:r w:rsidRPr="003274F5">
        <w:rPr>
          <w:rFonts w:ascii="Times New Roman" w:eastAsia="Times New Roman" w:hAnsi="Times New Roman" w:cs="Times New Roman"/>
          <w:bCs/>
          <w:iCs/>
          <w:color w:val="000000" w:themeColor="text1"/>
        </w:rPr>
        <w:t>, 2017). The literature supports a proactive, systems-based approach to safety, where regular audits, safety checklists, and continuous staff feedback loops (</w:t>
      </w:r>
      <w:proofErr w:type="spellStart"/>
      <w:r w:rsidRPr="003274F5">
        <w:rPr>
          <w:rFonts w:ascii="Times New Roman" w:eastAsia="Times New Roman" w:hAnsi="Times New Roman" w:cs="Times New Roman"/>
          <w:bCs/>
          <w:iCs/>
          <w:color w:val="000000" w:themeColor="text1"/>
        </w:rPr>
        <w:t>Abedsoltan</w:t>
      </w:r>
      <w:proofErr w:type="spellEnd"/>
      <w:r w:rsidRPr="003274F5">
        <w:rPr>
          <w:rFonts w:ascii="Times New Roman" w:eastAsia="Times New Roman" w:hAnsi="Times New Roman" w:cs="Times New Roman"/>
          <w:bCs/>
          <w:iCs/>
          <w:color w:val="000000" w:themeColor="text1"/>
        </w:rPr>
        <w:t xml:space="preserve">, </w:t>
      </w:r>
      <w:proofErr w:type="spellStart"/>
      <w:r w:rsidRPr="003274F5">
        <w:rPr>
          <w:rFonts w:ascii="Times New Roman" w:eastAsia="Times New Roman" w:hAnsi="Times New Roman" w:cs="Times New Roman"/>
          <w:bCs/>
          <w:iCs/>
          <w:color w:val="000000" w:themeColor="text1"/>
        </w:rPr>
        <w:t>Abedsoltan</w:t>
      </w:r>
      <w:proofErr w:type="spellEnd"/>
      <w:r w:rsidRPr="003274F5">
        <w:rPr>
          <w:rFonts w:ascii="Times New Roman" w:eastAsia="Times New Roman" w:hAnsi="Times New Roman" w:cs="Times New Roman"/>
          <w:bCs/>
          <w:iCs/>
          <w:color w:val="000000" w:themeColor="text1"/>
        </w:rPr>
        <w:t xml:space="preserve"> and </w:t>
      </w:r>
      <w:proofErr w:type="spellStart"/>
      <w:r w:rsidRPr="003274F5">
        <w:rPr>
          <w:rFonts w:ascii="Times New Roman" w:eastAsia="Times New Roman" w:hAnsi="Times New Roman" w:cs="Times New Roman"/>
          <w:bCs/>
          <w:iCs/>
          <w:color w:val="000000" w:themeColor="text1"/>
        </w:rPr>
        <w:t>Zoghi</w:t>
      </w:r>
      <w:proofErr w:type="spellEnd"/>
      <w:r w:rsidRPr="003274F5">
        <w:rPr>
          <w:rFonts w:ascii="Times New Roman" w:eastAsia="Times New Roman" w:hAnsi="Times New Roman" w:cs="Times New Roman"/>
          <w:bCs/>
          <w:iCs/>
          <w:color w:val="000000" w:themeColor="text1"/>
        </w:rPr>
        <w:t xml:space="preserve">, 2024; Koc and Villi, 2021) help embed a strong culture of risk awareness in day-to-day operations—an approach increasingly reflected in </w:t>
      </w:r>
      <w:proofErr w:type="spellStart"/>
      <w:r w:rsidRPr="003274F5">
        <w:rPr>
          <w:rFonts w:ascii="Times New Roman" w:eastAsia="Times New Roman" w:hAnsi="Times New Roman" w:cs="Times New Roman"/>
          <w:bCs/>
          <w:iCs/>
          <w:color w:val="000000" w:themeColor="text1"/>
        </w:rPr>
        <w:t>Coldra</w:t>
      </w:r>
      <w:proofErr w:type="spellEnd"/>
      <w:r w:rsidRPr="003274F5">
        <w:rPr>
          <w:rFonts w:ascii="Times New Roman" w:eastAsia="Times New Roman" w:hAnsi="Times New Roman" w:cs="Times New Roman"/>
          <w:bCs/>
          <w:iCs/>
          <w:color w:val="000000" w:themeColor="text1"/>
        </w:rPr>
        <w:t xml:space="preserve"> Court Hotel’s practices.</w:t>
      </w:r>
      <w:bookmarkEnd w:id="15"/>
    </w:p>
    <w:p w14:paraId="4CB7DB4F" w14:textId="77777777" w:rsidR="00C844D9"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32"/>
        </w:rPr>
      </w:pPr>
      <w:bookmarkStart w:id="16" w:name="_Toc200551628"/>
      <w:r w:rsidRPr="00F7780F">
        <w:rPr>
          <w:rFonts w:ascii="Times New Roman" w:eastAsia="Times New Roman" w:hAnsi="Times New Roman" w:cs="Times New Roman"/>
          <w:b/>
          <w:iCs/>
          <w:color w:val="000000" w:themeColor="text1"/>
          <w:sz w:val="28"/>
          <w:szCs w:val="32"/>
        </w:rPr>
        <w:t>2.4 Digital Privacy and Cybersecurity in Hospitality</w:t>
      </w:r>
      <w:bookmarkEnd w:id="16"/>
    </w:p>
    <w:p w14:paraId="44653679" w14:textId="77777777" w:rsidR="00C844D9" w:rsidRPr="008D7470" w:rsidRDefault="00C844D9" w:rsidP="00C844D9">
      <w:pPr>
        <w:pStyle w:val="NormalWeb"/>
        <w:spacing w:line="360" w:lineRule="auto"/>
        <w:jc w:val="both"/>
      </w:pPr>
      <w:r w:rsidRPr="008D7470">
        <w:t>The growth of digital platforms in the hospitality sector, such as online booking engines, mobile applications, and loyalty programmes, has heightened the exposure of hotels to data security challenges. Under the UK General Data Protection Regulation (UK GDPR) and the Data Protection Act 2018, hotels are regarded as data controllers (</w:t>
      </w:r>
      <w:proofErr w:type="spellStart"/>
      <w:r w:rsidRPr="008D7470">
        <w:t>Pipyros</w:t>
      </w:r>
      <w:proofErr w:type="spellEnd"/>
      <w:r w:rsidRPr="008D7470">
        <w:t xml:space="preserve"> and </w:t>
      </w:r>
      <w:proofErr w:type="spellStart"/>
      <w:r w:rsidRPr="008D7470">
        <w:t>Liasidou</w:t>
      </w:r>
      <w:proofErr w:type="spellEnd"/>
      <w:r w:rsidRPr="008D7470">
        <w:t xml:space="preserve">, 2025). Consequently, they bear significant responsibility for the collection, storage, and safeguarding of guests’ personal information. </w:t>
      </w:r>
      <w:proofErr w:type="spellStart"/>
      <w:r w:rsidRPr="008D7470">
        <w:t>Tussyadiah</w:t>
      </w:r>
      <w:proofErr w:type="spellEnd"/>
      <w:r w:rsidRPr="008D7470">
        <w:t xml:space="preserve"> and Miller (2019) emphasise that guests now have high expectations for privacy protection, comparable to those upheld by financial institutions and e-commerce platforms. This necessitates the implementation of secure Wi-Fi systems, transparent CCTV practices for stakeholders, data minimisation strategies, and explicit consent protocols.</w:t>
      </w:r>
      <w:r>
        <w:t xml:space="preserve"> </w:t>
      </w:r>
      <w:r w:rsidRPr="008D7470">
        <w:t>However, Sigala (2018) observes that mid-sized and independent hotels often lag major chains in adopting robust cybersecurity measures. Moreover, Florido-Benítez (2024) highlights that connections between hotels and external entities such as tourism agencies and third-party platforms can create further data privacy and cybersecurity risks. Accordingly, these issues warrant considerable attention, particularly for small to mid-sized organisations.</w:t>
      </w:r>
    </w:p>
    <w:p w14:paraId="79E79273" w14:textId="77777777" w:rsidR="00C844D9"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32"/>
        </w:rPr>
      </w:pPr>
      <w:bookmarkStart w:id="17" w:name="_Toc200551629"/>
      <w:r w:rsidRPr="00F7780F">
        <w:rPr>
          <w:rFonts w:ascii="Times New Roman" w:eastAsia="Times New Roman" w:hAnsi="Times New Roman" w:cs="Times New Roman"/>
          <w:b/>
          <w:iCs/>
          <w:color w:val="000000" w:themeColor="text1"/>
          <w:sz w:val="28"/>
          <w:szCs w:val="32"/>
        </w:rPr>
        <w:lastRenderedPageBreak/>
        <w:t>2.5 Role of Technology in Enhancing HSP</w:t>
      </w:r>
      <w:bookmarkEnd w:id="17"/>
    </w:p>
    <w:p w14:paraId="43EA4575" w14:textId="77777777" w:rsidR="00C844D9" w:rsidRPr="00F7780F"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32"/>
        </w:rPr>
      </w:pPr>
      <w:bookmarkStart w:id="18" w:name="_Toc200551630"/>
      <w:r w:rsidRPr="008D7470">
        <w:rPr>
          <w:rFonts w:ascii="Times New Roman" w:hAnsi="Times New Roman" w:cs="Times New Roman"/>
        </w:rPr>
        <w:t xml:space="preserve">Technology has become a key enabler of safer, cleaner, and more private hotel operations. Smart room features, touchless payments, and mobile check-ins have become standard practices within the tourism industry, continually transforming the guest experience (Kumar, Mishra, and Mishra, 2023). According to </w:t>
      </w:r>
      <w:proofErr w:type="spellStart"/>
      <w:r w:rsidRPr="008D7470">
        <w:rPr>
          <w:rFonts w:ascii="Times New Roman" w:hAnsi="Times New Roman" w:cs="Times New Roman"/>
        </w:rPr>
        <w:t>Buhalis</w:t>
      </w:r>
      <w:proofErr w:type="spellEnd"/>
      <w:r w:rsidRPr="008D7470">
        <w:rPr>
          <w:rFonts w:ascii="Times New Roman" w:hAnsi="Times New Roman" w:cs="Times New Roman"/>
        </w:rPr>
        <w:t xml:space="preserve"> and Leung (2018), these technologies reduce the need for human intervention while enhancing operational efficiency and guest management. Artificial intelligence (AI) and machine learning can support predictive safety management, further strengthening the security and reliability of hotel operations. Additionally, the Internet of Things (IoT) plays a critical role in hotels, with devices monitoring air quality, occupancy, and energy consumption (Ivanov and Webster, 2019). Unified and well-balanced communication platforms also enable omnichannel visitor interaction, ensuring rapid service resolution and reinforcing perceptions of attentiveness and care (Luo et al., 2021). As guests increasingly value both efficiency and control, the literature underscores that Health, Safety, and Privacy (HSP) measures must be integrated into digital transformation strategies, rather than being treated as separate operational elements.</w:t>
      </w:r>
      <w:bookmarkEnd w:id="18"/>
    </w:p>
    <w:p w14:paraId="0D7760C4" w14:textId="77777777" w:rsidR="00C844D9"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32"/>
        </w:rPr>
      </w:pPr>
      <w:bookmarkStart w:id="19" w:name="_Toc200551631"/>
      <w:r w:rsidRPr="00F7780F">
        <w:rPr>
          <w:rFonts w:ascii="Times New Roman" w:eastAsia="Times New Roman" w:hAnsi="Times New Roman" w:cs="Times New Roman"/>
          <w:b/>
          <w:iCs/>
          <w:color w:val="000000" w:themeColor="text1"/>
          <w:sz w:val="28"/>
          <w:szCs w:val="32"/>
        </w:rPr>
        <w:t>2.6 Staff Training and Safety Culture</w:t>
      </w:r>
      <w:bookmarkEnd w:id="19"/>
    </w:p>
    <w:p w14:paraId="37C7E8B7" w14:textId="77777777" w:rsidR="00C844D9" w:rsidRDefault="00C844D9" w:rsidP="00C844D9">
      <w:pPr>
        <w:pStyle w:val="NormalWeb"/>
        <w:spacing w:line="360" w:lineRule="auto"/>
        <w:jc w:val="both"/>
      </w:pPr>
      <w:r>
        <w:t>Employees are the frontline executors of Health, Safety, and Privacy (HSP) protocols. Research by Chan and Hsu (2016) underscores that the knowledge, attitudes, expertise, and consistency of staff are vital to delivering safe and hygienic services. Training should extend beyond the initial orientation to include regular refresher courses, scenario-based planning, and periodic assessments (Naji et al., 2022). Furthermore, research in occupational health and safety highlights the need for hotels to protect employees from ergonomic hazards, infectious diseases, and workplace incidents (Davis et al., 2014). The concept of safety culture represents a collective mindset regarding risk and responsibility (Kim, Kim, and Lee, 2021). The attitudes of employees, reinforced by supportive systems, are central to fostering this culture. Cooper et al. (2019) argue that safety culture not only drives compliance but also enhances organisational resilience. Hotels where leadership demonstrates clear commitment and unwavering dedication to HSP matters are more likely to maintain consistently high standards (Naji et al., 2022). However, in resource-constrained environments, safety can sometimes be deprioritised, particularly during periods of high occupancy or staffing shortages.</w:t>
      </w:r>
    </w:p>
    <w:p w14:paraId="0B378016" w14:textId="77777777" w:rsidR="00C844D9" w:rsidRDefault="00C844D9" w:rsidP="00C844D9">
      <w:pPr>
        <w:pStyle w:val="NormalWeb"/>
        <w:spacing w:line="360" w:lineRule="auto"/>
        <w:jc w:val="both"/>
      </w:pPr>
    </w:p>
    <w:p w14:paraId="6B398A08" w14:textId="77777777" w:rsidR="00C844D9" w:rsidRDefault="00C844D9" w:rsidP="00C844D9">
      <w:pPr>
        <w:pStyle w:val="NormalWeb"/>
        <w:spacing w:line="360" w:lineRule="auto"/>
        <w:jc w:val="both"/>
        <w:rPr>
          <w:b/>
          <w:iCs/>
          <w:color w:val="000000" w:themeColor="text1"/>
          <w:sz w:val="28"/>
          <w:szCs w:val="32"/>
        </w:rPr>
      </w:pPr>
      <w:r w:rsidRPr="00F7780F">
        <w:rPr>
          <w:b/>
          <w:iCs/>
          <w:color w:val="000000" w:themeColor="text1"/>
          <w:sz w:val="28"/>
          <w:szCs w:val="32"/>
        </w:rPr>
        <w:lastRenderedPageBreak/>
        <w:t>2.7 Gaps in the Literature and Contextual Relevance</w:t>
      </w:r>
    </w:p>
    <w:p w14:paraId="19713E09" w14:textId="77777777" w:rsidR="00C844D9" w:rsidRPr="00F7780F" w:rsidRDefault="00C844D9" w:rsidP="00C844D9">
      <w:pPr>
        <w:pStyle w:val="NormalWeb"/>
        <w:spacing w:line="360" w:lineRule="auto"/>
        <w:jc w:val="both"/>
        <w:rPr>
          <w:b/>
          <w:iCs/>
          <w:color w:val="000000" w:themeColor="text1"/>
        </w:rPr>
      </w:pPr>
      <w:r>
        <w:t xml:space="preserve">While a growing body of literature addresses HSP in luxury and international chain hotels, there is a relative scarcity of research exploring these issues in mid-scale regional hotels, such as </w:t>
      </w:r>
      <w:proofErr w:type="spellStart"/>
      <w:r>
        <w:t>Coldra</w:t>
      </w:r>
      <w:proofErr w:type="spellEnd"/>
      <w:r>
        <w:t xml:space="preserve"> Court. Furthermore, the integration of privacy and physical safety as a combined concept is seldom examined; these elements are typically treated as separate concerns. Additionally, limited research has investigated how guest perceptions of safety evolve over time and how these perceptions influence booking decisions or brand loyalty. These gaps underscore the importance of case-based research in capturing real-world, localised insights.</w:t>
      </w:r>
    </w:p>
    <w:p w14:paraId="28658CC1" w14:textId="77777777" w:rsidR="00C844D9" w:rsidRPr="00E45BDB" w:rsidRDefault="00C844D9" w:rsidP="00C844D9">
      <w:pPr>
        <w:keepNext/>
        <w:keepLines/>
        <w:spacing w:before="160" w:after="80" w:line="360" w:lineRule="auto"/>
        <w:jc w:val="both"/>
        <w:outlineLvl w:val="1"/>
        <w:rPr>
          <w:rFonts w:ascii="Times New Roman" w:eastAsia="Times New Roman" w:hAnsi="Times New Roman" w:cs="Times New Roman"/>
          <w:b/>
          <w:iCs/>
          <w:color w:val="000000" w:themeColor="text1"/>
          <w:sz w:val="28"/>
          <w:szCs w:val="32"/>
        </w:rPr>
      </w:pPr>
      <w:bookmarkStart w:id="20" w:name="_Toc200551632"/>
      <w:r w:rsidRPr="00F7780F">
        <w:rPr>
          <w:rFonts w:ascii="Times New Roman" w:eastAsia="Times New Roman" w:hAnsi="Times New Roman" w:cs="Times New Roman"/>
          <w:b/>
          <w:iCs/>
          <w:color w:val="000000" w:themeColor="text1"/>
          <w:sz w:val="28"/>
          <w:szCs w:val="32"/>
        </w:rPr>
        <w:t>2.8 Conclusion</w:t>
      </w:r>
      <w:bookmarkEnd w:id="20"/>
    </w:p>
    <w:p w14:paraId="5AD58567" w14:textId="77777777" w:rsidR="00C844D9" w:rsidRDefault="00C844D9" w:rsidP="00C844D9">
      <w:pPr>
        <w:keepNext/>
        <w:keepLines/>
        <w:spacing w:before="160" w:after="80" w:line="360" w:lineRule="auto"/>
        <w:jc w:val="both"/>
        <w:outlineLvl w:val="1"/>
        <w:rPr>
          <w:rFonts w:ascii="Times New Roman" w:hAnsi="Times New Roman" w:cs="Times New Roman"/>
        </w:rPr>
      </w:pPr>
      <w:bookmarkStart w:id="21" w:name="_Toc200551633"/>
      <w:r w:rsidRPr="00E45BDB">
        <w:rPr>
          <w:rFonts w:ascii="Times New Roman" w:hAnsi="Times New Roman" w:cs="Times New Roman"/>
        </w:rPr>
        <w:t>The literature highlights that health, safety, and privacy are no longer optional add-ons but rather essential elements of competitive hospitality management. Guests increasingly expect transparency, proactivity, and reliability across these areas, while regulators require strict compliance. Coldra Court Hotel operates within an environment where guest trust is heavily influenced by its ability to balance affordability with robust HSP frameworks. Technology, staff engagement, and risk-based planning emerge as the key enablers of success. Nonetheless, specific case studies are necessary to bridge the gap between theoretical insights and practical application, particularly within the mid-range hotel sector.</w:t>
      </w:r>
      <w:bookmarkEnd w:id="21"/>
    </w:p>
    <w:p w14:paraId="4C6BB096"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5A62411C"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0668A81E"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78062B4F"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1FB8808B"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04281E4E"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121F4698"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54E3E7CB" w14:textId="77777777" w:rsidR="00C844D9" w:rsidRDefault="00C844D9" w:rsidP="00C844D9">
      <w:pPr>
        <w:keepNext/>
        <w:keepLines/>
        <w:spacing w:before="160" w:after="80" w:line="360" w:lineRule="auto"/>
        <w:jc w:val="both"/>
        <w:outlineLvl w:val="1"/>
        <w:rPr>
          <w:rFonts w:ascii="Times New Roman" w:hAnsi="Times New Roman" w:cs="Times New Roman"/>
        </w:rPr>
      </w:pPr>
    </w:p>
    <w:p w14:paraId="464047E3" w14:textId="77777777" w:rsidR="00C844D9" w:rsidRPr="00F7780F" w:rsidRDefault="00C844D9" w:rsidP="00C844D9">
      <w:pPr>
        <w:keepNext/>
        <w:keepLines/>
        <w:spacing w:before="160" w:after="80" w:line="360" w:lineRule="auto"/>
        <w:jc w:val="both"/>
        <w:outlineLvl w:val="1"/>
        <w:rPr>
          <w:rFonts w:ascii="Times New Roman" w:eastAsia="Times New Roman" w:hAnsi="Times New Roman" w:cs="Times New Roman"/>
          <w:b/>
          <w:i/>
          <w:color w:val="0F4761"/>
          <w:sz w:val="28"/>
          <w:szCs w:val="32"/>
        </w:rPr>
      </w:pPr>
    </w:p>
    <w:p w14:paraId="2B12B3F2" w14:textId="77777777" w:rsidR="00C844D9" w:rsidRPr="00F7780F" w:rsidRDefault="00C844D9" w:rsidP="00C844D9">
      <w:pPr>
        <w:spacing w:line="360" w:lineRule="auto"/>
        <w:jc w:val="both"/>
        <w:rPr>
          <w:rFonts w:ascii="Times New Roman" w:eastAsia="Aptos" w:hAnsi="Times New Roman" w:cs="Times New Roman"/>
        </w:rPr>
      </w:pPr>
      <w:r w:rsidRPr="00F7780F">
        <w:rPr>
          <w:rFonts w:ascii="Times New Roman" w:eastAsia="Aptos" w:hAnsi="Times New Roman" w:cs="Times New Roman"/>
        </w:rPr>
        <w:br w:type="page"/>
      </w:r>
    </w:p>
    <w:p w14:paraId="078E14A6" w14:textId="77777777" w:rsidR="00C844D9" w:rsidRPr="00512C53" w:rsidRDefault="00C844D9" w:rsidP="00C844D9">
      <w:pPr>
        <w:pStyle w:val="Heading1"/>
        <w:rPr>
          <w:rFonts w:ascii="Times New Roman" w:hAnsi="Times New Roman" w:cs="Times New Roman"/>
          <w:b/>
          <w:bCs/>
          <w:color w:val="000000" w:themeColor="text1"/>
          <w:sz w:val="32"/>
          <w:szCs w:val="32"/>
        </w:rPr>
      </w:pPr>
      <w:bookmarkStart w:id="22" w:name="_Toc200551634"/>
      <w:r w:rsidRPr="00512C53">
        <w:rPr>
          <w:rFonts w:ascii="Times New Roman" w:hAnsi="Times New Roman" w:cs="Times New Roman"/>
          <w:b/>
          <w:bCs/>
          <w:color w:val="000000" w:themeColor="text1"/>
          <w:sz w:val="32"/>
          <w:szCs w:val="32"/>
        </w:rPr>
        <w:lastRenderedPageBreak/>
        <w:t>3. Methodology</w:t>
      </w:r>
      <w:bookmarkEnd w:id="22"/>
      <w:r w:rsidRPr="00512C53">
        <w:rPr>
          <w:rFonts w:ascii="Times New Roman" w:hAnsi="Times New Roman" w:cs="Times New Roman"/>
          <w:b/>
          <w:bCs/>
          <w:color w:val="000000" w:themeColor="text1"/>
          <w:sz w:val="32"/>
          <w:szCs w:val="32"/>
        </w:rPr>
        <w:t xml:space="preserve"> </w:t>
      </w:r>
    </w:p>
    <w:p w14:paraId="70BACD96" w14:textId="77777777" w:rsidR="00C844D9" w:rsidRDefault="00C844D9" w:rsidP="00C844D9">
      <w:pPr>
        <w:pStyle w:val="Heading2"/>
        <w:rPr>
          <w:rFonts w:ascii="Times New Roman" w:hAnsi="Times New Roman" w:cs="Times New Roman"/>
          <w:b/>
          <w:bCs/>
          <w:color w:val="000000" w:themeColor="text1"/>
          <w:sz w:val="28"/>
          <w:szCs w:val="28"/>
        </w:rPr>
      </w:pPr>
      <w:bookmarkStart w:id="23" w:name="_Toc200551635"/>
      <w:r w:rsidRPr="00512C53">
        <w:rPr>
          <w:rFonts w:ascii="Times New Roman" w:hAnsi="Times New Roman" w:cs="Times New Roman"/>
          <w:b/>
          <w:bCs/>
          <w:color w:val="000000" w:themeColor="text1"/>
          <w:sz w:val="28"/>
          <w:szCs w:val="28"/>
        </w:rPr>
        <w:t>3.1 Case study methodology</w:t>
      </w:r>
      <w:bookmarkEnd w:id="23"/>
      <w:r w:rsidRPr="00512C53">
        <w:rPr>
          <w:rFonts w:ascii="Times New Roman" w:hAnsi="Times New Roman" w:cs="Times New Roman"/>
          <w:b/>
          <w:bCs/>
          <w:color w:val="000000" w:themeColor="text1"/>
          <w:sz w:val="28"/>
          <w:szCs w:val="28"/>
        </w:rPr>
        <w:t xml:space="preserve"> </w:t>
      </w:r>
    </w:p>
    <w:p w14:paraId="496DF6EB" w14:textId="77777777" w:rsidR="00C844D9" w:rsidRPr="00F6564D" w:rsidRDefault="00C844D9" w:rsidP="00C844D9">
      <w:pPr>
        <w:spacing w:line="360" w:lineRule="auto"/>
        <w:jc w:val="both"/>
        <w:rPr>
          <w:rFonts w:ascii="Times New Roman" w:hAnsi="Times New Roman" w:cs="Times New Roman"/>
        </w:rPr>
      </w:pPr>
      <w:r w:rsidRPr="00F6564D">
        <w:rPr>
          <w:rFonts w:ascii="Times New Roman" w:hAnsi="Times New Roman" w:cs="Times New Roman"/>
        </w:rPr>
        <w:t xml:space="preserve">This research adopts a case study methodology, focusing on </w:t>
      </w:r>
      <w:proofErr w:type="spellStart"/>
      <w:r w:rsidRPr="00F6564D">
        <w:rPr>
          <w:rFonts w:ascii="Times New Roman" w:hAnsi="Times New Roman" w:cs="Times New Roman"/>
        </w:rPr>
        <w:t>Coldra</w:t>
      </w:r>
      <w:proofErr w:type="spellEnd"/>
      <w:r w:rsidRPr="00F6564D">
        <w:rPr>
          <w:rFonts w:ascii="Times New Roman" w:hAnsi="Times New Roman" w:cs="Times New Roman"/>
        </w:rPr>
        <w:t xml:space="preserve"> Court Hotel in South-East Wales. A case study approach is particularly well-suited for in-depth exploration of real-world business practices (Collis and Hussey, 2014). It is especially practical and valuable when examining complex, context-specific issues such as health, safety, and privacy (Yin, 2014). This method enables the integration of existing literature, observations from a placement, and secondary data to develop a comprehensive understanding of how these standards are implemented and perceived in a mid-scale hotel environment. It facilitates a holistic analysis by capturing the interconnections between policy, behaviour, and outcomes (Cottrell, 2014). Furthermore, case studies are particularly effective in hospitality research, as they provide contextual richness and nuanced insights (Veal, 2018). As such, this approach allows for the examination of real operational dynamics that might otherwise be overlooked in purely quantitative studies or broad generalisations.</w:t>
      </w:r>
    </w:p>
    <w:p w14:paraId="1AA65FED" w14:textId="77777777" w:rsidR="00C844D9" w:rsidRPr="00DA0443" w:rsidRDefault="00C844D9" w:rsidP="00C844D9">
      <w:pPr>
        <w:pStyle w:val="Heading2"/>
        <w:rPr>
          <w:rFonts w:ascii="Times New Roman" w:hAnsi="Times New Roman" w:cs="Times New Roman"/>
          <w:b/>
          <w:bCs/>
          <w:sz w:val="28"/>
          <w:szCs w:val="28"/>
        </w:rPr>
      </w:pPr>
      <w:bookmarkStart w:id="24" w:name="_Toc200551636"/>
      <w:r w:rsidRPr="00DA0443">
        <w:rPr>
          <w:rFonts w:ascii="Times New Roman" w:hAnsi="Times New Roman" w:cs="Times New Roman"/>
          <w:b/>
          <w:bCs/>
          <w:color w:val="000000" w:themeColor="text1"/>
          <w:sz w:val="28"/>
          <w:szCs w:val="28"/>
        </w:rPr>
        <w:t>3.2 Data collection</w:t>
      </w:r>
      <w:bookmarkEnd w:id="24"/>
      <w:r w:rsidRPr="00DA0443">
        <w:rPr>
          <w:rFonts w:ascii="Times New Roman" w:hAnsi="Times New Roman" w:cs="Times New Roman"/>
          <w:b/>
          <w:bCs/>
          <w:color w:val="000000" w:themeColor="text1"/>
          <w:sz w:val="28"/>
          <w:szCs w:val="28"/>
        </w:rPr>
        <w:t xml:space="preserve"> </w:t>
      </w:r>
    </w:p>
    <w:p w14:paraId="7BBAD6AB" w14:textId="77777777" w:rsidR="00C844D9" w:rsidRPr="00DA0443" w:rsidRDefault="00C844D9" w:rsidP="00C844D9">
      <w:pPr>
        <w:spacing w:line="360" w:lineRule="auto"/>
        <w:jc w:val="both"/>
        <w:rPr>
          <w:rFonts w:ascii="Times New Roman" w:hAnsi="Times New Roman" w:cs="Times New Roman"/>
        </w:rPr>
      </w:pPr>
      <w:r w:rsidRPr="00DA0443">
        <w:rPr>
          <w:rFonts w:ascii="Times New Roman" w:hAnsi="Times New Roman" w:cs="Times New Roman"/>
        </w:rPr>
        <w:t xml:space="preserve">This study is grounded in insights gained from the placement, knowledge acquired during that period, and key secondary data. It has been designed to align with the ethical guidelines set out by Saunders et al. (2012) and follows the requirements outlined in the approved ethics form. Secondary sources include academic literature, industry reports, the official website of </w:t>
      </w:r>
      <w:proofErr w:type="spellStart"/>
      <w:r w:rsidRPr="00DA0443">
        <w:rPr>
          <w:rFonts w:ascii="Times New Roman" w:hAnsi="Times New Roman" w:cs="Times New Roman"/>
        </w:rPr>
        <w:t>Coldra</w:t>
      </w:r>
      <w:proofErr w:type="spellEnd"/>
      <w:r w:rsidRPr="00DA0443">
        <w:rPr>
          <w:rFonts w:ascii="Times New Roman" w:hAnsi="Times New Roman" w:cs="Times New Roman"/>
        </w:rPr>
        <w:t xml:space="preserve"> Court Hotel, guest reviews from platforms such as TripAdvisor, and operational observations made during the placement period. These materials provide a comprehensive understanding of the hotel’s practices and guest experiences, without compromising privacy or requiring direct participant involvement (Veal, 2018). Furthermore, no information from the placement has been used that might breach the overall operational practices or strategic confidentiality of the hotel.</w:t>
      </w:r>
    </w:p>
    <w:p w14:paraId="49CA5A94" w14:textId="77777777" w:rsidR="00C844D9" w:rsidRPr="00941375" w:rsidRDefault="00C844D9" w:rsidP="00C844D9">
      <w:pPr>
        <w:pStyle w:val="Heading2"/>
        <w:rPr>
          <w:rFonts w:ascii="Times New Roman" w:hAnsi="Times New Roman" w:cs="Times New Roman"/>
          <w:b/>
          <w:bCs/>
          <w:color w:val="000000" w:themeColor="text1"/>
          <w:sz w:val="28"/>
          <w:szCs w:val="28"/>
        </w:rPr>
      </w:pPr>
      <w:bookmarkStart w:id="25" w:name="_Toc200551637"/>
      <w:r w:rsidRPr="00941375">
        <w:rPr>
          <w:rFonts w:ascii="Times New Roman" w:hAnsi="Times New Roman" w:cs="Times New Roman"/>
          <w:b/>
          <w:bCs/>
          <w:color w:val="000000" w:themeColor="text1"/>
          <w:sz w:val="28"/>
          <w:szCs w:val="28"/>
        </w:rPr>
        <w:t>3.3 Data analysis</w:t>
      </w:r>
      <w:bookmarkEnd w:id="25"/>
      <w:r w:rsidRPr="00941375">
        <w:rPr>
          <w:rFonts w:ascii="Times New Roman" w:hAnsi="Times New Roman" w:cs="Times New Roman"/>
          <w:b/>
          <w:bCs/>
          <w:color w:val="000000" w:themeColor="text1"/>
          <w:sz w:val="28"/>
          <w:szCs w:val="28"/>
        </w:rPr>
        <w:t xml:space="preserve"> </w:t>
      </w:r>
    </w:p>
    <w:p w14:paraId="7301AE5D" w14:textId="77777777" w:rsidR="00C844D9" w:rsidRDefault="00C844D9" w:rsidP="00C844D9">
      <w:pPr>
        <w:pStyle w:val="NormalWeb"/>
        <w:spacing w:line="360" w:lineRule="auto"/>
        <w:jc w:val="both"/>
      </w:pPr>
      <w:r>
        <w:t>A thematic analysis method is employed to identify patterns within the collected data, following the six-step procedure outlined by Braun and Clarke (2006). This process involves:</w:t>
      </w:r>
    </w:p>
    <w:p w14:paraId="228B1462" w14:textId="77777777" w:rsidR="00C844D9" w:rsidRDefault="00C844D9" w:rsidP="00C844D9">
      <w:pPr>
        <w:pStyle w:val="NormalWeb"/>
        <w:numPr>
          <w:ilvl w:val="0"/>
          <w:numId w:val="3"/>
        </w:numPr>
        <w:spacing w:line="360" w:lineRule="auto"/>
        <w:jc w:val="both"/>
      </w:pPr>
      <w:r>
        <w:t>identifying,</w:t>
      </w:r>
    </w:p>
    <w:p w14:paraId="4C99AAF9" w14:textId="77777777" w:rsidR="00C844D9" w:rsidRDefault="00C844D9" w:rsidP="00C844D9">
      <w:pPr>
        <w:pStyle w:val="NormalWeb"/>
        <w:numPr>
          <w:ilvl w:val="0"/>
          <w:numId w:val="3"/>
        </w:numPr>
        <w:spacing w:line="360" w:lineRule="auto"/>
        <w:jc w:val="both"/>
      </w:pPr>
      <w:r>
        <w:t>analysing,</w:t>
      </w:r>
    </w:p>
    <w:p w14:paraId="3E40F537" w14:textId="77777777" w:rsidR="00C844D9" w:rsidRDefault="00C844D9" w:rsidP="00C844D9">
      <w:pPr>
        <w:pStyle w:val="NormalWeb"/>
        <w:numPr>
          <w:ilvl w:val="0"/>
          <w:numId w:val="3"/>
        </w:numPr>
        <w:spacing w:line="360" w:lineRule="auto"/>
        <w:jc w:val="both"/>
      </w:pPr>
      <w:r>
        <w:t>discovering patterns and themes, and</w:t>
      </w:r>
    </w:p>
    <w:p w14:paraId="5D0C01E4" w14:textId="77777777" w:rsidR="00C844D9" w:rsidRDefault="00C844D9" w:rsidP="00C844D9">
      <w:pPr>
        <w:pStyle w:val="NormalWeb"/>
        <w:numPr>
          <w:ilvl w:val="0"/>
          <w:numId w:val="3"/>
        </w:numPr>
        <w:spacing w:line="360" w:lineRule="auto"/>
        <w:jc w:val="both"/>
      </w:pPr>
      <w:r>
        <w:lastRenderedPageBreak/>
        <w:t>reporting these patterns (themes) within the data.</w:t>
      </w:r>
    </w:p>
    <w:p w14:paraId="30B16989" w14:textId="77777777" w:rsidR="00C844D9" w:rsidRDefault="00C844D9" w:rsidP="00C844D9">
      <w:pPr>
        <w:pStyle w:val="NormalWeb"/>
        <w:spacing w:line="360" w:lineRule="auto"/>
        <w:jc w:val="both"/>
      </w:pPr>
      <w:r>
        <w:t xml:space="preserve">Themes such as cleanliness standards, guest safety, data privacy measures, and staff training are identified and assessed. Comparisons are then made between the practices of </w:t>
      </w:r>
      <w:proofErr w:type="spellStart"/>
      <w:r>
        <w:t>Coldra</w:t>
      </w:r>
      <w:proofErr w:type="spellEnd"/>
      <w:r>
        <w:t xml:space="preserve"> Court Hotel and best practices outlined in the literature, highlighting areas of strength, potential weaknesses, and opportunities for improvement. This approach enables a systematic and analytical understanding of actual performance in relation to established scholarly perspectives (Nowell et al., 2017).</w:t>
      </w:r>
    </w:p>
    <w:p w14:paraId="212A8137" w14:textId="77777777" w:rsidR="00C844D9" w:rsidRPr="00941375" w:rsidRDefault="00C844D9" w:rsidP="00C844D9">
      <w:pPr>
        <w:pStyle w:val="Heading2"/>
        <w:rPr>
          <w:rFonts w:ascii="Times New Roman" w:hAnsi="Times New Roman" w:cs="Times New Roman"/>
          <w:b/>
          <w:bCs/>
          <w:color w:val="000000" w:themeColor="text1"/>
          <w:sz w:val="28"/>
          <w:szCs w:val="28"/>
        </w:rPr>
      </w:pPr>
      <w:bookmarkStart w:id="26" w:name="_Toc200551638"/>
      <w:r w:rsidRPr="00941375">
        <w:rPr>
          <w:rFonts w:ascii="Times New Roman" w:hAnsi="Times New Roman" w:cs="Times New Roman"/>
          <w:b/>
          <w:bCs/>
          <w:color w:val="000000" w:themeColor="text1"/>
          <w:sz w:val="28"/>
          <w:szCs w:val="28"/>
        </w:rPr>
        <w:t>3.4 Ethical considerations</w:t>
      </w:r>
      <w:bookmarkEnd w:id="26"/>
      <w:r w:rsidRPr="00941375">
        <w:rPr>
          <w:rFonts w:ascii="Times New Roman" w:hAnsi="Times New Roman" w:cs="Times New Roman"/>
          <w:b/>
          <w:bCs/>
          <w:color w:val="000000" w:themeColor="text1"/>
          <w:sz w:val="28"/>
          <w:szCs w:val="28"/>
        </w:rPr>
        <w:t xml:space="preserve"> </w:t>
      </w:r>
    </w:p>
    <w:p w14:paraId="76ABE9A7" w14:textId="77777777" w:rsidR="00C844D9" w:rsidRPr="00941375" w:rsidRDefault="00C844D9" w:rsidP="00C844D9">
      <w:pPr>
        <w:spacing w:line="360" w:lineRule="auto"/>
        <w:jc w:val="both"/>
        <w:rPr>
          <w:rFonts w:ascii="Times New Roman" w:hAnsi="Times New Roman" w:cs="Times New Roman"/>
        </w:rPr>
      </w:pPr>
      <w:r w:rsidRPr="00941375">
        <w:rPr>
          <w:rFonts w:ascii="Times New Roman" w:hAnsi="Times New Roman" w:cs="Times New Roman"/>
        </w:rPr>
        <w:t>The research was designed to be ethically low risk, with no human participants involved and no sensitive data collected. All data used are either publicly available or derived from direct observations during the placement. The study complies with the UWTSD Research Ethics and Integrity Code of Practice and adheres to the principles of the GDPR where applicable. An ethics approval form was submitted and received prior to the commencement of the study.</w:t>
      </w:r>
    </w:p>
    <w:p w14:paraId="3C2FA13B" w14:textId="77777777" w:rsidR="00C844D9" w:rsidRDefault="00C844D9" w:rsidP="00C844D9">
      <w:pPr>
        <w:pStyle w:val="Heading2"/>
        <w:rPr>
          <w:rFonts w:ascii="Times New Roman" w:hAnsi="Times New Roman" w:cs="Times New Roman"/>
          <w:b/>
          <w:bCs/>
          <w:color w:val="000000" w:themeColor="text1"/>
          <w:sz w:val="28"/>
          <w:szCs w:val="28"/>
        </w:rPr>
      </w:pPr>
      <w:bookmarkStart w:id="27" w:name="_Toc200551639"/>
      <w:r w:rsidRPr="00941375">
        <w:rPr>
          <w:rFonts w:ascii="Times New Roman" w:hAnsi="Times New Roman" w:cs="Times New Roman"/>
          <w:b/>
          <w:bCs/>
          <w:color w:val="000000" w:themeColor="text1"/>
          <w:sz w:val="28"/>
          <w:szCs w:val="28"/>
        </w:rPr>
        <w:t>3.5 Limitations</w:t>
      </w:r>
      <w:bookmarkEnd w:id="27"/>
      <w:r w:rsidRPr="00941375">
        <w:rPr>
          <w:rFonts w:ascii="Times New Roman" w:hAnsi="Times New Roman" w:cs="Times New Roman"/>
          <w:b/>
          <w:bCs/>
          <w:color w:val="000000" w:themeColor="text1"/>
          <w:sz w:val="28"/>
          <w:szCs w:val="28"/>
        </w:rPr>
        <w:t xml:space="preserve"> </w:t>
      </w:r>
    </w:p>
    <w:p w14:paraId="0A492E20" w14:textId="77777777" w:rsidR="00C844D9" w:rsidRPr="00941375" w:rsidRDefault="00C844D9" w:rsidP="00C844D9">
      <w:pPr>
        <w:spacing w:line="360" w:lineRule="auto"/>
        <w:jc w:val="both"/>
        <w:rPr>
          <w:rFonts w:ascii="Times New Roman" w:hAnsi="Times New Roman" w:cs="Times New Roman"/>
        </w:rPr>
      </w:pPr>
      <w:r w:rsidRPr="00941375">
        <w:rPr>
          <w:rFonts w:ascii="Times New Roman" w:hAnsi="Times New Roman" w:cs="Times New Roman"/>
        </w:rPr>
        <w:t xml:space="preserve">The case study approach offers detailed, context-rich insights; however, it also presents certain limitations. The most significant of these is the issue of generalisability (Collis and Hussey, 2014). Findings from the </w:t>
      </w:r>
      <w:proofErr w:type="spellStart"/>
      <w:r w:rsidRPr="00941375">
        <w:rPr>
          <w:rFonts w:ascii="Times New Roman" w:hAnsi="Times New Roman" w:cs="Times New Roman"/>
        </w:rPr>
        <w:t>Coldra</w:t>
      </w:r>
      <w:proofErr w:type="spellEnd"/>
      <w:r w:rsidRPr="00941375">
        <w:rPr>
          <w:rFonts w:ascii="Times New Roman" w:hAnsi="Times New Roman" w:cs="Times New Roman"/>
        </w:rPr>
        <w:t xml:space="preserve"> Court case study may not be applicable to other hotels, particularly those with different operational scales or located in different geographic contexts. Additionally, case studies inherently carry a risk of subjectivity, as the analysis relies heavily on the researcher’s interpretation (Saunders et al., 2012). Furthermore, the focus on a single entity restricts opportunities for comparative benchmarking across multiple organisations (Cottrell, 2014). These constraints must be recognised and considered when drawing broader conclusions from the findings.</w:t>
      </w:r>
    </w:p>
    <w:p w14:paraId="347B455C" w14:textId="77777777" w:rsidR="00C844D9" w:rsidRPr="0058093C" w:rsidRDefault="00C844D9" w:rsidP="00C844D9">
      <w:pPr>
        <w:rPr>
          <w:rFonts w:eastAsiaTheme="majorEastAsia" w:cstheme="majorBidi"/>
          <w:color w:val="171717" w:themeColor="background2" w:themeShade="1A"/>
          <w:sz w:val="32"/>
          <w:szCs w:val="40"/>
        </w:rPr>
      </w:pPr>
      <w:r w:rsidRPr="0058093C">
        <w:br w:type="page"/>
      </w:r>
    </w:p>
    <w:p w14:paraId="7820BC0D" w14:textId="77777777" w:rsidR="00C844D9" w:rsidRPr="00647F07" w:rsidRDefault="00C844D9" w:rsidP="00C844D9">
      <w:pPr>
        <w:pStyle w:val="Heading1"/>
        <w:rPr>
          <w:rFonts w:ascii="Times New Roman" w:hAnsi="Times New Roman" w:cs="Times New Roman"/>
          <w:b/>
          <w:bCs/>
          <w:color w:val="000000" w:themeColor="text1"/>
          <w:sz w:val="32"/>
          <w:szCs w:val="32"/>
        </w:rPr>
      </w:pPr>
      <w:bookmarkStart w:id="28" w:name="_Toc200551640"/>
      <w:r w:rsidRPr="00647F07">
        <w:rPr>
          <w:rFonts w:ascii="Times New Roman" w:hAnsi="Times New Roman" w:cs="Times New Roman"/>
          <w:b/>
          <w:bCs/>
          <w:color w:val="000000" w:themeColor="text1"/>
          <w:sz w:val="32"/>
          <w:szCs w:val="32"/>
        </w:rPr>
        <w:lastRenderedPageBreak/>
        <w:t>4</w:t>
      </w:r>
      <w:r>
        <w:rPr>
          <w:rFonts w:ascii="Times New Roman" w:hAnsi="Times New Roman" w:cs="Times New Roman"/>
          <w:b/>
          <w:bCs/>
          <w:color w:val="000000" w:themeColor="text1"/>
          <w:sz w:val="32"/>
          <w:szCs w:val="32"/>
        </w:rPr>
        <w:t xml:space="preserve">. </w:t>
      </w:r>
      <w:r w:rsidRPr="00647F07">
        <w:rPr>
          <w:rFonts w:ascii="Times New Roman" w:hAnsi="Times New Roman" w:cs="Times New Roman"/>
          <w:b/>
          <w:bCs/>
          <w:color w:val="000000" w:themeColor="text1"/>
          <w:sz w:val="32"/>
          <w:szCs w:val="32"/>
        </w:rPr>
        <w:t xml:space="preserve">Case Study Analysis – </w:t>
      </w:r>
      <w:proofErr w:type="spellStart"/>
      <w:r w:rsidRPr="00647F07">
        <w:rPr>
          <w:rFonts w:ascii="Times New Roman" w:hAnsi="Times New Roman" w:cs="Times New Roman"/>
          <w:b/>
          <w:bCs/>
          <w:color w:val="000000" w:themeColor="text1"/>
          <w:sz w:val="32"/>
          <w:szCs w:val="32"/>
        </w:rPr>
        <w:t>Coldra</w:t>
      </w:r>
      <w:proofErr w:type="spellEnd"/>
      <w:r w:rsidRPr="00647F07">
        <w:rPr>
          <w:rFonts w:ascii="Times New Roman" w:hAnsi="Times New Roman" w:cs="Times New Roman"/>
          <w:b/>
          <w:bCs/>
          <w:color w:val="000000" w:themeColor="text1"/>
          <w:sz w:val="32"/>
          <w:szCs w:val="32"/>
        </w:rPr>
        <w:t xml:space="preserve"> Court Hotel</w:t>
      </w:r>
      <w:bookmarkEnd w:id="28"/>
    </w:p>
    <w:p w14:paraId="1ADB3290" w14:textId="77777777" w:rsidR="00C844D9" w:rsidRDefault="00C844D9" w:rsidP="00C844D9">
      <w:pPr>
        <w:pStyle w:val="Heading2"/>
        <w:rPr>
          <w:rFonts w:ascii="Times New Roman" w:hAnsi="Times New Roman" w:cs="Times New Roman"/>
          <w:b/>
          <w:bCs/>
          <w:color w:val="000000" w:themeColor="text1"/>
          <w:sz w:val="28"/>
          <w:szCs w:val="28"/>
        </w:rPr>
      </w:pPr>
      <w:bookmarkStart w:id="29" w:name="_Toc200551641"/>
      <w:r w:rsidRPr="00647F07">
        <w:rPr>
          <w:rFonts w:ascii="Times New Roman" w:hAnsi="Times New Roman" w:cs="Times New Roman"/>
          <w:b/>
          <w:bCs/>
          <w:color w:val="000000" w:themeColor="text1"/>
          <w:sz w:val="28"/>
          <w:szCs w:val="28"/>
        </w:rPr>
        <w:t xml:space="preserve">4.1 Overview of </w:t>
      </w:r>
      <w:proofErr w:type="spellStart"/>
      <w:r w:rsidRPr="00647F07">
        <w:rPr>
          <w:rFonts w:ascii="Times New Roman" w:hAnsi="Times New Roman" w:cs="Times New Roman"/>
          <w:b/>
          <w:bCs/>
          <w:color w:val="000000" w:themeColor="text1"/>
          <w:sz w:val="28"/>
          <w:szCs w:val="28"/>
        </w:rPr>
        <w:t>Coldra</w:t>
      </w:r>
      <w:proofErr w:type="spellEnd"/>
      <w:r w:rsidRPr="00647F07">
        <w:rPr>
          <w:rFonts w:ascii="Times New Roman" w:hAnsi="Times New Roman" w:cs="Times New Roman"/>
          <w:b/>
          <w:bCs/>
          <w:color w:val="000000" w:themeColor="text1"/>
          <w:sz w:val="28"/>
          <w:szCs w:val="28"/>
        </w:rPr>
        <w:t xml:space="preserve"> Court Hotel</w:t>
      </w:r>
      <w:bookmarkEnd w:id="29"/>
    </w:p>
    <w:p w14:paraId="662F9142" w14:textId="77777777" w:rsidR="00C844D9" w:rsidRPr="00647F07" w:rsidRDefault="00C844D9" w:rsidP="00C844D9">
      <w:pPr>
        <w:spacing w:line="360" w:lineRule="auto"/>
        <w:jc w:val="both"/>
        <w:rPr>
          <w:rFonts w:ascii="Times New Roman" w:hAnsi="Times New Roman" w:cs="Times New Roman"/>
        </w:rPr>
      </w:pPr>
      <w:r w:rsidRPr="0058093C">
        <w:rPr>
          <w:noProof/>
        </w:rPr>
        <w:drawing>
          <wp:anchor distT="0" distB="0" distL="114300" distR="114300" simplePos="0" relativeHeight="251660288" behindDoc="0" locked="0" layoutInCell="1" allowOverlap="1" wp14:anchorId="5D9FF08D" wp14:editId="5E95A5AD">
            <wp:simplePos x="0" y="0"/>
            <wp:positionH relativeFrom="column">
              <wp:posOffset>2905125</wp:posOffset>
            </wp:positionH>
            <wp:positionV relativeFrom="paragraph">
              <wp:posOffset>1416685</wp:posOffset>
            </wp:positionV>
            <wp:extent cx="2952115" cy="1809750"/>
            <wp:effectExtent l="0" t="0" r="635" b="0"/>
            <wp:wrapThrough wrapText="bothSides">
              <wp:wrapPolygon edited="0">
                <wp:start x="0" y="0"/>
                <wp:lineTo x="0" y="21373"/>
                <wp:lineTo x="21465" y="21373"/>
                <wp:lineTo x="21465" y="0"/>
                <wp:lineTo x="0" y="0"/>
              </wp:wrapPolygon>
            </wp:wrapThrough>
            <wp:docPr id="724398356" name="Picture 1" descr="A aerial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98356" name="Picture 1" descr="A aerial view of a building&#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52115" cy="1809750"/>
                    </a:xfrm>
                    <a:prstGeom prst="rect">
                      <a:avLst/>
                    </a:prstGeom>
                  </pic:spPr>
                </pic:pic>
              </a:graphicData>
            </a:graphic>
            <wp14:sizeRelH relativeFrom="page">
              <wp14:pctWidth>0</wp14:pctWidth>
            </wp14:sizeRelH>
            <wp14:sizeRelV relativeFrom="page">
              <wp14:pctHeight>0</wp14:pctHeight>
            </wp14:sizeRelV>
          </wp:anchor>
        </w:drawing>
      </w:r>
      <w:r w:rsidRPr="00647F07">
        <w:rPr>
          <w:rFonts w:ascii="Times New Roman" w:hAnsi="Times New Roman" w:cs="Times New Roman"/>
        </w:rPr>
        <w:t>Coldra Court Hotel is located near the Celtic Manor Resort in Newport, South Wales. It is a mid-range property operated by the Celtic Collection, offering comfortable bedrooms, a health club, a Southern-inspired smokehouse restaurant, a swimming pool, and a gym (</w:t>
      </w:r>
      <w:proofErr w:type="spellStart"/>
      <w:r w:rsidRPr="00647F07">
        <w:rPr>
          <w:rFonts w:ascii="Times New Roman" w:hAnsi="Times New Roman" w:cs="Times New Roman"/>
        </w:rPr>
        <w:t>Coldra</w:t>
      </w:r>
      <w:proofErr w:type="spellEnd"/>
      <w:r w:rsidRPr="00647F07">
        <w:rPr>
          <w:rFonts w:ascii="Times New Roman" w:hAnsi="Times New Roman" w:cs="Times New Roman"/>
        </w:rPr>
        <w:t xml:space="preserve"> Court Hotel, 2025). With a total of 148 guestrooms, the hotel also features a fitness suite, meeting rooms, and an indoor pool.</w:t>
      </w:r>
    </w:p>
    <w:p w14:paraId="49E46DBD" w14:textId="77777777" w:rsidR="00C844D9" w:rsidRPr="00773B00" w:rsidRDefault="00C844D9" w:rsidP="00C844D9">
      <w:pPr>
        <w:keepNext/>
        <w:rPr>
          <w:sz w:val="18"/>
          <w:szCs w:val="18"/>
        </w:rPr>
      </w:pPr>
      <w:r w:rsidRPr="0058093C">
        <w:rPr>
          <w:noProof/>
        </w:rPr>
        <w:drawing>
          <wp:anchor distT="0" distB="0" distL="114300" distR="114300" simplePos="0" relativeHeight="251659264" behindDoc="0" locked="0" layoutInCell="1" allowOverlap="1" wp14:anchorId="29782A75" wp14:editId="4CBBE038">
            <wp:simplePos x="0" y="0"/>
            <wp:positionH relativeFrom="column">
              <wp:posOffset>-9525</wp:posOffset>
            </wp:positionH>
            <wp:positionV relativeFrom="paragraph">
              <wp:posOffset>769</wp:posOffset>
            </wp:positionV>
            <wp:extent cx="2866599" cy="1835785"/>
            <wp:effectExtent l="0" t="0" r="0" b="0"/>
            <wp:wrapThrough wrapText="bothSides">
              <wp:wrapPolygon edited="0">
                <wp:start x="0" y="0"/>
                <wp:lineTo x="0" y="21294"/>
                <wp:lineTo x="21389" y="21294"/>
                <wp:lineTo x="21389" y="0"/>
                <wp:lineTo x="0" y="0"/>
              </wp:wrapPolygon>
            </wp:wrapThrough>
            <wp:docPr id="2000495712" name="Picture 2" descr="Coldra Court Hotel by Celtic Manor, Newport (updated prices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dra Court Hotel by Celtic Manor, Newport (updated prices 202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3985"/>
                    <a:stretch>
                      <a:fillRect/>
                    </a:stretch>
                  </pic:blipFill>
                  <pic:spPr bwMode="auto">
                    <a:xfrm>
                      <a:off x="0" y="0"/>
                      <a:ext cx="2866599" cy="18357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8093C">
        <w:t xml:space="preserve"> </w:t>
      </w:r>
    </w:p>
    <w:p w14:paraId="5B52C08D" w14:textId="77777777" w:rsidR="00C844D9" w:rsidRPr="00773B00" w:rsidRDefault="00C844D9" w:rsidP="00C844D9">
      <w:pPr>
        <w:pStyle w:val="Caption"/>
        <w:jc w:val="center"/>
      </w:pPr>
      <w:r w:rsidRPr="00773B00">
        <w:t xml:space="preserve">Figure </w:t>
      </w:r>
      <w:fldSimple w:instr=" SEQ Figure \* ARABIC ">
        <w:r w:rsidRPr="00773B00">
          <w:rPr>
            <w:noProof/>
          </w:rPr>
          <w:t>1</w:t>
        </w:r>
      </w:fldSimple>
      <w:r w:rsidRPr="00773B00">
        <w:t>: Location of the Hotel</w:t>
      </w:r>
    </w:p>
    <w:p w14:paraId="10B1D9B6" w14:textId="77777777" w:rsidR="00C844D9" w:rsidRDefault="00C844D9" w:rsidP="00C844D9">
      <w:pPr>
        <w:pStyle w:val="NormalWeb"/>
        <w:spacing w:line="360" w:lineRule="auto"/>
        <w:jc w:val="both"/>
      </w:pPr>
      <w:r>
        <w:t>Strategically situated along the M4 corridor, it caters to a diverse clientele, including leisure visitors, business clients, and sports groups. While the hotel benefits from its connection to the broader Celtic Collection, which raises guest expectations for service, it retains a relatively independent identity, focusing more on budget-conscious offerings (O’Toole, 2023).</w:t>
      </w:r>
    </w:p>
    <w:p w14:paraId="11F9D198" w14:textId="77777777" w:rsidR="00C844D9" w:rsidRDefault="00C844D9" w:rsidP="00C844D9">
      <w:pPr>
        <w:pStyle w:val="NormalWeb"/>
        <w:spacing w:line="360" w:lineRule="auto"/>
        <w:jc w:val="both"/>
      </w:pPr>
      <w:r>
        <w:t>The hotel’s operational ethos reflects that of many mid-scale UK hotels, seeking to balance affordability with professional service delivery (O’Toole, 2023). This positioning is particularly relevant when examining its health, safety, and privacy (HSP) practices and policies, especially in a landscape where global events such as the Coronavirus pandemic and increased exposure to cyber-attacks have heightened the value placed on these factors. Consequently, the hotel’s ability to implement and maintain robust HSP practices plays a critical role in shaping both its internal culture and external brand perception.</w:t>
      </w:r>
    </w:p>
    <w:p w14:paraId="37EA69B8" w14:textId="77777777" w:rsidR="00C844D9" w:rsidRDefault="00C844D9" w:rsidP="00C844D9"/>
    <w:p w14:paraId="36E685D8" w14:textId="77777777" w:rsidR="00C844D9" w:rsidRPr="00B16A0E" w:rsidRDefault="00C844D9" w:rsidP="00C844D9"/>
    <w:p w14:paraId="44A98CAE" w14:textId="77777777" w:rsidR="00C844D9" w:rsidRPr="00773B00" w:rsidRDefault="00C844D9" w:rsidP="00C844D9">
      <w:pPr>
        <w:pStyle w:val="Heading2"/>
        <w:rPr>
          <w:rFonts w:ascii="Times New Roman" w:hAnsi="Times New Roman" w:cs="Times New Roman"/>
          <w:b/>
          <w:bCs/>
          <w:color w:val="000000" w:themeColor="text1"/>
          <w:sz w:val="28"/>
          <w:szCs w:val="28"/>
        </w:rPr>
      </w:pPr>
      <w:bookmarkStart w:id="30" w:name="_Toc200551642"/>
      <w:r w:rsidRPr="00773B00">
        <w:rPr>
          <w:rFonts w:ascii="Times New Roman" w:hAnsi="Times New Roman" w:cs="Times New Roman"/>
          <w:b/>
          <w:bCs/>
          <w:color w:val="000000" w:themeColor="text1"/>
          <w:sz w:val="28"/>
          <w:szCs w:val="28"/>
        </w:rPr>
        <w:lastRenderedPageBreak/>
        <w:t>4.2 SWOT Analysis</w:t>
      </w:r>
      <w:bookmarkEnd w:id="30"/>
    </w:p>
    <w:p w14:paraId="48A24BFB" w14:textId="15BB98A1" w:rsidR="00C844D9" w:rsidRPr="00C844D9" w:rsidRDefault="00C844D9" w:rsidP="00C844D9">
      <w:pPr>
        <w:spacing w:line="360" w:lineRule="auto"/>
        <w:jc w:val="both"/>
        <w:rPr>
          <w:rFonts w:ascii="Times New Roman" w:hAnsi="Times New Roman" w:cs="Times New Roman"/>
        </w:rPr>
      </w:pPr>
      <w:r w:rsidRPr="00773B00">
        <w:rPr>
          <w:rFonts w:ascii="Times New Roman" w:hAnsi="Times New Roman" w:cs="Times New Roman"/>
        </w:rPr>
        <w:t xml:space="preserve">The table below summarises the key strengths, weaknesses, threats, and opportunities of the hotel – </w:t>
      </w:r>
    </w:p>
    <w:tbl>
      <w:tblPr>
        <w:tblStyle w:val="TableGrid"/>
        <w:tblW w:w="0" w:type="auto"/>
        <w:tblLook w:val="04A0" w:firstRow="1" w:lastRow="0" w:firstColumn="1" w:lastColumn="0" w:noHBand="0" w:noVBand="1"/>
      </w:tblPr>
      <w:tblGrid>
        <w:gridCol w:w="4510"/>
        <w:gridCol w:w="4506"/>
      </w:tblGrid>
      <w:tr w:rsidR="00C844D9" w:rsidRPr="0058093C" w14:paraId="0BD1D9EF" w14:textId="77777777" w:rsidTr="00FD0900">
        <w:tc>
          <w:tcPr>
            <w:tcW w:w="4675" w:type="dxa"/>
          </w:tcPr>
          <w:p w14:paraId="1549BB45" w14:textId="77777777" w:rsidR="00C844D9" w:rsidRPr="00773B00" w:rsidRDefault="00C844D9" w:rsidP="00FD0900">
            <w:pPr>
              <w:spacing w:line="360" w:lineRule="auto"/>
              <w:rPr>
                <w:rFonts w:ascii="Times New Roman" w:hAnsi="Times New Roman" w:cs="Times New Roman"/>
                <w:b/>
                <w:bCs/>
              </w:rPr>
            </w:pPr>
            <w:r w:rsidRPr="00773B00">
              <w:rPr>
                <w:rFonts w:ascii="Times New Roman" w:hAnsi="Times New Roman" w:cs="Times New Roman"/>
                <w:b/>
                <w:bCs/>
              </w:rPr>
              <w:t>Strengths</w:t>
            </w:r>
          </w:p>
        </w:tc>
        <w:tc>
          <w:tcPr>
            <w:tcW w:w="4675" w:type="dxa"/>
          </w:tcPr>
          <w:p w14:paraId="48A20CCC" w14:textId="77777777" w:rsidR="00C844D9" w:rsidRPr="00773B00" w:rsidRDefault="00C844D9" w:rsidP="00FD0900">
            <w:pPr>
              <w:spacing w:line="360" w:lineRule="auto"/>
              <w:rPr>
                <w:rFonts w:ascii="Times New Roman" w:hAnsi="Times New Roman" w:cs="Times New Roman"/>
              </w:rPr>
            </w:pPr>
            <w:r w:rsidRPr="00773B00">
              <w:rPr>
                <w:rFonts w:ascii="Times New Roman" w:hAnsi="Times New Roman" w:cs="Times New Roman"/>
                <w:b/>
                <w:bCs/>
              </w:rPr>
              <w:t>Weaknesses</w:t>
            </w:r>
          </w:p>
        </w:tc>
      </w:tr>
      <w:tr w:rsidR="00C844D9" w:rsidRPr="0058093C" w14:paraId="3C4D5359" w14:textId="77777777" w:rsidTr="00FD0900">
        <w:tc>
          <w:tcPr>
            <w:tcW w:w="4675" w:type="dxa"/>
          </w:tcPr>
          <w:p w14:paraId="0CA267EA" w14:textId="77777777" w:rsidR="00C844D9" w:rsidRPr="0089607C" w:rsidRDefault="00C844D9" w:rsidP="00FD0900">
            <w:pPr>
              <w:pStyle w:val="ListParagraph"/>
              <w:numPr>
                <w:ilvl w:val="0"/>
                <w:numId w:val="6"/>
              </w:numPr>
              <w:spacing w:line="360" w:lineRule="auto"/>
              <w:rPr>
                <w:rFonts w:ascii="Times New Roman" w:hAnsi="Times New Roman" w:cs="Times New Roman"/>
              </w:rPr>
            </w:pPr>
            <w:r w:rsidRPr="0089607C">
              <w:rPr>
                <w:rFonts w:ascii="Times New Roman" w:hAnsi="Times New Roman" w:cs="Times New Roman"/>
              </w:rPr>
              <w:t>Affiliation with The Celtic Collection</w:t>
            </w:r>
          </w:p>
          <w:p w14:paraId="4D79376D" w14:textId="77777777" w:rsidR="00C844D9" w:rsidRPr="0089607C" w:rsidRDefault="00C844D9" w:rsidP="00FD0900">
            <w:pPr>
              <w:pStyle w:val="ListParagraph"/>
              <w:numPr>
                <w:ilvl w:val="0"/>
                <w:numId w:val="6"/>
              </w:numPr>
              <w:spacing w:line="360" w:lineRule="auto"/>
              <w:rPr>
                <w:rFonts w:ascii="Times New Roman" w:hAnsi="Times New Roman" w:cs="Times New Roman"/>
              </w:rPr>
            </w:pPr>
            <w:r w:rsidRPr="0089607C">
              <w:rPr>
                <w:rFonts w:ascii="Times New Roman" w:hAnsi="Times New Roman" w:cs="Times New Roman"/>
              </w:rPr>
              <w:t xml:space="preserve">Location </w:t>
            </w:r>
          </w:p>
          <w:p w14:paraId="3E502C03" w14:textId="77777777" w:rsidR="00C844D9" w:rsidRPr="0089607C" w:rsidRDefault="00C844D9" w:rsidP="00FD0900">
            <w:pPr>
              <w:pStyle w:val="ListParagraph"/>
              <w:numPr>
                <w:ilvl w:val="0"/>
                <w:numId w:val="6"/>
              </w:numPr>
              <w:spacing w:line="360" w:lineRule="auto"/>
              <w:rPr>
                <w:rFonts w:ascii="Times New Roman" w:hAnsi="Times New Roman" w:cs="Times New Roman"/>
              </w:rPr>
            </w:pPr>
            <w:r w:rsidRPr="0089607C">
              <w:rPr>
                <w:rFonts w:ascii="Times New Roman" w:hAnsi="Times New Roman" w:cs="Times New Roman"/>
              </w:rPr>
              <w:t>Good facilities</w:t>
            </w:r>
          </w:p>
          <w:p w14:paraId="24B539A5" w14:textId="77777777" w:rsidR="00C844D9" w:rsidRPr="0089607C" w:rsidRDefault="00C844D9" w:rsidP="00FD0900">
            <w:pPr>
              <w:pStyle w:val="ListParagraph"/>
              <w:numPr>
                <w:ilvl w:val="0"/>
                <w:numId w:val="6"/>
              </w:numPr>
              <w:spacing w:line="360" w:lineRule="auto"/>
              <w:rPr>
                <w:rFonts w:ascii="Times New Roman" w:hAnsi="Times New Roman" w:cs="Times New Roman"/>
              </w:rPr>
            </w:pPr>
            <w:r w:rsidRPr="0089607C">
              <w:rPr>
                <w:rFonts w:ascii="Times New Roman" w:hAnsi="Times New Roman" w:cs="Times New Roman"/>
              </w:rPr>
              <w:t xml:space="preserve">Service quality </w:t>
            </w:r>
          </w:p>
          <w:p w14:paraId="57713E84" w14:textId="77777777" w:rsidR="00C844D9" w:rsidRPr="0089607C" w:rsidRDefault="00C844D9" w:rsidP="00FD0900">
            <w:pPr>
              <w:pStyle w:val="ListParagraph"/>
              <w:numPr>
                <w:ilvl w:val="0"/>
                <w:numId w:val="6"/>
              </w:numPr>
              <w:spacing w:line="360" w:lineRule="auto"/>
              <w:rPr>
                <w:rFonts w:ascii="Times New Roman" w:hAnsi="Times New Roman" w:cs="Times New Roman"/>
              </w:rPr>
            </w:pPr>
            <w:r w:rsidRPr="0089607C">
              <w:rPr>
                <w:rFonts w:ascii="Times New Roman" w:hAnsi="Times New Roman" w:cs="Times New Roman"/>
              </w:rPr>
              <w:t xml:space="preserve">Dedication </w:t>
            </w:r>
          </w:p>
          <w:p w14:paraId="2E78240C" w14:textId="77777777" w:rsidR="00C844D9" w:rsidRPr="0089607C" w:rsidRDefault="00C844D9" w:rsidP="00FD0900">
            <w:pPr>
              <w:pStyle w:val="ListParagraph"/>
              <w:numPr>
                <w:ilvl w:val="0"/>
                <w:numId w:val="6"/>
              </w:numPr>
              <w:spacing w:line="360" w:lineRule="auto"/>
              <w:rPr>
                <w:rFonts w:ascii="Times New Roman" w:hAnsi="Times New Roman" w:cs="Times New Roman"/>
              </w:rPr>
            </w:pPr>
            <w:r w:rsidRPr="0089607C">
              <w:rPr>
                <w:rFonts w:ascii="Times New Roman" w:hAnsi="Times New Roman" w:cs="Times New Roman"/>
              </w:rPr>
              <w:t xml:space="preserve">Room variety </w:t>
            </w:r>
          </w:p>
        </w:tc>
        <w:tc>
          <w:tcPr>
            <w:tcW w:w="4675" w:type="dxa"/>
          </w:tcPr>
          <w:p w14:paraId="520BAEE2" w14:textId="77777777" w:rsidR="00C844D9" w:rsidRPr="00773B00" w:rsidRDefault="00C844D9" w:rsidP="00FD0900">
            <w:pPr>
              <w:pStyle w:val="ListParagraph"/>
              <w:numPr>
                <w:ilvl w:val="0"/>
                <w:numId w:val="6"/>
              </w:numPr>
              <w:spacing w:line="360" w:lineRule="auto"/>
              <w:rPr>
                <w:rFonts w:ascii="Times New Roman" w:hAnsi="Times New Roman" w:cs="Times New Roman"/>
              </w:rPr>
            </w:pPr>
            <w:r w:rsidRPr="00773B00">
              <w:rPr>
                <w:rFonts w:ascii="Times New Roman" w:hAnsi="Times New Roman" w:cs="Times New Roman"/>
              </w:rPr>
              <w:t>Out-dated room furnishings in certain areas</w:t>
            </w:r>
          </w:p>
          <w:p w14:paraId="2540FBBB" w14:textId="77777777" w:rsidR="00C844D9" w:rsidRPr="00773B00" w:rsidRDefault="00C844D9" w:rsidP="00FD0900">
            <w:pPr>
              <w:pStyle w:val="ListParagraph"/>
              <w:numPr>
                <w:ilvl w:val="0"/>
                <w:numId w:val="6"/>
              </w:numPr>
              <w:spacing w:line="360" w:lineRule="auto"/>
              <w:rPr>
                <w:rFonts w:ascii="Times New Roman" w:hAnsi="Times New Roman" w:cs="Times New Roman"/>
              </w:rPr>
            </w:pPr>
            <w:r w:rsidRPr="00773B00">
              <w:rPr>
                <w:rFonts w:ascii="Times New Roman" w:hAnsi="Times New Roman" w:cs="Times New Roman"/>
              </w:rPr>
              <w:t>Dated bathrooms</w:t>
            </w:r>
          </w:p>
          <w:p w14:paraId="4905F06D" w14:textId="77777777" w:rsidR="00C844D9" w:rsidRPr="00773B00" w:rsidRDefault="00C844D9" w:rsidP="00FD0900">
            <w:pPr>
              <w:pStyle w:val="ListParagraph"/>
              <w:numPr>
                <w:ilvl w:val="0"/>
                <w:numId w:val="6"/>
              </w:numPr>
              <w:spacing w:line="360" w:lineRule="auto"/>
              <w:rPr>
                <w:rFonts w:ascii="Times New Roman" w:hAnsi="Times New Roman" w:cs="Times New Roman"/>
              </w:rPr>
            </w:pPr>
            <w:r w:rsidRPr="00773B00">
              <w:rPr>
                <w:rFonts w:ascii="Times New Roman" w:hAnsi="Times New Roman" w:cs="Times New Roman"/>
              </w:rPr>
              <w:t>Limited digital check-in/out facilities</w:t>
            </w:r>
          </w:p>
          <w:p w14:paraId="03E567FC" w14:textId="77777777" w:rsidR="00C844D9" w:rsidRPr="00773B00" w:rsidRDefault="00C844D9" w:rsidP="00FD0900">
            <w:pPr>
              <w:pStyle w:val="ListParagraph"/>
              <w:numPr>
                <w:ilvl w:val="0"/>
                <w:numId w:val="6"/>
              </w:numPr>
              <w:spacing w:line="360" w:lineRule="auto"/>
              <w:rPr>
                <w:rFonts w:ascii="Times New Roman" w:hAnsi="Times New Roman" w:cs="Times New Roman"/>
              </w:rPr>
            </w:pPr>
            <w:r w:rsidRPr="00773B00">
              <w:rPr>
                <w:rFonts w:ascii="Times New Roman" w:hAnsi="Times New Roman" w:cs="Times New Roman"/>
              </w:rPr>
              <w:t>Upper floors accessible by stairs only for some areas</w:t>
            </w:r>
          </w:p>
          <w:p w14:paraId="12D2CE9F" w14:textId="77777777" w:rsidR="00C844D9" w:rsidRPr="00773B00" w:rsidRDefault="00C844D9" w:rsidP="00FD0900">
            <w:pPr>
              <w:pStyle w:val="ListParagraph"/>
              <w:numPr>
                <w:ilvl w:val="0"/>
                <w:numId w:val="6"/>
              </w:numPr>
              <w:spacing w:line="360" w:lineRule="auto"/>
              <w:rPr>
                <w:rFonts w:ascii="Times New Roman" w:hAnsi="Times New Roman" w:cs="Times New Roman"/>
              </w:rPr>
            </w:pPr>
            <w:r w:rsidRPr="00773B00">
              <w:rPr>
                <w:rFonts w:ascii="Times New Roman" w:hAnsi="Times New Roman" w:cs="Times New Roman"/>
              </w:rPr>
              <w:t>Limited room service</w:t>
            </w:r>
          </w:p>
        </w:tc>
      </w:tr>
      <w:tr w:rsidR="00C844D9" w:rsidRPr="0058093C" w14:paraId="76755B19" w14:textId="77777777" w:rsidTr="00FD0900">
        <w:tc>
          <w:tcPr>
            <w:tcW w:w="4675" w:type="dxa"/>
          </w:tcPr>
          <w:p w14:paraId="7D834FE6" w14:textId="77777777" w:rsidR="00C844D9" w:rsidRPr="00773B00" w:rsidRDefault="00C844D9" w:rsidP="00FD0900">
            <w:pPr>
              <w:spacing w:line="360" w:lineRule="auto"/>
              <w:rPr>
                <w:rFonts w:ascii="Times New Roman" w:hAnsi="Times New Roman" w:cs="Times New Roman"/>
                <w:b/>
                <w:bCs/>
              </w:rPr>
            </w:pPr>
            <w:r w:rsidRPr="00773B00">
              <w:rPr>
                <w:rFonts w:ascii="Times New Roman" w:hAnsi="Times New Roman" w:cs="Times New Roman"/>
                <w:b/>
                <w:bCs/>
              </w:rPr>
              <w:t>Opportunities</w:t>
            </w:r>
          </w:p>
        </w:tc>
        <w:tc>
          <w:tcPr>
            <w:tcW w:w="4675" w:type="dxa"/>
          </w:tcPr>
          <w:p w14:paraId="319D3134" w14:textId="77777777" w:rsidR="00C844D9" w:rsidRPr="00773B00" w:rsidRDefault="00C844D9" w:rsidP="00FD0900">
            <w:pPr>
              <w:spacing w:line="360" w:lineRule="auto"/>
              <w:rPr>
                <w:rFonts w:ascii="Times New Roman" w:hAnsi="Times New Roman" w:cs="Times New Roman"/>
                <w:b/>
                <w:bCs/>
              </w:rPr>
            </w:pPr>
            <w:r w:rsidRPr="00773B00">
              <w:rPr>
                <w:rFonts w:ascii="Times New Roman" w:hAnsi="Times New Roman" w:cs="Times New Roman"/>
                <w:b/>
                <w:bCs/>
              </w:rPr>
              <w:t>Threats</w:t>
            </w:r>
          </w:p>
        </w:tc>
      </w:tr>
      <w:tr w:rsidR="00C844D9" w:rsidRPr="0058093C" w14:paraId="652326C5" w14:textId="77777777" w:rsidTr="00FD0900">
        <w:tc>
          <w:tcPr>
            <w:tcW w:w="4675" w:type="dxa"/>
          </w:tcPr>
          <w:p w14:paraId="0F34CBAA"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Leverage ICC Wales Proximity</w:t>
            </w:r>
          </w:p>
          <w:p w14:paraId="7775FCB7"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 xml:space="preserve">Golf tourism focus </w:t>
            </w:r>
          </w:p>
          <w:p w14:paraId="046CEF05"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Sustainability initiatives</w:t>
            </w:r>
          </w:p>
          <w:p w14:paraId="621A5414"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 xml:space="preserve">Technological leverages </w:t>
            </w:r>
          </w:p>
          <w:p w14:paraId="27186520"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Industry standards such as ISO 31030 for travel risk management</w:t>
            </w:r>
          </w:p>
          <w:p w14:paraId="6DEC38A4"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 xml:space="preserve">Online and AI levered options. </w:t>
            </w:r>
          </w:p>
        </w:tc>
        <w:tc>
          <w:tcPr>
            <w:tcW w:w="4675" w:type="dxa"/>
          </w:tcPr>
          <w:p w14:paraId="1A45D860"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Competition</w:t>
            </w:r>
          </w:p>
          <w:p w14:paraId="048AAAD4"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Economic downturns</w:t>
            </w:r>
          </w:p>
          <w:p w14:paraId="56C83339"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Changes in travel trends and higher levels of expectations</w:t>
            </w:r>
          </w:p>
          <w:p w14:paraId="5961F1FD"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Infrastructure issues</w:t>
            </w:r>
          </w:p>
          <w:p w14:paraId="1D8D6069"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Staff shortages</w:t>
            </w:r>
          </w:p>
          <w:p w14:paraId="53B86C64" w14:textId="77777777" w:rsidR="00C844D9" w:rsidRPr="00773B00" w:rsidRDefault="00C844D9" w:rsidP="00FD0900">
            <w:pPr>
              <w:pStyle w:val="ListParagraph"/>
              <w:numPr>
                <w:ilvl w:val="0"/>
                <w:numId w:val="7"/>
              </w:numPr>
              <w:spacing w:line="360" w:lineRule="auto"/>
              <w:rPr>
                <w:rFonts w:ascii="Times New Roman" w:hAnsi="Times New Roman" w:cs="Times New Roman"/>
              </w:rPr>
            </w:pPr>
            <w:r w:rsidRPr="00773B00">
              <w:rPr>
                <w:rFonts w:ascii="Times New Roman" w:hAnsi="Times New Roman" w:cs="Times New Roman"/>
              </w:rPr>
              <w:t xml:space="preserve">Data privacy breaches </w:t>
            </w:r>
          </w:p>
        </w:tc>
      </w:tr>
    </w:tbl>
    <w:p w14:paraId="109349BB" w14:textId="77777777" w:rsidR="00C844D9" w:rsidRPr="00773B00" w:rsidRDefault="00C844D9" w:rsidP="00C844D9">
      <w:pPr>
        <w:spacing w:line="360" w:lineRule="auto"/>
        <w:rPr>
          <w:rFonts w:ascii="Times New Roman" w:hAnsi="Times New Roman" w:cs="Times New Roman"/>
        </w:rPr>
      </w:pPr>
    </w:p>
    <w:p w14:paraId="7D804F91" w14:textId="77777777" w:rsidR="00C844D9" w:rsidRPr="00773B00" w:rsidRDefault="00C844D9" w:rsidP="00C844D9">
      <w:pPr>
        <w:spacing w:line="360" w:lineRule="auto"/>
        <w:rPr>
          <w:rFonts w:ascii="Times New Roman" w:hAnsi="Times New Roman" w:cs="Times New Roman"/>
          <w:b/>
          <w:bCs/>
          <w:sz w:val="28"/>
          <w:szCs w:val="28"/>
        </w:rPr>
      </w:pPr>
      <w:r w:rsidRPr="00773B00">
        <w:rPr>
          <w:rFonts w:ascii="Times New Roman" w:hAnsi="Times New Roman" w:cs="Times New Roman"/>
          <w:b/>
          <w:bCs/>
          <w:sz w:val="28"/>
          <w:szCs w:val="28"/>
        </w:rPr>
        <w:t>Strengths</w:t>
      </w:r>
    </w:p>
    <w:p w14:paraId="3E795634" w14:textId="77777777" w:rsidR="00C844D9" w:rsidRPr="00773B00" w:rsidRDefault="00C844D9" w:rsidP="00C844D9">
      <w:pPr>
        <w:spacing w:line="360" w:lineRule="auto"/>
        <w:jc w:val="both"/>
        <w:rPr>
          <w:rFonts w:ascii="Times New Roman" w:hAnsi="Times New Roman" w:cs="Times New Roman"/>
          <w:b/>
          <w:bCs/>
        </w:rPr>
      </w:pPr>
      <w:r w:rsidRPr="00773B00">
        <w:rPr>
          <w:rFonts w:ascii="Times New Roman" w:hAnsi="Times New Roman" w:cs="Times New Roman"/>
        </w:rPr>
        <w:t>Coldra Court Hotel benefits significantly from its affiliation with The Celtic Collection, a reputable hospitality brand in Wales (</w:t>
      </w:r>
      <w:proofErr w:type="spellStart"/>
      <w:r w:rsidRPr="00773B00">
        <w:rPr>
          <w:rFonts w:ascii="Times New Roman" w:hAnsi="Times New Roman" w:cs="Times New Roman"/>
        </w:rPr>
        <w:t>Coldra</w:t>
      </w:r>
      <w:proofErr w:type="spellEnd"/>
      <w:r w:rsidRPr="00773B00">
        <w:rPr>
          <w:rFonts w:ascii="Times New Roman" w:hAnsi="Times New Roman" w:cs="Times New Roman"/>
        </w:rPr>
        <w:t xml:space="preserve"> Court Hotel, 2025). This connection ensures access to group-wide policies, resources, and a level of guest trust associated with the larger brand. Its strategic location near key attractions such as ICC Wales and the Celtic Manor Resort provides an additional advantage in attracting both leisure and business travellers. The hotel offers good facilities, including a fitness suite, conference rooms, and a popular restaurant. Staff are frequently commended for their service quality and dedication, contributing positively to the overall guest experience (O’Toole, 2023). Furthermore, the variety of room options allows the hotel to cater to diverse market segments, from individual business travellers to families and sports teams.</w:t>
      </w:r>
    </w:p>
    <w:p w14:paraId="4FECCB5A" w14:textId="77777777" w:rsidR="00C844D9" w:rsidRPr="00773B00" w:rsidRDefault="00C844D9" w:rsidP="00C844D9">
      <w:pPr>
        <w:spacing w:line="360" w:lineRule="auto"/>
        <w:rPr>
          <w:rFonts w:ascii="Times New Roman" w:hAnsi="Times New Roman" w:cs="Times New Roman"/>
          <w:b/>
          <w:bCs/>
          <w:sz w:val="28"/>
          <w:szCs w:val="28"/>
        </w:rPr>
      </w:pPr>
      <w:r w:rsidRPr="00773B00">
        <w:rPr>
          <w:rFonts w:ascii="Times New Roman" w:hAnsi="Times New Roman" w:cs="Times New Roman"/>
          <w:b/>
          <w:bCs/>
          <w:sz w:val="28"/>
          <w:szCs w:val="28"/>
        </w:rPr>
        <w:lastRenderedPageBreak/>
        <w:t>Weaknesses</w:t>
      </w:r>
    </w:p>
    <w:p w14:paraId="4A4219F4" w14:textId="77777777" w:rsidR="00C844D9" w:rsidRPr="00773B00" w:rsidRDefault="00C844D9" w:rsidP="00C844D9">
      <w:pPr>
        <w:spacing w:line="360" w:lineRule="auto"/>
        <w:jc w:val="both"/>
        <w:rPr>
          <w:rFonts w:ascii="Times New Roman" w:hAnsi="Times New Roman" w:cs="Times New Roman"/>
          <w:b/>
          <w:bCs/>
        </w:rPr>
      </w:pPr>
      <w:r w:rsidRPr="00773B00">
        <w:rPr>
          <w:rFonts w:ascii="Times New Roman" w:hAnsi="Times New Roman" w:cs="Times New Roman"/>
        </w:rPr>
        <w:t>However, the hotel does face several operational constraints. Certain rooms suffer from outdated furnishings and ageing bathrooms, which can negatively affect perceptions of cleanliness and safety. The absence of digital check-in and check-out facilities is a significant drawback in an era where contactless services are increasingly valued (O’Neill, 2024). Accessibility limitations are also evident, with some upper floors only accessible via stairs (TripAdvisor, 2024). This poses challenges for guests with mobility issues, raising concerns regarding inclusivity and safety. Finally, limited room service options restrict guest convenience, particularly for those who prioritise private, in-room dining for reasons of health or privacy.</w:t>
      </w:r>
    </w:p>
    <w:p w14:paraId="64EA92CF" w14:textId="77777777" w:rsidR="00C844D9" w:rsidRPr="00A644E2" w:rsidRDefault="00C844D9" w:rsidP="00C844D9">
      <w:pPr>
        <w:spacing w:line="360" w:lineRule="auto"/>
        <w:rPr>
          <w:rFonts w:ascii="Times New Roman" w:hAnsi="Times New Roman" w:cs="Times New Roman"/>
          <w:b/>
          <w:bCs/>
          <w:sz w:val="28"/>
          <w:szCs w:val="28"/>
        </w:rPr>
      </w:pPr>
      <w:r w:rsidRPr="00A644E2">
        <w:rPr>
          <w:rFonts w:ascii="Times New Roman" w:hAnsi="Times New Roman" w:cs="Times New Roman"/>
          <w:b/>
          <w:bCs/>
          <w:sz w:val="28"/>
          <w:szCs w:val="28"/>
        </w:rPr>
        <w:t>Opportunities</w:t>
      </w:r>
    </w:p>
    <w:p w14:paraId="160F01FE" w14:textId="77777777" w:rsidR="00C844D9" w:rsidRPr="00A644E2" w:rsidRDefault="00C844D9" w:rsidP="00C844D9">
      <w:pPr>
        <w:spacing w:line="360" w:lineRule="auto"/>
        <w:jc w:val="both"/>
        <w:rPr>
          <w:rFonts w:ascii="Times New Roman" w:hAnsi="Times New Roman" w:cs="Times New Roman"/>
          <w:b/>
          <w:bCs/>
        </w:rPr>
      </w:pPr>
      <w:r w:rsidRPr="00A644E2">
        <w:rPr>
          <w:rFonts w:ascii="Times New Roman" w:hAnsi="Times New Roman" w:cs="Times New Roman"/>
        </w:rPr>
        <w:t>Coldra Court Hotel can capitalise on its proximity to the International Convention Centre Wales (ICCW) (Moody, 2019) to attract business conferences and events, while also tapping into golf tourism by aligning with Celtic Manor’s renowned golf courses. Emerging sustainability initiatives and technological innovations present opportunities to improve operational efficiency, such as through the adoption of smart room features and energy-saving systems. Embracing international standards, such as ISO 31030 for travel risk management, could further enhance the hotel’s credibility (Alert Media, 2024). Finally, as digital media becomes increasingly influential, leveraging online channels and incorporating artificial intelligence (AI) can significantly improve check-in/out processes, provide personalised recommendations, and drive broader customer engagement (Bag et al., 2022).</w:t>
      </w:r>
    </w:p>
    <w:p w14:paraId="58CC2B3D" w14:textId="77777777" w:rsidR="00C844D9" w:rsidRDefault="00C844D9" w:rsidP="00C844D9">
      <w:pPr>
        <w:spacing w:line="360" w:lineRule="auto"/>
        <w:rPr>
          <w:rFonts w:ascii="Times New Roman" w:hAnsi="Times New Roman" w:cs="Times New Roman"/>
          <w:b/>
          <w:bCs/>
          <w:sz w:val="28"/>
          <w:szCs w:val="28"/>
        </w:rPr>
      </w:pPr>
      <w:r w:rsidRPr="00A644E2">
        <w:rPr>
          <w:rFonts w:ascii="Times New Roman" w:hAnsi="Times New Roman" w:cs="Times New Roman"/>
          <w:b/>
          <w:bCs/>
          <w:sz w:val="28"/>
          <w:szCs w:val="28"/>
        </w:rPr>
        <w:t>Threats</w:t>
      </w:r>
    </w:p>
    <w:p w14:paraId="2BA3A551" w14:textId="77777777" w:rsidR="00C844D9" w:rsidRPr="00A644E2" w:rsidRDefault="00C844D9" w:rsidP="00C844D9">
      <w:pPr>
        <w:spacing w:line="360" w:lineRule="auto"/>
        <w:jc w:val="both"/>
        <w:rPr>
          <w:rFonts w:ascii="Times New Roman" w:hAnsi="Times New Roman" w:cs="Times New Roman"/>
          <w:b/>
          <w:bCs/>
          <w:sz w:val="28"/>
          <w:szCs w:val="28"/>
        </w:rPr>
      </w:pPr>
      <w:r w:rsidRPr="00A644E2">
        <w:rPr>
          <w:rFonts w:ascii="Times New Roman" w:hAnsi="Times New Roman" w:cs="Times New Roman"/>
        </w:rPr>
        <w:t>Externally, the hotel must contend with intense competition from both local independent hotels and larger chains. Economic downturns and evolving travel trends have heightened guest expectations, with many seeking greater value for money. This places considerable pressure on service innovation and delivery. Additionally, infrastructure challenges such as maintenance delays, Wi-Fi instability, and ongoing staff shortages can undermine service consistency (Luther, 2024). Furthermore, data privacy breaches present both legal and reputational risks, particularly as guest expectations around digital security continue to rise (PwC, 2024).</w:t>
      </w:r>
    </w:p>
    <w:p w14:paraId="6843FEEF" w14:textId="77777777" w:rsidR="00C844D9" w:rsidRDefault="00C844D9" w:rsidP="00C844D9">
      <w:pPr>
        <w:pStyle w:val="Heading2"/>
        <w:rPr>
          <w:rFonts w:ascii="Times New Roman" w:hAnsi="Times New Roman" w:cs="Times New Roman"/>
          <w:b/>
          <w:bCs/>
          <w:color w:val="000000" w:themeColor="text1"/>
          <w:sz w:val="28"/>
          <w:szCs w:val="28"/>
        </w:rPr>
      </w:pPr>
    </w:p>
    <w:p w14:paraId="4009EC51" w14:textId="58DB1867" w:rsidR="00C844D9" w:rsidRPr="00A644E2" w:rsidRDefault="00C844D9" w:rsidP="00C844D9">
      <w:pPr>
        <w:pStyle w:val="Heading2"/>
        <w:rPr>
          <w:rFonts w:ascii="Times New Roman" w:hAnsi="Times New Roman" w:cs="Times New Roman"/>
          <w:b/>
          <w:bCs/>
          <w:color w:val="000000" w:themeColor="text1"/>
          <w:sz w:val="28"/>
          <w:szCs w:val="28"/>
        </w:rPr>
      </w:pPr>
      <w:bookmarkStart w:id="31" w:name="_Toc200551643"/>
      <w:r w:rsidRPr="00A644E2">
        <w:rPr>
          <w:rFonts w:ascii="Times New Roman" w:hAnsi="Times New Roman" w:cs="Times New Roman"/>
          <w:b/>
          <w:bCs/>
          <w:color w:val="000000" w:themeColor="text1"/>
          <w:sz w:val="28"/>
          <w:szCs w:val="28"/>
        </w:rPr>
        <w:t>4.3 PEST Analysis</w:t>
      </w:r>
      <w:bookmarkEnd w:id="31"/>
    </w:p>
    <w:p w14:paraId="57BBBBBC" w14:textId="77777777" w:rsidR="00C844D9" w:rsidRDefault="00C844D9" w:rsidP="00C844D9">
      <w:pPr>
        <w:spacing w:line="360" w:lineRule="auto"/>
        <w:rPr>
          <w:rFonts w:ascii="Times New Roman" w:hAnsi="Times New Roman" w:cs="Times New Roman"/>
          <w:b/>
          <w:bCs/>
        </w:rPr>
      </w:pPr>
      <w:r w:rsidRPr="00A644E2">
        <w:rPr>
          <w:rFonts w:ascii="Times New Roman" w:hAnsi="Times New Roman" w:cs="Times New Roman"/>
          <w:b/>
          <w:bCs/>
        </w:rPr>
        <w:t>Political</w:t>
      </w:r>
    </w:p>
    <w:p w14:paraId="581E131B" w14:textId="77777777" w:rsidR="00C844D9" w:rsidRPr="00A644E2" w:rsidRDefault="00C844D9" w:rsidP="00C844D9">
      <w:pPr>
        <w:spacing w:line="360" w:lineRule="auto"/>
        <w:jc w:val="both"/>
        <w:rPr>
          <w:rFonts w:ascii="Times New Roman" w:hAnsi="Times New Roman" w:cs="Times New Roman"/>
          <w:b/>
          <w:bCs/>
        </w:rPr>
      </w:pPr>
      <w:r w:rsidRPr="00A644E2">
        <w:rPr>
          <w:rFonts w:ascii="Times New Roman" w:hAnsi="Times New Roman" w:cs="Times New Roman"/>
        </w:rPr>
        <w:t>In terms of overall government support, the Welsh Government actively fosters the visitor economy. The "Welcome to Wales" plan exemplifies this commitment, including investments such as the £50 million Wales Tourism Investment Fund (Komorowski, 2021). Furthermore, due to the greater opportunities in the south-east region of Wales, which accounts for approximately 44% of tourism contributions, the government places additional focus and resources on this area (GOV.WALES, 2024).</w:t>
      </w:r>
    </w:p>
    <w:p w14:paraId="14CFDDA9" w14:textId="77777777" w:rsidR="00C844D9" w:rsidRDefault="00C844D9" w:rsidP="00C844D9">
      <w:pPr>
        <w:keepNext/>
        <w:jc w:val="center"/>
      </w:pPr>
      <w:r w:rsidRPr="0058093C">
        <w:rPr>
          <w:noProof/>
        </w:rPr>
        <w:drawing>
          <wp:inline distT="0" distB="0" distL="0" distR="0" wp14:anchorId="1407B5C6" wp14:editId="06D52415">
            <wp:extent cx="3486150" cy="2258176"/>
            <wp:effectExtent l="0" t="0" r="0" b="8890"/>
            <wp:docPr id="927477904" name="Picture 1" descr="A pie chart with different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477904" name="Picture 1" descr="A pie chart with different numbers&#10;&#10;AI-generated content may be incorrect."/>
                    <pic:cNvPicPr/>
                  </pic:nvPicPr>
                  <pic:blipFill>
                    <a:blip r:embed="rId10"/>
                    <a:stretch>
                      <a:fillRect/>
                    </a:stretch>
                  </pic:blipFill>
                  <pic:spPr>
                    <a:xfrm>
                      <a:off x="0" y="0"/>
                      <a:ext cx="3495141" cy="2264000"/>
                    </a:xfrm>
                    <a:prstGeom prst="rect">
                      <a:avLst/>
                    </a:prstGeom>
                  </pic:spPr>
                </pic:pic>
              </a:graphicData>
            </a:graphic>
          </wp:inline>
        </w:drawing>
      </w:r>
    </w:p>
    <w:p w14:paraId="057750A0" w14:textId="77777777" w:rsidR="00C844D9" w:rsidRDefault="00C844D9" w:rsidP="00C844D9">
      <w:pPr>
        <w:pStyle w:val="Caption"/>
        <w:jc w:val="center"/>
      </w:pPr>
      <w:r>
        <w:t xml:space="preserve">Figure </w:t>
      </w:r>
      <w:fldSimple w:instr=" SEQ Figure \* ARABIC ">
        <w:r>
          <w:rPr>
            <w:noProof/>
          </w:rPr>
          <w:t>2</w:t>
        </w:r>
      </w:fldSimple>
      <w:r>
        <w:t>: Tourism focus in Wales</w:t>
      </w:r>
    </w:p>
    <w:p w14:paraId="4D5CAE64" w14:textId="77777777" w:rsidR="00C844D9" w:rsidRPr="00A644E2" w:rsidRDefault="00C844D9" w:rsidP="00C844D9">
      <w:pPr>
        <w:spacing w:line="360" w:lineRule="auto"/>
        <w:jc w:val="both"/>
        <w:rPr>
          <w:rFonts w:ascii="Times New Roman" w:hAnsi="Times New Roman" w:cs="Times New Roman"/>
        </w:rPr>
      </w:pPr>
      <w:r w:rsidRPr="00A644E2">
        <w:rPr>
          <w:rFonts w:ascii="Times New Roman" w:hAnsi="Times New Roman" w:cs="Times New Roman"/>
        </w:rPr>
        <w:t>At present, there is an ongoing discussion around business rate relief and potential changes to VAT, which will have an impact on tourism businesses (CIOT, 2025). The Welsh Government is also considering the introduction of a local tourism levy, which, if implemented, would add to the cost for guests (Osti and Gwilym, 2024). Employment legislation in Wales is robust and strongly supports the rights of workers. Lastly, although free movement has ended due to Brexit, Visit Wales continues to play a crucial role in projecting a positive image of Wales internationally. Consequently, there is a pressing need to strengthen immigration policies to address current labour challenges within the hospitality sector.</w:t>
      </w:r>
    </w:p>
    <w:p w14:paraId="779B08DE" w14:textId="77777777" w:rsidR="00C844D9" w:rsidRPr="005D1841" w:rsidRDefault="00C844D9" w:rsidP="00C844D9">
      <w:pPr>
        <w:spacing w:line="360" w:lineRule="auto"/>
        <w:rPr>
          <w:rFonts w:ascii="Times New Roman" w:hAnsi="Times New Roman" w:cs="Times New Roman"/>
          <w:b/>
          <w:bCs/>
        </w:rPr>
      </w:pPr>
      <w:r w:rsidRPr="005D1841">
        <w:rPr>
          <w:rFonts w:ascii="Times New Roman" w:hAnsi="Times New Roman" w:cs="Times New Roman"/>
          <w:b/>
          <w:bCs/>
        </w:rPr>
        <w:t xml:space="preserve">Economic </w:t>
      </w:r>
    </w:p>
    <w:p w14:paraId="11B024FD" w14:textId="77777777" w:rsidR="00C844D9" w:rsidRPr="005D1841" w:rsidRDefault="00C844D9" w:rsidP="00C844D9">
      <w:pPr>
        <w:spacing w:line="360" w:lineRule="auto"/>
        <w:jc w:val="both"/>
        <w:rPr>
          <w:rFonts w:ascii="Times New Roman" w:hAnsi="Times New Roman" w:cs="Times New Roman"/>
          <w:b/>
          <w:bCs/>
          <w:u w:val="single"/>
        </w:rPr>
      </w:pPr>
      <w:r w:rsidRPr="005D1841">
        <w:rPr>
          <w:rFonts w:ascii="Times New Roman" w:hAnsi="Times New Roman" w:cs="Times New Roman"/>
        </w:rPr>
        <w:t>To begin with, the cost-of-living pressures in the UK significantly challenge residents’ ability to spend on non-essential items such as tourism.</w:t>
      </w:r>
    </w:p>
    <w:p w14:paraId="2D87A699" w14:textId="77777777" w:rsidR="00C844D9" w:rsidRDefault="00C844D9" w:rsidP="00C844D9">
      <w:pPr>
        <w:keepNext/>
        <w:jc w:val="center"/>
      </w:pPr>
      <w:r w:rsidRPr="0058093C">
        <w:rPr>
          <w:noProof/>
        </w:rPr>
        <w:lastRenderedPageBreak/>
        <w:drawing>
          <wp:inline distT="0" distB="0" distL="0" distR="0" wp14:anchorId="39D5F81F" wp14:editId="68818AEF">
            <wp:extent cx="4918843" cy="2286000"/>
            <wp:effectExtent l="0" t="0" r="0" b="0"/>
            <wp:docPr id="941284437" name="Picture 4" descr="Rising cost of living in the UK - House of Common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ising cost of living in the UK - House of Commons Library"/>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0049"/>
                    <a:stretch>
                      <a:fillRect/>
                    </a:stretch>
                  </pic:blipFill>
                  <pic:spPr bwMode="auto">
                    <a:xfrm>
                      <a:off x="0" y="0"/>
                      <a:ext cx="4930852" cy="2291581"/>
                    </a:xfrm>
                    <a:prstGeom prst="rect">
                      <a:avLst/>
                    </a:prstGeom>
                    <a:noFill/>
                    <a:ln>
                      <a:noFill/>
                    </a:ln>
                    <a:extLst>
                      <a:ext uri="{53640926-AAD7-44D8-BBD7-CCE9431645EC}">
                        <a14:shadowObscured xmlns:a14="http://schemas.microsoft.com/office/drawing/2010/main"/>
                      </a:ext>
                    </a:extLst>
                  </pic:spPr>
                </pic:pic>
              </a:graphicData>
            </a:graphic>
          </wp:inline>
        </w:drawing>
      </w:r>
    </w:p>
    <w:p w14:paraId="480F0742" w14:textId="77777777" w:rsidR="00C844D9" w:rsidRDefault="00C844D9" w:rsidP="00C844D9">
      <w:pPr>
        <w:pStyle w:val="Caption"/>
        <w:jc w:val="center"/>
      </w:pPr>
      <w:r>
        <w:t xml:space="preserve">Figure </w:t>
      </w:r>
      <w:fldSimple w:instr=" SEQ Figure \* ARABIC ">
        <w:r>
          <w:rPr>
            <w:noProof/>
          </w:rPr>
          <w:t>3</w:t>
        </w:r>
      </w:fldSimple>
      <w:r>
        <w:t xml:space="preserve">: Rise of consumer prices </w:t>
      </w:r>
      <w:r w:rsidRPr="009521AA">
        <w:t>(Devine et al., 2024)</w:t>
      </w:r>
    </w:p>
    <w:p w14:paraId="03965A5A" w14:textId="77777777" w:rsidR="00C844D9" w:rsidRPr="005D1841" w:rsidRDefault="00C844D9" w:rsidP="00C844D9">
      <w:pPr>
        <w:spacing w:line="360" w:lineRule="auto"/>
        <w:jc w:val="both"/>
        <w:rPr>
          <w:rFonts w:ascii="Times New Roman" w:hAnsi="Times New Roman" w:cs="Times New Roman"/>
        </w:rPr>
      </w:pPr>
      <w:r w:rsidRPr="005D1841">
        <w:rPr>
          <w:rFonts w:ascii="Times New Roman" w:hAnsi="Times New Roman" w:cs="Times New Roman"/>
        </w:rPr>
        <w:t xml:space="preserve">The data indicates that consumer prices in the UK have risen by over 20 per cent in just three years from 2021 to 2024 (Devine et al., 2024). Consequently, this has resulted in more value-conscious travellers and a potential decline in the economy segment. Additionally, higher inflation and energy prices are detrimental to both tourism industry players and visitors. For </w:t>
      </w:r>
      <w:proofErr w:type="spellStart"/>
      <w:r w:rsidRPr="005D1841">
        <w:rPr>
          <w:rFonts w:ascii="Times New Roman" w:hAnsi="Times New Roman" w:cs="Times New Roman"/>
        </w:rPr>
        <w:t>Coldra</w:t>
      </w:r>
      <w:proofErr w:type="spellEnd"/>
      <w:r w:rsidRPr="005D1841">
        <w:rPr>
          <w:rFonts w:ascii="Times New Roman" w:hAnsi="Times New Roman" w:cs="Times New Roman"/>
        </w:rPr>
        <w:t xml:space="preserve"> Court, as a mid-to-upscale offering, it is essential to adapt its value proposition accordingly. Although the Bank of England made a slight interest rate cut in late 2024, the broader economic outlook suggests that businesses should invest cautiously. Encouragingly, the Wales Tourism Business Barometer notes that approximately two in five operators plan to invest in product improvements in 2025 (GOV.WALES, 2025), indicating some confidence in the sector. Finally, a weaker pound makes the UK more attractive to international visitors, potentially boosting inbound tourism (Panjwani, 2025). Coldra Court, given its connection to a major international convention centre, is particularly well positioned to benefit from this trend.</w:t>
      </w:r>
    </w:p>
    <w:p w14:paraId="3A14ED56" w14:textId="77777777" w:rsidR="00C844D9" w:rsidRDefault="00C844D9" w:rsidP="00C844D9">
      <w:pPr>
        <w:spacing w:line="360" w:lineRule="auto"/>
        <w:rPr>
          <w:rFonts w:ascii="Times New Roman" w:hAnsi="Times New Roman" w:cs="Times New Roman"/>
          <w:b/>
          <w:bCs/>
        </w:rPr>
      </w:pPr>
      <w:r w:rsidRPr="00961E05">
        <w:rPr>
          <w:rFonts w:ascii="Times New Roman" w:hAnsi="Times New Roman" w:cs="Times New Roman"/>
          <w:b/>
          <w:bCs/>
        </w:rPr>
        <w:t xml:space="preserve">Social </w:t>
      </w:r>
    </w:p>
    <w:p w14:paraId="4FE1D063" w14:textId="77777777" w:rsidR="00C844D9" w:rsidRPr="00455DA4" w:rsidRDefault="00C844D9" w:rsidP="00C844D9">
      <w:pPr>
        <w:spacing w:line="360" w:lineRule="auto"/>
        <w:jc w:val="both"/>
        <w:rPr>
          <w:rFonts w:ascii="Times New Roman" w:hAnsi="Times New Roman" w:cs="Times New Roman"/>
          <w:b/>
          <w:bCs/>
        </w:rPr>
      </w:pPr>
      <w:r w:rsidRPr="00455DA4">
        <w:rPr>
          <w:rFonts w:ascii="Times New Roman" w:hAnsi="Times New Roman" w:cs="Times New Roman"/>
        </w:rPr>
        <w:t xml:space="preserve">Travellers today increasingly seek personalised, experience-driven stays. There is a growing demand for wellness options, such as gyms and healthy food (Visit Britain, 2025), making </w:t>
      </w:r>
      <w:proofErr w:type="spellStart"/>
      <w:r w:rsidRPr="00455DA4">
        <w:rPr>
          <w:rFonts w:ascii="Times New Roman" w:hAnsi="Times New Roman" w:cs="Times New Roman"/>
        </w:rPr>
        <w:t>Coldra</w:t>
      </w:r>
      <w:proofErr w:type="spellEnd"/>
      <w:r w:rsidRPr="00455DA4">
        <w:rPr>
          <w:rFonts w:ascii="Times New Roman" w:hAnsi="Times New Roman" w:cs="Times New Roman"/>
        </w:rPr>
        <w:t xml:space="preserve"> Court’s gym and pool valuable assets. Eco-conscious guests also favour hotels with sustainable practices, and </w:t>
      </w:r>
      <w:proofErr w:type="spellStart"/>
      <w:r w:rsidRPr="00455DA4">
        <w:rPr>
          <w:rFonts w:ascii="Times New Roman" w:hAnsi="Times New Roman" w:cs="Times New Roman"/>
        </w:rPr>
        <w:t>Coldra</w:t>
      </w:r>
      <w:proofErr w:type="spellEnd"/>
      <w:r w:rsidRPr="00455DA4">
        <w:rPr>
          <w:rFonts w:ascii="Times New Roman" w:hAnsi="Times New Roman" w:cs="Times New Roman"/>
        </w:rPr>
        <w:t xml:space="preserve"> Court’s use of heat pumps and solar panels aligns well with these expectations. The rise of “</w:t>
      </w:r>
      <w:proofErr w:type="spellStart"/>
      <w:r w:rsidRPr="00455DA4">
        <w:rPr>
          <w:rFonts w:ascii="Times New Roman" w:hAnsi="Times New Roman" w:cs="Times New Roman"/>
        </w:rPr>
        <w:t>bleisure</w:t>
      </w:r>
      <w:proofErr w:type="spellEnd"/>
      <w:r w:rsidRPr="00455DA4">
        <w:rPr>
          <w:rFonts w:ascii="Times New Roman" w:hAnsi="Times New Roman" w:cs="Times New Roman"/>
        </w:rPr>
        <w:t xml:space="preserve">” travel, which blends work and leisure, presents further opportunities, particularly given the hotel’s meeting facilities (WTTC, 2025). While staff shortages remain a concern, focusing on employee well-being could provide a competitive edge. Additionally, demographic shifts, especially among Gen Z, require more tailored marketing and services. Guests are also spending more on special occasions and bespoke </w:t>
      </w:r>
      <w:r w:rsidRPr="00455DA4">
        <w:rPr>
          <w:rFonts w:ascii="Times New Roman" w:hAnsi="Times New Roman" w:cs="Times New Roman"/>
        </w:rPr>
        <w:lastRenderedPageBreak/>
        <w:t>experiences (Statista, 2024), indicating potential for premium, bundled offerings. Understanding and adapting to these evolving behaviours will be key to future success.</w:t>
      </w:r>
    </w:p>
    <w:p w14:paraId="25043F22" w14:textId="77777777" w:rsidR="00C844D9" w:rsidRDefault="00C844D9" w:rsidP="00C844D9">
      <w:pPr>
        <w:spacing w:line="360" w:lineRule="auto"/>
        <w:rPr>
          <w:rFonts w:ascii="Times New Roman" w:hAnsi="Times New Roman" w:cs="Times New Roman"/>
          <w:b/>
          <w:bCs/>
        </w:rPr>
      </w:pPr>
      <w:r w:rsidRPr="00466F66">
        <w:rPr>
          <w:rFonts w:ascii="Times New Roman" w:hAnsi="Times New Roman" w:cs="Times New Roman"/>
          <w:b/>
          <w:bCs/>
        </w:rPr>
        <w:t xml:space="preserve">Technological </w:t>
      </w:r>
    </w:p>
    <w:p w14:paraId="2EF6B4AC" w14:textId="77777777" w:rsidR="00C844D9" w:rsidRPr="00466F66" w:rsidRDefault="00C844D9" w:rsidP="00C844D9">
      <w:pPr>
        <w:pStyle w:val="NormalWeb"/>
        <w:spacing w:line="360" w:lineRule="auto"/>
        <w:jc w:val="both"/>
      </w:pPr>
      <w:r>
        <w:t xml:space="preserve">Technology is rapidly transforming the hospitality sector. Artificial intelligence and machine learning are now being used to personalise services and improve revenue forecasts (Hitchcock Michalski, 2024). Contactless options, such as mobile check-in and payments, have become standard expectations among guests, and it is essential for </w:t>
      </w:r>
      <w:proofErr w:type="spellStart"/>
      <w:r>
        <w:t>Coldra</w:t>
      </w:r>
      <w:proofErr w:type="spellEnd"/>
      <w:r>
        <w:t xml:space="preserve"> Court to adopt these </w:t>
      </w:r>
      <w:proofErr w:type="gramStart"/>
      <w:r>
        <w:t>in order to</w:t>
      </w:r>
      <w:proofErr w:type="gramEnd"/>
      <w:r>
        <w:t xml:space="preserve"> remain competitive. Smart room technology also enhances comfort and can deliver energy savings. Omnichannel platforms enable hotels to communicate with guests through email, SMS, and apps, ensuring a smoother service experience. With increased data handling, cybersecurity has become critical (Thomas, 2024), underscoring the importance of robust GDPR compliance. Although still in the early stages, robots are starting to appear in cleaning and service tasks, offering promising future efficiencies (Thomas, 2024).</w:t>
      </w:r>
    </w:p>
    <w:p w14:paraId="497E029A" w14:textId="77777777" w:rsidR="00C844D9" w:rsidRDefault="00C844D9" w:rsidP="00C844D9">
      <w:pPr>
        <w:keepNext/>
        <w:jc w:val="center"/>
      </w:pPr>
      <w:r w:rsidRPr="0058093C">
        <w:rPr>
          <w:noProof/>
        </w:rPr>
        <w:drawing>
          <wp:inline distT="0" distB="0" distL="0" distR="0" wp14:anchorId="6F6C73FF" wp14:editId="2EAB02EF">
            <wp:extent cx="5275952" cy="2619375"/>
            <wp:effectExtent l="0" t="0" r="1270" b="0"/>
            <wp:docPr id="305582017" name="Picture 1" descr="A graph of a market si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82017" name="Picture 1" descr="A graph of a market size&#10;&#10;AI-generated content may be incorrect."/>
                    <pic:cNvPicPr/>
                  </pic:nvPicPr>
                  <pic:blipFill>
                    <a:blip r:embed="rId12"/>
                    <a:stretch>
                      <a:fillRect/>
                    </a:stretch>
                  </pic:blipFill>
                  <pic:spPr>
                    <a:xfrm>
                      <a:off x="0" y="0"/>
                      <a:ext cx="5281727" cy="2622242"/>
                    </a:xfrm>
                    <a:prstGeom prst="rect">
                      <a:avLst/>
                    </a:prstGeom>
                  </pic:spPr>
                </pic:pic>
              </a:graphicData>
            </a:graphic>
          </wp:inline>
        </w:drawing>
      </w:r>
    </w:p>
    <w:p w14:paraId="023698CE" w14:textId="77777777" w:rsidR="00C844D9" w:rsidRDefault="00C844D9" w:rsidP="00C844D9">
      <w:pPr>
        <w:pStyle w:val="Caption"/>
        <w:jc w:val="center"/>
      </w:pPr>
      <w:r>
        <w:t xml:space="preserve">Figure </w:t>
      </w:r>
      <w:fldSimple w:instr=" SEQ Figure \* ARABIC ">
        <w:r>
          <w:rPr>
            <w:noProof/>
          </w:rPr>
          <w:t>4</w:t>
        </w:r>
      </w:fldSimple>
      <w:r>
        <w:t xml:space="preserve">: Virtual tourism market </w:t>
      </w:r>
      <w:r w:rsidRPr="00F83F0A">
        <w:t>(Wadhwani and Ambekar, 2024)</w:t>
      </w:r>
    </w:p>
    <w:p w14:paraId="0390B590" w14:textId="77777777" w:rsidR="00C844D9" w:rsidRPr="00466F66" w:rsidRDefault="00C844D9" w:rsidP="00C844D9">
      <w:pPr>
        <w:spacing w:line="360" w:lineRule="auto"/>
        <w:jc w:val="both"/>
        <w:rPr>
          <w:rFonts w:ascii="Times New Roman" w:hAnsi="Times New Roman" w:cs="Times New Roman"/>
        </w:rPr>
      </w:pPr>
      <w:r w:rsidRPr="00466F66">
        <w:rPr>
          <w:rFonts w:ascii="Times New Roman" w:hAnsi="Times New Roman" w:cs="Times New Roman"/>
        </w:rPr>
        <w:t xml:space="preserve">Virtual reality (VR) tours are also gaining traction, allowing potential guests to visualise rooms and amenities before making a booking. The market for virtual tours is experiencing significant growth, with a compound annual growth rate (CAGR) of 26.4% and projected to reach USD 5.7 billion by 2032 (Wadhwani and Ambekar, 2024). If adopted strategically by </w:t>
      </w:r>
      <w:proofErr w:type="spellStart"/>
      <w:r w:rsidRPr="00466F66">
        <w:rPr>
          <w:rFonts w:ascii="Times New Roman" w:hAnsi="Times New Roman" w:cs="Times New Roman"/>
        </w:rPr>
        <w:t>Coldra</w:t>
      </w:r>
      <w:proofErr w:type="spellEnd"/>
      <w:r w:rsidRPr="00466F66">
        <w:rPr>
          <w:rFonts w:ascii="Times New Roman" w:hAnsi="Times New Roman" w:cs="Times New Roman"/>
        </w:rPr>
        <w:t xml:space="preserve"> Court, these tools could enhance engagement, improve guest satisfaction, and strengthen the brand image.</w:t>
      </w:r>
    </w:p>
    <w:p w14:paraId="6191F48F"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32" w:name="_Toc200551644"/>
      <w:r w:rsidRPr="00C404E4">
        <w:rPr>
          <w:rFonts w:ascii="Times New Roman" w:hAnsi="Times New Roman" w:cs="Times New Roman"/>
          <w:b/>
          <w:bCs/>
          <w:color w:val="000000" w:themeColor="text1"/>
          <w:sz w:val="28"/>
          <w:szCs w:val="28"/>
        </w:rPr>
        <w:lastRenderedPageBreak/>
        <w:t>4.4 Competitor Analysis</w:t>
      </w:r>
      <w:bookmarkEnd w:id="32"/>
    </w:p>
    <w:p w14:paraId="375FF8F8" w14:textId="77777777" w:rsidR="00C844D9" w:rsidRDefault="00C844D9" w:rsidP="00C844D9">
      <w:pPr>
        <w:spacing w:line="360" w:lineRule="auto"/>
        <w:jc w:val="both"/>
        <w:rPr>
          <w:rFonts w:ascii="Times New Roman" w:hAnsi="Times New Roman" w:cs="Times New Roman"/>
        </w:rPr>
      </w:pPr>
      <w:r w:rsidRPr="00C404E4">
        <w:rPr>
          <w:rFonts w:ascii="Times New Roman" w:hAnsi="Times New Roman" w:cs="Times New Roman"/>
        </w:rPr>
        <w:t>There are several key competitors in the area that are easily observable by guests before making their decisions. These include:</w:t>
      </w:r>
    </w:p>
    <w:p w14:paraId="77DF0347" w14:textId="77777777" w:rsidR="00C844D9" w:rsidRDefault="00C844D9" w:rsidP="00C844D9">
      <w:pPr>
        <w:pStyle w:val="NormalWeb"/>
        <w:numPr>
          <w:ilvl w:val="0"/>
          <w:numId w:val="4"/>
        </w:numPr>
        <w:spacing w:line="360" w:lineRule="auto"/>
        <w:jc w:val="both"/>
      </w:pPr>
      <w:r>
        <w:rPr>
          <w:rStyle w:val="Strong"/>
          <w:rFonts w:eastAsiaTheme="majorEastAsia"/>
        </w:rPr>
        <w:t>The Celtic Manor Resort</w:t>
      </w:r>
      <w:r>
        <w:t>: A luxury, five-star resort offering a full range of leisure, dining, and conference facilities. It sets a high benchmark for guest expectations and overall experience.</w:t>
      </w:r>
    </w:p>
    <w:p w14:paraId="418DBC0B" w14:textId="77777777" w:rsidR="00C844D9" w:rsidRDefault="00C844D9" w:rsidP="00C844D9">
      <w:pPr>
        <w:pStyle w:val="NormalWeb"/>
        <w:numPr>
          <w:ilvl w:val="0"/>
          <w:numId w:val="4"/>
        </w:numPr>
        <w:spacing w:line="360" w:lineRule="auto"/>
        <w:jc w:val="both"/>
      </w:pPr>
      <w:r>
        <w:rPr>
          <w:rStyle w:val="Strong"/>
          <w:rFonts w:eastAsiaTheme="majorEastAsia"/>
        </w:rPr>
        <w:t>Holiday Inn Newport</w:t>
      </w:r>
      <w:r>
        <w:t>: A mid-range offering located nearby, popular with both business and leisure travellers seeking reliable brand standards and convenient access.</w:t>
      </w:r>
    </w:p>
    <w:p w14:paraId="7573D892" w14:textId="77777777" w:rsidR="00C844D9" w:rsidRDefault="00C844D9" w:rsidP="00C844D9">
      <w:pPr>
        <w:pStyle w:val="NormalWeb"/>
        <w:numPr>
          <w:ilvl w:val="0"/>
          <w:numId w:val="4"/>
        </w:numPr>
        <w:spacing w:line="360" w:lineRule="auto"/>
        <w:jc w:val="both"/>
      </w:pPr>
      <w:r>
        <w:rPr>
          <w:rStyle w:val="Strong"/>
          <w:rFonts w:eastAsiaTheme="majorEastAsia"/>
        </w:rPr>
        <w:t>Premier Inn Newport Wales</w:t>
      </w:r>
      <w:r>
        <w:t>: Positioned as a budget-friendly option, it appeals to value-conscious guests who prioritise affordability over full-service features.</w:t>
      </w:r>
    </w:p>
    <w:p w14:paraId="78484C6D" w14:textId="77777777" w:rsidR="00C844D9" w:rsidRDefault="00C844D9" w:rsidP="00C844D9">
      <w:pPr>
        <w:pStyle w:val="NormalWeb"/>
        <w:numPr>
          <w:ilvl w:val="0"/>
          <w:numId w:val="4"/>
        </w:numPr>
        <w:spacing w:line="360" w:lineRule="auto"/>
        <w:jc w:val="both"/>
      </w:pPr>
      <w:r>
        <w:rPr>
          <w:rStyle w:val="Strong"/>
          <w:rFonts w:eastAsiaTheme="majorEastAsia"/>
        </w:rPr>
        <w:t>The Parkway Hotel &amp; Spa</w:t>
      </w:r>
      <w:r>
        <w:t>: A four-star independent hotel with a focus on spa and wellness experiences, catering to guests seeking relaxation and personal care.</w:t>
      </w:r>
    </w:p>
    <w:p w14:paraId="08A8E750" w14:textId="77777777" w:rsidR="00C844D9" w:rsidRDefault="00C844D9" w:rsidP="00C844D9">
      <w:pPr>
        <w:pStyle w:val="NormalWeb"/>
        <w:numPr>
          <w:ilvl w:val="0"/>
          <w:numId w:val="4"/>
        </w:numPr>
        <w:spacing w:line="360" w:lineRule="auto"/>
        <w:jc w:val="both"/>
      </w:pPr>
      <w:r>
        <w:rPr>
          <w:rStyle w:val="Strong"/>
          <w:rFonts w:eastAsiaTheme="majorEastAsia"/>
        </w:rPr>
        <w:t>Travelodge Newport</w:t>
      </w:r>
      <w:r>
        <w:t>: A well-known budget chain that provides basic amenities and competitive rates, appealing to short-stay and budget travellers.</w:t>
      </w:r>
    </w:p>
    <w:p w14:paraId="52BEA953" w14:textId="77777777" w:rsidR="00C844D9" w:rsidRDefault="00C844D9" w:rsidP="00C844D9">
      <w:pPr>
        <w:pStyle w:val="NormalWeb"/>
        <w:spacing w:line="360" w:lineRule="auto"/>
        <w:jc w:val="both"/>
      </w:pPr>
      <w:r>
        <w:t xml:space="preserve">These properties each have distinct strengths and target markets, presenting a competitive landscape that </w:t>
      </w:r>
      <w:proofErr w:type="spellStart"/>
      <w:r>
        <w:t>Coldra</w:t>
      </w:r>
      <w:proofErr w:type="spellEnd"/>
      <w:r>
        <w:t xml:space="preserve"> Court must navigate to retain and grow its share of the mid-scale segment.</w:t>
      </w:r>
    </w:p>
    <w:p w14:paraId="7772B701" w14:textId="77777777" w:rsidR="00C844D9" w:rsidRDefault="00C844D9" w:rsidP="00C844D9">
      <w:pPr>
        <w:pStyle w:val="Heading2"/>
        <w:rPr>
          <w:rFonts w:ascii="Times New Roman" w:hAnsi="Times New Roman" w:cs="Times New Roman"/>
          <w:b/>
          <w:bCs/>
          <w:color w:val="000000" w:themeColor="text1"/>
          <w:sz w:val="28"/>
          <w:szCs w:val="28"/>
        </w:rPr>
      </w:pPr>
      <w:bookmarkStart w:id="33" w:name="_Toc200551645"/>
      <w:r w:rsidRPr="00C404E4">
        <w:rPr>
          <w:rFonts w:ascii="Times New Roman" w:hAnsi="Times New Roman" w:cs="Times New Roman"/>
          <w:b/>
          <w:bCs/>
          <w:color w:val="000000" w:themeColor="text1"/>
          <w:sz w:val="28"/>
          <w:szCs w:val="28"/>
        </w:rPr>
        <w:t>4.5 Observational Insights from Placement</w:t>
      </w:r>
      <w:bookmarkEnd w:id="33"/>
    </w:p>
    <w:p w14:paraId="06E3AA1C" w14:textId="77777777" w:rsidR="00C844D9" w:rsidRDefault="00C844D9" w:rsidP="00C844D9">
      <w:pPr>
        <w:pStyle w:val="NormalWeb"/>
        <w:spacing w:line="360" w:lineRule="auto"/>
        <w:jc w:val="both"/>
      </w:pPr>
      <w:r>
        <w:rPr>
          <w:rStyle w:val="Strong"/>
          <w:rFonts w:eastAsiaTheme="majorEastAsia"/>
        </w:rPr>
        <w:t>Key Findings from the Overall Observation</w:t>
      </w:r>
    </w:p>
    <w:p w14:paraId="6701BAAD" w14:textId="77777777" w:rsidR="00C844D9" w:rsidRDefault="00C844D9" w:rsidP="00C844D9">
      <w:pPr>
        <w:pStyle w:val="NormalWeb"/>
        <w:numPr>
          <w:ilvl w:val="0"/>
          <w:numId w:val="5"/>
        </w:numPr>
        <w:spacing w:line="360" w:lineRule="auto"/>
        <w:jc w:val="both"/>
      </w:pPr>
      <w:r>
        <w:rPr>
          <w:rStyle w:val="Strong"/>
          <w:rFonts w:eastAsiaTheme="majorEastAsia"/>
        </w:rPr>
        <w:t>Hygiene Protocols:</w:t>
      </w:r>
      <w:r>
        <w:t xml:space="preserve"> Public areas were routinely cleaned, particularly the lobby and gym, with housekeeping staff adhering to a comprehensive checklist. However, supervisor spot checks appeared infrequent on busy days, potentially impacting consistency.</w:t>
      </w:r>
    </w:p>
    <w:p w14:paraId="48637C21" w14:textId="77777777" w:rsidR="00C844D9" w:rsidRDefault="00C844D9" w:rsidP="00C844D9">
      <w:pPr>
        <w:pStyle w:val="NormalWeb"/>
        <w:numPr>
          <w:ilvl w:val="0"/>
          <w:numId w:val="5"/>
        </w:numPr>
        <w:spacing w:line="360" w:lineRule="auto"/>
        <w:jc w:val="both"/>
      </w:pPr>
      <w:r>
        <w:rPr>
          <w:rStyle w:val="Strong"/>
          <w:rFonts w:eastAsiaTheme="majorEastAsia"/>
        </w:rPr>
        <w:t>Staff Preparedness:</w:t>
      </w:r>
      <w:r>
        <w:t xml:space="preserve"> Front-desk staff demonstrated strong training in emergency protocols and GDPR compliance. However, there were notable variations in back-of-house awareness, particularly in laundry and maintenance, where some staff members displayed limited understanding of data handling and evacuation routes.</w:t>
      </w:r>
    </w:p>
    <w:p w14:paraId="2B9DCC71" w14:textId="77777777" w:rsidR="00C844D9" w:rsidRDefault="00C844D9" w:rsidP="00C844D9">
      <w:pPr>
        <w:pStyle w:val="NormalWeb"/>
        <w:numPr>
          <w:ilvl w:val="0"/>
          <w:numId w:val="5"/>
        </w:numPr>
        <w:spacing w:line="360" w:lineRule="auto"/>
        <w:jc w:val="both"/>
      </w:pPr>
      <w:r>
        <w:rPr>
          <w:rStyle w:val="Strong"/>
          <w:rFonts w:eastAsiaTheme="majorEastAsia"/>
        </w:rPr>
        <w:t>Privacy Practices:</w:t>
      </w:r>
      <w:r>
        <w:t xml:space="preserve"> Guest records were managed digitally, yet physical printouts—such as conference attendee lists—were often visible at reception, posing potential privacy </w:t>
      </w:r>
      <w:r>
        <w:lastRenderedPageBreak/>
        <w:t>risks. Additionally, key cards were neither encrypted nor personalised, making it difficult to ensure transparent room entry traceability.</w:t>
      </w:r>
    </w:p>
    <w:p w14:paraId="5FB8C558" w14:textId="77777777" w:rsidR="00C844D9" w:rsidRDefault="00C844D9" w:rsidP="00C844D9">
      <w:pPr>
        <w:pStyle w:val="NormalWeb"/>
        <w:numPr>
          <w:ilvl w:val="0"/>
          <w:numId w:val="5"/>
        </w:numPr>
        <w:spacing w:line="360" w:lineRule="auto"/>
        <w:jc w:val="both"/>
      </w:pPr>
      <w:r>
        <w:rPr>
          <w:rStyle w:val="Strong"/>
          <w:rFonts w:eastAsiaTheme="majorEastAsia"/>
        </w:rPr>
        <w:t>Technological Limitations:</w:t>
      </w:r>
      <w:r>
        <w:t xml:space="preserve"> </w:t>
      </w:r>
      <w:proofErr w:type="spellStart"/>
      <w:r>
        <w:t>Coldra</w:t>
      </w:r>
      <w:proofErr w:type="spellEnd"/>
      <w:r>
        <w:t xml:space="preserve"> Court currently lacks app-based booking modification and mobile room access—features that are seamlessly available at Celtic Manor’s flagship property. This gap highlights an area requiring focused attention.</w:t>
      </w:r>
    </w:p>
    <w:p w14:paraId="4E77A6F2"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34" w:name="_Toc200551646"/>
      <w:r w:rsidRPr="00CE36A9">
        <w:rPr>
          <w:rFonts w:ascii="Times New Roman" w:hAnsi="Times New Roman" w:cs="Times New Roman"/>
          <w:b/>
          <w:bCs/>
          <w:color w:val="000000" w:themeColor="text1"/>
          <w:sz w:val="28"/>
          <w:szCs w:val="28"/>
        </w:rPr>
        <w:t>4.6 Health and Safety Review</w:t>
      </w:r>
      <w:bookmarkEnd w:id="34"/>
    </w:p>
    <w:p w14:paraId="5F4C73EB" w14:textId="77777777" w:rsidR="00C844D9" w:rsidRPr="00E828AC" w:rsidRDefault="00C844D9" w:rsidP="00C844D9">
      <w:pPr>
        <w:spacing w:line="360" w:lineRule="auto"/>
        <w:jc w:val="both"/>
        <w:rPr>
          <w:rFonts w:ascii="Times New Roman" w:hAnsi="Times New Roman" w:cs="Times New Roman"/>
        </w:rPr>
      </w:pPr>
      <w:r w:rsidRPr="00E828AC">
        <w:rPr>
          <w:rFonts w:ascii="Times New Roman" w:hAnsi="Times New Roman" w:cs="Times New Roman"/>
        </w:rPr>
        <w:t xml:space="preserve">The Health and Safety Executive (HSE, 2023) sets the baseline for hotel compliance in the UK. From the review conducted, </w:t>
      </w:r>
      <w:proofErr w:type="spellStart"/>
      <w:r w:rsidRPr="00E828AC">
        <w:rPr>
          <w:rFonts w:ascii="Times New Roman" w:hAnsi="Times New Roman" w:cs="Times New Roman"/>
        </w:rPr>
        <w:t>Coldra</w:t>
      </w:r>
      <w:proofErr w:type="spellEnd"/>
      <w:r w:rsidRPr="00E828AC">
        <w:rPr>
          <w:rFonts w:ascii="Times New Roman" w:hAnsi="Times New Roman" w:cs="Times New Roman"/>
        </w:rPr>
        <w:t xml:space="preserve"> Court meets fire safety and first aid standards, indicating a solid position regarding these fundamental requirements. However, lifting processes remain entirely manual, and housekeeping carts are not ergonomically designed. Staff have reported fatigue after repeated rounds per shift, which suggests potential ergonomic concerns. There were also observed slip hazards, notably in areas near the pool where non-slip mats were initially absent during the observation period. Although this issue was subsequently resolved, it demonstrates a reactive rather than proactive approach to safety measures. Finally, emergency exit signage was generally compliant but inconsistently lit, especially near service corridors. While </w:t>
      </w:r>
      <w:proofErr w:type="spellStart"/>
      <w:r w:rsidRPr="00E828AC">
        <w:rPr>
          <w:rFonts w:ascii="Times New Roman" w:hAnsi="Times New Roman" w:cs="Times New Roman"/>
        </w:rPr>
        <w:t>Coldra</w:t>
      </w:r>
      <w:proofErr w:type="spellEnd"/>
      <w:r w:rsidRPr="00E828AC">
        <w:rPr>
          <w:rFonts w:ascii="Times New Roman" w:hAnsi="Times New Roman" w:cs="Times New Roman"/>
        </w:rPr>
        <w:t xml:space="preserve"> Court’s overall health and safety practices align with HSE expectations, these specific issues highlight areas in need of immediate attention.</w:t>
      </w:r>
    </w:p>
    <w:p w14:paraId="1307EEB1" w14:textId="77777777" w:rsidR="00C844D9" w:rsidRPr="00E828AC" w:rsidRDefault="00C844D9" w:rsidP="00C844D9">
      <w:pPr>
        <w:pStyle w:val="Heading2"/>
        <w:spacing w:line="360" w:lineRule="auto"/>
        <w:rPr>
          <w:rFonts w:ascii="Times New Roman" w:hAnsi="Times New Roman" w:cs="Times New Roman"/>
          <w:b/>
          <w:bCs/>
          <w:color w:val="000000" w:themeColor="text1"/>
          <w:sz w:val="28"/>
          <w:szCs w:val="28"/>
        </w:rPr>
      </w:pPr>
      <w:bookmarkStart w:id="35" w:name="_Toc200551647"/>
      <w:r w:rsidRPr="00E828AC">
        <w:rPr>
          <w:rFonts w:ascii="Times New Roman" w:hAnsi="Times New Roman" w:cs="Times New Roman"/>
          <w:b/>
          <w:bCs/>
          <w:color w:val="000000" w:themeColor="text1"/>
          <w:sz w:val="28"/>
          <w:szCs w:val="28"/>
        </w:rPr>
        <w:t>4.7 Data Privacy and Digital Security Practices</w:t>
      </w:r>
      <w:bookmarkEnd w:id="35"/>
    </w:p>
    <w:p w14:paraId="325CBA7E" w14:textId="77777777" w:rsidR="00C844D9" w:rsidRPr="00E828AC" w:rsidRDefault="00C844D9" w:rsidP="00C844D9">
      <w:pPr>
        <w:spacing w:line="360" w:lineRule="auto"/>
        <w:jc w:val="both"/>
        <w:rPr>
          <w:rFonts w:ascii="Times New Roman" w:hAnsi="Times New Roman" w:cs="Times New Roman"/>
        </w:rPr>
      </w:pPr>
      <w:r w:rsidRPr="00E828AC">
        <w:rPr>
          <w:rFonts w:ascii="Times New Roman" w:hAnsi="Times New Roman" w:cs="Times New Roman"/>
        </w:rPr>
        <w:t xml:space="preserve">Coldra Court complies with the UK GDPR framework and follows the overarching group policy. However, several concerns emerge. Firstly, open-access, unsecured Wi-Fi is available in public areas, which poses a risk of data interception. Secondly, while CCTV cameras are installed in communal spaces, there is minimal signage informing guests about surveillance coverage or data storage duration. This potentially breaches transparency clauses under GDPR. Thirdly, the hotel’s connections with third-party platforms, which often collect guest data independently, create complexity in data sharing and accountability. Coldra Court does not provide a clear data processing statement during check-in, which is a missed opportunity for compliance and guest reassurance. A fourth issue is the lack of staff training on digital privacy protocols. Observations during the placement period indicated that some front-desk staff were unsure about data retention policies or guests’ rights under GDPR, increasing the risk of unintentional non-compliance. Finally, the hotel lacks two-factor authentication and password expiry systems for internal access to booking systems or staff portals. This vulnerability </w:t>
      </w:r>
      <w:r w:rsidRPr="00E828AC">
        <w:rPr>
          <w:rFonts w:ascii="Times New Roman" w:hAnsi="Times New Roman" w:cs="Times New Roman"/>
        </w:rPr>
        <w:lastRenderedPageBreak/>
        <w:t>weakens internal cybersecurity and exposes the hotel to unauthorised access if login credentials are compromised.</w:t>
      </w:r>
    </w:p>
    <w:p w14:paraId="2A6B4479" w14:textId="77777777" w:rsidR="00C844D9" w:rsidRPr="00E828AC" w:rsidRDefault="00C844D9" w:rsidP="00C844D9">
      <w:pPr>
        <w:pStyle w:val="Heading2"/>
        <w:spacing w:line="360" w:lineRule="auto"/>
        <w:rPr>
          <w:rFonts w:ascii="Times New Roman" w:hAnsi="Times New Roman" w:cs="Times New Roman"/>
          <w:b/>
          <w:bCs/>
          <w:color w:val="000000" w:themeColor="text1"/>
          <w:sz w:val="28"/>
          <w:szCs w:val="28"/>
        </w:rPr>
      </w:pPr>
      <w:bookmarkStart w:id="36" w:name="_Toc200551648"/>
      <w:r w:rsidRPr="00E828AC">
        <w:rPr>
          <w:rFonts w:ascii="Times New Roman" w:hAnsi="Times New Roman" w:cs="Times New Roman"/>
          <w:b/>
          <w:bCs/>
          <w:color w:val="000000" w:themeColor="text1"/>
          <w:sz w:val="28"/>
          <w:szCs w:val="28"/>
        </w:rPr>
        <w:t>4.8 Cultural and Organisational Influences</w:t>
      </w:r>
      <w:bookmarkEnd w:id="36"/>
      <w:r w:rsidRPr="00E828AC">
        <w:rPr>
          <w:rFonts w:ascii="Times New Roman" w:hAnsi="Times New Roman" w:cs="Times New Roman"/>
          <w:b/>
          <w:bCs/>
          <w:color w:val="000000" w:themeColor="text1"/>
          <w:sz w:val="28"/>
          <w:szCs w:val="28"/>
        </w:rPr>
        <w:t xml:space="preserve"> </w:t>
      </w:r>
    </w:p>
    <w:p w14:paraId="702EA17B" w14:textId="77777777" w:rsidR="00C844D9" w:rsidRDefault="00C844D9" w:rsidP="00C844D9">
      <w:pPr>
        <w:pStyle w:val="NormalWeb"/>
        <w:spacing w:line="360" w:lineRule="auto"/>
        <w:jc w:val="both"/>
      </w:pPr>
      <w:r>
        <w:t>The Celtic Collection promotes a top-down safety culture, where senior managers set the tone for compliance. However, Coldra Court’s team is relatively small and operates with a decentralised structure. This creates a reliance on informal supervision and peer communication. During peak times, these dynamics often translate to:</w:t>
      </w:r>
    </w:p>
    <w:p w14:paraId="47F5EF7B" w14:textId="77777777" w:rsidR="00C844D9" w:rsidRDefault="00C844D9" w:rsidP="00C844D9">
      <w:pPr>
        <w:pStyle w:val="NormalWeb"/>
        <w:numPr>
          <w:ilvl w:val="0"/>
          <w:numId w:val="8"/>
        </w:numPr>
        <w:spacing w:line="360" w:lineRule="auto"/>
        <w:jc w:val="both"/>
      </w:pPr>
      <w:r>
        <w:t>Safety procedures being sidelined due to time pressures.</w:t>
      </w:r>
    </w:p>
    <w:p w14:paraId="40F12F01" w14:textId="77777777" w:rsidR="00C844D9" w:rsidRDefault="00C844D9" w:rsidP="00C844D9">
      <w:pPr>
        <w:pStyle w:val="NormalWeb"/>
        <w:numPr>
          <w:ilvl w:val="0"/>
          <w:numId w:val="8"/>
        </w:numPr>
        <w:spacing w:line="360" w:lineRule="auto"/>
        <w:jc w:val="both"/>
      </w:pPr>
      <w:r>
        <w:t>Shortcuts in training for temporary staff or weekend shifts.</w:t>
      </w:r>
    </w:p>
    <w:p w14:paraId="7FA513B9" w14:textId="77777777" w:rsidR="00C844D9" w:rsidRDefault="00C844D9" w:rsidP="00C844D9">
      <w:pPr>
        <w:pStyle w:val="NormalWeb"/>
        <w:numPr>
          <w:ilvl w:val="0"/>
          <w:numId w:val="8"/>
        </w:numPr>
        <w:spacing w:line="360" w:lineRule="auto"/>
        <w:jc w:val="both"/>
      </w:pPr>
      <w:r>
        <w:t>Over-reliance on veteran staff for mentoring, without formal evaluation.</w:t>
      </w:r>
    </w:p>
    <w:p w14:paraId="7AF2A2A7" w14:textId="77777777" w:rsidR="00C844D9" w:rsidRDefault="00C844D9" w:rsidP="00C844D9">
      <w:pPr>
        <w:pStyle w:val="NormalWeb"/>
        <w:spacing w:line="360" w:lineRule="auto"/>
        <w:jc w:val="both"/>
      </w:pPr>
      <w:r>
        <w:t>Cooper et al. (2019) argue that a hotel’s internal safety culture is only as robust as its most fragile practice. Hence, it is crucial to ensure consistency and a structured approach to health, safety, and privacy measures.</w:t>
      </w:r>
    </w:p>
    <w:p w14:paraId="4956EA03"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37" w:name="_Toc200551649"/>
      <w:r w:rsidRPr="00E828AC">
        <w:rPr>
          <w:rFonts w:ascii="Times New Roman" w:hAnsi="Times New Roman" w:cs="Times New Roman"/>
          <w:b/>
          <w:bCs/>
          <w:color w:val="000000" w:themeColor="text1"/>
          <w:sz w:val="28"/>
          <w:szCs w:val="28"/>
        </w:rPr>
        <w:t>4.9 Summary of Key Findings</w:t>
      </w:r>
      <w:bookmarkEnd w:id="37"/>
    </w:p>
    <w:p w14:paraId="265C4CFC" w14:textId="77777777" w:rsidR="00C844D9" w:rsidRPr="00E828AC" w:rsidRDefault="00C844D9" w:rsidP="00C844D9">
      <w:pPr>
        <w:spacing w:line="360" w:lineRule="auto"/>
        <w:jc w:val="both"/>
        <w:rPr>
          <w:rFonts w:ascii="Times New Roman" w:hAnsi="Times New Roman" w:cs="Times New Roman"/>
        </w:rPr>
      </w:pPr>
      <w:r w:rsidRPr="00E828AC">
        <w:rPr>
          <w:rFonts w:ascii="Times New Roman" w:hAnsi="Times New Roman" w:cs="Times New Roman"/>
        </w:rPr>
        <w:t xml:space="preserve">In summary, the case study reveals that </w:t>
      </w:r>
      <w:proofErr w:type="spellStart"/>
      <w:r w:rsidRPr="00E828AC">
        <w:rPr>
          <w:rFonts w:ascii="Times New Roman" w:hAnsi="Times New Roman" w:cs="Times New Roman"/>
        </w:rPr>
        <w:t>Coldra</w:t>
      </w:r>
      <w:proofErr w:type="spellEnd"/>
      <w:r w:rsidRPr="00E828AC">
        <w:rPr>
          <w:rFonts w:ascii="Times New Roman" w:hAnsi="Times New Roman" w:cs="Times New Roman"/>
        </w:rPr>
        <w:t xml:space="preserve"> Court Hotel meets several baseline standards for health, safety, and privacy. However, it faces notable gaps in digital infrastructure and policy enforcement. Key strengths include its strategic location, affiliation with The Celtic Collection, and core hygiene practices. Conversely, challenges such as unsecured Wi-Fi, the lack of mobile check-in, and inconsistent staff training need to be addressed. Improving these areas will strengthen guest trust, ensure compliance, and enhance competitive positioning.</w:t>
      </w:r>
    </w:p>
    <w:p w14:paraId="3E02157F" w14:textId="77777777" w:rsidR="00C844D9" w:rsidRPr="00E828AC" w:rsidRDefault="00C844D9" w:rsidP="00C844D9">
      <w:pPr>
        <w:pStyle w:val="Heading2"/>
        <w:spacing w:line="360" w:lineRule="auto"/>
        <w:rPr>
          <w:rFonts w:ascii="Times New Roman" w:hAnsi="Times New Roman" w:cs="Times New Roman"/>
          <w:b/>
          <w:bCs/>
          <w:color w:val="000000" w:themeColor="text1"/>
          <w:sz w:val="28"/>
          <w:szCs w:val="28"/>
        </w:rPr>
      </w:pPr>
      <w:bookmarkStart w:id="38" w:name="_Toc200551650"/>
      <w:r w:rsidRPr="00E828AC">
        <w:rPr>
          <w:rFonts w:ascii="Times New Roman" w:hAnsi="Times New Roman" w:cs="Times New Roman"/>
          <w:b/>
          <w:bCs/>
          <w:color w:val="000000" w:themeColor="text1"/>
          <w:sz w:val="28"/>
          <w:szCs w:val="28"/>
        </w:rPr>
        <w:t>4.10 Opportunities for Improvement</w:t>
      </w:r>
      <w:bookmarkEnd w:id="38"/>
    </w:p>
    <w:p w14:paraId="70FF7A95" w14:textId="77777777" w:rsidR="00C844D9" w:rsidRDefault="00C844D9" w:rsidP="00C844D9">
      <w:pPr>
        <w:pStyle w:val="NormalWeb"/>
        <w:spacing w:line="360" w:lineRule="auto"/>
        <w:jc w:val="both"/>
      </w:pPr>
      <w:r>
        <w:t>There are several opportunities for improvement, including:</w:t>
      </w:r>
    </w:p>
    <w:p w14:paraId="140E90FB" w14:textId="77777777" w:rsidR="00C844D9" w:rsidRDefault="00C844D9" w:rsidP="00C844D9">
      <w:pPr>
        <w:pStyle w:val="NormalWeb"/>
        <w:numPr>
          <w:ilvl w:val="0"/>
          <w:numId w:val="9"/>
        </w:numPr>
        <w:spacing w:line="360" w:lineRule="auto"/>
        <w:jc w:val="both"/>
      </w:pPr>
      <w:r>
        <w:t>Installing secure, guest-segmented Wi-Fi networks.</w:t>
      </w:r>
    </w:p>
    <w:p w14:paraId="0DDCA190" w14:textId="77777777" w:rsidR="00C844D9" w:rsidRDefault="00C844D9" w:rsidP="00C844D9">
      <w:pPr>
        <w:pStyle w:val="NormalWeb"/>
        <w:numPr>
          <w:ilvl w:val="0"/>
          <w:numId w:val="9"/>
        </w:numPr>
        <w:spacing w:line="360" w:lineRule="auto"/>
        <w:jc w:val="both"/>
      </w:pPr>
      <w:r>
        <w:t>Introducing mobile check-in and digital key card systems.</w:t>
      </w:r>
    </w:p>
    <w:p w14:paraId="642EC383" w14:textId="77777777" w:rsidR="00C844D9" w:rsidRDefault="00C844D9" w:rsidP="00C844D9">
      <w:pPr>
        <w:pStyle w:val="NormalWeb"/>
        <w:numPr>
          <w:ilvl w:val="0"/>
          <w:numId w:val="9"/>
        </w:numPr>
        <w:spacing w:line="360" w:lineRule="auto"/>
        <w:jc w:val="both"/>
      </w:pPr>
      <w:r>
        <w:t>Conducting quarterly health, safety, and privacy (HSP) training refreshers for all staff.</w:t>
      </w:r>
    </w:p>
    <w:p w14:paraId="710F6D40" w14:textId="77777777" w:rsidR="00C844D9" w:rsidRDefault="00C844D9" w:rsidP="00C844D9">
      <w:pPr>
        <w:pStyle w:val="NormalWeb"/>
        <w:numPr>
          <w:ilvl w:val="0"/>
          <w:numId w:val="9"/>
        </w:numPr>
        <w:spacing w:line="360" w:lineRule="auto"/>
        <w:jc w:val="both"/>
      </w:pPr>
      <w:r>
        <w:t>Appointing a designated HSP officer to oversee compliance and implementation.</w:t>
      </w:r>
    </w:p>
    <w:p w14:paraId="77DF2955" w14:textId="77777777" w:rsidR="00C844D9" w:rsidRDefault="00C844D9" w:rsidP="00C844D9">
      <w:pPr>
        <w:pStyle w:val="NormalWeb"/>
        <w:numPr>
          <w:ilvl w:val="0"/>
          <w:numId w:val="9"/>
        </w:numPr>
        <w:spacing w:line="360" w:lineRule="auto"/>
        <w:jc w:val="both"/>
      </w:pPr>
      <w:r>
        <w:t>Implementing staff feedback loops to identify and address operational risks proactively.</w:t>
      </w:r>
    </w:p>
    <w:p w14:paraId="47419019" w14:textId="77777777" w:rsidR="00C844D9" w:rsidRDefault="00C844D9" w:rsidP="00C844D9">
      <w:pPr>
        <w:pStyle w:val="NormalWeb"/>
        <w:numPr>
          <w:ilvl w:val="0"/>
          <w:numId w:val="9"/>
        </w:numPr>
        <w:spacing w:line="360" w:lineRule="auto"/>
        <w:jc w:val="both"/>
      </w:pPr>
      <w:r>
        <w:t>Clearly displaying privacy policies and CCTV notices to enhance transparency.</w:t>
      </w:r>
    </w:p>
    <w:p w14:paraId="3941F06A" w14:textId="77777777" w:rsidR="00C844D9" w:rsidRPr="00ED00ED" w:rsidRDefault="00C844D9" w:rsidP="00C844D9">
      <w:pPr>
        <w:pStyle w:val="Heading1"/>
        <w:spacing w:line="360" w:lineRule="auto"/>
        <w:rPr>
          <w:rFonts w:ascii="Times New Roman" w:hAnsi="Times New Roman" w:cs="Times New Roman"/>
          <w:b/>
          <w:bCs/>
          <w:color w:val="000000" w:themeColor="text1"/>
          <w:sz w:val="32"/>
          <w:szCs w:val="32"/>
        </w:rPr>
      </w:pPr>
      <w:bookmarkStart w:id="39" w:name="_Toc200551651"/>
      <w:r w:rsidRPr="00ED00ED">
        <w:rPr>
          <w:rFonts w:ascii="Times New Roman" w:hAnsi="Times New Roman" w:cs="Times New Roman"/>
          <w:b/>
          <w:bCs/>
          <w:color w:val="000000" w:themeColor="text1"/>
          <w:sz w:val="32"/>
          <w:szCs w:val="32"/>
        </w:rPr>
        <w:lastRenderedPageBreak/>
        <w:t>5. Discussion</w:t>
      </w:r>
      <w:bookmarkEnd w:id="39"/>
      <w:r w:rsidRPr="00ED00ED">
        <w:rPr>
          <w:rFonts w:ascii="Times New Roman" w:hAnsi="Times New Roman" w:cs="Times New Roman"/>
          <w:b/>
          <w:bCs/>
          <w:color w:val="000000" w:themeColor="text1"/>
          <w:sz w:val="32"/>
          <w:szCs w:val="32"/>
        </w:rPr>
        <w:t xml:space="preserve"> </w:t>
      </w:r>
    </w:p>
    <w:p w14:paraId="31B0EA7A" w14:textId="77777777" w:rsidR="00C844D9" w:rsidRDefault="00C844D9" w:rsidP="00C844D9">
      <w:pPr>
        <w:pStyle w:val="Heading2"/>
        <w:spacing w:line="360" w:lineRule="auto"/>
        <w:rPr>
          <w:rStyle w:val="SubtleEmphasis"/>
          <w:rFonts w:ascii="Times New Roman" w:hAnsi="Times New Roman" w:cs="Times New Roman"/>
          <w:b/>
          <w:bCs/>
          <w:i w:val="0"/>
          <w:color w:val="000000" w:themeColor="text1"/>
          <w:sz w:val="28"/>
          <w:szCs w:val="28"/>
        </w:rPr>
      </w:pPr>
      <w:bookmarkStart w:id="40" w:name="_Toc200551652"/>
      <w:r w:rsidRPr="00A7637F">
        <w:rPr>
          <w:rStyle w:val="SubtleEmphasis"/>
          <w:rFonts w:ascii="Times New Roman" w:hAnsi="Times New Roman" w:cs="Times New Roman"/>
          <w:b/>
          <w:bCs/>
          <w:i w:val="0"/>
          <w:color w:val="000000" w:themeColor="text1"/>
          <w:sz w:val="28"/>
          <w:szCs w:val="28"/>
        </w:rPr>
        <w:t>5.1 Introduction</w:t>
      </w:r>
      <w:bookmarkEnd w:id="40"/>
    </w:p>
    <w:p w14:paraId="6B20073C" w14:textId="77777777" w:rsidR="00C844D9" w:rsidRPr="00A7637F" w:rsidRDefault="00C844D9" w:rsidP="00C844D9">
      <w:pPr>
        <w:spacing w:line="360" w:lineRule="auto"/>
        <w:jc w:val="both"/>
        <w:rPr>
          <w:rFonts w:ascii="Times New Roman" w:hAnsi="Times New Roman" w:cs="Times New Roman"/>
        </w:rPr>
      </w:pPr>
      <w:r w:rsidRPr="00A7637F">
        <w:rPr>
          <w:rFonts w:ascii="Times New Roman" w:hAnsi="Times New Roman" w:cs="Times New Roman"/>
        </w:rPr>
        <w:t xml:space="preserve">The focus of this discussion chapter is to critically interpret and analyse the findings in relation to </w:t>
      </w:r>
      <w:proofErr w:type="spellStart"/>
      <w:r w:rsidRPr="00A7637F">
        <w:rPr>
          <w:rFonts w:ascii="Times New Roman" w:hAnsi="Times New Roman" w:cs="Times New Roman"/>
        </w:rPr>
        <w:t>Coldra</w:t>
      </w:r>
      <w:proofErr w:type="spellEnd"/>
      <w:r w:rsidRPr="00A7637F">
        <w:rPr>
          <w:rFonts w:ascii="Times New Roman" w:hAnsi="Times New Roman" w:cs="Times New Roman"/>
        </w:rPr>
        <w:t xml:space="preserve"> Court Hotel’s health, safety, and privacy (HSP) practices. This discussion will also consider relevant academic and industry literature on HSP within the hospitality sector. The analysis is structured thematically, ensuring that key operational insights are grounded in real-world practices and contextualised within the broader hospitality literature.</w:t>
      </w:r>
    </w:p>
    <w:p w14:paraId="46C27C7C" w14:textId="77777777" w:rsidR="00C844D9" w:rsidRDefault="00C844D9" w:rsidP="00C844D9">
      <w:pPr>
        <w:pStyle w:val="Heading2"/>
        <w:spacing w:line="360" w:lineRule="auto"/>
        <w:rPr>
          <w:rStyle w:val="SubtleEmphasis"/>
          <w:rFonts w:ascii="Times New Roman" w:hAnsi="Times New Roman" w:cs="Times New Roman"/>
          <w:b/>
          <w:bCs/>
          <w:i w:val="0"/>
          <w:color w:val="000000" w:themeColor="text1"/>
          <w:sz w:val="28"/>
          <w:szCs w:val="28"/>
        </w:rPr>
      </w:pPr>
      <w:bookmarkStart w:id="41" w:name="_Toc200551653"/>
      <w:r w:rsidRPr="00A7637F">
        <w:rPr>
          <w:rStyle w:val="SubtleEmphasis"/>
          <w:rFonts w:ascii="Times New Roman" w:hAnsi="Times New Roman" w:cs="Times New Roman"/>
          <w:b/>
          <w:bCs/>
          <w:i w:val="0"/>
          <w:color w:val="000000" w:themeColor="text1"/>
          <w:sz w:val="28"/>
          <w:szCs w:val="28"/>
        </w:rPr>
        <w:t>5.2 Health and Hygiene Standards: Compliance, Gaps, and Guest Perception</w:t>
      </w:r>
      <w:bookmarkEnd w:id="41"/>
    </w:p>
    <w:p w14:paraId="2E2E8C45" w14:textId="77777777" w:rsidR="00C844D9" w:rsidRPr="00A7637F" w:rsidRDefault="00C844D9" w:rsidP="00C844D9">
      <w:pPr>
        <w:pStyle w:val="NormalWeb"/>
        <w:spacing w:line="360" w:lineRule="auto"/>
        <w:jc w:val="both"/>
        <w:rPr>
          <w:b/>
          <w:bCs/>
          <w:color w:val="000000" w:themeColor="text1"/>
        </w:rPr>
      </w:pPr>
      <w:r w:rsidRPr="00A7637F">
        <w:rPr>
          <w:rStyle w:val="Strong"/>
          <w:rFonts w:eastAsiaTheme="majorEastAsia"/>
          <w:b w:val="0"/>
          <w:bCs w:val="0"/>
          <w:color w:val="000000" w:themeColor="text1"/>
        </w:rPr>
        <w:t xml:space="preserve">The overall case findings indicate that </w:t>
      </w:r>
      <w:proofErr w:type="spellStart"/>
      <w:r w:rsidRPr="00A7637F">
        <w:rPr>
          <w:rStyle w:val="Strong"/>
          <w:rFonts w:eastAsiaTheme="majorEastAsia"/>
          <w:b w:val="0"/>
          <w:bCs w:val="0"/>
          <w:color w:val="000000" w:themeColor="text1"/>
        </w:rPr>
        <w:t>Coldra</w:t>
      </w:r>
      <w:proofErr w:type="spellEnd"/>
      <w:r w:rsidRPr="00A7637F">
        <w:rPr>
          <w:rStyle w:val="Strong"/>
          <w:rFonts w:eastAsiaTheme="majorEastAsia"/>
          <w:b w:val="0"/>
          <w:bCs w:val="0"/>
          <w:color w:val="000000" w:themeColor="text1"/>
        </w:rPr>
        <w:t xml:space="preserve"> Court Hotel meets baseline protocols for health and hygiene. Daily sanitation routines are in place for public areas, visible cleaning is evident in the reception and gym areas, and housekeeping staff consistently follow daily checklists. These practices align with the post-COVID hygiene expectations outlined by Jiang and Wen (2020), who emphasise that hygiene is now as important as room comfort in driving guest satisfaction. However, observations during the placement period reveal certain gaps in supervisory consistency. Irregular spot checks, particularly during peak hours, suggest that while hygiene standards are well-designed, they are not always enforced systematically.</w:t>
      </w:r>
    </w:p>
    <w:p w14:paraId="4AC80A22" w14:textId="77777777" w:rsidR="00C844D9" w:rsidRPr="00A7637F" w:rsidRDefault="00C844D9" w:rsidP="00C844D9">
      <w:pPr>
        <w:pStyle w:val="NormalWeb"/>
        <w:spacing w:line="360" w:lineRule="auto"/>
        <w:jc w:val="both"/>
        <w:rPr>
          <w:b/>
          <w:bCs/>
          <w:color w:val="000000" w:themeColor="text1"/>
        </w:rPr>
      </w:pPr>
      <w:r w:rsidRPr="00A7637F">
        <w:rPr>
          <w:rStyle w:val="Strong"/>
          <w:rFonts w:eastAsiaTheme="majorEastAsia"/>
          <w:b w:val="0"/>
          <w:bCs w:val="0"/>
          <w:color w:val="000000" w:themeColor="text1"/>
        </w:rPr>
        <w:t>Additionally, the hotel’s dated bathrooms and outmoded room furnishings negatively influence guest perceptions of cleanliness and safety. Pizam et al. (2014) argue that visible cleanliness alone does not assure guests; the overall room condition and maintenance play a crucial role in perceived hygiene. Coldra Court’s delay in refurbishing these areas risks undermining the hotel’s broader hygiene message. This may be partly due to the hotel’s mid-range positioning, which can create financial or strategic resistance to large-scale renovations.</w:t>
      </w:r>
    </w:p>
    <w:p w14:paraId="773996BC" w14:textId="77777777" w:rsidR="00C844D9" w:rsidRPr="00A7637F" w:rsidRDefault="00C844D9" w:rsidP="00C844D9">
      <w:pPr>
        <w:pStyle w:val="NormalWeb"/>
        <w:spacing w:line="360" w:lineRule="auto"/>
        <w:jc w:val="both"/>
        <w:rPr>
          <w:b/>
          <w:bCs/>
          <w:color w:val="000000" w:themeColor="text1"/>
        </w:rPr>
      </w:pPr>
      <w:r w:rsidRPr="00A7637F">
        <w:rPr>
          <w:rStyle w:val="Strong"/>
          <w:rFonts w:eastAsiaTheme="majorEastAsia"/>
          <w:b w:val="0"/>
          <w:bCs w:val="0"/>
          <w:color w:val="000000" w:themeColor="text1"/>
        </w:rPr>
        <w:t xml:space="preserve">Finally, while the hotel adheres to national regulations, it lacks external certifications such as the </w:t>
      </w:r>
      <w:proofErr w:type="spellStart"/>
      <w:r w:rsidRPr="00A7637F">
        <w:rPr>
          <w:rStyle w:val="Strong"/>
          <w:rFonts w:eastAsiaTheme="majorEastAsia"/>
          <w:b w:val="0"/>
          <w:bCs w:val="0"/>
          <w:color w:val="000000" w:themeColor="text1"/>
        </w:rPr>
        <w:t>SafeStay</w:t>
      </w:r>
      <w:proofErr w:type="spellEnd"/>
      <w:r w:rsidRPr="00A7637F">
        <w:rPr>
          <w:rStyle w:val="Strong"/>
          <w:rFonts w:eastAsiaTheme="majorEastAsia"/>
          <w:b w:val="0"/>
          <w:bCs w:val="0"/>
          <w:color w:val="000000" w:themeColor="text1"/>
        </w:rPr>
        <w:t xml:space="preserve"> label. According to Naumov et al. (2021), third-party validations serve as important trust signals in the modern, hygiene-focused market. The absence of these certifications diminishes </w:t>
      </w:r>
      <w:proofErr w:type="spellStart"/>
      <w:r w:rsidRPr="00A7637F">
        <w:rPr>
          <w:rStyle w:val="Strong"/>
          <w:rFonts w:eastAsiaTheme="majorEastAsia"/>
          <w:b w:val="0"/>
          <w:bCs w:val="0"/>
          <w:color w:val="000000" w:themeColor="text1"/>
        </w:rPr>
        <w:t>Coldra</w:t>
      </w:r>
      <w:proofErr w:type="spellEnd"/>
      <w:r w:rsidRPr="00A7637F">
        <w:rPr>
          <w:rStyle w:val="Strong"/>
          <w:rFonts w:eastAsiaTheme="majorEastAsia"/>
          <w:b w:val="0"/>
          <w:bCs w:val="0"/>
          <w:color w:val="000000" w:themeColor="text1"/>
        </w:rPr>
        <w:t xml:space="preserve"> Court’s ability to stand out in a competitive landscape where guests increasingly expect verifiable safety and cleanliness measures. In summary, while operational hygiene practices meet regulatory requirements, gaps in enforcement, room quality, and third-party endorsements may weaken the hotel’s competitive position.</w:t>
      </w:r>
    </w:p>
    <w:p w14:paraId="7758A913"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42" w:name="_Toc200551654"/>
      <w:r w:rsidRPr="00A7637F">
        <w:rPr>
          <w:rFonts w:ascii="Times New Roman" w:hAnsi="Times New Roman" w:cs="Times New Roman"/>
          <w:b/>
          <w:bCs/>
          <w:color w:val="000000" w:themeColor="text1"/>
          <w:sz w:val="28"/>
          <w:szCs w:val="28"/>
        </w:rPr>
        <w:lastRenderedPageBreak/>
        <w:t>5.3 Safety Management: Preparedness and Shortcomings</w:t>
      </w:r>
      <w:bookmarkEnd w:id="42"/>
    </w:p>
    <w:p w14:paraId="1F5B24A2" w14:textId="77777777" w:rsidR="00C844D9" w:rsidRDefault="00C844D9" w:rsidP="00C844D9">
      <w:pPr>
        <w:pStyle w:val="NormalWeb"/>
        <w:spacing w:line="360" w:lineRule="auto"/>
        <w:jc w:val="both"/>
      </w:pPr>
      <w:r>
        <w:t xml:space="preserve">Guest safety at </w:t>
      </w:r>
      <w:proofErr w:type="spellStart"/>
      <w:r>
        <w:t>Coldra</w:t>
      </w:r>
      <w:proofErr w:type="spellEnd"/>
      <w:r>
        <w:t xml:space="preserve"> Court Hotel presents a mixed picture. On one hand, the hotel has well-defined fire evacuation protocols, emergency signage, and trained front-desk staff. These measures are consistent with the legal obligations outlined in the Health and Safety at Work Act 1974 and the recommended practices by Enz (2009). However, closer examination reveals several operational shortcomings.</w:t>
      </w:r>
    </w:p>
    <w:p w14:paraId="06990F88" w14:textId="77777777" w:rsidR="00C844D9" w:rsidRDefault="00C844D9" w:rsidP="00C844D9">
      <w:pPr>
        <w:pStyle w:val="NormalWeb"/>
        <w:spacing w:line="360" w:lineRule="auto"/>
        <w:jc w:val="both"/>
      </w:pPr>
      <w:r>
        <w:t xml:space="preserve">For example, the ergonomic design of equipment such as housekeeping trolleys is substandard, which can lead to fatigue-related complaints among staff. Similar issues were noted with the lack of non-slip flooring near the pool and poor lighting near service exits, implying a reactive rather than proactive approach to safety. This approach is contrary to the systems-based, preventive safety culture recommended by </w:t>
      </w:r>
      <w:proofErr w:type="spellStart"/>
      <w:r>
        <w:t>Abedsoltan</w:t>
      </w:r>
      <w:proofErr w:type="spellEnd"/>
      <w:r>
        <w:t xml:space="preserve"> et al. (2024) and supported by ISO 31030.</w:t>
      </w:r>
    </w:p>
    <w:p w14:paraId="38F57C1E" w14:textId="77777777" w:rsidR="00C844D9" w:rsidRDefault="00C844D9" w:rsidP="00C844D9">
      <w:pPr>
        <w:pStyle w:val="NormalWeb"/>
        <w:spacing w:line="360" w:lineRule="auto"/>
        <w:jc w:val="both"/>
      </w:pPr>
      <w:r>
        <w:t>Another notable gap is the absence of a dedicated health and safety officer. Safety responsibilities are dispersed across departments, resulting in fragmented implementation and oversight. This supports Cooper et al.'s (2019) claim that an organisation’s safety culture is only as effective as its weakest point. Informal supervision and training shortcuts, particularly during busy periods, further compromise safety. Kim et al. (2021) also highlight how safety compliance tends to diminish in resource-constrained environments.</w:t>
      </w:r>
    </w:p>
    <w:p w14:paraId="3CA76F14" w14:textId="77777777" w:rsidR="00C844D9" w:rsidRDefault="00C844D9" w:rsidP="00C844D9">
      <w:pPr>
        <w:pStyle w:val="NormalWeb"/>
        <w:spacing w:line="360" w:lineRule="auto"/>
        <w:jc w:val="both"/>
      </w:pPr>
      <w:r>
        <w:t xml:space="preserve">Guest reviews reveal uncertainty about visible safety measures, particularly signage and emergency protocols. This suggests a need for a more transparent, communicative safety culture that actively informs guests about safety systems, as advocated by Kim, Kim, and Lee (2021). In conclusion, while </w:t>
      </w:r>
      <w:proofErr w:type="spellStart"/>
      <w:r>
        <w:t>Coldra</w:t>
      </w:r>
      <w:proofErr w:type="spellEnd"/>
      <w:r>
        <w:t xml:space="preserve"> Court meets the basic legal safety standards, gaps in ergonomic practices, dedicated oversight, and guest communication undermine its overall safety performance. Addressing these issues would strengthen the hotel’s operational resilience and guest trust.</w:t>
      </w:r>
    </w:p>
    <w:p w14:paraId="7E5D267B"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43" w:name="_Toc200551655"/>
      <w:r w:rsidRPr="004D3AE7">
        <w:rPr>
          <w:rFonts w:ascii="Times New Roman" w:hAnsi="Times New Roman" w:cs="Times New Roman"/>
          <w:b/>
          <w:bCs/>
          <w:color w:val="000000" w:themeColor="text1"/>
          <w:sz w:val="28"/>
          <w:szCs w:val="28"/>
        </w:rPr>
        <w:t>5.4 Privacy and Data Protection</w:t>
      </w:r>
      <w:bookmarkEnd w:id="43"/>
    </w:p>
    <w:p w14:paraId="569A432E" w14:textId="77777777" w:rsidR="00C844D9" w:rsidRDefault="00C844D9" w:rsidP="00C844D9">
      <w:pPr>
        <w:pStyle w:val="NormalWeb"/>
        <w:spacing w:line="360" w:lineRule="auto"/>
        <w:jc w:val="both"/>
      </w:pPr>
      <w:r>
        <w:t xml:space="preserve">In the overall analysis, perhaps the most concerning finding is the lack of a robust digital privacy infrastructure at </w:t>
      </w:r>
      <w:proofErr w:type="spellStart"/>
      <w:r>
        <w:t>Coldra</w:t>
      </w:r>
      <w:proofErr w:type="spellEnd"/>
      <w:r>
        <w:t xml:space="preserve"> Court. Although the hotel claims to comply with UK GDPR regulations in principle, in practice, its application is inconsistent. While guest data is managed </w:t>
      </w:r>
      <w:r>
        <w:lastRenderedPageBreak/>
        <w:t xml:space="preserve">digitally, unsecured public Wi-Fi, visible printouts of guest lists, and minimal CCTV signage highlight serious lapses in transparency and security. This gap echoes the observations of Sigala (2018) and Florido-Benítez (2024), who noted that mid-scale hotels often underinvest in cybersecurity due to budget and technical constraints. Despite the broader commitment of The Celtic Collection to these matters, </w:t>
      </w:r>
      <w:proofErr w:type="spellStart"/>
      <w:r>
        <w:t>Coldra</w:t>
      </w:r>
      <w:proofErr w:type="spellEnd"/>
      <w:r>
        <w:t xml:space="preserve"> Court’s digital safeguards remain inadequate.</w:t>
      </w:r>
    </w:p>
    <w:p w14:paraId="77101758" w14:textId="77777777" w:rsidR="00C844D9" w:rsidRDefault="00C844D9" w:rsidP="00C844D9">
      <w:pPr>
        <w:pStyle w:val="NormalWeb"/>
        <w:spacing w:line="360" w:lineRule="auto"/>
        <w:jc w:val="both"/>
      </w:pPr>
      <w:r>
        <w:t xml:space="preserve">Another issue identified is the hotel’s reliance on third-party booking platforms, which is commonplace in the modern hospitality sector. However, Coldra Court lacks clear and visible privacy disclosures for these platforms. Guests booking through services like Booking.com may be unaware of exactly who controls and processes their personal data, creating an ambiguity that violates the data minimisation and accountability principles supported by </w:t>
      </w:r>
      <w:proofErr w:type="spellStart"/>
      <w:r>
        <w:t>Pipyros</w:t>
      </w:r>
      <w:proofErr w:type="spellEnd"/>
      <w:r>
        <w:t xml:space="preserve"> and </w:t>
      </w:r>
      <w:proofErr w:type="spellStart"/>
      <w:r>
        <w:t>Liasidou</w:t>
      </w:r>
      <w:proofErr w:type="spellEnd"/>
      <w:r>
        <w:t xml:space="preserve"> (2025). Moreover, no data processing statement is displayed at check-in, which is a fundamental aspect of compliance under GDPR.</w:t>
      </w:r>
    </w:p>
    <w:p w14:paraId="3F5C90CB" w14:textId="77777777" w:rsidR="00C844D9" w:rsidRDefault="00C844D9" w:rsidP="00C844D9">
      <w:pPr>
        <w:pStyle w:val="NormalWeb"/>
        <w:spacing w:line="360" w:lineRule="auto"/>
        <w:jc w:val="both"/>
      </w:pPr>
      <w:r>
        <w:t xml:space="preserve">Beyond these structural weaknesses, staff awareness of data protection is also lacking. Observations indicated that some employees mishandled printed guest lists and were unsure about data retention periods. This highlights the need for improved staff training in data governance—an area that </w:t>
      </w:r>
      <w:proofErr w:type="spellStart"/>
      <w:r>
        <w:t>Tussyadiah</w:t>
      </w:r>
      <w:proofErr w:type="spellEnd"/>
      <w:r>
        <w:t xml:space="preserve"> and Miller (2019) argue is as much about human practice as it is about technology. Additionally, the absence of two-factor authentication and password expiry protocols at </w:t>
      </w:r>
      <w:proofErr w:type="spellStart"/>
      <w:r>
        <w:t>Coldra</w:t>
      </w:r>
      <w:proofErr w:type="spellEnd"/>
      <w:r>
        <w:t xml:space="preserve"> Court is a critical gap, particularly given that many of its competitors have already adopted these essential measures.</w:t>
      </w:r>
    </w:p>
    <w:p w14:paraId="5D2B7F1B" w14:textId="77777777" w:rsidR="00C844D9" w:rsidRDefault="00C844D9" w:rsidP="00C844D9">
      <w:pPr>
        <w:pStyle w:val="NormalWeb"/>
        <w:spacing w:line="360" w:lineRule="auto"/>
        <w:jc w:val="both"/>
      </w:pPr>
      <w:r>
        <w:t xml:space="preserve">In an era of increasing cyber threats, failing to secure guest data not only risks legal non-compliance but also damages trust and reputation. Addressing these privacy gaps is essential if </w:t>
      </w:r>
      <w:proofErr w:type="spellStart"/>
      <w:r>
        <w:t>Coldra</w:t>
      </w:r>
      <w:proofErr w:type="spellEnd"/>
      <w:r>
        <w:t xml:space="preserve"> Court is to maintain competitive parity and protect both guests and the business itself.</w:t>
      </w:r>
    </w:p>
    <w:p w14:paraId="68B813F6"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44" w:name="_Toc200551656"/>
      <w:r w:rsidRPr="004D3AE7">
        <w:rPr>
          <w:rFonts w:ascii="Times New Roman" w:hAnsi="Times New Roman" w:cs="Times New Roman"/>
          <w:b/>
          <w:bCs/>
          <w:color w:val="000000" w:themeColor="text1"/>
          <w:sz w:val="28"/>
          <w:szCs w:val="28"/>
        </w:rPr>
        <w:t>5.5 Technology Integration: Opportunities and Lags</w:t>
      </w:r>
      <w:bookmarkEnd w:id="44"/>
      <w:r w:rsidRPr="004D3AE7">
        <w:rPr>
          <w:rFonts w:ascii="Times New Roman" w:hAnsi="Times New Roman" w:cs="Times New Roman"/>
          <w:b/>
          <w:bCs/>
          <w:color w:val="000000" w:themeColor="text1"/>
          <w:sz w:val="28"/>
          <w:szCs w:val="28"/>
        </w:rPr>
        <w:t xml:space="preserve"> </w:t>
      </w:r>
    </w:p>
    <w:p w14:paraId="78E2A672" w14:textId="77777777" w:rsidR="00C844D9" w:rsidRDefault="00C844D9" w:rsidP="00C844D9">
      <w:pPr>
        <w:pStyle w:val="NormalWeb"/>
        <w:spacing w:line="360" w:lineRule="auto"/>
        <w:jc w:val="both"/>
      </w:pPr>
      <w:r>
        <w:t xml:space="preserve">Technological integration is a critical enabler of both safety and privacy. While </w:t>
      </w:r>
      <w:proofErr w:type="spellStart"/>
      <w:r>
        <w:t>Coldra</w:t>
      </w:r>
      <w:proofErr w:type="spellEnd"/>
      <w:r>
        <w:t xml:space="preserve"> Court does have some essential technological systems in place, there remains significant underdevelopment in this area. Observations during the placement revealed a notable absence of app-based services such as mobile check-in, contactless payment, or digital room keys. This is a marked contrast to the trends identified by </w:t>
      </w:r>
      <w:proofErr w:type="spellStart"/>
      <w:r>
        <w:t>Buhalis</w:t>
      </w:r>
      <w:proofErr w:type="spellEnd"/>
      <w:r>
        <w:t xml:space="preserve"> et al. (2023), who argue that the hospitality industry is being transformed by disruptive technologies, particularly in the wake of the pandemic, to deliver more seamless and low-contact experiences.</w:t>
      </w:r>
    </w:p>
    <w:p w14:paraId="2A185AB4" w14:textId="77777777" w:rsidR="00C844D9" w:rsidRDefault="00C844D9" w:rsidP="00C844D9">
      <w:pPr>
        <w:pStyle w:val="NormalWeb"/>
        <w:spacing w:line="360" w:lineRule="auto"/>
        <w:jc w:val="both"/>
      </w:pPr>
      <w:r>
        <w:lastRenderedPageBreak/>
        <w:t xml:space="preserve">The hotel’s continued reliance on paper-based systems and physical keys does more than simply affect guest convenience; it also weakens traceability, which is a fundamental element of hotel management. Traceability supports not only guest data audits but also the investigation of safety incidents. In this regard, the current practice at </w:t>
      </w:r>
      <w:proofErr w:type="spellStart"/>
      <w:r>
        <w:t>Coldra</w:t>
      </w:r>
      <w:proofErr w:type="spellEnd"/>
      <w:r>
        <w:t xml:space="preserve"> Court falls short of modern expectations.</w:t>
      </w:r>
    </w:p>
    <w:p w14:paraId="035C6577" w14:textId="77777777" w:rsidR="00C844D9" w:rsidRDefault="00C844D9" w:rsidP="00C844D9">
      <w:pPr>
        <w:pStyle w:val="NormalWeb"/>
        <w:spacing w:line="360" w:lineRule="auto"/>
        <w:jc w:val="both"/>
      </w:pPr>
      <w:r>
        <w:t xml:space="preserve">Moreover, the Internet of Things (IoT) capabilities at </w:t>
      </w:r>
      <w:proofErr w:type="spellStart"/>
      <w:r>
        <w:t>Coldra</w:t>
      </w:r>
      <w:proofErr w:type="spellEnd"/>
      <w:r>
        <w:t xml:space="preserve"> Court are underutilised. Ivanov and Webster (2019) highlight that IoT applications present major opportunities for hotels to boost energy efficiency, automate safety alerts, and tailor guest environments to individual needs. However, these advancements have yet to be fully leveraged at </w:t>
      </w:r>
      <w:proofErr w:type="spellStart"/>
      <w:r>
        <w:t>Coldra</w:t>
      </w:r>
      <w:proofErr w:type="spellEnd"/>
      <w:r>
        <w:t xml:space="preserve"> Court. Similarly, the absence of virtual reality (VR) room tours and AI-powered chatbots is a missed opportunity, particularly given the rising demand for immersive experiences.</w:t>
      </w:r>
    </w:p>
    <w:p w14:paraId="0AAD30F1" w14:textId="77777777" w:rsidR="00C844D9" w:rsidRDefault="00C844D9" w:rsidP="00C844D9">
      <w:pPr>
        <w:pStyle w:val="NormalWeb"/>
        <w:spacing w:line="360" w:lineRule="auto"/>
        <w:jc w:val="both"/>
      </w:pPr>
      <w:r>
        <w:t xml:space="preserve">This omission is somewhat understandable given the hotel’s mid-range market positioning. However, Wadhwani and Ambekar (2024) forecast a 26.4% CAGR in the VR tourism sector, indicating that VR technology is becoming not just a luxury but a viable commercial differentiator. Therefore, adopting such technologies should not be seen merely as a cost but as a strategic investment—one that enhances guest trust, improves operational efficiency, and reinforces </w:t>
      </w:r>
      <w:proofErr w:type="spellStart"/>
      <w:r>
        <w:t>Coldra</w:t>
      </w:r>
      <w:proofErr w:type="spellEnd"/>
      <w:r>
        <w:t xml:space="preserve"> Court’s competitive edge.</w:t>
      </w:r>
    </w:p>
    <w:p w14:paraId="313B558F" w14:textId="77777777" w:rsidR="00C844D9" w:rsidRDefault="00C844D9" w:rsidP="00C844D9">
      <w:pPr>
        <w:pStyle w:val="Heading2"/>
        <w:spacing w:line="360" w:lineRule="auto"/>
        <w:jc w:val="both"/>
        <w:rPr>
          <w:rFonts w:ascii="Times New Roman" w:hAnsi="Times New Roman" w:cs="Times New Roman"/>
          <w:b/>
          <w:bCs/>
          <w:color w:val="000000" w:themeColor="text1"/>
          <w:sz w:val="28"/>
          <w:szCs w:val="28"/>
        </w:rPr>
      </w:pPr>
      <w:bookmarkStart w:id="45" w:name="_Toc200551657"/>
      <w:r w:rsidRPr="004D3AE7">
        <w:rPr>
          <w:rFonts w:ascii="Times New Roman" w:hAnsi="Times New Roman" w:cs="Times New Roman"/>
          <w:b/>
          <w:bCs/>
          <w:color w:val="000000" w:themeColor="text1"/>
          <w:sz w:val="28"/>
          <w:szCs w:val="28"/>
        </w:rPr>
        <w:t>5.6 Staff Engagement and Safety Culture</w:t>
      </w:r>
      <w:bookmarkEnd w:id="45"/>
      <w:r w:rsidRPr="004D3AE7">
        <w:rPr>
          <w:rFonts w:ascii="Times New Roman" w:hAnsi="Times New Roman" w:cs="Times New Roman"/>
          <w:b/>
          <w:bCs/>
          <w:color w:val="000000" w:themeColor="text1"/>
          <w:sz w:val="28"/>
          <w:szCs w:val="28"/>
        </w:rPr>
        <w:t xml:space="preserve"> </w:t>
      </w:r>
    </w:p>
    <w:p w14:paraId="4C4E17C7" w14:textId="77777777" w:rsidR="00C844D9" w:rsidRDefault="00C844D9" w:rsidP="00C844D9">
      <w:pPr>
        <w:pStyle w:val="NormalWeb"/>
        <w:spacing w:line="360" w:lineRule="auto"/>
        <w:jc w:val="both"/>
      </w:pPr>
      <w:r>
        <w:t xml:space="preserve">Staff at </w:t>
      </w:r>
      <w:proofErr w:type="spellStart"/>
      <w:r>
        <w:t>Coldra</w:t>
      </w:r>
      <w:proofErr w:type="spellEnd"/>
      <w:r>
        <w:t xml:space="preserve"> Court are generally described as courteous and responsive. However, there is a noticeable lack of consistency in training and accountability. While front-line employees are usually well-informed about health, safety and privacy (HSP) protocols, back-of-house staff often display gaps in their knowledge of compliance measures. This inconsistency can be attributed to the fact that training is not routinely refreshed, nor is there a formal mentorship system or dedicated safety ambassador role. As a result, there is an over-reliance on senior staff for informal guidance.</w:t>
      </w:r>
    </w:p>
    <w:p w14:paraId="6AF31C69" w14:textId="77777777" w:rsidR="00C844D9" w:rsidRDefault="00C844D9" w:rsidP="00C844D9">
      <w:pPr>
        <w:pStyle w:val="NormalWeb"/>
        <w:spacing w:line="360" w:lineRule="auto"/>
        <w:jc w:val="both"/>
      </w:pPr>
      <w:r>
        <w:t xml:space="preserve">These observations align with the findings of Chan and Hsu (2016) and Naji et al. (2022), who argue that a robust safety culture is not built solely through policies but also through shared understanding and continuous reinforcement. The absence of a structured approach at </w:t>
      </w:r>
      <w:proofErr w:type="spellStart"/>
      <w:r>
        <w:t>Coldra</w:t>
      </w:r>
      <w:proofErr w:type="spellEnd"/>
      <w:r>
        <w:t xml:space="preserve"> Court weakens the hotel’s ability to foster this kind of culture.</w:t>
      </w:r>
    </w:p>
    <w:p w14:paraId="0B95D04C" w14:textId="77777777" w:rsidR="00C844D9" w:rsidRDefault="00C844D9" w:rsidP="00C844D9">
      <w:pPr>
        <w:pStyle w:val="NormalWeb"/>
        <w:spacing w:line="360" w:lineRule="auto"/>
        <w:jc w:val="both"/>
      </w:pPr>
      <w:r>
        <w:lastRenderedPageBreak/>
        <w:t>Additionally, there is no formal mechanism for capturing anonymous staff feedback or near-miss reports. This omission undermines a culture of open communication, as employees may identify safety or privacy concerns but lack a safe channel to report them without fear of repercussions. Cooper et al. (2019) highlight that feedback loops are crucial for proactive risk management, suggesting that the absence of these structures could lead to critical oversights.</w:t>
      </w:r>
    </w:p>
    <w:p w14:paraId="0D64B9AC" w14:textId="77777777" w:rsidR="00C844D9" w:rsidRDefault="00C844D9" w:rsidP="00C844D9">
      <w:pPr>
        <w:pStyle w:val="NormalWeb"/>
        <w:spacing w:line="360" w:lineRule="auto"/>
        <w:jc w:val="both"/>
      </w:pPr>
      <w:r>
        <w:t xml:space="preserve">Addressing these shortcomings requires more than just updating protocols. It calls for leadership commitment, ongoing staff development, and clear lines of accountability. Only through such measures can </w:t>
      </w:r>
      <w:proofErr w:type="spellStart"/>
      <w:r>
        <w:t>Coldra</w:t>
      </w:r>
      <w:proofErr w:type="spellEnd"/>
      <w:r>
        <w:t xml:space="preserve"> Court fully embed a culture of continuous improvement and ensure that staff across all levels feel empowered to act on safety and privacy concerns.</w:t>
      </w:r>
    </w:p>
    <w:p w14:paraId="6C33A897"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46" w:name="_Toc200551658"/>
      <w:r w:rsidRPr="004D3AE7">
        <w:rPr>
          <w:rFonts w:ascii="Times New Roman" w:hAnsi="Times New Roman" w:cs="Times New Roman"/>
          <w:b/>
          <w:bCs/>
          <w:color w:val="000000" w:themeColor="text1"/>
          <w:sz w:val="28"/>
          <w:szCs w:val="28"/>
        </w:rPr>
        <w:t>5.7 Competitor Benchmarking</w:t>
      </w:r>
      <w:bookmarkEnd w:id="46"/>
      <w:r w:rsidRPr="004D3AE7">
        <w:rPr>
          <w:rFonts w:ascii="Times New Roman" w:hAnsi="Times New Roman" w:cs="Times New Roman"/>
          <w:b/>
          <w:bCs/>
          <w:color w:val="000000" w:themeColor="text1"/>
          <w:sz w:val="28"/>
          <w:szCs w:val="28"/>
        </w:rPr>
        <w:t xml:space="preserve"> </w:t>
      </w:r>
    </w:p>
    <w:p w14:paraId="14D79009" w14:textId="77777777" w:rsidR="00C844D9" w:rsidRDefault="00C844D9" w:rsidP="00C844D9">
      <w:pPr>
        <w:pStyle w:val="NormalWeb"/>
        <w:spacing w:line="360" w:lineRule="auto"/>
        <w:jc w:val="both"/>
      </w:pPr>
      <w:r>
        <w:t xml:space="preserve">Compared to key competitors such as Holiday Inn Newport and Premier Inn, </w:t>
      </w:r>
      <w:proofErr w:type="spellStart"/>
      <w:r>
        <w:t>Coldra</w:t>
      </w:r>
      <w:proofErr w:type="spellEnd"/>
      <w:r>
        <w:t xml:space="preserve"> Court occupies an ambiguous middle ground. Holiday Inn benefits from the centralised safety protocols and advanced digital frameworks provided by IHG, giving it a clear operational advantage. In contrast, </w:t>
      </w:r>
      <w:proofErr w:type="spellStart"/>
      <w:r>
        <w:t>Coldra</w:t>
      </w:r>
      <w:proofErr w:type="spellEnd"/>
      <w:r>
        <w:t xml:space="preserve"> Court faces the challenges of a decentralised structure, which creates variability in how health, safety, and privacy (HSP) measures are implemented and enforced.</w:t>
      </w:r>
    </w:p>
    <w:p w14:paraId="2CBD6164" w14:textId="77777777" w:rsidR="00C844D9" w:rsidRDefault="00C844D9" w:rsidP="00C844D9">
      <w:pPr>
        <w:pStyle w:val="NormalWeb"/>
        <w:spacing w:line="360" w:lineRule="auto"/>
        <w:jc w:val="both"/>
      </w:pPr>
      <w:r>
        <w:t>Premier Inn, while not offering the most luxurious amenities, maintains a consistently high standard of basic hygiene and safety. This consistency appeals to value-conscious guests who prioritise predictability and cleanliness. Coldra Court, meanwhile, boasts superior amenities such as a gym and swimming pool, but it lacks the same level of visible, consistent standards. This gap in visibility can erode trust and may confuse customers who expect either advanced digital services or clear third-party certifications as reassurance.</w:t>
      </w:r>
    </w:p>
    <w:p w14:paraId="784E150A" w14:textId="77777777" w:rsidR="00C844D9" w:rsidRDefault="00C844D9" w:rsidP="00C844D9">
      <w:pPr>
        <w:pStyle w:val="NormalWeb"/>
        <w:spacing w:line="360" w:lineRule="auto"/>
        <w:jc w:val="both"/>
      </w:pPr>
      <w:r>
        <w:t xml:space="preserve">Digital tools at </w:t>
      </w:r>
      <w:proofErr w:type="spellStart"/>
      <w:r>
        <w:t>Coldra</w:t>
      </w:r>
      <w:proofErr w:type="spellEnd"/>
      <w:r>
        <w:t xml:space="preserve"> Court are also notably less developed compared to these competitors. Where Holiday Inn and Premier Inn leverage digital check-in systems, contactless payments, and robust booking platforms, </w:t>
      </w:r>
      <w:proofErr w:type="spellStart"/>
      <w:r>
        <w:t>Coldra</w:t>
      </w:r>
      <w:proofErr w:type="spellEnd"/>
      <w:r>
        <w:t xml:space="preserve"> Court still relies heavily on traditional methods. This discrepancy can undermine guest confidence, especially among tech-savvy travellers who increasingly view such tools as standard.</w:t>
      </w:r>
    </w:p>
    <w:p w14:paraId="668A070F" w14:textId="77777777" w:rsidR="00C844D9" w:rsidRDefault="00C844D9" w:rsidP="00C844D9">
      <w:pPr>
        <w:pStyle w:val="NormalWeb"/>
        <w:spacing w:line="360" w:lineRule="auto"/>
        <w:jc w:val="both"/>
      </w:pPr>
      <w:r>
        <w:t xml:space="preserve">Overall, these observations suggest a disconnect at </w:t>
      </w:r>
      <w:proofErr w:type="spellStart"/>
      <w:r>
        <w:t>Coldra</w:t>
      </w:r>
      <w:proofErr w:type="spellEnd"/>
      <w:r>
        <w:t xml:space="preserve"> Court: the hotel has access to best-in-class systems and brand potential through its affiliation with The Celtic Collection, yet it </w:t>
      </w:r>
      <w:r>
        <w:lastRenderedPageBreak/>
        <w:t xml:space="preserve">appears to lag in translating these resources into operational excellence. This misalignment between brand positioning and execution risks diluting </w:t>
      </w:r>
      <w:proofErr w:type="spellStart"/>
      <w:r>
        <w:t>Coldra</w:t>
      </w:r>
      <w:proofErr w:type="spellEnd"/>
      <w:r>
        <w:t xml:space="preserve"> Court’s competitive advantage in a market where digital competence and visible safety assurances are becoming non-negotiable.</w:t>
      </w:r>
    </w:p>
    <w:p w14:paraId="583DAFFA"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47" w:name="_Toc200551659"/>
      <w:r w:rsidRPr="003165C0">
        <w:rPr>
          <w:rFonts w:ascii="Times New Roman" w:hAnsi="Times New Roman" w:cs="Times New Roman"/>
          <w:b/>
          <w:bCs/>
          <w:color w:val="000000" w:themeColor="text1"/>
          <w:sz w:val="28"/>
          <w:szCs w:val="28"/>
        </w:rPr>
        <w:t>5.8 Guest Satisfaction and Behavioural Implications</w:t>
      </w:r>
      <w:bookmarkEnd w:id="47"/>
      <w:r w:rsidRPr="003165C0">
        <w:rPr>
          <w:rFonts w:ascii="Times New Roman" w:hAnsi="Times New Roman" w:cs="Times New Roman"/>
          <w:b/>
          <w:bCs/>
          <w:color w:val="000000" w:themeColor="text1"/>
          <w:sz w:val="28"/>
          <w:szCs w:val="28"/>
        </w:rPr>
        <w:t xml:space="preserve"> </w:t>
      </w:r>
    </w:p>
    <w:p w14:paraId="5194E861" w14:textId="77777777" w:rsidR="00C844D9" w:rsidRDefault="00C844D9" w:rsidP="00C844D9">
      <w:pPr>
        <w:pStyle w:val="NormalWeb"/>
        <w:spacing w:line="360" w:lineRule="auto"/>
        <w:jc w:val="both"/>
      </w:pPr>
      <w:r>
        <w:t xml:space="preserve">It is quite apparent that the health, safety, and privacy standards at </w:t>
      </w:r>
      <w:proofErr w:type="spellStart"/>
      <w:r>
        <w:t>Coldra</w:t>
      </w:r>
      <w:proofErr w:type="spellEnd"/>
      <w:r>
        <w:t xml:space="preserve"> Court directly impact guest satisfaction. Guests value visible cleanliness and the friendliness of the staff, which are crucial factors in building trust and comfort during their stay. However, shortcomings in areas such as room cleanliness, safety signage, and data privacy have the potential to erode that trust and comfort.</w:t>
      </w:r>
    </w:p>
    <w:p w14:paraId="58A3B3EB" w14:textId="77777777" w:rsidR="00C844D9" w:rsidRDefault="00C844D9" w:rsidP="00C844D9">
      <w:pPr>
        <w:pStyle w:val="NormalWeb"/>
        <w:spacing w:line="360" w:lineRule="auto"/>
        <w:jc w:val="both"/>
      </w:pPr>
      <w:r>
        <w:t>Indirectly, delays in maintenance, outdated furnishings, and a lack of digital conveniences can also affect guests’ perception of the hotel’s professionalism and reliability. Reviews on platforms like TripAdvisor and Booking.com reflect this duality. On one hand, guests express appreciation for the hotel’s service quality, noting that the staff’s warmth contributes positively to their experience. On the other hand, they also question the consistency of hygiene practices and highlight the hotel’s lagging digital infrastructure.</w:t>
      </w:r>
    </w:p>
    <w:p w14:paraId="1B3A20AE" w14:textId="77777777" w:rsidR="00C844D9" w:rsidRDefault="00C844D9" w:rsidP="00C844D9">
      <w:pPr>
        <w:pStyle w:val="NormalWeb"/>
        <w:spacing w:line="360" w:lineRule="auto"/>
        <w:jc w:val="both"/>
      </w:pPr>
      <w:r>
        <w:t>These findings align with Pizam et al.’s (2014) argument that satisfaction in hospitality is multi-dimensional, sensitive to both the physical environment and intangible cues like data security and operational reliability. Furthermore, the absence of visible efforts to uphold privacy and safety standards could limit the hotel’s appeal to younger, tech-savvy travellers and business guests, who place a high premium on control, efficiency, and data security.</w:t>
      </w:r>
    </w:p>
    <w:p w14:paraId="200472AD" w14:textId="77777777" w:rsidR="00C844D9" w:rsidRPr="003165C0" w:rsidRDefault="00C844D9" w:rsidP="00C844D9"/>
    <w:p w14:paraId="65B02AEA"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48" w:name="_Toc200551660"/>
      <w:r w:rsidRPr="003165C0">
        <w:rPr>
          <w:rFonts w:ascii="Times New Roman" w:hAnsi="Times New Roman" w:cs="Times New Roman"/>
          <w:b/>
          <w:bCs/>
          <w:color w:val="000000" w:themeColor="text1"/>
          <w:sz w:val="28"/>
          <w:szCs w:val="28"/>
        </w:rPr>
        <w:t>5.9 Addressing the Research Questions</w:t>
      </w:r>
      <w:bookmarkEnd w:id="48"/>
      <w:r w:rsidRPr="003165C0">
        <w:rPr>
          <w:rFonts w:ascii="Times New Roman" w:hAnsi="Times New Roman" w:cs="Times New Roman"/>
          <w:b/>
          <w:bCs/>
          <w:color w:val="000000" w:themeColor="text1"/>
          <w:sz w:val="28"/>
          <w:szCs w:val="28"/>
        </w:rPr>
        <w:t xml:space="preserve"> </w:t>
      </w:r>
    </w:p>
    <w:p w14:paraId="326B4B92" w14:textId="77777777" w:rsidR="00C844D9" w:rsidRDefault="00C844D9" w:rsidP="00C844D9">
      <w:pPr>
        <w:pStyle w:val="NormalWeb"/>
        <w:spacing w:line="360" w:lineRule="auto"/>
        <w:jc w:val="both"/>
      </w:pPr>
      <w:r>
        <w:t xml:space="preserve">This research aimed to evaluate the health, safety, and privacy (HSP) standards at </w:t>
      </w:r>
      <w:proofErr w:type="spellStart"/>
      <w:r>
        <w:t>Coldra</w:t>
      </w:r>
      <w:proofErr w:type="spellEnd"/>
      <w:r>
        <w:t xml:space="preserve"> Court Hotel and their effect on guest satisfaction. After thorough analysis and discussion, while </w:t>
      </w:r>
      <w:proofErr w:type="spellStart"/>
      <w:r>
        <w:t>Coldra</w:t>
      </w:r>
      <w:proofErr w:type="spellEnd"/>
      <w:r>
        <w:t xml:space="preserve"> Court adheres to basic HSP rules complying with UK health and safety regulations and GDPR frameworks its implementation is inconsistent. Several industry best practices are also notably absent.</w:t>
      </w:r>
    </w:p>
    <w:p w14:paraId="593EDD7B" w14:textId="77777777" w:rsidR="00C844D9" w:rsidRDefault="00C844D9" w:rsidP="00C844D9">
      <w:pPr>
        <w:pStyle w:val="NormalWeb"/>
        <w:spacing w:line="360" w:lineRule="auto"/>
        <w:jc w:val="both"/>
      </w:pPr>
      <w:r>
        <w:lastRenderedPageBreak/>
        <w:t>Moreover, the findings reveal that HSP standards significantly influence guest behaviour. Positive experiences tend to arise from the hotel’s staff service and the cleanliness of public areas, both of which play a key role in shaping perceptions of care and reliability. However, dissatisfaction is often linked to the hotel’s outdated infrastructure, lack of structured safety practices, limited transparency in privacy policies, and absence of modern digital tools.</w:t>
      </w:r>
    </w:p>
    <w:p w14:paraId="5BC38F6C" w14:textId="77777777" w:rsidR="00C844D9" w:rsidRDefault="00C844D9" w:rsidP="00C844D9">
      <w:pPr>
        <w:pStyle w:val="NormalWeb"/>
        <w:spacing w:line="360" w:lineRule="auto"/>
        <w:jc w:val="both"/>
      </w:pPr>
      <w:r>
        <w:t xml:space="preserve">These shortcomings have a tangible impact on guest trust, satisfaction, and the likelihood of repeat bookings. It suggests that </w:t>
      </w:r>
      <w:proofErr w:type="spellStart"/>
      <w:r>
        <w:t>Coldra</w:t>
      </w:r>
      <w:proofErr w:type="spellEnd"/>
      <w:r>
        <w:t xml:space="preserve"> Court must address these operational gaps if it wishes to enhance guest loyalty and remain competitive in an increasingly digital and safety-conscious hospitality sector.</w:t>
      </w:r>
    </w:p>
    <w:p w14:paraId="786216F8"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49" w:name="_Toc200551661"/>
      <w:r w:rsidRPr="003165C0">
        <w:rPr>
          <w:rFonts w:ascii="Times New Roman" w:hAnsi="Times New Roman" w:cs="Times New Roman"/>
          <w:b/>
          <w:bCs/>
          <w:color w:val="000000" w:themeColor="text1"/>
          <w:sz w:val="28"/>
          <w:szCs w:val="28"/>
        </w:rPr>
        <w:t>5.10 Summary</w:t>
      </w:r>
      <w:bookmarkEnd w:id="49"/>
      <w:r w:rsidRPr="003165C0">
        <w:rPr>
          <w:rFonts w:ascii="Times New Roman" w:hAnsi="Times New Roman" w:cs="Times New Roman"/>
          <w:b/>
          <w:bCs/>
          <w:color w:val="000000" w:themeColor="text1"/>
          <w:sz w:val="28"/>
          <w:szCs w:val="28"/>
        </w:rPr>
        <w:t xml:space="preserve"> </w:t>
      </w:r>
    </w:p>
    <w:p w14:paraId="66182825" w14:textId="77777777" w:rsidR="00C844D9" w:rsidRDefault="00C844D9" w:rsidP="00C844D9">
      <w:pPr>
        <w:pStyle w:val="NormalWeb"/>
        <w:spacing w:line="360" w:lineRule="auto"/>
        <w:jc w:val="both"/>
      </w:pPr>
      <w:r>
        <w:t xml:space="preserve">In summary, the discussion highlights that although </w:t>
      </w:r>
      <w:proofErr w:type="spellStart"/>
      <w:r>
        <w:t>Coldra</w:t>
      </w:r>
      <w:proofErr w:type="spellEnd"/>
      <w:r>
        <w:t xml:space="preserve"> Court meets the core regulatory standards, it does not fully align with the evolving expectations of guests in areas such as technology, data protection, and consistent staff training. Furthermore, despite its position within a strong brand group, the hotel does not fully leverage this operationally. Enhancements in digital privacy measures, a stronger safety culture, and improved technological adoption will not only elevate guest satisfaction but also bolster the hotel’s market positioning and ensure stronger regulatory compliance.</w:t>
      </w:r>
    </w:p>
    <w:p w14:paraId="47C8FD9D" w14:textId="77777777" w:rsidR="00C844D9" w:rsidRDefault="00C844D9" w:rsidP="00C844D9"/>
    <w:p w14:paraId="04B658A4" w14:textId="77777777" w:rsidR="00C844D9" w:rsidRDefault="00C844D9" w:rsidP="00C844D9"/>
    <w:p w14:paraId="62732E91" w14:textId="77777777" w:rsidR="00C844D9" w:rsidRDefault="00C844D9" w:rsidP="00C844D9"/>
    <w:p w14:paraId="77CE6A35" w14:textId="77777777" w:rsidR="00C844D9" w:rsidRDefault="00C844D9" w:rsidP="00C844D9"/>
    <w:p w14:paraId="44CD64EC" w14:textId="77777777" w:rsidR="00C844D9" w:rsidRDefault="00C844D9" w:rsidP="00C844D9"/>
    <w:p w14:paraId="16A57A58" w14:textId="77777777" w:rsidR="00C844D9" w:rsidRDefault="00C844D9" w:rsidP="00C844D9"/>
    <w:p w14:paraId="655335D1" w14:textId="77777777" w:rsidR="00C844D9" w:rsidRDefault="00C844D9" w:rsidP="00C844D9"/>
    <w:p w14:paraId="44448770" w14:textId="77777777" w:rsidR="00C844D9" w:rsidRDefault="00C844D9" w:rsidP="00C844D9"/>
    <w:p w14:paraId="140CBED7" w14:textId="77777777" w:rsidR="00C844D9" w:rsidRDefault="00C844D9" w:rsidP="00C844D9"/>
    <w:p w14:paraId="4801E7D7" w14:textId="77777777" w:rsidR="00C844D9" w:rsidRDefault="00C844D9" w:rsidP="00C844D9"/>
    <w:p w14:paraId="0C28039E" w14:textId="77777777" w:rsidR="00C844D9" w:rsidRDefault="00C844D9" w:rsidP="00C844D9"/>
    <w:p w14:paraId="761F7613" w14:textId="77777777" w:rsidR="00C844D9" w:rsidRPr="00997521" w:rsidRDefault="00C844D9" w:rsidP="00C844D9">
      <w:pPr>
        <w:pStyle w:val="Heading1"/>
        <w:spacing w:line="360" w:lineRule="auto"/>
        <w:rPr>
          <w:rFonts w:ascii="Times New Roman" w:hAnsi="Times New Roman" w:cs="Times New Roman"/>
          <w:b/>
          <w:bCs/>
          <w:color w:val="000000" w:themeColor="text1"/>
          <w:sz w:val="32"/>
          <w:szCs w:val="32"/>
        </w:rPr>
      </w:pPr>
      <w:bookmarkStart w:id="50" w:name="_Toc200551662"/>
      <w:r w:rsidRPr="00997521">
        <w:rPr>
          <w:rFonts w:ascii="Times New Roman" w:hAnsi="Times New Roman" w:cs="Times New Roman"/>
          <w:b/>
          <w:bCs/>
          <w:color w:val="000000" w:themeColor="text1"/>
          <w:sz w:val="32"/>
          <w:szCs w:val="32"/>
        </w:rPr>
        <w:lastRenderedPageBreak/>
        <w:t>6. Conclusion and Recommendations</w:t>
      </w:r>
      <w:bookmarkEnd w:id="50"/>
    </w:p>
    <w:p w14:paraId="3001A127" w14:textId="77777777" w:rsidR="00C844D9" w:rsidRDefault="00C844D9" w:rsidP="00C844D9">
      <w:pPr>
        <w:pStyle w:val="Heading2"/>
        <w:spacing w:line="360" w:lineRule="auto"/>
        <w:rPr>
          <w:rFonts w:ascii="Times New Roman" w:hAnsi="Times New Roman" w:cs="Times New Roman"/>
          <w:b/>
          <w:bCs/>
          <w:color w:val="000000" w:themeColor="text1"/>
          <w:sz w:val="28"/>
          <w:szCs w:val="28"/>
        </w:rPr>
      </w:pPr>
      <w:bookmarkStart w:id="51" w:name="_Toc200551663"/>
      <w:r w:rsidRPr="00997521">
        <w:rPr>
          <w:rFonts w:ascii="Times New Roman" w:hAnsi="Times New Roman" w:cs="Times New Roman"/>
          <w:b/>
          <w:bCs/>
          <w:color w:val="000000" w:themeColor="text1"/>
          <w:sz w:val="28"/>
          <w:szCs w:val="28"/>
        </w:rPr>
        <w:t>6.1 Conclusion</w:t>
      </w:r>
      <w:bookmarkEnd w:id="51"/>
    </w:p>
    <w:p w14:paraId="49901E86" w14:textId="77777777" w:rsidR="00C844D9" w:rsidRDefault="00C844D9" w:rsidP="00C844D9">
      <w:pPr>
        <w:pStyle w:val="NormalWeb"/>
        <w:spacing w:line="360" w:lineRule="auto"/>
        <w:jc w:val="both"/>
      </w:pPr>
      <w:r>
        <w:t xml:space="preserve">This research set out to critically evaluate the health, safety, and privacy practices at </w:t>
      </w:r>
      <w:proofErr w:type="spellStart"/>
      <w:r>
        <w:t>Coldra</w:t>
      </w:r>
      <w:proofErr w:type="spellEnd"/>
      <w:r>
        <w:t xml:space="preserve"> Court Hotel, a mid-range property in South-East Wales. The analysis also aimed to assess the implications of these practices on guest satisfaction and operational performance. Findings from placement activities and secondary sources indicate that while </w:t>
      </w:r>
      <w:proofErr w:type="spellStart"/>
      <w:r>
        <w:t>Coldra</w:t>
      </w:r>
      <w:proofErr w:type="spellEnd"/>
      <w:r>
        <w:t xml:space="preserve"> Court complies with basic regulatory standards—such as the Health and Safety at Work Act 1974 and the UK GDPR—there remain significant operational and infrastructural gaps that hinder its ability to meet modern guest expectations.</w:t>
      </w:r>
    </w:p>
    <w:p w14:paraId="38EFCDDA" w14:textId="77777777" w:rsidR="00C844D9" w:rsidRDefault="00C844D9" w:rsidP="00C844D9">
      <w:pPr>
        <w:pStyle w:val="NormalWeb"/>
        <w:spacing w:line="360" w:lineRule="auto"/>
        <w:jc w:val="both"/>
      </w:pPr>
      <w:r>
        <w:t>The hotel boasts certain key strengths, including its strategic location and its affiliation with The Celtic Collection. However, it also exhibits notable weaknesses, such as dated infrastructure, inconsistent hygiene enforcement, unsecured public Wi-Fi, the absence of contactless services, and limited transparency regarding data practices. These shortcomings have a critical impact on both safety and privacy perceptions.</w:t>
      </w:r>
    </w:p>
    <w:p w14:paraId="62B8EF7F" w14:textId="77777777" w:rsidR="00C844D9" w:rsidRDefault="00C844D9" w:rsidP="00C844D9">
      <w:pPr>
        <w:pStyle w:val="NormalWeb"/>
        <w:spacing w:line="360" w:lineRule="auto"/>
        <w:jc w:val="both"/>
      </w:pPr>
      <w:r>
        <w:t xml:space="preserve">The findings strongly suggest that </w:t>
      </w:r>
      <w:proofErr w:type="spellStart"/>
      <w:r>
        <w:t>Coldra</w:t>
      </w:r>
      <w:proofErr w:type="spellEnd"/>
      <w:r>
        <w:t xml:space="preserve"> Court has yet to fully align with best practices such as proactive risk management, digital transformation, and a robust management and safety culture. Furthermore, the analysis found that guests increasingly value visible, trustworthy safety practices and seamless digital interactions—areas where </w:t>
      </w:r>
      <w:proofErr w:type="spellStart"/>
      <w:r>
        <w:t>Coldra</w:t>
      </w:r>
      <w:proofErr w:type="spellEnd"/>
      <w:r>
        <w:t xml:space="preserve"> Court currently lags. Staff training consistency is another area of concern.</w:t>
      </w:r>
    </w:p>
    <w:p w14:paraId="6BC8CA07" w14:textId="77777777" w:rsidR="00C844D9" w:rsidRDefault="00C844D9" w:rsidP="00C844D9">
      <w:pPr>
        <w:pStyle w:val="NormalWeb"/>
        <w:spacing w:line="360" w:lineRule="auto"/>
        <w:jc w:val="both"/>
      </w:pPr>
      <w:r>
        <w:t xml:space="preserve">As a result, there are challenges to the hotel’s brand reputation, guest loyalty, and operational efficiency. It can therefore be concluded that </w:t>
      </w:r>
      <w:proofErr w:type="spellStart"/>
      <w:r>
        <w:t>Coldra</w:t>
      </w:r>
      <w:proofErr w:type="spellEnd"/>
      <w:r>
        <w:t xml:space="preserve"> Court Hotel must move beyond basic compliance and invest in integrated, guest-centric HSP systems. Doing so will not only enhance guest satisfaction but also improve operational reliability, risk mitigation, and long-term competitiveness within the regional and national hospitality market.</w:t>
      </w:r>
    </w:p>
    <w:p w14:paraId="17D77284" w14:textId="77777777" w:rsidR="00C844D9" w:rsidRPr="00997521" w:rsidRDefault="00C844D9" w:rsidP="00C844D9">
      <w:pPr>
        <w:pStyle w:val="Heading2"/>
        <w:spacing w:line="360" w:lineRule="auto"/>
        <w:rPr>
          <w:rFonts w:ascii="Times New Roman" w:hAnsi="Times New Roman" w:cs="Times New Roman"/>
          <w:b/>
          <w:bCs/>
          <w:color w:val="000000" w:themeColor="text1"/>
          <w:sz w:val="28"/>
          <w:szCs w:val="28"/>
        </w:rPr>
      </w:pPr>
      <w:bookmarkStart w:id="52" w:name="_Toc200551664"/>
      <w:r w:rsidRPr="00997521">
        <w:rPr>
          <w:rFonts w:ascii="Times New Roman" w:hAnsi="Times New Roman" w:cs="Times New Roman"/>
          <w:b/>
          <w:bCs/>
          <w:color w:val="000000" w:themeColor="text1"/>
          <w:sz w:val="28"/>
          <w:szCs w:val="28"/>
        </w:rPr>
        <w:t>6.2 Recommendations and Practical Strategies</w:t>
      </w:r>
      <w:bookmarkEnd w:id="52"/>
    </w:p>
    <w:p w14:paraId="3F50FD55" w14:textId="77777777" w:rsidR="00C844D9" w:rsidRDefault="00C844D9" w:rsidP="00C844D9">
      <w:pPr>
        <w:spacing w:line="360" w:lineRule="auto"/>
        <w:jc w:val="both"/>
        <w:rPr>
          <w:rFonts w:ascii="Times New Roman" w:hAnsi="Times New Roman" w:cs="Times New Roman"/>
        </w:rPr>
      </w:pPr>
      <w:r w:rsidRPr="00997521">
        <w:rPr>
          <w:rFonts w:ascii="Times New Roman" w:hAnsi="Times New Roman" w:cs="Times New Roman"/>
        </w:rPr>
        <w:t>After conducting this study and analysing the findings, several recommendations and strategies have emerged that the hotel can adopt to enhance its health, safety, and privacy standards. They are:</w:t>
      </w:r>
    </w:p>
    <w:p w14:paraId="21137561" w14:textId="77777777" w:rsidR="00C844D9" w:rsidRDefault="00C844D9" w:rsidP="00C844D9">
      <w:pPr>
        <w:pStyle w:val="NormalWeb"/>
        <w:spacing w:line="360" w:lineRule="auto"/>
        <w:rPr>
          <w:rStyle w:val="Strong"/>
          <w:rFonts w:eastAsiaTheme="majorEastAsia"/>
        </w:rPr>
      </w:pPr>
      <w:r>
        <w:rPr>
          <w:rStyle w:val="Strong"/>
          <w:rFonts w:eastAsiaTheme="majorEastAsia"/>
        </w:rPr>
        <w:lastRenderedPageBreak/>
        <w:t>Digital Privacy and Cybersecurity</w:t>
      </w:r>
    </w:p>
    <w:p w14:paraId="028AD95E" w14:textId="77777777" w:rsidR="00C844D9" w:rsidRPr="00F927D5" w:rsidRDefault="00C844D9" w:rsidP="00C844D9">
      <w:pPr>
        <w:pStyle w:val="NormalWeb"/>
        <w:numPr>
          <w:ilvl w:val="0"/>
          <w:numId w:val="9"/>
        </w:numPr>
        <w:spacing w:line="360" w:lineRule="auto"/>
        <w:jc w:val="both"/>
      </w:pPr>
      <w:r w:rsidRPr="00F927D5">
        <w:t>It is crucial that open-access networks are highly exposed to guest data interception. Therefore, there must be a secure network with guest and staff segmentation, firewalls, and data encryption as standard.</w:t>
      </w:r>
    </w:p>
    <w:p w14:paraId="23C1976F" w14:textId="77777777" w:rsidR="00C844D9" w:rsidRPr="00F927D5" w:rsidRDefault="00C844D9" w:rsidP="00C844D9">
      <w:pPr>
        <w:pStyle w:val="NormalWeb"/>
        <w:numPr>
          <w:ilvl w:val="0"/>
          <w:numId w:val="9"/>
        </w:numPr>
        <w:spacing w:line="360" w:lineRule="auto"/>
        <w:jc w:val="both"/>
      </w:pPr>
      <w:r w:rsidRPr="00F927D5">
        <w:t>Coldra</w:t>
      </w:r>
      <w:r>
        <w:t xml:space="preserve"> Court</w:t>
      </w:r>
      <w:r w:rsidRPr="00F927D5">
        <w:t xml:space="preserve"> must provide clear, concise data processing information, combining the check-in and online booking activities, in line with Article 13 of the UK GDPR.</w:t>
      </w:r>
    </w:p>
    <w:p w14:paraId="54DB3E37" w14:textId="77777777" w:rsidR="00C844D9" w:rsidRPr="00F927D5" w:rsidRDefault="00C844D9" w:rsidP="00C844D9">
      <w:pPr>
        <w:pStyle w:val="NormalWeb"/>
        <w:numPr>
          <w:ilvl w:val="0"/>
          <w:numId w:val="9"/>
        </w:numPr>
        <w:spacing w:line="360" w:lineRule="auto"/>
        <w:jc w:val="both"/>
      </w:pPr>
      <w:r w:rsidRPr="00F927D5">
        <w:t>There should be a process whereby staff members undergo mandatory password resets to ensure security is strengthened.</w:t>
      </w:r>
    </w:p>
    <w:p w14:paraId="79EE99FF" w14:textId="77777777" w:rsidR="00C844D9" w:rsidRPr="00F927D5" w:rsidRDefault="00C844D9" w:rsidP="00C844D9">
      <w:pPr>
        <w:pStyle w:val="NormalWeb"/>
        <w:numPr>
          <w:ilvl w:val="0"/>
          <w:numId w:val="9"/>
        </w:numPr>
        <w:spacing w:line="360" w:lineRule="auto"/>
        <w:jc w:val="both"/>
      </w:pPr>
      <w:r w:rsidRPr="00F927D5">
        <w:t>Staff training and digital data handling procedures need to be improved. Front desk, housekeeping, and administrative personnel must undergo compulsory training on data protection, breach notification, and retention policies.</w:t>
      </w:r>
    </w:p>
    <w:p w14:paraId="5196B98E" w14:textId="77777777" w:rsidR="00C844D9" w:rsidRDefault="00C844D9" w:rsidP="00C844D9">
      <w:pPr>
        <w:pStyle w:val="NormalWeb"/>
        <w:spacing w:line="360" w:lineRule="auto"/>
        <w:jc w:val="both"/>
        <w:rPr>
          <w:rStyle w:val="Strong"/>
          <w:rFonts w:eastAsiaTheme="majorEastAsia"/>
        </w:rPr>
      </w:pPr>
      <w:r w:rsidRPr="00F927D5">
        <w:rPr>
          <w:rStyle w:val="Strong"/>
          <w:rFonts w:eastAsiaTheme="majorEastAsia"/>
        </w:rPr>
        <w:t>Modernising Health and Safety Protocols</w:t>
      </w:r>
    </w:p>
    <w:p w14:paraId="1E596869" w14:textId="77777777" w:rsidR="00C844D9" w:rsidRDefault="00C844D9" w:rsidP="00C844D9">
      <w:pPr>
        <w:pStyle w:val="NormalWeb"/>
        <w:numPr>
          <w:ilvl w:val="0"/>
          <w:numId w:val="11"/>
        </w:numPr>
        <w:spacing w:line="360" w:lineRule="auto"/>
        <w:jc w:val="both"/>
      </w:pPr>
      <w:r>
        <w:t>There should be certain ergonomic upgrades. The hotel must replace outdated housekeeping trolleys and lifting equipment. The design and layout must be structured in a way that reduces injury risk and staff fatigue.</w:t>
      </w:r>
    </w:p>
    <w:p w14:paraId="6707463B" w14:textId="77777777" w:rsidR="00C844D9" w:rsidRDefault="00C844D9" w:rsidP="00C844D9">
      <w:pPr>
        <w:pStyle w:val="NormalWeb"/>
        <w:numPr>
          <w:ilvl w:val="0"/>
          <w:numId w:val="11"/>
        </w:numPr>
        <w:spacing w:line="360" w:lineRule="auto"/>
        <w:jc w:val="both"/>
      </w:pPr>
      <w:r>
        <w:t>Coldra Court needs to conduct regular and documented spot checks. There must be supervisory consistency by requiring all shift managers to carry out hygiene and safety checks using a digital tracking system.</w:t>
      </w:r>
    </w:p>
    <w:p w14:paraId="1D1E2738" w14:textId="77777777" w:rsidR="00C844D9" w:rsidRDefault="00C844D9" w:rsidP="00C844D9">
      <w:pPr>
        <w:pStyle w:val="NormalWeb"/>
        <w:numPr>
          <w:ilvl w:val="0"/>
          <w:numId w:val="11"/>
        </w:numPr>
        <w:spacing w:line="360" w:lineRule="auto"/>
        <w:jc w:val="both"/>
      </w:pPr>
      <w:r>
        <w:t>It also needs to install high-quality non-slip mats around the pool, kitchen, and laundry areas to ensure slip resistance.</w:t>
      </w:r>
    </w:p>
    <w:p w14:paraId="28D34465" w14:textId="77777777" w:rsidR="00C844D9" w:rsidRDefault="00C844D9" w:rsidP="00C844D9">
      <w:pPr>
        <w:pStyle w:val="NormalWeb"/>
        <w:numPr>
          <w:ilvl w:val="0"/>
          <w:numId w:val="11"/>
        </w:numPr>
        <w:spacing w:line="360" w:lineRule="auto"/>
        <w:jc w:val="both"/>
      </w:pPr>
      <w:r>
        <w:t>Through a proper and balanced system, it should ensure that lighting, signage, and evacuation routes are tested and recorded in line with HSE guidelines.</w:t>
      </w:r>
    </w:p>
    <w:p w14:paraId="4BF3A13F" w14:textId="77777777" w:rsidR="00C844D9" w:rsidRDefault="00C844D9" w:rsidP="00C844D9">
      <w:pPr>
        <w:pStyle w:val="NormalWeb"/>
        <w:numPr>
          <w:ilvl w:val="0"/>
          <w:numId w:val="11"/>
        </w:numPr>
        <w:spacing w:line="360" w:lineRule="auto"/>
        <w:jc w:val="both"/>
      </w:pPr>
      <w:r>
        <w:t>Lastly, there should be a dedicated health and safety officer who will be responsible for overseeing safety protocols, incident reporting, and compliance monitoring.</w:t>
      </w:r>
    </w:p>
    <w:p w14:paraId="5EDA2DF5" w14:textId="77777777" w:rsidR="00C844D9" w:rsidRDefault="00C844D9" w:rsidP="00C844D9">
      <w:pPr>
        <w:spacing w:line="360" w:lineRule="auto"/>
        <w:jc w:val="both"/>
        <w:rPr>
          <w:rFonts w:ascii="Times New Roman" w:hAnsi="Times New Roman" w:cs="Times New Roman"/>
          <w:b/>
          <w:bCs/>
        </w:rPr>
      </w:pPr>
      <w:r w:rsidRPr="00F927D5">
        <w:rPr>
          <w:rFonts w:ascii="Times New Roman" w:hAnsi="Times New Roman" w:cs="Times New Roman"/>
          <w:b/>
          <w:bCs/>
        </w:rPr>
        <w:t xml:space="preserve">Technological Integration </w:t>
      </w:r>
    </w:p>
    <w:p w14:paraId="732204E4" w14:textId="77777777" w:rsidR="00C844D9" w:rsidRDefault="00C844D9" w:rsidP="00C844D9">
      <w:pPr>
        <w:pStyle w:val="NormalWeb"/>
        <w:numPr>
          <w:ilvl w:val="0"/>
          <w:numId w:val="10"/>
        </w:numPr>
        <w:spacing w:line="360" w:lineRule="auto"/>
        <w:jc w:val="both"/>
      </w:pPr>
      <w:r>
        <w:t>There must be an introduction of digital key cards and mobile check-in/out systems. The implementation of app-based check-in systems and contactless key cards will help to reduce queues and improve the overall level of hygiene. It will meet modern guest expectations.</w:t>
      </w:r>
    </w:p>
    <w:p w14:paraId="7B228673" w14:textId="77777777" w:rsidR="00C844D9" w:rsidRDefault="00C844D9" w:rsidP="00C844D9">
      <w:pPr>
        <w:pStyle w:val="NormalWeb"/>
        <w:numPr>
          <w:ilvl w:val="0"/>
          <w:numId w:val="10"/>
        </w:numPr>
        <w:spacing w:line="360" w:lineRule="auto"/>
        <w:jc w:val="both"/>
      </w:pPr>
      <w:r>
        <w:lastRenderedPageBreak/>
        <w:t>AI should be used to handle basic guest queries. It will ensure that human staff can focus more on value-added activities related to guest interactions.</w:t>
      </w:r>
    </w:p>
    <w:p w14:paraId="768CF212" w14:textId="77777777" w:rsidR="00C844D9" w:rsidRDefault="00C844D9" w:rsidP="00C844D9">
      <w:pPr>
        <w:pStyle w:val="NormalWeb"/>
        <w:numPr>
          <w:ilvl w:val="0"/>
          <w:numId w:val="10"/>
        </w:numPr>
        <w:spacing w:line="360" w:lineRule="auto"/>
        <w:jc w:val="both"/>
      </w:pPr>
      <w:r>
        <w:t>Smart room features are crucial in today’s hotels. Therefore, Coldra Court should begin by trialling IoT-enabled room controls to manage air conditioning, lighting, and other features.</w:t>
      </w:r>
    </w:p>
    <w:p w14:paraId="182F85F7" w14:textId="77777777" w:rsidR="00C844D9" w:rsidRDefault="00C844D9" w:rsidP="00C844D9">
      <w:pPr>
        <w:pStyle w:val="NormalWeb"/>
        <w:numPr>
          <w:ilvl w:val="0"/>
          <w:numId w:val="10"/>
        </w:numPr>
        <w:spacing w:line="360" w:lineRule="auto"/>
        <w:jc w:val="both"/>
      </w:pPr>
      <w:r>
        <w:t>Similarly, there should be trial practices of a 360° virtual experience on the website to increase conversions and demonstrate transparency.</w:t>
      </w:r>
    </w:p>
    <w:p w14:paraId="72331E15" w14:textId="77777777" w:rsidR="00C844D9" w:rsidRDefault="00C844D9" w:rsidP="00C844D9">
      <w:pPr>
        <w:spacing w:line="360" w:lineRule="auto"/>
        <w:jc w:val="both"/>
        <w:rPr>
          <w:rFonts w:ascii="Times New Roman" w:hAnsi="Times New Roman" w:cs="Times New Roman"/>
          <w:b/>
          <w:bCs/>
        </w:rPr>
      </w:pPr>
      <w:r w:rsidRPr="00F927D5">
        <w:rPr>
          <w:rFonts w:ascii="Times New Roman" w:hAnsi="Times New Roman" w:cs="Times New Roman"/>
          <w:b/>
          <w:bCs/>
        </w:rPr>
        <w:t xml:space="preserve">Safety Culture and Staff Training </w:t>
      </w:r>
    </w:p>
    <w:p w14:paraId="2E16052A" w14:textId="77777777" w:rsidR="00C844D9" w:rsidRDefault="00C844D9" w:rsidP="00C844D9">
      <w:pPr>
        <w:pStyle w:val="NormalWeb"/>
        <w:numPr>
          <w:ilvl w:val="0"/>
          <w:numId w:val="12"/>
        </w:numPr>
        <w:spacing w:line="360" w:lineRule="auto"/>
        <w:jc w:val="both"/>
      </w:pPr>
      <w:r>
        <w:t>All departments should undergo quarterly updates on protocols, including hygiene practices and privacy awareness measures currently utilised by hotels that are better positioned to meet customer needs.</w:t>
      </w:r>
    </w:p>
    <w:p w14:paraId="1DD0E7B7" w14:textId="77777777" w:rsidR="00C844D9" w:rsidRDefault="00C844D9" w:rsidP="00C844D9">
      <w:pPr>
        <w:pStyle w:val="NormalWeb"/>
        <w:numPr>
          <w:ilvl w:val="0"/>
          <w:numId w:val="12"/>
        </w:numPr>
        <w:spacing w:line="360" w:lineRule="auto"/>
        <w:jc w:val="both"/>
      </w:pPr>
      <w:r>
        <w:t>Coldra Court must create an anonymous online platform that enables employees to report near misses, privacy concerns, or safety risks without fear of reprisal.</w:t>
      </w:r>
    </w:p>
    <w:p w14:paraId="72560795" w14:textId="77777777" w:rsidR="00C844D9" w:rsidRDefault="00C844D9" w:rsidP="00C844D9">
      <w:pPr>
        <w:pStyle w:val="NormalWeb"/>
        <w:numPr>
          <w:ilvl w:val="0"/>
          <w:numId w:val="12"/>
        </w:numPr>
        <w:spacing w:line="360" w:lineRule="auto"/>
        <w:jc w:val="both"/>
      </w:pPr>
      <w:r>
        <w:t xml:space="preserve">A safety ambassador programme could be a valuable option for </w:t>
      </w:r>
      <w:proofErr w:type="spellStart"/>
      <w:r>
        <w:t>Coldra</w:t>
      </w:r>
      <w:proofErr w:type="spellEnd"/>
      <w:r>
        <w:t xml:space="preserve"> Court It should appoint departmental representatives to support improved enforcement and promote engagement with these practices.</w:t>
      </w:r>
    </w:p>
    <w:p w14:paraId="696DD07E" w14:textId="77777777" w:rsidR="00C844D9" w:rsidRDefault="00C844D9" w:rsidP="00C844D9">
      <w:pPr>
        <w:pStyle w:val="NormalWeb"/>
        <w:numPr>
          <w:ilvl w:val="0"/>
          <w:numId w:val="12"/>
        </w:numPr>
        <w:spacing w:line="360" w:lineRule="auto"/>
        <w:jc w:val="both"/>
      </w:pPr>
      <w:r>
        <w:t>Lastly, there should be an evaluation of employees’ effectiveness following training. This will ensure knowledge retention and accountability.</w:t>
      </w:r>
    </w:p>
    <w:p w14:paraId="34E46B3C" w14:textId="77777777" w:rsidR="00C844D9" w:rsidRDefault="00C844D9" w:rsidP="00C844D9">
      <w:pPr>
        <w:spacing w:line="360" w:lineRule="auto"/>
        <w:rPr>
          <w:rFonts w:ascii="Times New Roman" w:hAnsi="Times New Roman" w:cs="Times New Roman"/>
          <w:b/>
          <w:bCs/>
        </w:rPr>
      </w:pPr>
      <w:r w:rsidRPr="007C3AC6">
        <w:rPr>
          <w:rFonts w:ascii="Times New Roman" w:hAnsi="Times New Roman" w:cs="Times New Roman"/>
          <w:b/>
          <w:bCs/>
        </w:rPr>
        <w:t xml:space="preserve">Communication and Transparency </w:t>
      </w:r>
    </w:p>
    <w:p w14:paraId="39F2A122" w14:textId="77777777" w:rsidR="00C844D9" w:rsidRPr="007C3AC6" w:rsidRDefault="00C844D9" w:rsidP="00C844D9">
      <w:pPr>
        <w:pStyle w:val="NormalWeb"/>
        <w:numPr>
          <w:ilvl w:val="0"/>
          <w:numId w:val="12"/>
        </w:numPr>
        <w:spacing w:line="360" w:lineRule="auto"/>
        <w:jc w:val="both"/>
      </w:pPr>
      <w:r w:rsidRPr="007C3AC6">
        <w:t>Transparency enhances guest comfort and supports GDPR compliance. Consequently, the hotel should display clear CCTV signage along with information on data retention.</w:t>
      </w:r>
    </w:p>
    <w:p w14:paraId="2C1C6201" w14:textId="77777777" w:rsidR="00C844D9" w:rsidRPr="007C3AC6" w:rsidRDefault="00C844D9" w:rsidP="00C844D9">
      <w:pPr>
        <w:pStyle w:val="NormalWeb"/>
        <w:numPr>
          <w:ilvl w:val="0"/>
          <w:numId w:val="12"/>
        </w:numPr>
        <w:spacing w:line="360" w:lineRule="auto"/>
        <w:jc w:val="both"/>
      </w:pPr>
      <w:r w:rsidRPr="007C3AC6">
        <w:t>Informed guests are more confident. Therefore, it is essential to use in-room brochures and website banners to highlight safety certifications, cleaning procedures, and privacy commitments.</w:t>
      </w:r>
    </w:p>
    <w:p w14:paraId="57E8933C" w14:textId="77777777" w:rsidR="00C844D9" w:rsidRPr="007C3AC6" w:rsidRDefault="00C844D9" w:rsidP="00C844D9">
      <w:pPr>
        <w:pStyle w:val="NormalWeb"/>
        <w:numPr>
          <w:ilvl w:val="0"/>
          <w:numId w:val="12"/>
        </w:numPr>
        <w:spacing w:line="360" w:lineRule="auto"/>
        <w:jc w:val="both"/>
      </w:pPr>
      <w:r w:rsidRPr="007C3AC6">
        <w:t>Coldra</w:t>
      </w:r>
      <w:r>
        <w:t xml:space="preserve"> Court</w:t>
      </w:r>
      <w:r w:rsidRPr="007C3AC6">
        <w:t xml:space="preserve"> ought to include questions about safety, privacy, and hygiene in post-stay surveys and address suggestions with practical improvements.</w:t>
      </w:r>
    </w:p>
    <w:p w14:paraId="10653A98" w14:textId="77777777" w:rsidR="00C844D9" w:rsidRPr="007C3AC6" w:rsidRDefault="00C844D9" w:rsidP="00C844D9">
      <w:pPr>
        <w:pStyle w:val="NormalWeb"/>
        <w:numPr>
          <w:ilvl w:val="0"/>
          <w:numId w:val="12"/>
        </w:numPr>
        <w:spacing w:line="360" w:lineRule="auto"/>
        <w:jc w:val="both"/>
      </w:pPr>
      <w:r w:rsidRPr="007C3AC6">
        <w:t>Lastly, adopting some third-party certification schemes may help to build public trust and differentiate the hotel from its competitors.</w:t>
      </w:r>
    </w:p>
    <w:p w14:paraId="47DE7115" w14:textId="77777777" w:rsidR="00C844D9" w:rsidRDefault="00C844D9" w:rsidP="00C844D9">
      <w:pPr>
        <w:spacing w:line="360" w:lineRule="auto"/>
        <w:rPr>
          <w:rFonts w:ascii="Times New Roman" w:hAnsi="Times New Roman" w:cs="Times New Roman"/>
          <w:b/>
          <w:bCs/>
        </w:rPr>
      </w:pPr>
    </w:p>
    <w:p w14:paraId="4820CF24" w14:textId="77777777" w:rsidR="00C844D9" w:rsidRDefault="00C844D9" w:rsidP="00C844D9">
      <w:pPr>
        <w:spacing w:line="360" w:lineRule="auto"/>
        <w:rPr>
          <w:rFonts w:ascii="Times New Roman" w:hAnsi="Times New Roman" w:cs="Times New Roman"/>
          <w:b/>
          <w:bCs/>
        </w:rPr>
      </w:pPr>
    </w:p>
    <w:p w14:paraId="16858BE0" w14:textId="3BA51B9B" w:rsidR="00C844D9" w:rsidRPr="003223F0" w:rsidRDefault="00C844D9" w:rsidP="00C844D9">
      <w:pPr>
        <w:spacing w:line="360" w:lineRule="auto"/>
        <w:rPr>
          <w:rFonts w:ascii="Times New Roman" w:hAnsi="Times New Roman" w:cs="Times New Roman"/>
          <w:b/>
          <w:bCs/>
        </w:rPr>
      </w:pPr>
      <w:r w:rsidRPr="003223F0">
        <w:rPr>
          <w:rFonts w:ascii="Times New Roman" w:hAnsi="Times New Roman" w:cs="Times New Roman"/>
          <w:b/>
          <w:bCs/>
        </w:rPr>
        <w:lastRenderedPageBreak/>
        <w:t xml:space="preserve">Strategic Operational Alignment </w:t>
      </w:r>
    </w:p>
    <w:p w14:paraId="1C53BBC3" w14:textId="77777777" w:rsidR="00C844D9" w:rsidRDefault="00C844D9" w:rsidP="00C844D9">
      <w:pPr>
        <w:pStyle w:val="NormalWeb"/>
        <w:numPr>
          <w:ilvl w:val="0"/>
          <w:numId w:val="12"/>
        </w:numPr>
        <w:spacing w:line="360" w:lineRule="auto"/>
        <w:jc w:val="both"/>
      </w:pPr>
      <w:r>
        <w:t xml:space="preserve">There should be regular benchmarking activities incorporating competitor comparisons. The comparison should include compliance points of relevant regulations to determine what competitors are achieving and what </w:t>
      </w:r>
      <w:proofErr w:type="spellStart"/>
      <w:r>
        <w:t>Coldra</w:t>
      </w:r>
      <w:proofErr w:type="spellEnd"/>
      <w:r>
        <w:t xml:space="preserve"> Court is lacking.</w:t>
      </w:r>
    </w:p>
    <w:p w14:paraId="5356E1D5" w14:textId="77777777" w:rsidR="00C844D9" w:rsidRDefault="00C844D9" w:rsidP="00C844D9">
      <w:pPr>
        <w:pStyle w:val="NormalWeb"/>
        <w:numPr>
          <w:ilvl w:val="0"/>
          <w:numId w:val="12"/>
        </w:numPr>
        <w:spacing w:line="360" w:lineRule="auto"/>
        <w:jc w:val="both"/>
      </w:pPr>
      <w:r>
        <w:t>It can advocate within the Celtic Collection for shared digital infrastructure and technology procurement initiatives to reduce overall costs.</w:t>
      </w:r>
    </w:p>
    <w:p w14:paraId="472298D9" w14:textId="77777777" w:rsidR="00C844D9" w:rsidRDefault="00C844D9" w:rsidP="00C844D9">
      <w:pPr>
        <w:pStyle w:val="NormalWeb"/>
        <w:numPr>
          <w:ilvl w:val="0"/>
          <w:numId w:val="12"/>
        </w:numPr>
        <w:spacing w:line="360" w:lineRule="auto"/>
        <w:jc w:val="both"/>
      </w:pPr>
      <w:r>
        <w:t xml:space="preserve">There should be some customisable packages aimed at health-conscious and business travellers, such as wellness-focused rooms and </w:t>
      </w:r>
      <w:proofErr w:type="spellStart"/>
      <w:r>
        <w:t>bleisure</w:t>
      </w:r>
      <w:proofErr w:type="spellEnd"/>
      <w:r>
        <w:t xml:space="preserve"> bundles.</w:t>
      </w:r>
    </w:p>
    <w:p w14:paraId="154E88F6" w14:textId="77777777" w:rsidR="00C844D9" w:rsidRDefault="00C844D9" w:rsidP="00C844D9">
      <w:pPr>
        <w:pStyle w:val="NormalWeb"/>
        <w:numPr>
          <w:ilvl w:val="0"/>
          <w:numId w:val="12"/>
        </w:numPr>
        <w:spacing w:line="360" w:lineRule="auto"/>
        <w:jc w:val="both"/>
      </w:pPr>
      <w:r>
        <w:t>Lastly, there should be a phased HSP improvement roadmap with short to long-term goals, complete with budgets and KPIs.</w:t>
      </w:r>
    </w:p>
    <w:p w14:paraId="00E90DD4" w14:textId="77777777" w:rsidR="00C844D9" w:rsidRPr="003165C0" w:rsidRDefault="00C844D9" w:rsidP="00C844D9"/>
    <w:p w14:paraId="07C423EF" w14:textId="77777777" w:rsidR="00C844D9" w:rsidRDefault="00C844D9" w:rsidP="00C844D9">
      <w:r w:rsidRPr="0058093C">
        <w:br w:type="page"/>
      </w:r>
    </w:p>
    <w:p w14:paraId="0AA337DC" w14:textId="77777777" w:rsidR="00C844D9" w:rsidRPr="003223F0" w:rsidRDefault="00C844D9" w:rsidP="00C844D9">
      <w:pPr>
        <w:pStyle w:val="Heading1"/>
        <w:spacing w:line="360" w:lineRule="auto"/>
        <w:jc w:val="both"/>
        <w:rPr>
          <w:rFonts w:ascii="Times New Roman" w:hAnsi="Times New Roman" w:cs="Times New Roman"/>
          <w:b/>
          <w:bCs/>
          <w:color w:val="000000" w:themeColor="text1"/>
          <w:sz w:val="32"/>
          <w:szCs w:val="32"/>
        </w:rPr>
      </w:pPr>
      <w:bookmarkStart w:id="53" w:name="_Toc200551665"/>
      <w:r w:rsidRPr="003223F0">
        <w:rPr>
          <w:rFonts w:ascii="Times New Roman" w:hAnsi="Times New Roman" w:cs="Times New Roman"/>
          <w:b/>
          <w:bCs/>
          <w:color w:val="000000" w:themeColor="text1"/>
          <w:sz w:val="32"/>
          <w:szCs w:val="32"/>
        </w:rPr>
        <w:lastRenderedPageBreak/>
        <w:t>References</w:t>
      </w:r>
      <w:bookmarkEnd w:id="53"/>
      <w:r w:rsidRPr="003223F0">
        <w:rPr>
          <w:rFonts w:ascii="Times New Roman" w:hAnsi="Times New Roman" w:cs="Times New Roman"/>
          <w:b/>
          <w:bCs/>
          <w:color w:val="000000" w:themeColor="text1"/>
          <w:sz w:val="32"/>
          <w:szCs w:val="32"/>
        </w:rPr>
        <w:t xml:space="preserve"> </w:t>
      </w:r>
    </w:p>
    <w:p w14:paraId="32A29C19" w14:textId="77777777" w:rsidR="00C844D9" w:rsidRPr="003223F0" w:rsidRDefault="00C844D9" w:rsidP="00C844D9">
      <w:pPr>
        <w:spacing w:line="360" w:lineRule="auto"/>
        <w:jc w:val="both"/>
        <w:rPr>
          <w:rFonts w:ascii="Times New Roman" w:hAnsi="Times New Roman" w:cs="Times New Roman"/>
        </w:rPr>
      </w:pPr>
      <w:proofErr w:type="spellStart"/>
      <w:r w:rsidRPr="003223F0">
        <w:rPr>
          <w:rFonts w:ascii="Times New Roman" w:hAnsi="Times New Roman" w:cs="Times New Roman"/>
        </w:rPr>
        <w:t>Abedsoltan</w:t>
      </w:r>
      <w:proofErr w:type="spellEnd"/>
      <w:r w:rsidRPr="003223F0">
        <w:rPr>
          <w:rFonts w:ascii="Times New Roman" w:hAnsi="Times New Roman" w:cs="Times New Roman"/>
        </w:rPr>
        <w:t xml:space="preserve">, H., </w:t>
      </w:r>
      <w:proofErr w:type="spellStart"/>
      <w:r w:rsidRPr="003223F0">
        <w:rPr>
          <w:rFonts w:ascii="Times New Roman" w:hAnsi="Times New Roman" w:cs="Times New Roman"/>
        </w:rPr>
        <w:t>Abedsoltan</w:t>
      </w:r>
      <w:proofErr w:type="spellEnd"/>
      <w:r w:rsidRPr="003223F0">
        <w:rPr>
          <w:rFonts w:ascii="Times New Roman" w:hAnsi="Times New Roman" w:cs="Times New Roman"/>
        </w:rPr>
        <w:t xml:space="preserve">, A., and </w:t>
      </w:r>
      <w:proofErr w:type="spellStart"/>
      <w:r w:rsidRPr="003223F0">
        <w:rPr>
          <w:rFonts w:ascii="Times New Roman" w:hAnsi="Times New Roman" w:cs="Times New Roman"/>
        </w:rPr>
        <w:t>Zoghi</w:t>
      </w:r>
      <w:proofErr w:type="spellEnd"/>
      <w:r w:rsidRPr="003223F0">
        <w:rPr>
          <w:rFonts w:ascii="Times New Roman" w:hAnsi="Times New Roman" w:cs="Times New Roman"/>
        </w:rPr>
        <w:t>, Z. (2024). RETRACTED: Future of process safety: Insights, approaches, and potential developments.</w:t>
      </w:r>
    </w:p>
    <w:p w14:paraId="234B2A83"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Alert Media (2024). </w:t>
      </w:r>
      <w:r w:rsidRPr="003223F0">
        <w:rPr>
          <w:rFonts w:ascii="Times New Roman" w:hAnsi="Times New Roman" w:cs="Times New Roman"/>
          <w:i/>
          <w:iCs/>
          <w:lang w:val="en-US"/>
        </w:rPr>
        <w:t>ISO 31030—Enhancing Travel Safety and Business Resilience</w:t>
      </w:r>
      <w:r w:rsidRPr="003223F0">
        <w:rPr>
          <w:rFonts w:ascii="Times New Roman" w:hAnsi="Times New Roman" w:cs="Times New Roman"/>
          <w:lang w:val="en-US"/>
        </w:rPr>
        <w:t xml:space="preserve">. [online] </w:t>
      </w:r>
      <w:proofErr w:type="spellStart"/>
      <w:r w:rsidRPr="003223F0">
        <w:rPr>
          <w:rFonts w:ascii="Times New Roman" w:hAnsi="Times New Roman" w:cs="Times New Roman"/>
          <w:lang w:val="en-US"/>
        </w:rPr>
        <w:t>AlertMedia</w:t>
      </w:r>
      <w:proofErr w:type="spellEnd"/>
      <w:r w:rsidRPr="003223F0">
        <w:rPr>
          <w:rFonts w:ascii="Times New Roman" w:hAnsi="Times New Roman" w:cs="Times New Roman"/>
          <w:lang w:val="en-US"/>
        </w:rPr>
        <w:t>. Available at: https://www.alertmedia.com/blog/iso-31030-travel-standard/.</w:t>
      </w:r>
    </w:p>
    <w:p w14:paraId="15AAA0FF"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Bag, S., Srivastava, G., Bashir, M.M.A., Kumari, S., Giannakis, M. and Chowdhury, A.H. (2022). Journey of Customers in This Digital era: Understanding the Role of Artificial Intelligence Technologies in User Engagement and Conversion. </w:t>
      </w:r>
      <w:r w:rsidRPr="003223F0">
        <w:rPr>
          <w:rFonts w:ascii="Times New Roman" w:hAnsi="Times New Roman" w:cs="Times New Roman"/>
          <w:i/>
          <w:iCs/>
          <w:lang w:val="en-US"/>
        </w:rPr>
        <w:t xml:space="preserve">Benchmarking: </w:t>
      </w:r>
      <w:proofErr w:type="gramStart"/>
      <w:r w:rsidRPr="003223F0">
        <w:rPr>
          <w:rFonts w:ascii="Times New Roman" w:hAnsi="Times New Roman" w:cs="Times New Roman"/>
          <w:i/>
          <w:iCs/>
          <w:lang w:val="en-US"/>
        </w:rPr>
        <w:t>an</w:t>
      </w:r>
      <w:proofErr w:type="gramEnd"/>
      <w:r w:rsidRPr="003223F0">
        <w:rPr>
          <w:rFonts w:ascii="Times New Roman" w:hAnsi="Times New Roman" w:cs="Times New Roman"/>
          <w:i/>
          <w:iCs/>
          <w:lang w:val="en-US"/>
        </w:rPr>
        <w:t xml:space="preserve"> International Journal</w:t>
      </w:r>
      <w:r w:rsidRPr="003223F0">
        <w:rPr>
          <w:rFonts w:ascii="Times New Roman" w:hAnsi="Times New Roman" w:cs="Times New Roman"/>
          <w:lang w:val="en-US"/>
        </w:rPr>
        <w:t xml:space="preserve">, 29(7), pp.2074–2098. </w:t>
      </w:r>
      <w:proofErr w:type="spellStart"/>
      <w:proofErr w:type="gramStart"/>
      <w:r w:rsidRPr="003223F0">
        <w:rPr>
          <w:rFonts w:ascii="Times New Roman" w:hAnsi="Times New Roman" w:cs="Times New Roman"/>
          <w:lang w:val="en-US"/>
        </w:rPr>
        <w:t>doi:https</w:t>
      </w:r>
      <w:proofErr w:type="spellEnd"/>
      <w:r w:rsidRPr="003223F0">
        <w:rPr>
          <w:rFonts w:ascii="Times New Roman" w:hAnsi="Times New Roman" w:cs="Times New Roman"/>
          <w:lang w:val="en-US"/>
        </w:rPr>
        <w:t>://doi.org/10.1108/BIJ-07-2021-0415</w:t>
      </w:r>
      <w:proofErr w:type="gramEnd"/>
      <w:r w:rsidRPr="003223F0">
        <w:rPr>
          <w:rFonts w:ascii="Times New Roman" w:hAnsi="Times New Roman" w:cs="Times New Roman"/>
          <w:lang w:val="en-US"/>
        </w:rPr>
        <w:t>.</w:t>
      </w:r>
    </w:p>
    <w:p w14:paraId="4DEF17B6"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Braun, V. and Clarke, V. (2006). Using Thematic Analysis in Psychology. </w:t>
      </w:r>
      <w:r w:rsidRPr="003223F0">
        <w:rPr>
          <w:rFonts w:ascii="Times New Roman" w:hAnsi="Times New Roman" w:cs="Times New Roman"/>
          <w:i/>
          <w:iCs/>
          <w:lang w:val="en-US"/>
        </w:rPr>
        <w:t>Qualitative Research in Psychology</w:t>
      </w:r>
      <w:r w:rsidRPr="003223F0">
        <w:rPr>
          <w:rFonts w:ascii="Times New Roman" w:hAnsi="Times New Roman" w:cs="Times New Roman"/>
          <w:lang w:val="en-US"/>
        </w:rPr>
        <w:t xml:space="preserve">, [online] 3(2), pp.77–101. </w:t>
      </w:r>
      <w:proofErr w:type="spellStart"/>
      <w:proofErr w:type="gramStart"/>
      <w:r w:rsidRPr="003223F0">
        <w:rPr>
          <w:rFonts w:ascii="Times New Roman" w:hAnsi="Times New Roman" w:cs="Times New Roman"/>
          <w:lang w:val="en-US"/>
        </w:rPr>
        <w:t>doi:https</w:t>
      </w:r>
      <w:proofErr w:type="spellEnd"/>
      <w:r w:rsidRPr="003223F0">
        <w:rPr>
          <w:rFonts w:ascii="Times New Roman" w:hAnsi="Times New Roman" w:cs="Times New Roman"/>
          <w:lang w:val="en-US"/>
        </w:rPr>
        <w:t>://doi.org/10.1191/1478088706qp063oa</w:t>
      </w:r>
      <w:proofErr w:type="gramEnd"/>
      <w:r w:rsidRPr="003223F0">
        <w:rPr>
          <w:rFonts w:ascii="Times New Roman" w:hAnsi="Times New Roman" w:cs="Times New Roman"/>
          <w:lang w:val="en-US"/>
        </w:rPr>
        <w:t>.</w:t>
      </w:r>
    </w:p>
    <w:p w14:paraId="686D84BB"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British Safety Council (2025). </w:t>
      </w:r>
      <w:r w:rsidRPr="003223F0">
        <w:rPr>
          <w:rFonts w:ascii="Times New Roman" w:hAnsi="Times New Roman" w:cs="Times New Roman"/>
          <w:i/>
          <w:iCs/>
          <w:lang w:val="en-US"/>
        </w:rPr>
        <w:t>The Health and Safety at Work Act Explained</w:t>
      </w:r>
      <w:r w:rsidRPr="003223F0">
        <w:rPr>
          <w:rFonts w:ascii="Times New Roman" w:hAnsi="Times New Roman" w:cs="Times New Roman"/>
          <w:lang w:val="en-US"/>
        </w:rPr>
        <w:t>. [online] British Safety Council. Available at: https://www.britsafe.org/training-and-learning/informational-resources/the-health-and-safety-at-work-act-explained.</w:t>
      </w:r>
    </w:p>
    <w:p w14:paraId="4C89F9C3" w14:textId="77777777" w:rsidR="00C844D9" w:rsidRPr="003223F0" w:rsidRDefault="00C844D9" w:rsidP="00C844D9">
      <w:pPr>
        <w:spacing w:line="360" w:lineRule="auto"/>
        <w:jc w:val="both"/>
        <w:rPr>
          <w:rFonts w:ascii="Times New Roman" w:hAnsi="Times New Roman" w:cs="Times New Roman"/>
          <w:lang w:val="en-US"/>
        </w:rPr>
      </w:pPr>
      <w:proofErr w:type="spellStart"/>
      <w:r w:rsidRPr="003223F0">
        <w:rPr>
          <w:rFonts w:ascii="Times New Roman" w:hAnsi="Times New Roman" w:cs="Times New Roman"/>
          <w:lang w:val="en-US"/>
        </w:rPr>
        <w:t>Buhalis</w:t>
      </w:r>
      <w:proofErr w:type="spellEnd"/>
      <w:r w:rsidRPr="003223F0">
        <w:rPr>
          <w:rFonts w:ascii="Times New Roman" w:hAnsi="Times New Roman" w:cs="Times New Roman"/>
          <w:lang w:val="en-US"/>
        </w:rPr>
        <w:t xml:space="preserve">, D. and Leung, R. (2018) ‘Smart hospitality—Interconnectivity and interoperability towards an ecosystem’, </w:t>
      </w:r>
      <w:r w:rsidRPr="003223F0">
        <w:rPr>
          <w:rFonts w:ascii="Times New Roman" w:hAnsi="Times New Roman" w:cs="Times New Roman"/>
          <w:i/>
          <w:iCs/>
          <w:lang w:val="en-US"/>
        </w:rPr>
        <w:t>International Journal of Hospitality Management</w:t>
      </w:r>
      <w:r w:rsidRPr="003223F0">
        <w:rPr>
          <w:rFonts w:ascii="Times New Roman" w:hAnsi="Times New Roman" w:cs="Times New Roman"/>
          <w:lang w:val="en-US"/>
        </w:rPr>
        <w:t>, 71, pp. 41–50.</w:t>
      </w:r>
    </w:p>
    <w:p w14:paraId="643F8308" w14:textId="77777777" w:rsidR="00C844D9" w:rsidRPr="003223F0" w:rsidRDefault="00C844D9" w:rsidP="00C844D9">
      <w:pPr>
        <w:spacing w:line="360" w:lineRule="auto"/>
        <w:jc w:val="both"/>
        <w:rPr>
          <w:rFonts w:ascii="Times New Roman" w:hAnsi="Times New Roman" w:cs="Times New Roman"/>
        </w:rPr>
      </w:pPr>
      <w:proofErr w:type="spellStart"/>
      <w:r w:rsidRPr="003223F0">
        <w:rPr>
          <w:rFonts w:ascii="Times New Roman" w:hAnsi="Times New Roman" w:cs="Times New Roman"/>
        </w:rPr>
        <w:t>Buhalis</w:t>
      </w:r>
      <w:proofErr w:type="spellEnd"/>
      <w:r w:rsidRPr="003223F0">
        <w:rPr>
          <w:rFonts w:ascii="Times New Roman" w:hAnsi="Times New Roman" w:cs="Times New Roman"/>
        </w:rPr>
        <w:t>, D., Leung, D., and Lin, M. (2023). Metaverse as a disruptive technology revolutionising tourism management and marketing. </w:t>
      </w:r>
      <w:r w:rsidRPr="003223F0">
        <w:rPr>
          <w:rFonts w:ascii="Times New Roman" w:hAnsi="Times New Roman" w:cs="Times New Roman"/>
          <w:i/>
          <w:iCs/>
        </w:rPr>
        <w:t>Tourism management</w:t>
      </w:r>
      <w:r w:rsidRPr="003223F0">
        <w:rPr>
          <w:rFonts w:ascii="Times New Roman" w:hAnsi="Times New Roman" w:cs="Times New Roman"/>
        </w:rPr>
        <w:t>, </w:t>
      </w:r>
      <w:r w:rsidRPr="003223F0">
        <w:rPr>
          <w:rFonts w:ascii="Times New Roman" w:hAnsi="Times New Roman" w:cs="Times New Roman"/>
          <w:i/>
          <w:iCs/>
        </w:rPr>
        <w:t>97</w:t>
      </w:r>
      <w:r w:rsidRPr="003223F0">
        <w:rPr>
          <w:rFonts w:ascii="Times New Roman" w:hAnsi="Times New Roman" w:cs="Times New Roman"/>
        </w:rPr>
        <w:t>, 104724.</w:t>
      </w:r>
    </w:p>
    <w:p w14:paraId="7392B7E6"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Chan, E.S.W. and Hsu, C.H.C. (2016) ‘Environmental management research in hospitality’, </w:t>
      </w:r>
      <w:r w:rsidRPr="003223F0">
        <w:rPr>
          <w:rFonts w:ascii="Times New Roman" w:hAnsi="Times New Roman" w:cs="Times New Roman"/>
          <w:i/>
          <w:iCs/>
          <w:lang w:val="en-US"/>
        </w:rPr>
        <w:t>International Journal of Contemporary Hospitality Management</w:t>
      </w:r>
      <w:r w:rsidRPr="003223F0">
        <w:rPr>
          <w:rFonts w:ascii="Times New Roman" w:hAnsi="Times New Roman" w:cs="Times New Roman"/>
          <w:lang w:val="en-US"/>
        </w:rPr>
        <w:t>, 28(5), pp. 886–923.</w:t>
      </w:r>
    </w:p>
    <w:p w14:paraId="5EA5E545"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CIOT (2025). </w:t>
      </w:r>
      <w:r w:rsidRPr="003223F0">
        <w:rPr>
          <w:rFonts w:ascii="Times New Roman" w:hAnsi="Times New Roman" w:cs="Times New Roman"/>
          <w:i/>
          <w:iCs/>
          <w:lang w:val="en-US"/>
        </w:rPr>
        <w:t>Wales: Visitor levy and business rates on private schools</w:t>
      </w:r>
      <w:r w:rsidRPr="003223F0">
        <w:rPr>
          <w:rFonts w:ascii="Times New Roman" w:hAnsi="Times New Roman" w:cs="Times New Roman"/>
          <w:lang w:val="en-US"/>
        </w:rPr>
        <w:t>. [online] Tax Adviser. Available at: https://www.taxadvisermagazine.com/article/wales-visitor-levy-and-business-rates-private-schools.</w:t>
      </w:r>
    </w:p>
    <w:p w14:paraId="1D596581"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Coldra Court Hotel (2025). </w:t>
      </w:r>
      <w:r w:rsidRPr="003223F0">
        <w:rPr>
          <w:rFonts w:ascii="Times New Roman" w:hAnsi="Times New Roman" w:cs="Times New Roman"/>
          <w:i/>
          <w:iCs/>
          <w:lang w:val="en-US"/>
        </w:rPr>
        <w:t xml:space="preserve">Home - </w:t>
      </w:r>
      <w:proofErr w:type="spellStart"/>
      <w:r w:rsidRPr="003223F0">
        <w:rPr>
          <w:rFonts w:ascii="Times New Roman" w:hAnsi="Times New Roman" w:cs="Times New Roman"/>
          <w:i/>
          <w:iCs/>
          <w:lang w:val="en-US"/>
        </w:rPr>
        <w:t>Coldra</w:t>
      </w:r>
      <w:proofErr w:type="spellEnd"/>
      <w:r w:rsidRPr="003223F0">
        <w:rPr>
          <w:rFonts w:ascii="Times New Roman" w:hAnsi="Times New Roman" w:cs="Times New Roman"/>
          <w:i/>
          <w:iCs/>
          <w:lang w:val="en-US"/>
        </w:rPr>
        <w:t xml:space="preserve"> Court Hotel</w:t>
      </w:r>
      <w:r w:rsidRPr="003223F0">
        <w:rPr>
          <w:rFonts w:ascii="Times New Roman" w:hAnsi="Times New Roman" w:cs="Times New Roman"/>
          <w:lang w:val="en-US"/>
        </w:rPr>
        <w:t xml:space="preserve">. [online] </w:t>
      </w:r>
      <w:proofErr w:type="spellStart"/>
      <w:r w:rsidRPr="003223F0">
        <w:rPr>
          <w:rFonts w:ascii="Times New Roman" w:hAnsi="Times New Roman" w:cs="Times New Roman"/>
          <w:lang w:val="en-US"/>
        </w:rPr>
        <w:t>Coldra</w:t>
      </w:r>
      <w:proofErr w:type="spellEnd"/>
      <w:r w:rsidRPr="003223F0">
        <w:rPr>
          <w:rFonts w:ascii="Times New Roman" w:hAnsi="Times New Roman" w:cs="Times New Roman"/>
          <w:lang w:val="en-US"/>
        </w:rPr>
        <w:t xml:space="preserve"> Court Hotel. Available at: https://www.coldra-court.com/.</w:t>
      </w:r>
    </w:p>
    <w:p w14:paraId="0997CCC0"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Collis, J. and Hussey, R. (2014). </w:t>
      </w:r>
      <w:r w:rsidRPr="003223F0">
        <w:rPr>
          <w:rFonts w:ascii="Times New Roman" w:hAnsi="Times New Roman" w:cs="Times New Roman"/>
          <w:i/>
          <w:iCs/>
          <w:lang w:val="en-US"/>
        </w:rPr>
        <w:t>Business research: a practical guide for undergraduate and postgraduate students</w:t>
      </w:r>
      <w:r w:rsidRPr="003223F0">
        <w:rPr>
          <w:rFonts w:ascii="Times New Roman" w:hAnsi="Times New Roman" w:cs="Times New Roman"/>
          <w:lang w:val="en-US"/>
        </w:rPr>
        <w:t xml:space="preserve">. </w:t>
      </w:r>
      <w:r w:rsidRPr="003223F0">
        <w:rPr>
          <w:rFonts w:ascii="Times New Roman" w:hAnsi="Times New Roman" w:cs="Times New Roman"/>
          <w:i/>
          <w:iCs/>
          <w:lang w:val="en-US"/>
        </w:rPr>
        <w:t>eprints.kingston.ac.uk</w:t>
      </w:r>
      <w:r w:rsidRPr="003223F0">
        <w:rPr>
          <w:rFonts w:ascii="Times New Roman" w:hAnsi="Times New Roman" w:cs="Times New Roman"/>
          <w:lang w:val="en-US"/>
        </w:rPr>
        <w:t>. Basingstoke: Palgrave Macmillan.</w:t>
      </w:r>
    </w:p>
    <w:p w14:paraId="1F968EC9"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Cooper, M.D., Phillips, R.A. and Robertson, I.T. (2019) ‘Safety culture: A model for understanding safety performance’, </w:t>
      </w:r>
      <w:r w:rsidRPr="003223F0">
        <w:rPr>
          <w:rFonts w:ascii="Times New Roman" w:hAnsi="Times New Roman" w:cs="Times New Roman"/>
          <w:i/>
          <w:iCs/>
          <w:lang w:val="en-US"/>
        </w:rPr>
        <w:t>Journal of Safety Research</w:t>
      </w:r>
      <w:r w:rsidRPr="003223F0">
        <w:rPr>
          <w:rFonts w:ascii="Times New Roman" w:hAnsi="Times New Roman" w:cs="Times New Roman"/>
          <w:lang w:val="en-US"/>
        </w:rPr>
        <w:t>, 70, pp. 45–56.</w:t>
      </w:r>
    </w:p>
    <w:p w14:paraId="6DF06EDD"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lastRenderedPageBreak/>
        <w:t xml:space="preserve">Cottrell, S. (2014). </w:t>
      </w:r>
      <w:r w:rsidRPr="003223F0">
        <w:rPr>
          <w:rFonts w:ascii="Times New Roman" w:hAnsi="Times New Roman" w:cs="Times New Roman"/>
          <w:i/>
          <w:iCs/>
          <w:lang w:val="en-US"/>
        </w:rPr>
        <w:t xml:space="preserve">Dissertations and project </w:t>
      </w:r>
      <w:proofErr w:type="gramStart"/>
      <w:r w:rsidRPr="003223F0">
        <w:rPr>
          <w:rFonts w:ascii="Times New Roman" w:hAnsi="Times New Roman" w:cs="Times New Roman"/>
          <w:i/>
          <w:iCs/>
          <w:lang w:val="en-US"/>
        </w:rPr>
        <w:t>reports :</w:t>
      </w:r>
      <w:proofErr w:type="gramEnd"/>
      <w:r w:rsidRPr="003223F0">
        <w:rPr>
          <w:rFonts w:ascii="Times New Roman" w:hAnsi="Times New Roman" w:cs="Times New Roman"/>
          <w:i/>
          <w:iCs/>
          <w:lang w:val="en-US"/>
        </w:rPr>
        <w:t xml:space="preserve"> a </w:t>
      </w:r>
      <w:proofErr w:type="gramStart"/>
      <w:r w:rsidRPr="003223F0">
        <w:rPr>
          <w:rFonts w:ascii="Times New Roman" w:hAnsi="Times New Roman" w:cs="Times New Roman"/>
          <w:i/>
          <w:iCs/>
          <w:lang w:val="en-US"/>
        </w:rPr>
        <w:t>step by step</w:t>
      </w:r>
      <w:proofErr w:type="gramEnd"/>
      <w:r w:rsidRPr="003223F0">
        <w:rPr>
          <w:rFonts w:ascii="Times New Roman" w:hAnsi="Times New Roman" w:cs="Times New Roman"/>
          <w:i/>
          <w:iCs/>
          <w:lang w:val="en-US"/>
        </w:rPr>
        <w:t xml:space="preserve"> guide</w:t>
      </w:r>
      <w:r w:rsidRPr="003223F0">
        <w:rPr>
          <w:rFonts w:ascii="Times New Roman" w:hAnsi="Times New Roman" w:cs="Times New Roman"/>
          <w:lang w:val="en-US"/>
        </w:rPr>
        <w:t>. Basingstoke, Hampshire: Palgrave Macmillan, p.93.</w:t>
      </w:r>
    </w:p>
    <w:p w14:paraId="3BD9F6D1"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Davis, S., Lockwood, A. and Stone, S. (2014) </w:t>
      </w:r>
      <w:proofErr w:type="spellStart"/>
      <w:r w:rsidRPr="003223F0">
        <w:rPr>
          <w:rFonts w:ascii="Times New Roman" w:hAnsi="Times New Roman" w:cs="Times New Roman"/>
          <w:i/>
          <w:iCs/>
          <w:lang w:val="en-US"/>
        </w:rPr>
        <w:t>Organisational</w:t>
      </w:r>
      <w:proofErr w:type="spellEnd"/>
      <w:r w:rsidRPr="003223F0">
        <w:rPr>
          <w:rFonts w:ascii="Times New Roman" w:hAnsi="Times New Roman" w:cs="Times New Roman"/>
          <w:i/>
          <w:iCs/>
          <w:lang w:val="en-US"/>
        </w:rPr>
        <w:t xml:space="preserve"> </w:t>
      </w:r>
      <w:proofErr w:type="spellStart"/>
      <w:r w:rsidRPr="003223F0">
        <w:rPr>
          <w:rFonts w:ascii="Times New Roman" w:hAnsi="Times New Roman" w:cs="Times New Roman"/>
          <w:i/>
          <w:iCs/>
          <w:lang w:val="en-US"/>
        </w:rPr>
        <w:t>Behaviour</w:t>
      </w:r>
      <w:proofErr w:type="spellEnd"/>
      <w:r w:rsidRPr="003223F0">
        <w:rPr>
          <w:rFonts w:ascii="Times New Roman" w:hAnsi="Times New Roman" w:cs="Times New Roman"/>
          <w:i/>
          <w:iCs/>
          <w:lang w:val="en-US"/>
        </w:rPr>
        <w:t xml:space="preserve"> in the Hospitality Industry</w:t>
      </w:r>
      <w:r w:rsidRPr="003223F0">
        <w:rPr>
          <w:rFonts w:ascii="Times New Roman" w:hAnsi="Times New Roman" w:cs="Times New Roman"/>
          <w:lang w:val="en-US"/>
        </w:rPr>
        <w:t xml:space="preserve">. 2nd </w:t>
      </w:r>
      <w:proofErr w:type="spellStart"/>
      <w:proofErr w:type="gramStart"/>
      <w:r w:rsidRPr="003223F0">
        <w:rPr>
          <w:rFonts w:ascii="Times New Roman" w:hAnsi="Times New Roman" w:cs="Times New Roman"/>
          <w:lang w:val="en-US"/>
        </w:rPr>
        <w:t>edn</w:t>
      </w:r>
      <w:proofErr w:type="spellEnd"/>
      <w:proofErr w:type="gramEnd"/>
      <w:r w:rsidRPr="003223F0">
        <w:rPr>
          <w:rFonts w:ascii="Times New Roman" w:hAnsi="Times New Roman" w:cs="Times New Roman"/>
          <w:lang w:val="en-US"/>
        </w:rPr>
        <w:t>. London: Routledge.</w:t>
      </w:r>
    </w:p>
    <w:p w14:paraId="33DE845F"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Devine, B.F., Harari, D., Keep, M., Bolton, P., Barton, C., Harker, R. and Cromarty, H. (2024). Rising cost of living in the UK. </w:t>
      </w:r>
      <w:r w:rsidRPr="003223F0">
        <w:rPr>
          <w:rFonts w:ascii="Times New Roman" w:hAnsi="Times New Roman" w:cs="Times New Roman"/>
          <w:i/>
          <w:iCs/>
          <w:lang w:val="en-US"/>
        </w:rPr>
        <w:t>House of Commons Library</w:t>
      </w:r>
      <w:r w:rsidRPr="003223F0">
        <w:rPr>
          <w:rFonts w:ascii="Times New Roman" w:hAnsi="Times New Roman" w:cs="Times New Roman"/>
          <w:lang w:val="en-US"/>
        </w:rPr>
        <w:t>. [online] Available at: https://commonslibrary.parliament.uk/research-briefings/cbp-9428/.</w:t>
      </w:r>
    </w:p>
    <w:p w14:paraId="7A88FF2F"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Enz, C.A. (2009) ‘Protecting your hotel’s image: The importance of proactive risk management’, </w:t>
      </w:r>
      <w:r w:rsidRPr="003223F0">
        <w:rPr>
          <w:rFonts w:ascii="Times New Roman" w:hAnsi="Times New Roman" w:cs="Times New Roman"/>
          <w:i/>
          <w:iCs/>
          <w:lang w:val="en-US"/>
        </w:rPr>
        <w:t>Cornell Hospitality Quarterly</w:t>
      </w:r>
      <w:r w:rsidRPr="003223F0">
        <w:rPr>
          <w:rFonts w:ascii="Times New Roman" w:hAnsi="Times New Roman" w:cs="Times New Roman"/>
          <w:lang w:val="en-US"/>
        </w:rPr>
        <w:t>, 50(3), pp. 312–320.</w:t>
      </w:r>
    </w:p>
    <w:p w14:paraId="74B2A3A2"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t>Florido-Benítez, L. (2024). The cybersecurity applied by online travel agencies and hotels to protect users’ private data in smart cities. </w:t>
      </w:r>
      <w:r w:rsidRPr="003223F0">
        <w:rPr>
          <w:rFonts w:ascii="Times New Roman" w:hAnsi="Times New Roman" w:cs="Times New Roman"/>
          <w:i/>
          <w:iCs/>
        </w:rPr>
        <w:t>Smart Cities</w:t>
      </w:r>
      <w:r w:rsidRPr="003223F0">
        <w:rPr>
          <w:rFonts w:ascii="Times New Roman" w:hAnsi="Times New Roman" w:cs="Times New Roman"/>
        </w:rPr>
        <w:t>, </w:t>
      </w:r>
      <w:r w:rsidRPr="003223F0">
        <w:rPr>
          <w:rFonts w:ascii="Times New Roman" w:hAnsi="Times New Roman" w:cs="Times New Roman"/>
          <w:i/>
          <w:iCs/>
        </w:rPr>
        <w:t>7</w:t>
      </w:r>
      <w:r w:rsidRPr="003223F0">
        <w:rPr>
          <w:rFonts w:ascii="Times New Roman" w:hAnsi="Times New Roman" w:cs="Times New Roman"/>
        </w:rPr>
        <w:t>(1), 475-495.</w:t>
      </w:r>
    </w:p>
    <w:p w14:paraId="043C7DE8"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GOV.WALES (2024). </w:t>
      </w:r>
      <w:r w:rsidRPr="003223F0">
        <w:rPr>
          <w:rFonts w:ascii="Times New Roman" w:hAnsi="Times New Roman" w:cs="Times New Roman"/>
          <w:i/>
          <w:iCs/>
          <w:lang w:val="en-US"/>
        </w:rPr>
        <w:t>Wales visitor economy profile: 2024 [HTML] | GOV.WALES</w:t>
      </w:r>
      <w:r w:rsidRPr="003223F0">
        <w:rPr>
          <w:rFonts w:ascii="Times New Roman" w:hAnsi="Times New Roman" w:cs="Times New Roman"/>
          <w:lang w:val="en-US"/>
        </w:rPr>
        <w:t>. [online] GOV.WALES. Available at: https://www.gov.wales/wales-visitor-economy-profile-2024-html.</w:t>
      </w:r>
    </w:p>
    <w:p w14:paraId="1FB6F118"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GOV.WALES (2025). </w:t>
      </w:r>
      <w:r w:rsidRPr="003223F0">
        <w:rPr>
          <w:rFonts w:ascii="Times New Roman" w:hAnsi="Times New Roman" w:cs="Times New Roman"/>
          <w:i/>
          <w:iCs/>
          <w:lang w:val="en-US"/>
        </w:rPr>
        <w:t>Tourism Barometer: February wave 2025 [HTML] | GOV.WALES</w:t>
      </w:r>
      <w:r w:rsidRPr="003223F0">
        <w:rPr>
          <w:rFonts w:ascii="Times New Roman" w:hAnsi="Times New Roman" w:cs="Times New Roman"/>
          <w:lang w:val="en-US"/>
        </w:rPr>
        <w:t>. [online] GOV.WALES. Available at: https://www.gov.wales/tourism-barometer-february-wave-2025-html.</w:t>
      </w:r>
    </w:p>
    <w:p w14:paraId="484BE7F5"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Health and Safety Executive (2023). </w:t>
      </w:r>
      <w:r w:rsidRPr="003223F0">
        <w:rPr>
          <w:rFonts w:ascii="Times New Roman" w:hAnsi="Times New Roman" w:cs="Times New Roman"/>
          <w:i/>
          <w:iCs/>
          <w:lang w:val="en-US"/>
        </w:rPr>
        <w:t>HSE: Information about health and safety at work</w:t>
      </w:r>
      <w:r w:rsidRPr="003223F0">
        <w:rPr>
          <w:rFonts w:ascii="Times New Roman" w:hAnsi="Times New Roman" w:cs="Times New Roman"/>
          <w:lang w:val="en-US"/>
        </w:rPr>
        <w:t>. [online] Hse.gov.uk. Available at: https://www.hse.gov.uk/.</w:t>
      </w:r>
    </w:p>
    <w:p w14:paraId="230E6B5C"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Health and Safety Executive (2024). </w:t>
      </w:r>
      <w:r w:rsidRPr="003223F0">
        <w:rPr>
          <w:rFonts w:ascii="Times New Roman" w:hAnsi="Times New Roman" w:cs="Times New Roman"/>
          <w:i/>
          <w:iCs/>
          <w:lang w:val="en-US"/>
        </w:rPr>
        <w:t>Health and Safety at Work Act 1974</w:t>
      </w:r>
      <w:r w:rsidRPr="003223F0">
        <w:rPr>
          <w:rFonts w:ascii="Times New Roman" w:hAnsi="Times New Roman" w:cs="Times New Roman"/>
          <w:lang w:val="en-US"/>
        </w:rPr>
        <w:t>. [online] Hse.gov.uk. Available at: https://www.hse.gov.uk/legislation/hswa.htm.</w:t>
      </w:r>
    </w:p>
    <w:p w14:paraId="7B397B97"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Hitchcock Michalski (2024). Hitchcock Michalski Brand Strategy and Design. </w:t>
      </w:r>
      <w:r w:rsidRPr="003223F0">
        <w:rPr>
          <w:rFonts w:ascii="Times New Roman" w:hAnsi="Times New Roman" w:cs="Times New Roman"/>
          <w:i/>
          <w:iCs/>
          <w:lang w:val="en-US"/>
        </w:rPr>
        <w:t>Hitchcock Michalski Brand Strategy and Design</w:t>
      </w:r>
      <w:r w:rsidRPr="003223F0">
        <w:rPr>
          <w:rFonts w:ascii="Times New Roman" w:hAnsi="Times New Roman" w:cs="Times New Roman"/>
          <w:lang w:val="en-US"/>
        </w:rPr>
        <w:t xml:space="preserve">. [online] </w:t>
      </w:r>
      <w:proofErr w:type="spellStart"/>
      <w:proofErr w:type="gramStart"/>
      <w:r w:rsidRPr="003223F0">
        <w:rPr>
          <w:rFonts w:ascii="Times New Roman" w:hAnsi="Times New Roman" w:cs="Times New Roman"/>
          <w:lang w:val="en-US"/>
        </w:rPr>
        <w:t>doi:https</w:t>
      </w:r>
      <w:proofErr w:type="spellEnd"/>
      <w:r w:rsidRPr="003223F0">
        <w:rPr>
          <w:rFonts w:ascii="Times New Roman" w:hAnsi="Times New Roman" w:cs="Times New Roman"/>
          <w:lang w:val="en-US"/>
        </w:rPr>
        <w:t>://doi.org/1055585/1733123342359/10034MZM</w:t>
      </w:r>
      <w:proofErr w:type="gramEnd"/>
      <w:r w:rsidRPr="003223F0">
        <w:rPr>
          <w:rFonts w:ascii="Times New Roman" w:hAnsi="Times New Roman" w:cs="Times New Roman"/>
          <w:lang w:val="en-US"/>
        </w:rPr>
        <w:t>.</w:t>
      </w:r>
    </w:p>
    <w:p w14:paraId="67474185"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HT (2024). </w:t>
      </w:r>
      <w:r w:rsidRPr="003223F0">
        <w:rPr>
          <w:rFonts w:ascii="Times New Roman" w:hAnsi="Times New Roman" w:cs="Times New Roman"/>
          <w:i/>
          <w:iCs/>
          <w:lang w:val="en-US"/>
        </w:rPr>
        <w:t>What Is Third-Party Data? A Comprehensive Guide</w:t>
      </w:r>
      <w:r w:rsidRPr="003223F0">
        <w:rPr>
          <w:rFonts w:ascii="Times New Roman" w:hAnsi="Times New Roman" w:cs="Times New Roman"/>
          <w:lang w:val="en-US"/>
        </w:rPr>
        <w:t>. [online] HT Media. Available at: https://www.htmedia.in/blog/third-party-data.</w:t>
      </w:r>
    </w:p>
    <w:p w14:paraId="33A97A49"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ISO (2021) </w:t>
      </w:r>
      <w:r w:rsidRPr="003223F0">
        <w:rPr>
          <w:rFonts w:ascii="Times New Roman" w:hAnsi="Times New Roman" w:cs="Times New Roman"/>
          <w:i/>
          <w:iCs/>
          <w:lang w:val="en-US"/>
        </w:rPr>
        <w:t>ISO 31030: Travel Risk Management – Guidance for Organizations</w:t>
      </w:r>
      <w:r w:rsidRPr="003223F0">
        <w:rPr>
          <w:rFonts w:ascii="Times New Roman" w:hAnsi="Times New Roman" w:cs="Times New Roman"/>
          <w:lang w:val="en-US"/>
        </w:rPr>
        <w:t>. Geneva: International Organization for Standardization.</w:t>
      </w:r>
    </w:p>
    <w:p w14:paraId="07C51CBD"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lastRenderedPageBreak/>
        <w:t xml:space="preserve">Ivanov, S. and Webster, C. (2019) ‘Adoption of robots, artificial intelligence and service automation by travel, tourism and hospitality companies – A cost-benefit analysis’, </w:t>
      </w:r>
      <w:r w:rsidRPr="003223F0">
        <w:rPr>
          <w:rFonts w:ascii="Times New Roman" w:hAnsi="Times New Roman" w:cs="Times New Roman"/>
          <w:i/>
          <w:iCs/>
          <w:lang w:val="en-US"/>
        </w:rPr>
        <w:t>International Journal of Contemporary Hospitality Management</w:t>
      </w:r>
      <w:r w:rsidRPr="003223F0">
        <w:rPr>
          <w:rFonts w:ascii="Times New Roman" w:hAnsi="Times New Roman" w:cs="Times New Roman"/>
          <w:lang w:val="en-US"/>
        </w:rPr>
        <w:t>, 31(6), pp. 2557–2575.</w:t>
      </w:r>
    </w:p>
    <w:p w14:paraId="2FEC2673"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Jiang, Y. and Wen, J. (2020) ‘Effects of COVID-19 on hotel marketing and management: A perspective article’, </w:t>
      </w:r>
      <w:r w:rsidRPr="003223F0">
        <w:rPr>
          <w:rFonts w:ascii="Times New Roman" w:hAnsi="Times New Roman" w:cs="Times New Roman"/>
          <w:i/>
          <w:iCs/>
          <w:lang w:val="en-US"/>
        </w:rPr>
        <w:t>International Journal of Contemporary Hospitality Management</w:t>
      </w:r>
      <w:r w:rsidRPr="003223F0">
        <w:rPr>
          <w:rFonts w:ascii="Times New Roman" w:hAnsi="Times New Roman" w:cs="Times New Roman"/>
          <w:lang w:val="en-US"/>
        </w:rPr>
        <w:t>, 32(8), pp. 2563–2573.</w:t>
      </w:r>
    </w:p>
    <w:p w14:paraId="118BCE91"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t xml:space="preserve">Jones, P. and Comfort, D. (2021) ‘The COVID-19 crisis and sustainability in the hospitality industry’, </w:t>
      </w:r>
      <w:r w:rsidRPr="003223F0">
        <w:rPr>
          <w:rFonts w:ascii="Times New Roman" w:hAnsi="Times New Roman" w:cs="Times New Roman"/>
          <w:i/>
          <w:iCs/>
        </w:rPr>
        <w:t>International Journal of Contemporary Hospitality Management</w:t>
      </w:r>
      <w:r w:rsidRPr="003223F0">
        <w:rPr>
          <w:rFonts w:ascii="Times New Roman" w:hAnsi="Times New Roman" w:cs="Times New Roman"/>
        </w:rPr>
        <w:t>, 33(3), pp. 1015–1029.</w:t>
      </w:r>
    </w:p>
    <w:p w14:paraId="3B803A69" w14:textId="77777777" w:rsidR="00C844D9" w:rsidRPr="003223F0" w:rsidRDefault="00C844D9" w:rsidP="00C844D9">
      <w:pPr>
        <w:spacing w:line="360" w:lineRule="auto"/>
        <w:jc w:val="both"/>
        <w:rPr>
          <w:rFonts w:ascii="Times New Roman" w:hAnsi="Times New Roman" w:cs="Times New Roman"/>
          <w:lang w:val="en-US"/>
        </w:rPr>
      </w:pPr>
      <w:proofErr w:type="spellStart"/>
      <w:r w:rsidRPr="003223F0">
        <w:rPr>
          <w:rFonts w:ascii="Times New Roman" w:hAnsi="Times New Roman" w:cs="Times New Roman"/>
          <w:lang w:val="en-US"/>
        </w:rPr>
        <w:t>Kasavana</w:t>
      </w:r>
      <w:proofErr w:type="spellEnd"/>
      <w:r w:rsidRPr="003223F0">
        <w:rPr>
          <w:rFonts w:ascii="Times New Roman" w:hAnsi="Times New Roman" w:cs="Times New Roman"/>
          <w:lang w:val="en-US"/>
        </w:rPr>
        <w:t xml:space="preserve">, M.L. (2017) </w:t>
      </w:r>
      <w:r w:rsidRPr="003223F0">
        <w:rPr>
          <w:rFonts w:ascii="Times New Roman" w:hAnsi="Times New Roman" w:cs="Times New Roman"/>
          <w:i/>
          <w:iCs/>
          <w:lang w:val="en-US"/>
        </w:rPr>
        <w:t>Managing Front Office Operations</w:t>
      </w:r>
      <w:r w:rsidRPr="003223F0">
        <w:rPr>
          <w:rFonts w:ascii="Times New Roman" w:hAnsi="Times New Roman" w:cs="Times New Roman"/>
          <w:lang w:val="en-US"/>
        </w:rPr>
        <w:t xml:space="preserve">. 10th </w:t>
      </w:r>
      <w:proofErr w:type="spellStart"/>
      <w:r w:rsidRPr="003223F0">
        <w:rPr>
          <w:rFonts w:ascii="Times New Roman" w:hAnsi="Times New Roman" w:cs="Times New Roman"/>
          <w:lang w:val="en-US"/>
        </w:rPr>
        <w:t>edn</w:t>
      </w:r>
      <w:proofErr w:type="spellEnd"/>
      <w:r w:rsidRPr="003223F0">
        <w:rPr>
          <w:rFonts w:ascii="Times New Roman" w:hAnsi="Times New Roman" w:cs="Times New Roman"/>
          <w:lang w:val="en-US"/>
        </w:rPr>
        <w:t>. Lansing, MI: AHLEI.</w:t>
      </w:r>
    </w:p>
    <w:p w14:paraId="414DAEA7"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t xml:space="preserve">Kim, S., Kim, P. B., and Lee, G. (2021). Predicting hospitality employees’ safety performance </w:t>
      </w:r>
      <w:proofErr w:type="spellStart"/>
      <w:r w:rsidRPr="003223F0">
        <w:rPr>
          <w:rFonts w:ascii="Times New Roman" w:hAnsi="Times New Roman" w:cs="Times New Roman"/>
        </w:rPr>
        <w:t>behaviors</w:t>
      </w:r>
      <w:proofErr w:type="spellEnd"/>
      <w:r w:rsidRPr="003223F0">
        <w:rPr>
          <w:rFonts w:ascii="Times New Roman" w:hAnsi="Times New Roman" w:cs="Times New Roman"/>
        </w:rPr>
        <w:t xml:space="preserve"> in the COVID-19 pandemic. </w:t>
      </w:r>
      <w:r w:rsidRPr="003223F0">
        <w:rPr>
          <w:rFonts w:ascii="Times New Roman" w:hAnsi="Times New Roman" w:cs="Times New Roman"/>
          <w:i/>
          <w:iCs/>
        </w:rPr>
        <w:t>International Journal of Hospitality Management</w:t>
      </w:r>
      <w:r w:rsidRPr="003223F0">
        <w:rPr>
          <w:rFonts w:ascii="Times New Roman" w:hAnsi="Times New Roman" w:cs="Times New Roman"/>
        </w:rPr>
        <w:t>, </w:t>
      </w:r>
      <w:r w:rsidRPr="003223F0">
        <w:rPr>
          <w:rFonts w:ascii="Times New Roman" w:hAnsi="Times New Roman" w:cs="Times New Roman"/>
          <w:i/>
          <w:iCs/>
        </w:rPr>
        <w:t>93</w:t>
      </w:r>
      <w:r w:rsidRPr="003223F0">
        <w:rPr>
          <w:rFonts w:ascii="Times New Roman" w:hAnsi="Times New Roman" w:cs="Times New Roman"/>
        </w:rPr>
        <w:t>, 102797.</w:t>
      </w:r>
    </w:p>
    <w:p w14:paraId="5C3214B5"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t>Koç, E., and Villi, B. (2021). Transformation of tourism and hospitality customers’ perception of risk and customers’ needs for control. </w:t>
      </w:r>
      <w:r w:rsidRPr="003223F0">
        <w:rPr>
          <w:rFonts w:ascii="Times New Roman" w:hAnsi="Times New Roman" w:cs="Times New Roman"/>
          <w:i/>
          <w:iCs/>
        </w:rPr>
        <w:t>Journal of multidisciplinary academic tourism</w:t>
      </w:r>
      <w:r w:rsidRPr="003223F0">
        <w:rPr>
          <w:rFonts w:ascii="Times New Roman" w:hAnsi="Times New Roman" w:cs="Times New Roman"/>
        </w:rPr>
        <w:t>, </w:t>
      </w:r>
      <w:r w:rsidRPr="003223F0">
        <w:rPr>
          <w:rFonts w:ascii="Times New Roman" w:hAnsi="Times New Roman" w:cs="Times New Roman"/>
          <w:i/>
          <w:iCs/>
        </w:rPr>
        <w:t>6</w:t>
      </w:r>
      <w:r w:rsidRPr="003223F0">
        <w:rPr>
          <w:rFonts w:ascii="Times New Roman" w:hAnsi="Times New Roman" w:cs="Times New Roman"/>
        </w:rPr>
        <w:t>(2), 117-125.</w:t>
      </w:r>
    </w:p>
    <w:p w14:paraId="08514E02"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Komorowski, M. (2021). </w:t>
      </w:r>
      <w:r w:rsidRPr="003223F0">
        <w:rPr>
          <w:rFonts w:ascii="Times New Roman" w:hAnsi="Times New Roman" w:cs="Times New Roman"/>
          <w:i/>
          <w:iCs/>
          <w:lang w:val="en-US"/>
        </w:rPr>
        <w:t>IWA Media Audit 2020</w:t>
      </w:r>
      <w:r w:rsidRPr="003223F0">
        <w:rPr>
          <w:rFonts w:ascii="Times New Roman" w:hAnsi="Times New Roman" w:cs="Times New Roman"/>
          <w:lang w:val="en-US"/>
        </w:rPr>
        <w:t>. [online] Available at: https://www.iwa.wales/wp-content/media/IWA_MediaAudit2020.pdf.</w:t>
      </w:r>
    </w:p>
    <w:p w14:paraId="322A4592"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t>Luo, J. M., Vu, H. Q., Li, G., and Law, R. (2021). Understanding service attributes of robot hotels: A sentiment analysis of customer online reviews. </w:t>
      </w:r>
      <w:r w:rsidRPr="003223F0">
        <w:rPr>
          <w:rFonts w:ascii="Times New Roman" w:hAnsi="Times New Roman" w:cs="Times New Roman"/>
          <w:i/>
          <w:iCs/>
        </w:rPr>
        <w:t>International Journal of Hospitality Management</w:t>
      </w:r>
      <w:r w:rsidRPr="003223F0">
        <w:rPr>
          <w:rFonts w:ascii="Times New Roman" w:hAnsi="Times New Roman" w:cs="Times New Roman"/>
        </w:rPr>
        <w:t>, </w:t>
      </w:r>
      <w:r w:rsidRPr="003223F0">
        <w:rPr>
          <w:rFonts w:ascii="Times New Roman" w:hAnsi="Times New Roman" w:cs="Times New Roman"/>
          <w:i/>
          <w:iCs/>
        </w:rPr>
        <w:t>98</w:t>
      </w:r>
      <w:r w:rsidRPr="003223F0">
        <w:rPr>
          <w:rFonts w:ascii="Times New Roman" w:hAnsi="Times New Roman" w:cs="Times New Roman"/>
        </w:rPr>
        <w:t xml:space="preserve">, 103032. </w:t>
      </w:r>
    </w:p>
    <w:p w14:paraId="1ABBB747"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Luther, D. (2024). </w:t>
      </w:r>
      <w:r w:rsidRPr="003223F0">
        <w:rPr>
          <w:rFonts w:ascii="Times New Roman" w:hAnsi="Times New Roman" w:cs="Times New Roman"/>
          <w:i/>
          <w:iCs/>
          <w:lang w:val="en-US"/>
        </w:rPr>
        <w:t>13 Common Challenges in the Hospitality Industry in 2024</w:t>
      </w:r>
      <w:r w:rsidRPr="003223F0">
        <w:rPr>
          <w:rFonts w:ascii="Times New Roman" w:hAnsi="Times New Roman" w:cs="Times New Roman"/>
          <w:lang w:val="en-US"/>
        </w:rPr>
        <w:t>. [online] Oracle NetSuite. Available at: https://www.netsuite.com/portal/resource/articles/erp/hospitality-industry-challenges.shtml.</w:t>
      </w:r>
    </w:p>
    <w:p w14:paraId="2E72CBFA"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Moody, T. (2019). </w:t>
      </w:r>
      <w:r w:rsidRPr="003223F0">
        <w:rPr>
          <w:rFonts w:ascii="Times New Roman" w:hAnsi="Times New Roman" w:cs="Times New Roman"/>
          <w:i/>
          <w:iCs/>
          <w:lang w:val="en-US"/>
        </w:rPr>
        <w:t>Newport volunteers celebrated at GAVO awards ceremony</w:t>
      </w:r>
      <w:r w:rsidRPr="003223F0">
        <w:rPr>
          <w:rFonts w:ascii="Times New Roman" w:hAnsi="Times New Roman" w:cs="Times New Roman"/>
          <w:lang w:val="en-US"/>
        </w:rPr>
        <w:t>. [online] South Wales Argus. Available at: https://www.southwalesargus.co.uk/news/17935174.newport-volunteers-celebrated-gavo-awards-ceremony/.</w:t>
      </w:r>
    </w:p>
    <w:p w14:paraId="0507FD9B"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t xml:space="preserve">Naji, G. M. A., Isha, A. S. N., </w:t>
      </w:r>
      <w:proofErr w:type="spellStart"/>
      <w:r w:rsidRPr="003223F0">
        <w:rPr>
          <w:rFonts w:ascii="Times New Roman" w:hAnsi="Times New Roman" w:cs="Times New Roman"/>
        </w:rPr>
        <w:t>Alazzani</w:t>
      </w:r>
      <w:proofErr w:type="spellEnd"/>
      <w:r w:rsidRPr="003223F0">
        <w:rPr>
          <w:rFonts w:ascii="Times New Roman" w:hAnsi="Times New Roman" w:cs="Times New Roman"/>
        </w:rPr>
        <w:t xml:space="preserve">, A., Saleem, M. S., and </w:t>
      </w:r>
      <w:proofErr w:type="spellStart"/>
      <w:r w:rsidRPr="003223F0">
        <w:rPr>
          <w:rFonts w:ascii="Times New Roman" w:hAnsi="Times New Roman" w:cs="Times New Roman"/>
        </w:rPr>
        <w:t>Alzoraiki</w:t>
      </w:r>
      <w:proofErr w:type="spellEnd"/>
      <w:r w:rsidRPr="003223F0">
        <w:rPr>
          <w:rFonts w:ascii="Times New Roman" w:hAnsi="Times New Roman" w:cs="Times New Roman"/>
        </w:rPr>
        <w:t xml:space="preserve">, M. (2022). Assessing the mediating role of safety communication between safety culture and </w:t>
      </w:r>
      <w:proofErr w:type="gramStart"/>
      <w:r w:rsidRPr="003223F0">
        <w:rPr>
          <w:rFonts w:ascii="Times New Roman" w:hAnsi="Times New Roman" w:cs="Times New Roman"/>
        </w:rPr>
        <w:t>employees</w:t>
      </w:r>
      <w:proofErr w:type="gramEnd"/>
      <w:r w:rsidRPr="003223F0">
        <w:rPr>
          <w:rFonts w:ascii="Times New Roman" w:hAnsi="Times New Roman" w:cs="Times New Roman"/>
        </w:rPr>
        <w:t xml:space="preserve"> safety performance. </w:t>
      </w:r>
      <w:r w:rsidRPr="003223F0">
        <w:rPr>
          <w:rFonts w:ascii="Times New Roman" w:hAnsi="Times New Roman" w:cs="Times New Roman"/>
          <w:i/>
          <w:iCs/>
        </w:rPr>
        <w:t>Frontiers in Public Health</w:t>
      </w:r>
      <w:r w:rsidRPr="003223F0">
        <w:rPr>
          <w:rFonts w:ascii="Times New Roman" w:hAnsi="Times New Roman" w:cs="Times New Roman"/>
        </w:rPr>
        <w:t>, </w:t>
      </w:r>
      <w:r w:rsidRPr="003223F0">
        <w:rPr>
          <w:rFonts w:ascii="Times New Roman" w:hAnsi="Times New Roman" w:cs="Times New Roman"/>
          <w:i/>
          <w:iCs/>
        </w:rPr>
        <w:t>10</w:t>
      </w:r>
      <w:r w:rsidRPr="003223F0">
        <w:rPr>
          <w:rFonts w:ascii="Times New Roman" w:hAnsi="Times New Roman" w:cs="Times New Roman"/>
        </w:rPr>
        <w:t>, 840281.</w:t>
      </w:r>
    </w:p>
    <w:p w14:paraId="1E98D73C"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lastRenderedPageBreak/>
        <w:t xml:space="preserve">Naumov, N., </w:t>
      </w:r>
      <w:proofErr w:type="spellStart"/>
      <w:r w:rsidRPr="003223F0">
        <w:rPr>
          <w:rFonts w:ascii="Times New Roman" w:hAnsi="Times New Roman" w:cs="Times New Roman"/>
        </w:rPr>
        <w:t>Varadzhakova</w:t>
      </w:r>
      <w:proofErr w:type="spellEnd"/>
      <w:r w:rsidRPr="003223F0">
        <w:rPr>
          <w:rFonts w:ascii="Times New Roman" w:hAnsi="Times New Roman" w:cs="Times New Roman"/>
        </w:rPr>
        <w:t xml:space="preserve">, D., and Naydenov, A. (2021). Sanitation and hygiene as factors for choosing a place to </w:t>
      </w:r>
      <w:proofErr w:type="gramStart"/>
      <w:r w:rsidRPr="003223F0">
        <w:rPr>
          <w:rFonts w:ascii="Times New Roman" w:hAnsi="Times New Roman" w:cs="Times New Roman"/>
        </w:rPr>
        <w:t>stay:</w:t>
      </w:r>
      <w:proofErr w:type="gramEnd"/>
      <w:r w:rsidRPr="003223F0">
        <w:rPr>
          <w:rFonts w:ascii="Times New Roman" w:hAnsi="Times New Roman" w:cs="Times New Roman"/>
        </w:rPr>
        <w:t xml:space="preserve"> perceptions of the Bulgarian tourists. </w:t>
      </w:r>
      <w:r w:rsidRPr="003223F0">
        <w:rPr>
          <w:rFonts w:ascii="Times New Roman" w:hAnsi="Times New Roman" w:cs="Times New Roman"/>
          <w:i/>
          <w:iCs/>
        </w:rPr>
        <w:t>Anatolia</w:t>
      </w:r>
      <w:r w:rsidRPr="003223F0">
        <w:rPr>
          <w:rFonts w:ascii="Times New Roman" w:hAnsi="Times New Roman" w:cs="Times New Roman"/>
        </w:rPr>
        <w:t>, </w:t>
      </w:r>
      <w:r w:rsidRPr="003223F0">
        <w:rPr>
          <w:rFonts w:ascii="Times New Roman" w:hAnsi="Times New Roman" w:cs="Times New Roman"/>
          <w:i/>
          <w:iCs/>
        </w:rPr>
        <w:t>32</w:t>
      </w:r>
      <w:r w:rsidRPr="003223F0">
        <w:rPr>
          <w:rFonts w:ascii="Times New Roman" w:hAnsi="Times New Roman" w:cs="Times New Roman"/>
        </w:rPr>
        <w:t>(1), 144-147.</w:t>
      </w:r>
    </w:p>
    <w:p w14:paraId="6885EDEA"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Nowell, L.S., Norris, J.M., White, D.E. and Moules, N.J. (2017). Thematic analysis: Striving to Meet the Trustworthiness Criteria. </w:t>
      </w:r>
      <w:r w:rsidRPr="003223F0">
        <w:rPr>
          <w:rFonts w:ascii="Times New Roman" w:hAnsi="Times New Roman" w:cs="Times New Roman"/>
          <w:i/>
          <w:iCs/>
          <w:lang w:val="en-US"/>
        </w:rPr>
        <w:t>International Journal of Qualitative Methods</w:t>
      </w:r>
      <w:r w:rsidRPr="003223F0">
        <w:rPr>
          <w:rFonts w:ascii="Times New Roman" w:hAnsi="Times New Roman" w:cs="Times New Roman"/>
          <w:lang w:val="en-US"/>
        </w:rPr>
        <w:t xml:space="preserve">, [online] 16(1), pp.1–13. </w:t>
      </w:r>
      <w:proofErr w:type="spellStart"/>
      <w:proofErr w:type="gramStart"/>
      <w:r w:rsidRPr="003223F0">
        <w:rPr>
          <w:rFonts w:ascii="Times New Roman" w:hAnsi="Times New Roman" w:cs="Times New Roman"/>
          <w:lang w:val="en-US"/>
        </w:rPr>
        <w:t>doi:https</w:t>
      </w:r>
      <w:proofErr w:type="spellEnd"/>
      <w:r w:rsidRPr="003223F0">
        <w:rPr>
          <w:rFonts w:ascii="Times New Roman" w:hAnsi="Times New Roman" w:cs="Times New Roman"/>
          <w:lang w:val="en-US"/>
        </w:rPr>
        <w:t>://doi.org/10.1177/1609406917733847</w:t>
      </w:r>
      <w:proofErr w:type="gramEnd"/>
      <w:r w:rsidRPr="003223F0">
        <w:rPr>
          <w:rFonts w:ascii="Times New Roman" w:hAnsi="Times New Roman" w:cs="Times New Roman"/>
          <w:lang w:val="en-US"/>
        </w:rPr>
        <w:t>.</w:t>
      </w:r>
    </w:p>
    <w:p w14:paraId="75051108"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O’Neill, R. (2024). </w:t>
      </w:r>
      <w:proofErr w:type="gramStart"/>
      <w:r w:rsidRPr="003223F0">
        <w:rPr>
          <w:rFonts w:ascii="Times New Roman" w:hAnsi="Times New Roman" w:cs="Times New Roman"/>
          <w:i/>
          <w:iCs/>
          <w:lang w:val="en-US"/>
        </w:rPr>
        <w:t>Opening</w:t>
      </w:r>
      <w:proofErr w:type="gramEnd"/>
      <w:r w:rsidRPr="003223F0">
        <w:rPr>
          <w:rFonts w:ascii="Times New Roman" w:hAnsi="Times New Roman" w:cs="Times New Roman"/>
          <w:i/>
          <w:iCs/>
          <w:lang w:val="en-US"/>
        </w:rPr>
        <w:t xml:space="preserve"> date announced for </w:t>
      </w:r>
      <w:proofErr w:type="gramStart"/>
      <w:r w:rsidRPr="003223F0">
        <w:rPr>
          <w:rFonts w:ascii="Times New Roman" w:hAnsi="Times New Roman" w:cs="Times New Roman"/>
          <w:i/>
          <w:iCs/>
          <w:lang w:val="en-US"/>
        </w:rPr>
        <w:t>new</w:t>
      </w:r>
      <w:proofErr w:type="gramEnd"/>
      <w:r w:rsidRPr="003223F0">
        <w:rPr>
          <w:rFonts w:ascii="Times New Roman" w:hAnsi="Times New Roman" w:cs="Times New Roman"/>
          <w:i/>
          <w:iCs/>
          <w:lang w:val="en-US"/>
        </w:rPr>
        <w:t xml:space="preserve"> Celtic Manor hotel first announced five years ago</w:t>
      </w:r>
      <w:r w:rsidRPr="003223F0">
        <w:rPr>
          <w:rFonts w:ascii="Times New Roman" w:hAnsi="Times New Roman" w:cs="Times New Roman"/>
          <w:lang w:val="en-US"/>
        </w:rPr>
        <w:t>. [online] Wales Online. Available at: https://www.walesonline.co.uk/whats-on/travel/opening-date-announced-new-celtic-29045390.</w:t>
      </w:r>
    </w:p>
    <w:p w14:paraId="5E6B56BE"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O’Toole, L. (2023). </w:t>
      </w:r>
      <w:r w:rsidRPr="003223F0">
        <w:rPr>
          <w:rFonts w:ascii="Times New Roman" w:hAnsi="Times New Roman" w:cs="Times New Roman"/>
          <w:i/>
          <w:iCs/>
          <w:lang w:val="en-US"/>
        </w:rPr>
        <w:t>Coldra Court Hotel by Celtic Manor given one hygiene rating</w:t>
      </w:r>
      <w:r w:rsidRPr="003223F0">
        <w:rPr>
          <w:rFonts w:ascii="Times New Roman" w:hAnsi="Times New Roman" w:cs="Times New Roman"/>
          <w:lang w:val="en-US"/>
        </w:rPr>
        <w:t>. [online] South Wales Argus. Available at: https://www.southwalesargus.co.uk/news/23854277.coldra-court-hotel-celtic-manor-given-one-hygiene-rating/.</w:t>
      </w:r>
    </w:p>
    <w:p w14:paraId="56EB9429"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Osti, L. and Gwilym, R. ap (2024). </w:t>
      </w:r>
      <w:r w:rsidRPr="003223F0">
        <w:rPr>
          <w:rFonts w:ascii="Times New Roman" w:hAnsi="Times New Roman" w:cs="Times New Roman"/>
          <w:i/>
          <w:iCs/>
          <w:lang w:val="en-US"/>
        </w:rPr>
        <w:t>Wales plans a tourism tax from 2027 – what it means for visitors and communities</w:t>
      </w:r>
      <w:r w:rsidRPr="003223F0">
        <w:rPr>
          <w:rFonts w:ascii="Times New Roman" w:hAnsi="Times New Roman" w:cs="Times New Roman"/>
          <w:lang w:val="en-US"/>
        </w:rPr>
        <w:t>. [online] The Conversation. Available at: https://theconversation.com/wales-plans-a-tourism-tax-from-2027-what-it-means-for-visitors-and-communities-244684.</w:t>
      </w:r>
    </w:p>
    <w:p w14:paraId="269FBA45"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Panjwani, A. (2025). </w:t>
      </w:r>
      <w:r w:rsidRPr="003223F0">
        <w:rPr>
          <w:rFonts w:ascii="Times New Roman" w:hAnsi="Times New Roman" w:cs="Times New Roman"/>
          <w:i/>
          <w:iCs/>
          <w:lang w:val="en-US"/>
        </w:rPr>
        <w:t>Tourism: Statistics and policy</w:t>
      </w:r>
      <w:r w:rsidRPr="003223F0">
        <w:rPr>
          <w:rFonts w:ascii="Times New Roman" w:hAnsi="Times New Roman" w:cs="Times New Roman"/>
          <w:lang w:val="en-US"/>
        </w:rPr>
        <w:t>. [online] Parliament.uk. Available at: https://researchbriefings.files.parliament.uk/documents/SN06022/SN06022.pdf.</w:t>
      </w:r>
    </w:p>
    <w:p w14:paraId="58B9A695" w14:textId="77777777" w:rsidR="00C844D9" w:rsidRPr="003223F0" w:rsidRDefault="00C844D9" w:rsidP="00C844D9">
      <w:pPr>
        <w:spacing w:line="360" w:lineRule="auto"/>
        <w:jc w:val="both"/>
        <w:rPr>
          <w:rFonts w:ascii="Times New Roman" w:hAnsi="Times New Roman" w:cs="Times New Roman"/>
        </w:rPr>
      </w:pPr>
      <w:proofErr w:type="spellStart"/>
      <w:r w:rsidRPr="003223F0">
        <w:rPr>
          <w:rFonts w:ascii="Times New Roman" w:hAnsi="Times New Roman" w:cs="Times New Roman"/>
        </w:rPr>
        <w:t>Pipyros</w:t>
      </w:r>
      <w:proofErr w:type="spellEnd"/>
      <w:r w:rsidRPr="003223F0">
        <w:rPr>
          <w:rFonts w:ascii="Times New Roman" w:hAnsi="Times New Roman" w:cs="Times New Roman"/>
        </w:rPr>
        <w:t xml:space="preserve">, K., and </w:t>
      </w:r>
      <w:proofErr w:type="spellStart"/>
      <w:r w:rsidRPr="003223F0">
        <w:rPr>
          <w:rFonts w:ascii="Times New Roman" w:hAnsi="Times New Roman" w:cs="Times New Roman"/>
        </w:rPr>
        <w:t>Liasidou</w:t>
      </w:r>
      <w:proofErr w:type="spellEnd"/>
      <w:r w:rsidRPr="003223F0">
        <w:rPr>
          <w:rFonts w:ascii="Times New Roman" w:hAnsi="Times New Roman" w:cs="Times New Roman"/>
        </w:rPr>
        <w:t>, S. (2025). A new cybersecurity risk assessment framework for the hospitality industry: techniques and methods for enhanced data protection and threat mitigation. </w:t>
      </w:r>
      <w:r w:rsidRPr="003223F0">
        <w:rPr>
          <w:rFonts w:ascii="Times New Roman" w:hAnsi="Times New Roman" w:cs="Times New Roman"/>
          <w:i/>
          <w:iCs/>
        </w:rPr>
        <w:t>Worldwide Hospitality and Tourism Themes</w:t>
      </w:r>
      <w:r w:rsidRPr="003223F0">
        <w:rPr>
          <w:rFonts w:ascii="Times New Roman" w:hAnsi="Times New Roman" w:cs="Times New Roman"/>
        </w:rPr>
        <w:t>.</w:t>
      </w:r>
    </w:p>
    <w:p w14:paraId="653880D6"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Pizam, A., Shapoval, V. and Ellis, T. (2014) ‘Customer satisfaction and its measurement in hospitality enterprises’, </w:t>
      </w:r>
      <w:r w:rsidRPr="003223F0">
        <w:rPr>
          <w:rFonts w:ascii="Times New Roman" w:hAnsi="Times New Roman" w:cs="Times New Roman"/>
          <w:i/>
          <w:iCs/>
          <w:lang w:val="en-US"/>
        </w:rPr>
        <w:t>International Journal of Hospitality Management</w:t>
      </w:r>
      <w:r w:rsidRPr="003223F0">
        <w:rPr>
          <w:rFonts w:ascii="Times New Roman" w:hAnsi="Times New Roman" w:cs="Times New Roman"/>
          <w:lang w:val="en-US"/>
        </w:rPr>
        <w:t>, 43, pp. 64–75.</w:t>
      </w:r>
    </w:p>
    <w:p w14:paraId="43B3825C"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PwC (2024). </w:t>
      </w:r>
      <w:r w:rsidRPr="003223F0">
        <w:rPr>
          <w:rFonts w:ascii="Times New Roman" w:hAnsi="Times New Roman" w:cs="Times New Roman"/>
          <w:i/>
          <w:iCs/>
          <w:lang w:val="en-US"/>
        </w:rPr>
        <w:t>UK Hotels Forecast 2024-2025 - PwC UK</w:t>
      </w:r>
      <w:r w:rsidRPr="003223F0">
        <w:rPr>
          <w:rFonts w:ascii="Times New Roman" w:hAnsi="Times New Roman" w:cs="Times New Roman"/>
          <w:lang w:val="en-US"/>
        </w:rPr>
        <w:t>. [online] PwC. Available at: https://www.pwc.co.uk/industries/hospitality-leisure/insights/uk-hotels-forecast.html.</w:t>
      </w:r>
    </w:p>
    <w:p w14:paraId="589CDD7C"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Saunders, M., Lewis, P. and Thornhill, A. (2012). </w:t>
      </w:r>
      <w:r w:rsidRPr="003223F0">
        <w:rPr>
          <w:rFonts w:ascii="Times New Roman" w:hAnsi="Times New Roman" w:cs="Times New Roman"/>
          <w:i/>
          <w:iCs/>
          <w:lang w:val="en-US"/>
        </w:rPr>
        <w:t>Saunders, M., Lewis, P. and Thornhill, A. (2012) Research Methods for Business Students. Pearson Education Ltd., Harlow. - References - Scientific Research Publishing</w:t>
      </w:r>
      <w:r w:rsidRPr="003223F0">
        <w:rPr>
          <w:rFonts w:ascii="Times New Roman" w:hAnsi="Times New Roman" w:cs="Times New Roman"/>
          <w:lang w:val="en-US"/>
        </w:rPr>
        <w:t>.</w:t>
      </w:r>
    </w:p>
    <w:p w14:paraId="14E9C4A0" w14:textId="77777777" w:rsidR="00C844D9" w:rsidRPr="003223F0" w:rsidRDefault="00C844D9" w:rsidP="00C844D9">
      <w:pPr>
        <w:spacing w:line="360" w:lineRule="auto"/>
        <w:jc w:val="both"/>
        <w:rPr>
          <w:rFonts w:ascii="Times New Roman" w:hAnsi="Times New Roman" w:cs="Times New Roman"/>
        </w:rPr>
      </w:pPr>
      <w:r w:rsidRPr="003223F0">
        <w:rPr>
          <w:rFonts w:ascii="Times New Roman" w:hAnsi="Times New Roman" w:cs="Times New Roman"/>
        </w:rPr>
        <w:t xml:space="preserve">Sigala, M. (2018) ‘Implementing social customer relationship management in the hospitality industry: Insights from a case study’, </w:t>
      </w:r>
      <w:r w:rsidRPr="003223F0">
        <w:rPr>
          <w:rFonts w:ascii="Times New Roman" w:hAnsi="Times New Roman" w:cs="Times New Roman"/>
          <w:i/>
          <w:iCs/>
        </w:rPr>
        <w:t>International Journal of Hospitality Management</w:t>
      </w:r>
      <w:r w:rsidRPr="003223F0">
        <w:rPr>
          <w:rFonts w:ascii="Times New Roman" w:hAnsi="Times New Roman" w:cs="Times New Roman"/>
        </w:rPr>
        <w:t>, 75, pp. 89–101.</w:t>
      </w:r>
    </w:p>
    <w:p w14:paraId="6728FB26"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lastRenderedPageBreak/>
        <w:t xml:space="preserve">Sigala, M. (2018) ‘Implementing social customer relationship management in the hospitality industry: Insights from a case study’, </w:t>
      </w:r>
      <w:r w:rsidRPr="003223F0">
        <w:rPr>
          <w:rFonts w:ascii="Times New Roman" w:hAnsi="Times New Roman" w:cs="Times New Roman"/>
          <w:i/>
          <w:iCs/>
          <w:lang w:val="en-US"/>
        </w:rPr>
        <w:t>International Journal of Hospitality Management</w:t>
      </w:r>
      <w:r w:rsidRPr="003223F0">
        <w:rPr>
          <w:rFonts w:ascii="Times New Roman" w:hAnsi="Times New Roman" w:cs="Times New Roman"/>
          <w:lang w:val="en-US"/>
        </w:rPr>
        <w:t>, 75, pp. 89–101.</w:t>
      </w:r>
    </w:p>
    <w:p w14:paraId="2A37D685"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Statista (2024). </w:t>
      </w:r>
      <w:r w:rsidRPr="003223F0">
        <w:rPr>
          <w:rFonts w:ascii="Times New Roman" w:hAnsi="Times New Roman" w:cs="Times New Roman"/>
          <w:i/>
          <w:iCs/>
          <w:lang w:val="en-US"/>
        </w:rPr>
        <w:t>Travel and Tourism - United Kingdom | Statista Market Forecast</w:t>
      </w:r>
      <w:r w:rsidRPr="003223F0">
        <w:rPr>
          <w:rFonts w:ascii="Times New Roman" w:hAnsi="Times New Roman" w:cs="Times New Roman"/>
          <w:lang w:val="en-US"/>
        </w:rPr>
        <w:t>. [online] Statista. Available at: https://www.statista.com/outlook/mmo/travel-tourism/united-kingdom.</w:t>
      </w:r>
    </w:p>
    <w:p w14:paraId="3B2D6D81"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Thomas, G. (2024). Challenges and Trends of Digital Innovation in the Tourism Sector: Contemporary Literature Review. </w:t>
      </w:r>
      <w:r w:rsidRPr="003223F0">
        <w:rPr>
          <w:rFonts w:ascii="Times New Roman" w:hAnsi="Times New Roman" w:cs="Times New Roman"/>
          <w:i/>
          <w:iCs/>
          <w:lang w:val="en-US"/>
        </w:rPr>
        <w:t>Open Journal of Business and Management</w:t>
      </w:r>
      <w:r w:rsidRPr="003223F0">
        <w:rPr>
          <w:rFonts w:ascii="Times New Roman" w:hAnsi="Times New Roman" w:cs="Times New Roman"/>
          <w:lang w:val="en-US"/>
        </w:rPr>
        <w:t xml:space="preserve">, [online] 12(01), pp.179–190. </w:t>
      </w:r>
      <w:proofErr w:type="spellStart"/>
      <w:proofErr w:type="gramStart"/>
      <w:r w:rsidRPr="003223F0">
        <w:rPr>
          <w:rFonts w:ascii="Times New Roman" w:hAnsi="Times New Roman" w:cs="Times New Roman"/>
          <w:lang w:val="en-US"/>
        </w:rPr>
        <w:t>doi:https</w:t>
      </w:r>
      <w:proofErr w:type="spellEnd"/>
      <w:r w:rsidRPr="003223F0">
        <w:rPr>
          <w:rFonts w:ascii="Times New Roman" w:hAnsi="Times New Roman" w:cs="Times New Roman"/>
          <w:lang w:val="en-US"/>
        </w:rPr>
        <w:t>://doi.org/10.4236/ojbm.2024.121013</w:t>
      </w:r>
      <w:proofErr w:type="gramEnd"/>
      <w:r w:rsidRPr="003223F0">
        <w:rPr>
          <w:rFonts w:ascii="Times New Roman" w:hAnsi="Times New Roman" w:cs="Times New Roman"/>
          <w:lang w:val="en-US"/>
        </w:rPr>
        <w:t>.</w:t>
      </w:r>
    </w:p>
    <w:p w14:paraId="58CEC8C0"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Tripadvisor Review (2024). </w:t>
      </w:r>
      <w:r w:rsidRPr="003223F0">
        <w:rPr>
          <w:rFonts w:ascii="Times New Roman" w:hAnsi="Times New Roman" w:cs="Times New Roman"/>
          <w:i/>
          <w:iCs/>
          <w:lang w:val="en-US"/>
        </w:rPr>
        <w:t xml:space="preserve">Avoid </w:t>
      </w:r>
      <w:proofErr w:type="spellStart"/>
      <w:r w:rsidRPr="003223F0">
        <w:rPr>
          <w:rFonts w:ascii="Times New Roman" w:hAnsi="Times New Roman" w:cs="Times New Roman"/>
          <w:i/>
          <w:iCs/>
          <w:lang w:val="en-US"/>
        </w:rPr>
        <w:t>avoid</w:t>
      </w:r>
      <w:proofErr w:type="spellEnd"/>
      <w:r w:rsidRPr="003223F0">
        <w:rPr>
          <w:rFonts w:ascii="Times New Roman" w:hAnsi="Times New Roman" w:cs="Times New Roman"/>
          <w:i/>
          <w:iCs/>
          <w:lang w:val="en-US"/>
        </w:rPr>
        <w:t xml:space="preserve"> avoid!!!</w:t>
      </w:r>
      <w:r w:rsidRPr="003223F0">
        <w:rPr>
          <w:rFonts w:ascii="Times New Roman" w:hAnsi="Times New Roman" w:cs="Times New Roman"/>
          <w:lang w:val="en-US"/>
        </w:rPr>
        <w:t xml:space="preserve"> [online] Tripadvisor.com. Available at: https://www.tripadvisor.com/ShowUserReviews-g2439490-d195360-r960016866-Coldra_Court_Hotel-Langstone_Newport_South_Wales_Wales.html.</w:t>
      </w:r>
    </w:p>
    <w:p w14:paraId="0FF85441" w14:textId="77777777" w:rsidR="00C844D9" w:rsidRPr="003223F0" w:rsidRDefault="00C844D9" w:rsidP="00C844D9">
      <w:pPr>
        <w:spacing w:line="360" w:lineRule="auto"/>
        <w:jc w:val="both"/>
        <w:rPr>
          <w:rFonts w:ascii="Times New Roman" w:hAnsi="Times New Roman" w:cs="Times New Roman"/>
        </w:rPr>
      </w:pPr>
      <w:proofErr w:type="spellStart"/>
      <w:r w:rsidRPr="003223F0">
        <w:rPr>
          <w:rFonts w:ascii="Times New Roman" w:hAnsi="Times New Roman" w:cs="Times New Roman"/>
        </w:rPr>
        <w:t>Tussyadiah</w:t>
      </w:r>
      <w:proofErr w:type="spellEnd"/>
      <w:r w:rsidRPr="003223F0">
        <w:rPr>
          <w:rFonts w:ascii="Times New Roman" w:hAnsi="Times New Roman" w:cs="Times New Roman"/>
        </w:rPr>
        <w:t xml:space="preserve">, I.P. and Miller, G. (2019) ‘Privacy protection in tourism and hospitality: A trajectory of privacy research and future research agenda’, </w:t>
      </w:r>
      <w:r w:rsidRPr="003223F0">
        <w:rPr>
          <w:rFonts w:ascii="Times New Roman" w:hAnsi="Times New Roman" w:cs="Times New Roman"/>
          <w:i/>
          <w:iCs/>
        </w:rPr>
        <w:t>Tourism Management Perspectives</w:t>
      </w:r>
      <w:r w:rsidRPr="003223F0">
        <w:rPr>
          <w:rFonts w:ascii="Times New Roman" w:hAnsi="Times New Roman" w:cs="Times New Roman"/>
        </w:rPr>
        <w:t>, 31, pp. 219–228.</w:t>
      </w:r>
    </w:p>
    <w:p w14:paraId="44C507AC" w14:textId="77777777" w:rsidR="00C844D9" w:rsidRPr="003223F0" w:rsidRDefault="00C844D9" w:rsidP="00C844D9">
      <w:pPr>
        <w:spacing w:line="360" w:lineRule="auto"/>
        <w:jc w:val="both"/>
        <w:rPr>
          <w:rFonts w:ascii="Times New Roman" w:hAnsi="Times New Roman" w:cs="Times New Roman"/>
          <w:lang w:val="en-US"/>
        </w:rPr>
      </w:pPr>
      <w:proofErr w:type="spellStart"/>
      <w:r w:rsidRPr="003223F0">
        <w:rPr>
          <w:rFonts w:ascii="Times New Roman" w:hAnsi="Times New Roman" w:cs="Times New Roman"/>
          <w:lang w:val="en-US"/>
        </w:rPr>
        <w:t>Tussyadiah</w:t>
      </w:r>
      <w:proofErr w:type="spellEnd"/>
      <w:r w:rsidRPr="003223F0">
        <w:rPr>
          <w:rFonts w:ascii="Times New Roman" w:hAnsi="Times New Roman" w:cs="Times New Roman"/>
          <w:lang w:val="en-US"/>
        </w:rPr>
        <w:t xml:space="preserve">, I.P. and Miller, G. (2019) ‘Privacy protection in tourism and hospitality: A trajectory of privacy research and future research agenda’, </w:t>
      </w:r>
      <w:r w:rsidRPr="003223F0">
        <w:rPr>
          <w:rFonts w:ascii="Times New Roman" w:hAnsi="Times New Roman" w:cs="Times New Roman"/>
          <w:i/>
          <w:iCs/>
          <w:lang w:val="en-US"/>
        </w:rPr>
        <w:t>Tourism Management Perspectives</w:t>
      </w:r>
      <w:r w:rsidRPr="003223F0">
        <w:rPr>
          <w:rFonts w:ascii="Times New Roman" w:hAnsi="Times New Roman" w:cs="Times New Roman"/>
          <w:lang w:val="en-US"/>
        </w:rPr>
        <w:t>, 31, pp. 219–228.</w:t>
      </w:r>
    </w:p>
    <w:p w14:paraId="55C424F4"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Veal, A.J. (2018). </w:t>
      </w:r>
      <w:r w:rsidRPr="003223F0">
        <w:rPr>
          <w:rFonts w:ascii="Times New Roman" w:hAnsi="Times New Roman" w:cs="Times New Roman"/>
          <w:i/>
          <w:iCs/>
          <w:lang w:val="en-US"/>
        </w:rPr>
        <w:t>Research Methods for Leisure and Tourism</w:t>
      </w:r>
      <w:r w:rsidRPr="003223F0">
        <w:rPr>
          <w:rFonts w:ascii="Times New Roman" w:hAnsi="Times New Roman" w:cs="Times New Roman"/>
          <w:lang w:val="en-US"/>
        </w:rPr>
        <w:t>. Pearson UK.</w:t>
      </w:r>
    </w:p>
    <w:p w14:paraId="60CA8BD1"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Visit Britain (2025). </w:t>
      </w:r>
      <w:r w:rsidRPr="003223F0">
        <w:rPr>
          <w:rFonts w:ascii="Times New Roman" w:hAnsi="Times New Roman" w:cs="Times New Roman"/>
          <w:i/>
          <w:iCs/>
          <w:lang w:val="en-US"/>
        </w:rPr>
        <w:t>The Social Value of Tourism</w:t>
      </w:r>
      <w:r w:rsidRPr="003223F0">
        <w:rPr>
          <w:rFonts w:ascii="Times New Roman" w:hAnsi="Times New Roman" w:cs="Times New Roman"/>
          <w:lang w:val="en-US"/>
        </w:rPr>
        <w:t>. [online] VisitBritain.org. Available at: https://www.visitbritain.org/research-insights/social-value-tourism.</w:t>
      </w:r>
    </w:p>
    <w:p w14:paraId="5562AF56"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Wadhwani, P. and Ambekar, A. (2024). </w:t>
      </w:r>
      <w:r w:rsidRPr="003223F0">
        <w:rPr>
          <w:rFonts w:ascii="Times New Roman" w:hAnsi="Times New Roman" w:cs="Times New Roman"/>
          <w:i/>
          <w:iCs/>
          <w:lang w:val="en-US"/>
        </w:rPr>
        <w:t xml:space="preserve">Virtual Tourism Market Size </w:t>
      </w:r>
      <w:proofErr w:type="gramStart"/>
      <w:r w:rsidRPr="003223F0">
        <w:rPr>
          <w:rFonts w:ascii="Times New Roman" w:hAnsi="Times New Roman" w:cs="Times New Roman"/>
          <w:i/>
          <w:iCs/>
          <w:lang w:val="en-US"/>
        </w:rPr>
        <w:t>- By</w:t>
      </w:r>
      <w:proofErr w:type="gramEnd"/>
      <w:r w:rsidRPr="003223F0">
        <w:rPr>
          <w:rFonts w:ascii="Times New Roman" w:hAnsi="Times New Roman" w:cs="Times New Roman"/>
          <w:i/>
          <w:iCs/>
          <w:lang w:val="en-US"/>
        </w:rPr>
        <w:t xml:space="preserve"> Virtual Experience, By Application, By End-User, Analysis, Share, Growth Forecast, 2024 - 2032</w:t>
      </w:r>
      <w:r w:rsidRPr="003223F0">
        <w:rPr>
          <w:rFonts w:ascii="Times New Roman" w:hAnsi="Times New Roman" w:cs="Times New Roman"/>
          <w:lang w:val="en-US"/>
        </w:rPr>
        <w:t>. [online] Global Market Insights Inc. Available at: https://www.gminsights.com/industry-analysis/virtual-tourism-market.</w:t>
      </w:r>
    </w:p>
    <w:p w14:paraId="45ED4AFC" w14:textId="77777777" w:rsidR="00C844D9" w:rsidRPr="003223F0" w:rsidRDefault="00C844D9" w:rsidP="00C844D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WTTC (2025). </w:t>
      </w:r>
      <w:r w:rsidRPr="003223F0">
        <w:rPr>
          <w:rFonts w:ascii="Times New Roman" w:hAnsi="Times New Roman" w:cs="Times New Roman"/>
          <w:i/>
          <w:iCs/>
          <w:lang w:val="en-US"/>
        </w:rPr>
        <w:t>Invest Now or Pay the Price: UK Tourism Losing its Global Position</w:t>
      </w:r>
      <w:r w:rsidRPr="003223F0">
        <w:rPr>
          <w:rFonts w:ascii="Times New Roman" w:hAnsi="Times New Roman" w:cs="Times New Roman"/>
          <w:lang w:val="en-US"/>
        </w:rPr>
        <w:t>. [online] Wttc.org. Available at: https://wttc.org/news/invest-now-or-pay-the-price-uk-tourism-losing-its-global-position.</w:t>
      </w:r>
    </w:p>
    <w:p w14:paraId="6274E8D9" w14:textId="3DE5A57D" w:rsidR="005F2D59" w:rsidRPr="006C7F29" w:rsidRDefault="00C844D9" w:rsidP="006C7F29">
      <w:pPr>
        <w:spacing w:line="360" w:lineRule="auto"/>
        <w:jc w:val="both"/>
        <w:rPr>
          <w:rFonts w:ascii="Times New Roman" w:hAnsi="Times New Roman" w:cs="Times New Roman"/>
          <w:lang w:val="en-US"/>
        </w:rPr>
      </w:pPr>
      <w:r w:rsidRPr="003223F0">
        <w:rPr>
          <w:rFonts w:ascii="Times New Roman" w:hAnsi="Times New Roman" w:cs="Times New Roman"/>
          <w:lang w:val="en-US"/>
        </w:rPr>
        <w:t xml:space="preserve">Yim, H. (2014). A Case Study of International Design-Engineering Collaborative Design Project Course. </w:t>
      </w:r>
      <w:r w:rsidRPr="003223F0">
        <w:rPr>
          <w:rFonts w:ascii="Times New Roman" w:hAnsi="Times New Roman" w:cs="Times New Roman"/>
          <w:i/>
          <w:iCs/>
          <w:lang w:val="en-US"/>
        </w:rPr>
        <w:t>Journal of Engineering Education Research</w:t>
      </w:r>
      <w:r w:rsidRPr="003223F0">
        <w:rPr>
          <w:rFonts w:ascii="Times New Roman" w:hAnsi="Times New Roman" w:cs="Times New Roman"/>
          <w:lang w:val="en-US"/>
        </w:rPr>
        <w:t xml:space="preserve">, 17(2), pp.59–67. </w:t>
      </w:r>
      <w:proofErr w:type="spellStart"/>
      <w:proofErr w:type="gramStart"/>
      <w:r w:rsidRPr="003223F0">
        <w:rPr>
          <w:rFonts w:ascii="Times New Roman" w:hAnsi="Times New Roman" w:cs="Times New Roman"/>
          <w:lang w:val="en-US"/>
        </w:rPr>
        <w:t>doi:https</w:t>
      </w:r>
      <w:proofErr w:type="spellEnd"/>
      <w:r w:rsidRPr="003223F0">
        <w:rPr>
          <w:rFonts w:ascii="Times New Roman" w:hAnsi="Times New Roman" w:cs="Times New Roman"/>
          <w:lang w:val="en-US"/>
        </w:rPr>
        <w:t>://doi.org/10.18108/jeer.2014.17.2.59</w:t>
      </w:r>
      <w:proofErr w:type="gramEnd"/>
      <w:r w:rsidRPr="003223F0">
        <w:rPr>
          <w:rFonts w:ascii="Times New Roman" w:hAnsi="Times New Roman" w:cs="Times New Roman"/>
          <w:lang w:val="en-US"/>
        </w:rPr>
        <w:t>.</w:t>
      </w:r>
    </w:p>
    <w:sectPr w:rsidR="005F2D59" w:rsidRPr="006C7F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8B093" w14:textId="77777777" w:rsidR="00497FCA" w:rsidRDefault="00497FCA" w:rsidP="00C5596E">
      <w:pPr>
        <w:spacing w:after="0" w:line="240" w:lineRule="auto"/>
      </w:pPr>
      <w:r>
        <w:separator/>
      </w:r>
    </w:p>
  </w:endnote>
  <w:endnote w:type="continuationSeparator" w:id="0">
    <w:p w14:paraId="2A131AC9" w14:textId="77777777" w:rsidR="00497FCA" w:rsidRDefault="00497FCA" w:rsidP="00C55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76D25" w14:textId="77777777" w:rsidR="00497FCA" w:rsidRDefault="00497FCA" w:rsidP="00C5596E">
      <w:pPr>
        <w:spacing w:after="0" w:line="240" w:lineRule="auto"/>
      </w:pPr>
      <w:r>
        <w:separator/>
      </w:r>
    </w:p>
  </w:footnote>
  <w:footnote w:type="continuationSeparator" w:id="0">
    <w:p w14:paraId="4FCF6361" w14:textId="77777777" w:rsidR="00497FCA" w:rsidRDefault="00497FCA" w:rsidP="00C55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93A3F"/>
    <w:multiLevelType w:val="multilevel"/>
    <w:tmpl w:val="77243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D52BE"/>
    <w:multiLevelType w:val="multilevel"/>
    <w:tmpl w:val="163E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5B466C"/>
    <w:multiLevelType w:val="multilevel"/>
    <w:tmpl w:val="C8D06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B37B9F"/>
    <w:multiLevelType w:val="hybridMultilevel"/>
    <w:tmpl w:val="9EBC2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987750"/>
    <w:multiLevelType w:val="multilevel"/>
    <w:tmpl w:val="F1E23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2C3E34"/>
    <w:multiLevelType w:val="hybridMultilevel"/>
    <w:tmpl w:val="177C5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B0435C"/>
    <w:multiLevelType w:val="multilevel"/>
    <w:tmpl w:val="A83C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133393"/>
    <w:multiLevelType w:val="hybridMultilevel"/>
    <w:tmpl w:val="B08A36D4"/>
    <w:lvl w:ilvl="0" w:tplc="E07EF48E">
      <w:numFmt w:val="bullet"/>
      <w:lvlText w:val="•"/>
      <w:lvlJc w:val="left"/>
      <w:pPr>
        <w:ind w:left="1440" w:hanging="360"/>
      </w:pPr>
      <w:rPr>
        <w:rFonts w:ascii="Times New Roman" w:eastAsia="Times New Roman"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6575BA5"/>
    <w:multiLevelType w:val="hybridMultilevel"/>
    <w:tmpl w:val="0618330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B6B0726"/>
    <w:multiLevelType w:val="multilevel"/>
    <w:tmpl w:val="DB10A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962D92"/>
    <w:multiLevelType w:val="multilevel"/>
    <w:tmpl w:val="0052B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AE4CC4"/>
    <w:multiLevelType w:val="multilevel"/>
    <w:tmpl w:val="7E502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7219306">
    <w:abstractNumId w:val="3"/>
  </w:num>
  <w:num w:numId="2" w16cid:durableId="1232041620">
    <w:abstractNumId w:val="6"/>
  </w:num>
  <w:num w:numId="3" w16cid:durableId="837304183">
    <w:abstractNumId w:val="2"/>
  </w:num>
  <w:num w:numId="4" w16cid:durableId="1845198452">
    <w:abstractNumId w:val="10"/>
  </w:num>
  <w:num w:numId="5" w16cid:durableId="2074542655">
    <w:abstractNumId w:val="1"/>
  </w:num>
  <w:num w:numId="6" w16cid:durableId="859125852">
    <w:abstractNumId w:val="5"/>
  </w:num>
  <w:num w:numId="7" w16cid:durableId="498231696">
    <w:abstractNumId w:val="8"/>
  </w:num>
  <w:num w:numId="8" w16cid:durableId="1126851022">
    <w:abstractNumId w:val="7"/>
  </w:num>
  <w:num w:numId="9" w16cid:durableId="160396499">
    <w:abstractNumId w:val="4"/>
  </w:num>
  <w:num w:numId="10" w16cid:durableId="688290919">
    <w:abstractNumId w:val="0"/>
  </w:num>
  <w:num w:numId="11" w16cid:durableId="1622107963">
    <w:abstractNumId w:val="11"/>
  </w:num>
  <w:num w:numId="12" w16cid:durableId="19685824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4D9"/>
    <w:rsid w:val="00042DE4"/>
    <w:rsid w:val="001220CE"/>
    <w:rsid w:val="00155870"/>
    <w:rsid w:val="00174902"/>
    <w:rsid w:val="00181327"/>
    <w:rsid w:val="00225753"/>
    <w:rsid w:val="00457978"/>
    <w:rsid w:val="00486174"/>
    <w:rsid w:val="00497FCA"/>
    <w:rsid w:val="00526646"/>
    <w:rsid w:val="005F2D59"/>
    <w:rsid w:val="006C7F29"/>
    <w:rsid w:val="00980150"/>
    <w:rsid w:val="00B17E38"/>
    <w:rsid w:val="00C5596E"/>
    <w:rsid w:val="00C844D9"/>
    <w:rsid w:val="00E15230"/>
    <w:rsid w:val="00EB7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4D0ED"/>
  <w15:chartTrackingRefBased/>
  <w15:docId w15:val="{FB99D1AF-446F-4B96-B863-5E1D75806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4D9"/>
  </w:style>
  <w:style w:type="paragraph" w:styleId="Heading1">
    <w:name w:val="heading 1"/>
    <w:basedOn w:val="Normal"/>
    <w:next w:val="Normal"/>
    <w:link w:val="Heading1Char"/>
    <w:uiPriority w:val="9"/>
    <w:qFormat/>
    <w:rsid w:val="00C84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4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4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4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4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4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4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4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4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4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4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4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4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4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4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4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44D9"/>
    <w:rPr>
      <w:rFonts w:eastAsiaTheme="majorEastAsia" w:cstheme="majorBidi"/>
      <w:color w:val="272727" w:themeColor="text1" w:themeTint="D8"/>
    </w:rPr>
  </w:style>
  <w:style w:type="paragraph" w:styleId="Title">
    <w:name w:val="Title"/>
    <w:basedOn w:val="Normal"/>
    <w:next w:val="Normal"/>
    <w:link w:val="TitleChar"/>
    <w:uiPriority w:val="10"/>
    <w:qFormat/>
    <w:rsid w:val="00C84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4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4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44D9"/>
    <w:pPr>
      <w:spacing w:before="160"/>
      <w:jc w:val="center"/>
    </w:pPr>
    <w:rPr>
      <w:i/>
      <w:iCs/>
      <w:color w:val="404040" w:themeColor="text1" w:themeTint="BF"/>
    </w:rPr>
  </w:style>
  <w:style w:type="character" w:customStyle="1" w:styleId="QuoteChar">
    <w:name w:val="Quote Char"/>
    <w:basedOn w:val="DefaultParagraphFont"/>
    <w:link w:val="Quote"/>
    <w:uiPriority w:val="29"/>
    <w:rsid w:val="00C844D9"/>
    <w:rPr>
      <w:i/>
      <w:iCs/>
      <w:color w:val="404040" w:themeColor="text1" w:themeTint="BF"/>
    </w:rPr>
  </w:style>
  <w:style w:type="paragraph" w:styleId="ListParagraph">
    <w:name w:val="List Paragraph"/>
    <w:basedOn w:val="Normal"/>
    <w:uiPriority w:val="34"/>
    <w:qFormat/>
    <w:rsid w:val="00C844D9"/>
    <w:pPr>
      <w:ind w:left="720"/>
      <w:contextualSpacing/>
    </w:pPr>
  </w:style>
  <w:style w:type="character" w:styleId="IntenseEmphasis">
    <w:name w:val="Intense Emphasis"/>
    <w:basedOn w:val="DefaultParagraphFont"/>
    <w:uiPriority w:val="21"/>
    <w:qFormat/>
    <w:rsid w:val="00C844D9"/>
    <w:rPr>
      <w:i/>
      <w:iCs/>
      <w:color w:val="0F4761" w:themeColor="accent1" w:themeShade="BF"/>
    </w:rPr>
  </w:style>
  <w:style w:type="paragraph" w:styleId="IntenseQuote">
    <w:name w:val="Intense Quote"/>
    <w:basedOn w:val="Normal"/>
    <w:next w:val="Normal"/>
    <w:link w:val="IntenseQuoteChar"/>
    <w:uiPriority w:val="30"/>
    <w:qFormat/>
    <w:rsid w:val="00C84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44D9"/>
    <w:rPr>
      <w:i/>
      <w:iCs/>
      <w:color w:val="0F4761" w:themeColor="accent1" w:themeShade="BF"/>
    </w:rPr>
  </w:style>
  <w:style w:type="character" w:styleId="IntenseReference">
    <w:name w:val="Intense Reference"/>
    <w:basedOn w:val="DefaultParagraphFont"/>
    <w:uiPriority w:val="32"/>
    <w:qFormat/>
    <w:rsid w:val="00C844D9"/>
    <w:rPr>
      <w:b/>
      <w:bCs/>
      <w:smallCaps/>
      <w:color w:val="0F4761" w:themeColor="accent1" w:themeShade="BF"/>
      <w:spacing w:val="5"/>
    </w:rPr>
  </w:style>
  <w:style w:type="paragraph" w:styleId="NormalWeb">
    <w:name w:val="Normal (Web)"/>
    <w:basedOn w:val="Normal"/>
    <w:uiPriority w:val="99"/>
    <w:unhideWhenUsed/>
    <w:rsid w:val="00C844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844D9"/>
    <w:rPr>
      <w:b/>
      <w:bCs/>
    </w:rPr>
  </w:style>
  <w:style w:type="table" w:styleId="TableGrid">
    <w:name w:val="Table Grid"/>
    <w:basedOn w:val="TableNormal"/>
    <w:uiPriority w:val="39"/>
    <w:rsid w:val="00C844D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44D9"/>
    <w:pPr>
      <w:spacing w:after="200" w:line="240" w:lineRule="auto"/>
      <w:jc w:val="both"/>
    </w:pPr>
    <w:rPr>
      <w:rFonts w:ascii="Times New Roman" w:hAnsi="Times New Roman"/>
      <w:i/>
      <w:iCs/>
      <w:color w:val="0E2841" w:themeColor="text2"/>
      <w:sz w:val="18"/>
      <w:szCs w:val="18"/>
    </w:rPr>
  </w:style>
  <w:style w:type="character" w:styleId="SubtleEmphasis">
    <w:name w:val="Subtle Emphasis"/>
    <w:basedOn w:val="DefaultParagraphFont"/>
    <w:uiPriority w:val="19"/>
    <w:qFormat/>
    <w:rsid w:val="00C844D9"/>
    <w:rPr>
      <w:i/>
      <w:iCs/>
      <w:color w:val="404040" w:themeColor="text1" w:themeTint="BF"/>
    </w:rPr>
  </w:style>
  <w:style w:type="paragraph" w:styleId="TOCHeading">
    <w:name w:val="TOC Heading"/>
    <w:basedOn w:val="Heading1"/>
    <w:next w:val="Normal"/>
    <w:uiPriority w:val="39"/>
    <w:unhideWhenUsed/>
    <w:qFormat/>
    <w:rsid w:val="00980150"/>
    <w:pPr>
      <w:spacing w:before="240" w:after="0" w:line="259" w:lineRule="auto"/>
      <w:outlineLvl w:val="9"/>
    </w:pPr>
    <w:rPr>
      <w:color w:val="171717" w:themeColor="background2" w:themeShade="1A"/>
      <w:kern w:val="0"/>
      <w:sz w:val="32"/>
      <w:szCs w:val="32"/>
      <w14:ligatures w14:val="none"/>
    </w:rPr>
  </w:style>
  <w:style w:type="paragraph" w:styleId="TOC1">
    <w:name w:val="toc 1"/>
    <w:basedOn w:val="Normal"/>
    <w:next w:val="Normal"/>
    <w:autoRedefine/>
    <w:uiPriority w:val="39"/>
    <w:unhideWhenUsed/>
    <w:rsid w:val="00C5596E"/>
    <w:pPr>
      <w:tabs>
        <w:tab w:val="right" w:leader="dot" w:pos="9016"/>
      </w:tabs>
      <w:spacing w:after="100" w:line="360" w:lineRule="auto"/>
      <w:jc w:val="both"/>
    </w:pPr>
    <w:rPr>
      <w:rFonts w:ascii="Times New Roman" w:eastAsia="Times New Roman" w:hAnsi="Times New Roman" w:cs="Times New Roman"/>
      <w:iCs/>
      <w:noProof/>
    </w:rPr>
  </w:style>
  <w:style w:type="character" w:styleId="Hyperlink">
    <w:name w:val="Hyperlink"/>
    <w:basedOn w:val="DefaultParagraphFont"/>
    <w:uiPriority w:val="99"/>
    <w:unhideWhenUsed/>
    <w:rsid w:val="00980150"/>
    <w:rPr>
      <w:color w:val="467886" w:themeColor="hyperlink"/>
      <w:u w:val="single"/>
    </w:rPr>
  </w:style>
  <w:style w:type="paragraph" w:styleId="TOC2">
    <w:name w:val="toc 2"/>
    <w:basedOn w:val="Normal"/>
    <w:next w:val="Normal"/>
    <w:autoRedefine/>
    <w:uiPriority w:val="39"/>
    <w:unhideWhenUsed/>
    <w:rsid w:val="00980150"/>
    <w:pPr>
      <w:spacing w:after="100" w:line="360" w:lineRule="auto"/>
      <w:ind w:left="240"/>
      <w:jc w:val="both"/>
    </w:pPr>
    <w:rPr>
      <w:rFonts w:ascii="Times New Roman" w:hAnsi="Times New Roman"/>
    </w:rPr>
  </w:style>
  <w:style w:type="paragraph" w:styleId="TOC3">
    <w:name w:val="toc 3"/>
    <w:basedOn w:val="Normal"/>
    <w:next w:val="Normal"/>
    <w:autoRedefine/>
    <w:uiPriority w:val="39"/>
    <w:unhideWhenUsed/>
    <w:rsid w:val="00C5596E"/>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39</Pages>
  <Words>11083</Words>
  <Characters>63178</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 (1813391)</cp:lastModifiedBy>
  <cp:revision>9</cp:revision>
  <dcterms:created xsi:type="dcterms:W3CDTF">2025-06-11T14:59:00Z</dcterms:created>
  <dcterms:modified xsi:type="dcterms:W3CDTF">2025-06-11T15:43:00Z</dcterms:modified>
</cp:coreProperties>
</file>