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7B8C" w:rsidRDefault="000E7B8C" w:rsidP="000E7B8C">
      <w:r>
        <w:rPr>
          <w:noProof/>
        </w:rPr>
        <w:drawing>
          <wp:anchor distT="0" distB="0" distL="114300" distR="114300" simplePos="0" relativeHeight="251660288" behindDoc="0" locked="0" layoutInCell="1" allowOverlap="1">
            <wp:simplePos x="0" y="0"/>
            <wp:positionH relativeFrom="column">
              <wp:posOffset>0</wp:posOffset>
            </wp:positionH>
            <wp:positionV relativeFrom="paragraph">
              <wp:posOffset>0</wp:posOffset>
            </wp:positionV>
            <wp:extent cx="2143424" cy="1028844"/>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F88AA.tmp"/>
                    <pic:cNvPicPr/>
                  </pic:nvPicPr>
                  <pic:blipFill>
                    <a:blip r:embed="rId8">
                      <a:extLst>
                        <a:ext uri="{28A0092B-C50C-407E-A947-70E740481C1C}">
                          <a14:useLocalDpi xmlns:a14="http://schemas.microsoft.com/office/drawing/2010/main" val="0"/>
                        </a:ext>
                      </a:extLst>
                    </a:blip>
                    <a:stretch>
                      <a:fillRect/>
                    </a:stretch>
                  </pic:blipFill>
                  <pic:spPr>
                    <a:xfrm>
                      <a:off x="0" y="0"/>
                      <a:ext cx="2143424" cy="1028844"/>
                    </a:xfrm>
                    <a:prstGeom prst="rect">
                      <a:avLst/>
                    </a:prstGeom>
                  </pic:spPr>
                </pic:pic>
              </a:graphicData>
            </a:graphic>
          </wp:anchor>
        </w:drawing>
      </w:r>
    </w:p>
    <w:p w:rsidR="000E7B8C" w:rsidRDefault="000E7B8C" w:rsidP="000E7B8C"/>
    <w:p w:rsidR="000E7B8C" w:rsidRDefault="000E7B8C" w:rsidP="000E7B8C"/>
    <w:p w:rsidR="000E7B8C" w:rsidRDefault="000E7B8C" w:rsidP="000E7B8C">
      <w:proofErr w:type="spellStart"/>
      <w:r w:rsidRPr="000E7B8C">
        <w:t>Programme</w:t>
      </w:r>
      <w:proofErr w:type="spellEnd"/>
      <w:r w:rsidRPr="000E7B8C">
        <w:t xml:space="preserve">: Master of Business Administration </w:t>
      </w:r>
    </w:p>
    <w:p w:rsidR="002347E3" w:rsidRDefault="000E7B8C" w:rsidP="000E7B8C">
      <w:r w:rsidRPr="000E7B8C">
        <w:t>Module: International Business Concepts</w:t>
      </w:r>
    </w:p>
    <w:p w:rsidR="000E7B8C" w:rsidRDefault="000E7B8C" w:rsidP="000E7B8C">
      <w:r w:rsidRPr="000E7B8C">
        <w:t>Module code: LCMB7034</w:t>
      </w:r>
    </w:p>
    <w:p w:rsidR="00305BC9" w:rsidRPr="00305BC9" w:rsidRDefault="00305BC9" w:rsidP="00305BC9">
      <w:r w:rsidRPr="00305BC9">
        <w:t xml:space="preserve">Lecturer: </w:t>
      </w:r>
      <w:proofErr w:type="spellStart"/>
      <w:r w:rsidRPr="00305BC9">
        <w:t>Akshay</w:t>
      </w:r>
      <w:proofErr w:type="spellEnd"/>
      <w:r w:rsidRPr="00305BC9">
        <w:t xml:space="preserve"> Narayanan (London)</w:t>
      </w:r>
    </w:p>
    <w:p w:rsidR="000E7B8C" w:rsidRDefault="000E7B8C" w:rsidP="000E7B8C">
      <w:r>
        <w:t>Student Name:</w:t>
      </w:r>
      <w:r w:rsidRPr="000E7B8C">
        <w:t xml:space="preserve"> </w:t>
      </w:r>
      <w:proofErr w:type="spellStart"/>
      <w:r w:rsidRPr="000E7B8C">
        <w:t>Luthfa</w:t>
      </w:r>
      <w:proofErr w:type="spellEnd"/>
      <w:r w:rsidRPr="000E7B8C">
        <w:t xml:space="preserve"> </w:t>
      </w:r>
      <w:proofErr w:type="spellStart"/>
      <w:r w:rsidRPr="000E7B8C">
        <w:t>Siddika</w:t>
      </w:r>
      <w:proofErr w:type="spellEnd"/>
    </w:p>
    <w:p w:rsidR="000E7B8C" w:rsidRDefault="000E7B8C" w:rsidP="000E7B8C">
      <w:r>
        <w:t>Student ID:</w:t>
      </w:r>
      <w:r w:rsidR="00305BC9" w:rsidRPr="00305BC9">
        <w:t xml:space="preserve"> 2434989</w:t>
      </w:r>
    </w:p>
    <w:p w:rsidR="00305BC9" w:rsidRPr="000E7B8C" w:rsidRDefault="00305BC9" w:rsidP="000E7B8C">
      <w:r>
        <w:t>Word count: 5200</w:t>
      </w:r>
      <w:bookmarkStart w:id="0" w:name="_GoBack"/>
      <w:bookmarkEnd w:id="0"/>
    </w:p>
    <w:p w:rsidR="002347E3" w:rsidRDefault="002347E3" w:rsidP="002347E3">
      <w:pPr>
        <w:rPr>
          <w:rFonts w:eastAsiaTheme="majorEastAsia" w:cstheme="majorBidi"/>
          <w:sz w:val="32"/>
          <w:szCs w:val="32"/>
        </w:rPr>
      </w:pPr>
      <w:r>
        <w:br w:type="page"/>
      </w:r>
    </w:p>
    <w:sdt>
      <w:sdtPr>
        <w:rPr>
          <w:rFonts w:ascii="Times New Roman" w:eastAsiaTheme="minorHAnsi" w:hAnsi="Times New Roman" w:cstheme="minorBidi"/>
          <w:color w:val="auto"/>
          <w:sz w:val="24"/>
          <w:szCs w:val="22"/>
        </w:rPr>
        <w:id w:val="1342432782"/>
        <w:docPartObj>
          <w:docPartGallery w:val="Table of Contents"/>
          <w:docPartUnique/>
        </w:docPartObj>
      </w:sdtPr>
      <w:sdtEndPr>
        <w:rPr>
          <w:rFonts w:ascii="Arial" w:hAnsi="Arial"/>
          <w:b/>
          <w:bCs/>
          <w:noProof/>
        </w:rPr>
      </w:sdtEndPr>
      <w:sdtContent>
        <w:p w:rsidR="002347E3" w:rsidRDefault="002347E3">
          <w:pPr>
            <w:pStyle w:val="TOCHeading"/>
          </w:pPr>
          <w:r>
            <w:t>Table of Contents</w:t>
          </w:r>
        </w:p>
        <w:p w:rsidR="000E7B8C" w:rsidRDefault="002347E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5351811" w:history="1">
            <w:r w:rsidR="000E7B8C" w:rsidRPr="003A20CB">
              <w:rPr>
                <w:rStyle w:val="Hyperlink"/>
                <w:noProof/>
              </w:rPr>
              <w:t>Introduction</w:t>
            </w:r>
            <w:r w:rsidR="000E7B8C">
              <w:rPr>
                <w:noProof/>
                <w:webHidden/>
              </w:rPr>
              <w:tab/>
            </w:r>
            <w:r w:rsidR="000E7B8C">
              <w:rPr>
                <w:noProof/>
                <w:webHidden/>
              </w:rPr>
              <w:fldChar w:fldCharType="begin"/>
            </w:r>
            <w:r w:rsidR="000E7B8C">
              <w:rPr>
                <w:noProof/>
                <w:webHidden/>
              </w:rPr>
              <w:instrText xml:space="preserve"> PAGEREF _Toc215351811 \h </w:instrText>
            </w:r>
            <w:r w:rsidR="000E7B8C">
              <w:rPr>
                <w:noProof/>
                <w:webHidden/>
              </w:rPr>
            </w:r>
            <w:r w:rsidR="000E7B8C">
              <w:rPr>
                <w:noProof/>
                <w:webHidden/>
              </w:rPr>
              <w:fldChar w:fldCharType="separate"/>
            </w:r>
            <w:r w:rsidR="000E7B8C">
              <w:rPr>
                <w:noProof/>
                <w:webHidden/>
              </w:rPr>
              <w:t>4</w:t>
            </w:r>
            <w:r w:rsidR="000E7B8C">
              <w:rPr>
                <w:noProof/>
                <w:webHidden/>
              </w:rPr>
              <w:fldChar w:fldCharType="end"/>
            </w:r>
          </w:hyperlink>
        </w:p>
        <w:p w:rsidR="000E7B8C" w:rsidRDefault="000E7B8C">
          <w:pPr>
            <w:pStyle w:val="TOC1"/>
            <w:tabs>
              <w:tab w:val="right" w:leader="dot" w:pos="9350"/>
            </w:tabs>
            <w:rPr>
              <w:rFonts w:asciiTheme="minorHAnsi" w:eastAsiaTheme="minorEastAsia" w:hAnsiTheme="minorHAnsi"/>
              <w:noProof/>
              <w:sz w:val="22"/>
            </w:rPr>
          </w:pPr>
          <w:hyperlink w:anchor="_Toc215351812" w:history="1">
            <w:r w:rsidRPr="003A20CB">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_Toc215351812 \h </w:instrText>
            </w:r>
            <w:r>
              <w:rPr>
                <w:noProof/>
                <w:webHidden/>
              </w:rPr>
            </w:r>
            <w:r>
              <w:rPr>
                <w:noProof/>
                <w:webHidden/>
              </w:rPr>
              <w:fldChar w:fldCharType="separate"/>
            </w:r>
            <w:r>
              <w:rPr>
                <w:noProof/>
                <w:webHidden/>
              </w:rPr>
              <w:t>5</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13" w:history="1">
            <w:r w:rsidRPr="003A20CB">
              <w:rPr>
                <w:rStyle w:val="Hyperlink"/>
                <w:noProof/>
              </w:rPr>
              <w:t>a. Nestlé classification as a Multinational Corporation (MNC)</w:t>
            </w:r>
            <w:r>
              <w:rPr>
                <w:noProof/>
                <w:webHidden/>
              </w:rPr>
              <w:tab/>
            </w:r>
            <w:r>
              <w:rPr>
                <w:noProof/>
                <w:webHidden/>
              </w:rPr>
              <w:fldChar w:fldCharType="begin"/>
            </w:r>
            <w:r>
              <w:rPr>
                <w:noProof/>
                <w:webHidden/>
              </w:rPr>
              <w:instrText xml:space="preserve"> PAGEREF _Toc215351813 \h </w:instrText>
            </w:r>
            <w:r>
              <w:rPr>
                <w:noProof/>
                <w:webHidden/>
              </w:rPr>
            </w:r>
            <w:r>
              <w:rPr>
                <w:noProof/>
                <w:webHidden/>
              </w:rPr>
              <w:fldChar w:fldCharType="separate"/>
            </w:r>
            <w:r>
              <w:rPr>
                <w:noProof/>
                <w:webHidden/>
              </w:rPr>
              <w:t>5</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14" w:history="1">
            <w:r w:rsidRPr="003A20CB">
              <w:rPr>
                <w:rStyle w:val="Hyperlink"/>
                <w:noProof/>
              </w:rPr>
              <w:t>b. The Characteristics of Global Operations and Value Chain of Nestlé.</w:t>
            </w:r>
            <w:r>
              <w:rPr>
                <w:noProof/>
                <w:webHidden/>
              </w:rPr>
              <w:tab/>
            </w:r>
            <w:r>
              <w:rPr>
                <w:noProof/>
                <w:webHidden/>
              </w:rPr>
              <w:fldChar w:fldCharType="begin"/>
            </w:r>
            <w:r>
              <w:rPr>
                <w:noProof/>
                <w:webHidden/>
              </w:rPr>
              <w:instrText xml:space="preserve"> PAGEREF _Toc215351814 \h </w:instrText>
            </w:r>
            <w:r>
              <w:rPr>
                <w:noProof/>
                <w:webHidden/>
              </w:rPr>
            </w:r>
            <w:r>
              <w:rPr>
                <w:noProof/>
                <w:webHidden/>
              </w:rPr>
              <w:fldChar w:fldCharType="separate"/>
            </w:r>
            <w:r>
              <w:rPr>
                <w:noProof/>
                <w:webHidden/>
              </w:rPr>
              <w:t>6</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15" w:history="1">
            <w:r w:rsidRPr="003A20CB">
              <w:rPr>
                <w:rStyle w:val="Hyperlink"/>
                <w:noProof/>
              </w:rPr>
              <w:t>c. Entry modes for Nestlé in International markets</w:t>
            </w:r>
            <w:r>
              <w:rPr>
                <w:noProof/>
                <w:webHidden/>
              </w:rPr>
              <w:tab/>
            </w:r>
            <w:r>
              <w:rPr>
                <w:noProof/>
                <w:webHidden/>
              </w:rPr>
              <w:fldChar w:fldCharType="begin"/>
            </w:r>
            <w:r>
              <w:rPr>
                <w:noProof/>
                <w:webHidden/>
              </w:rPr>
              <w:instrText xml:space="preserve"> PAGEREF _Toc215351815 \h </w:instrText>
            </w:r>
            <w:r>
              <w:rPr>
                <w:noProof/>
                <w:webHidden/>
              </w:rPr>
            </w:r>
            <w:r>
              <w:rPr>
                <w:noProof/>
                <w:webHidden/>
              </w:rPr>
              <w:fldChar w:fldCharType="separate"/>
            </w:r>
            <w:r>
              <w:rPr>
                <w:noProof/>
                <w:webHidden/>
              </w:rPr>
              <w:t>7</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16" w:history="1">
            <w:r w:rsidRPr="003A20CB">
              <w:rPr>
                <w:rStyle w:val="Hyperlink"/>
                <w:noProof/>
              </w:rPr>
              <w:t>d. Advantages and Problems of the International Activities of Nestlé</w:t>
            </w:r>
            <w:r>
              <w:rPr>
                <w:noProof/>
                <w:webHidden/>
              </w:rPr>
              <w:tab/>
            </w:r>
            <w:r>
              <w:rPr>
                <w:noProof/>
                <w:webHidden/>
              </w:rPr>
              <w:fldChar w:fldCharType="begin"/>
            </w:r>
            <w:r>
              <w:rPr>
                <w:noProof/>
                <w:webHidden/>
              </w:rPr>
              <w:instrText xml:space="preserve"> PAGEREF _Toc215351816 \h </w:instrText>
            </w:r>
            <w:r>
              <w:rPr>
                <w:noProof/>
                <w:webHidden/>
              </w:rPr>
            </w:r>
            <w:r>
              <w:rPr>
                <w:noProof/>
                <w:webHidden/>
              </w:rPr>
              <w:fldChar w:fldCharType="separate"/>
            </w:r>
            <w:r>
              <w:rPr>
                <w:noProof/>
                <w:webHidden/>
              </w:rPr>
              <w:t>8</w:t>
            </w:r>
            <w:r>
              <w:rPr>
                <w:noProof/>
                <w:webHidden/>
              </w:rPr>
              <w:fldChar w:fldCharType="end"/>
            </w:r>
          </w:hyperlink>
        </w:p>
        <w:p w:rsidR="000E7B8C" w:rsidRDefault="000E7B8C">
          <w:pPr>
            <w:pStyle w:val="TOC1"/>
            <w:tabs>
              <w:tab w:val="right" w:leader="dot" w:pos="9350"/>
            </w:tabs>
            <w:rPr>
              <w:rFonts w:asciiTheme="minorHAnsi" w:eastAsiaTheme="minorEastAsia" w:hAnsiTheme="minorHAnsi"/>
              <w:noProof/>
              <w:sz w:val="22"/>
            </w:rPr>
          </w:pPr>
          <w:hyperlink w:anchor="_Toc215351817" w:history="1">
            <w:r w:rsidRPr="003A20CB">
              <w:rPr>
                <w:rStyle w:val="Hyperlink"/>
                <w:noProof/>
              </w:rPr>
              <w:t>3. Effects of OLI Factors on the Market Entry Mode of Nestlé</w:t>
            </w:r>
            <w:r>
              <w:rPr>
                <w:noProof/>
                <w:webHidden/>
              </w:rPr>
              <w:tab/>
            </w:r>
            <w:r>
              <w:rPr>
                <w:noProof/>
                <w:webHidden/>
              </w:rPr>
              <w:fldChar w:fldCharType="begin"/>
            </w:r>
            <w:r>
              <w:rPr>
                <w:noProof/>
                <w:webHidden/>
              </w:rPr>
              <w:instrText xml:space="preserve"> PAGEREF _Toc215351817 \h </w:instrText>
            </w:r>
            <w:r>
              <w:rPr>
                <w:noProof/>
                <w:webHidden/>
              </w:rPr>
            </w:r>
            <w:r>
              <w:rPr>
                <w:noProof/>
                <w:webHidden/>
              </w:rPr>
              <w:fldChar w:fldCharType="separate"/>
            </w:r>
            <w:r>
              <w:rPr>
                <w:noProof/>
                <w:webHidden/>
              </w:rPr>
              <w:t>10</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18" w:history="1">
            <w:r w:rsidRPr="003A20CB">
              <w:rPr>
                <w:rStyle w:val="Hyperlink"/>
                <w:noProof/>
              </w:rPr>
              <w:t>a. Ownership Advantages</w:t>
            </w:r>
            <w:r>
              <w:rPr>
                <w:noProof/>
                <w:webHidden/>
              </w:rPr>
              <w:tab/>
            </w:r>
            <w:r>
              <w:rPr>
                <w:noProof/>
                <w:webHidden/>
              </w:rPr>
              <w:fldChar w:fldCharType="begin"/>
            </w:r>
            <w:r>
              <w:rPr>
                <w:noProof/>
                <w:webHidden/>
              </w:rPr>
              <w:instrText xml:space="preserve"> PAGEREF _Toc215351818 \h </w:instrText>
            </w:r>
            <w:r>
              <w:rPr>
                <w:noProof/>
                <w:webHidden/>
              </w:rPr>
            </w:r>
            <w:r>
              <w:rPr>
                <w:noProof/>
                <w:webHidden/>
              </w:rPr>
              <w:fldChar w:fldCharType="separate"/>
            </w:r>
            <w:r>
              <w:rPr>
                <w:noProof/>
                <w:webHidden/>
              </w:rPr>
              <w:t>11</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19" w:history="1">
            <w:r w:rsidRPr="003A20CB">
              <w:rPr>
                <w:rStyle w:val="Hyperlink"/>
                <w:noProof/>
              </w:rPr>
              <w:t>b. Location Advantages</w:t>
            </w:r>
            <w:r>
              <w:rPr>
                <w:noProof/>
                <w:webHidden/>
              </w:rPr>
              <w:tab/>
            </w:r>
            <w:r>
              <w:rPr>
                <w:noProof/>
                <w:webHidden/>
              </w:rPr>
              <w:fldChar w:fldCharType="begin"/>
            </w:r>
            <w:r>
              <w:rPr>
                <w:noProof/>
                <w:webHidden/>
              </w:rPr>
              <w:instrText xml:space="preserve"> PAGEREF _Toc215351819 \h </w:instrText>
            </w:r>
            <w:r>
              <w:rPr>
                <w:noProof/>
                <w:webHidden/>
              </w:rPr>
            </w:r>
            <w:r>
              <w:rPr>
                <w:noProof/>
                <w:webHidden/>
              </w:rPr>
              <w:fldChar w:fldCharType="separate"/>
            </w:r>
            <w:r>
              <w:rPr>
                <w:noProof/>
                <w:webHidden/>
              </w:rPr>
              <w:t>12</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0" w:history="1">
            <w:r w:rsidRPr="003A20CB">
              <w:rPr>
                <w:rStyle w:val="Hyperlink"/>
                <w:noProof/>
              </w:rPr>
              <w:t>c. Internalisation Benefits</w:t>
            </w:r>
            <w:r>
              <w:rPr>
                <w:noProof/>
                <w:webHidden/>
              </w:rPr>
              <w:tab/>
            </w:r>
            <w:r>
              <w:rPr>
                <w:noProof/>
                <w:webHidden/>
              </w:rPr>
              <w:fldChar w:fldCharType="begin"/>
            </w:r>
            <w:r>
              <w:rPr>
                <w:noProof/>
                <w:webHidden/>
              </w:rPr>
              <w:instrText xml:space="preserve"> PAGEREF _Toc215351820 \h </w:instrText>
            </w:r>
            <w:r>
              <w:rPr>
                <w:noProof/>
                <w:webHidden/>
              </w:rPr>
            </w:r>
            <w:r>
              <w:rPr>
                <w:noProof/>
                <w:webHidden/>
              </w:rPr>
              <w:fldChar w:fldCharType="separate"/>
            </w:r>
            <w:r>
              <w:rPr>
                <w:noProof/>
                <w:webHidden/>
              </w:rPr>
              <w:t>13</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1" w:history="1">
            <w:r w:rsidRPr="003A20CB">
              <w:rPr>
                <w:rStyle w:val="Hyperlink"/>
                <w:noProof/>
              </w:rPr>
              <w:t>d. The OLI Factor Interplay in the Nestlé</w:t>
            </w:r>
            <w:r>
              <w:rPr>
                <w:noProof/>
                <w:webHidden/>
              </w:rPr>
              <w:tab/>
            </w:r>
            <w:r>
              <w:rPr>
                <w:noProof/>
                <w:webHidden/>
              </w:rPr>
              <w:fldChar w:fldCharType="begin"/>
            </w:r>
            <w:r>
              <w:rPr>
                <w:noProof/>
                <w:webHidden/>
              </w:rPr>
              <w:instrText xml:space="preserve"> PAGEREF _Toc215351821 \h </w:instrText>
            </w:r>
            <w:r>
              <w:rPr>
                <w:noProof/>
                <w:webHidden/>
              </w:rPr>
            </w:r>
            <w:r>
              <w:rPr>
                <w:noProof/>
                <w:webHidden/>
              </w:rPr>
              <w:fldChar w:fldCharType="separate"/>
            </w:r>
            <w:r>
              <w:rPr>
                <w:noProof/>
                <w:webHidden/>
              </w:rPr>
              <w:t>13</w:t>
            </w:r>
            <w:r>
              <w:rPr>
                <w:noProof/>
                <w:webHidden/>
              </w:rPr>
              <w:fldChar w:fldCharType="end"/>
            </w:r>
          </w:hyperlink>
        </w:p>
        <w:p w:rsidR="000E7B8C" w:rsidRDefault="000E7B8C">
          <w:pPr>
            <w:pStyle w:val="TOC1"/>
            <w:tabs>
              <w:tab w:val="right" w:leader="dot" w:pos="9350"/>
            </w:tabs>
            <w:rPr>
              <w:rFonts w:asciiTheme="minorHAnsi" w:eastAsiaTheme="minorEastAsia" w:hAnsiTheme="minorHAnsi"/>
              <w:noProof/>
              <w:sz w:val="22"/>
            </w:rPr>
          </w:pPr>
          <w:hyperlink w:anchor="_Toc215351822" w:history="1">
            <w:r w:rsidRPr="003A20CB">
              <w:rPr>
                <w:rStyle w:val="Hyperlink"/>
                <w:rFonts w:eastAsia="Times New Roman"/>
                <w:noProof/>
              </w:rPr>
              <w:t>4. Critical Evaluation of Cultural Differences Between Switzerland and India</w:t>
            </w:r>
            <w:r>
              <w:rPr>
                <w:noProof/>
                <w:webHidden/>
              </w:rPr>
              <w:tab/>
            </w:r>
            <w:r>
              <w:rPr>
                <w:noProof/>
                <w:webHidden/>
              </w:rPr>
              <w:fldChar w:fldCharType="begin"/>
            </w:r>
            <w:r>
              <w:rPr>
                <w:noProof/>
                <w:webHidden/>
              </w:rPr>
              <w:instrText xml:space="preserve"> PAGEREF _Toc215351822 \h </w:instrText>
            </w:r>
            <w:r>
              <w:rPr>
                <w:noProof/>
                <w:webHidden/>
              </w:rPr>
            </w:r>
            <w:r>
              <w:rPr>
                <w:noProof/>
                <w:webHidden/>
              </w:rPr>
              <w:fldChar w:fldCharType="separate"/>
            </w:r>
            <w:r>
              <w:rPr>
                <w:noProof/>
                <w:webHidden/>
              </w:rPr>
              <w:t>14</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3" w:history="1">
            <w:r w:rsidRPr="003A20CB">
              <w:rPr>
                <w:rStyle w:val="Hyperlink"/>
                <w:rFonts w:eastAsia="Times New Roman"/>
                <w:noProof/>
              </w:rPr>
              <w:t>4.1 Hofstede Cultural Dimensions: Cultural Dist</w:t>
            </w:r>
            <w:r w:rsidRPr="003A20CB">
              <w:rPr>
                <w:rStyle w:val="Hyperlink"/>
                <w:noProof/>
              </w:rPr>
              <w:t>ance and Strategic Implications</w:t>
            </w:r>
            <w:r>
              <w:rPr>
                <w:noProof/>
                <w:webHidden/>
              </w:rPr>
              <w:tab/>
            </w:r>
            <w:r>
              <w:rPr>
                <w:noProof/>
                <w:webHidden/>
              </w:rPr>
              <w:fldChar w:fldCharType="begin"/>
            </w:r>
            <w:r>
              <w:rPr>
                <w:noProof/>
                <w:webHidden/>
              </w:rPr>
              <w:instrText xml:space="preserve"> PAGEREF _Toc215351823 \h </w:instrText>
            </w:r>
            <w:r>
              <w:rPr>
                <w:noProof/>
                <w:webHidden/>
              </w:rPr>
            </w:r>
            <w:r>
              <w:rPr>
                <w:noProof/>
                <w:webHidden/>
              </w:rPr>
              <w:fldChar w:fldCharType="separate"/>
            </w:r>
            <w:r>
              <w:rPr>
                <w:noProof/>
                <w:webHidden/>
              </w:rPr>
              <w:t>14</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4" w:history="1">
            <w:r w:rsidRPr="003A20CB">
              <w:rPr>
                <w:rStyle w:val="Hyperlink"/>
                <w:rFonts w:eastAsia="Times New Roman"/>
                <w:noProof/>
              </w:rPr>
              <w:t>4.2 The Diamond Model of Porter: Strategic Adaptation</w:t>
            </w:r>
            <w:r>
              <w:rPr>
                <w:noProof/>
                <w:webHidden/>
              </w:rPr>
              <w:tab/>
            </w:r>
            <w:r>
              <w:rPr>
                <w:noProof/>
                <w:webHidden/>
              </w:rPr>
              <w:fldChar w:fldCharType="begin"/>
            </w:r>
            <w:r>
              <w:rPr>
                <w:noProof/>
                <w:webHidden/>
              </w:rPr>
              <w:instrText xml:space="preserve"> PAGEREF _Toc215351824 \h </w:instrText>
            </w:r>
            <w:r>
              <w:rPr>
                <w:noProof/>
                <w:webHidden/>
              </w:rPr>
            </w:r>
            <w:r>
              <w:rPr>
                <w:noProof/>
                <w:webHidden/>
              </w:rPr>
              <w:fldChar w:fldCharType="separate"/>
            </w:r>
            <w:r>
              <w:rPr>
                <w:noProof/>
                <w:webHidden/>
              </w:rPr>
              <w:t>16</w:t>
            </w:r>
            <w:r>
              <w:rPr>
                <w:noProof/>
                <w:webHidden/>
              </w:rPr>
              <w:fldChar w:fldCharType="end"/>
            </w:r>
          </w:hyperlink>
        </w:p>
        <w:p w:rsidR="000E7B8C" w:rsidRDefault="000E7B8C">
          <w:pPr>
            <w:pStyle w:val="TOC1"/>
            <w:tabs>
              <w:tab w:val="right" w:leader="dot" w:pos="9350"/>
            </w:tabs>
            <w:rPr>
              <w:rFonts w:asciiTheme="minorHAnsi" w:eastAsiaTheme="minorEastAsia" w:hAnsiTheme="minorHAnsi"/>
              <w:noProof/>
              <w:sz w:val="22"/>
            </w:rPr>
          </w:pPr>
          <w:hyperlink w:anchor="_Toc215351825" w:history="1">
            <w:r w:rsidRPr="003A20CB">
              <w:rPr>
                <w:rStyle w:val="Hyperlink"/>
                <w:noProof/>
              </w:rPr>
              <w:t>5. Critical Discussion and Recommendations: Adjustments in Standard Operating Procedures (SOPs)</w:t>
            </w:r>
            <w:r>
              <w:rPr>
                <w:noProof/>
                <w:webHidden/>
              </w:rPr>
              <w:tab/>
            </w:r>
            <w:r>
              <w:rPr>
                <w:noProof/>
                <w:webHidden/>
              </w:rPr>
              <w:fldChar w:fldCharType="begin"/>
            </w:r>
            <w:r>
              <w:rPr>
                <w:noProof/>
                <w:webHidden/>
              </w:rPr>
              <w:instrText xml:space="preserve"> PAGEREF _Toc215351825 \h </w:instrText>
            </w:r>
            <w:r>
              <w:rPr>
                <w:noProof/>
                <w:webHidden/>
              </w:rPr>
            </w:r>
            <w:r>
              <w:rPr>
                <w:noProof/>
                <w:webHidden/>
              </w:rPr>
              <w:fldChar w:fldCharType="separate"/>
            </w:r>
            <w:r>
              <w:rPr>
                <w:noProof/>
                <w:webHidden/>
              </w:rPr>
              <w:t>18</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6" w:history="1">
            <w:r w:rsidRPr="003A20CB">
              <w:rPr>
                <w:rStyle w:val="Hyperlink"/>
                <w:noProof/>
              </w:rPr>
              <w:t>Adjustment 1: Deepening Supply Chain Localisation and Inclusive Value Creation</w:t>
            </w:r>
            <w:r>
              <w:rPr>
                <w:noProof/>
                <w:webHidden/>
              </w:rPr>
              <w:tab/>
            </w:r>
            <w:r>
              <w:rPr>
                <w:noProof/>
                <w:webHidden/>
              </w:rPr>
              <w:fldChar w:fldCharType="begin"/>
            </w:r>
            <w:r>
              <w:rPr>
                <w:noProof/>
                <w:webHidden/>
              </w:rPr>
              <w:instrText xml:space="preserve"> PAGEREF _Toc215351826 \h </w:instrText>
            </w:r>
            <w:r>
              <w:rPr>
                <w:noProof/>
                <w:webHidden/>
              </w:rPr>
            </w:r>
            <w:r>
              <w:rPr>
                <w:noProof/>
                <w:webHidden/>
              </w:rPr>
              <w:fldChar w:fldCharType="separate"/>
            </w:r>
            <w:r>
              <w:rPr>
                <w:noProof/>
                <w:webHidden/>
              </w:rPr>
              <w:t>18</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7" w:history="1">
            <w:r w:rsidRPr="003A20CB">
              <w:rPr>
                <w:rStyle w:val="Hyperlink"/>
                <w:noProof/>
              </w:rPr>
              <w:t>b. Adjustment 2: Embedding Cross-Cultural Human Resource Management (HRM) into SOPs</w:t>
            </w:r>
            <w:r>
              <w:rPr>
                <w:noProof/>
                <w:webHidden/>
              </w:rPr>
              <w:tab/>
            </w:r>
            <w:r>
              <w:rPr>
                <w:noProof/>
                <w:webHidden/>
              </w:rPr>
              <w:fldChar w:fldCharType="begin"/>
            </w:r>
            <w:r>
              <w:rPr>
                <w:noProof/>
                <w:webHidden/>
              </w:rPr>
              <w:instrText xml:space="preserve"> PAGEREF _Toc215351827 \h </w:instrText>
            </w:r>
            <w:r>
              <w:rPr>
                <w:noProof/>
                <w:webHidden/>
              </w:rPr>
            </w:r>
            <w:r>
              <w:rPr>
                <w:noProof/>
                <w:webHidden/>
              </w:rPr>
              <w:fldChar w:fldCharType="separate"/>
            </w:r>
            <w:r>
              <w:rPr>
                <w:noProof/>
                <w:webHidden/>
              </w:rPr>
              <w:t>19</w:t>
            </w:r>
            <w:r>
              <w:rPr>
                <w:noProof/>
                <w:webHidden/>
              </w:rPr>
              <w:fldChar w:fldCharType="end"/>
            </w:r>
          </w:hyperlink>
        </w:p>
        <w:p w:rsidR="000E7B8C" w:rsidRDefault="000E7B8C">
          <w:pPr>
            <w:pStyle w:val="TOC2"/>
            <w:tabs>
              <w:tab w:val="right" w:leader="dot" w:pos="9350"/>
            </w:tabs>
            <w:rPr>
              <w:rFonts w:asciiTheme="minorHAnsi" w:eastAsiaTheme="minorEastAsia" w:hAnsiTheme="minorHAnsi"/>
              <w:noProof/>
              <w:sz w:val="22"/>
            </w:rPr>
          </w:pPr>
          <w:hyperlink w:anchor="_Toc215351828" w:history="1">
            <w:r w:rsidRPr="003A20CB">
              <w:rPr>
                <w:rStyle w:val="Hyperlink"/>
                <w:noProof/>
              </w:rPr>
              <w:t>c. Adjustment 3: Institutionalising Digital Sustainability and Ethical Compliance Systems</w:t>
            </w:r>
            <w:r>
              <w:rPr>
                <w:noProof/>
                <w:webHidden/>
              </w:rPr>
              <w:tab/>
            </w:r>
            <w:r>
              <w:rPr>
                <w:noProof/>
                <w:webHidden/>
              </w:rPr>
              <w:fldChar w:fldCharType="begin"/>
            </w:r>
            <w:r>
              <w:rPr>
                <w:noProof/>
                <w:webHidden/>
              </w:rPr>
              <w:instrText xml:space="preserve"> PAGEREF _Toc215351828 \h </w:instrText>
            </w:r>
            <w:r>
              <w:rPr>
                <w:noProof/>
                <w:webHidden/>
              </w:rPr>
            </w:r>
            <w:r>
              <w:rPr>
                <w:noProof/>
                <w:webHidden/>
              </w:rPr>
              <w:fldChar w:fldCharType="separate"/>
            </w:r>
            <w:r>
              <w:rPr>
                <w:noProof/>
                <w:webHidden/>
              </w:rPr>
              <w:t>20</w:t>
            </w:r>
            <w:r>
              <w:rPr>
                <w:noProof/>
                <w:webHidden/>
              </w:rPr>
              <w:fldChar w:fldCharType="end"/>
            </w:r>
          </w:hyperlink>
        </w:p>
        <w:p w:rsidR="000E7B8C" w:rsidRDefault="000E7B8C">
          <w:pPr>
            <w:pStyle w:val="TOC1"/>
            <w:tabs>
              <w:tab w:val="right" w:leader="dot" w:pos="9350"/>
            </w:tabs>
            <w:rPr>
              <w:rFonts w:asciiTheme="minorHAnsi" w:eastAsiaTheme="minorEastAsia" w:hAnsiTheme="minorHAnsi"/>
              <w:noProof/>
              <w:sz w:val="22"/>
            </w:rPr>
          </w:pPr>
          <w:hyperlink w:anchor="_Toc215351829" w:history="1">
            <w:r w:rsidRPr="003A20CB">
              <w:rPr>
                <w:rStyle w:val="Hyperlink"/>
                <w:noProof/>
              </w:rPr>
              <w:t>Conclusion</w:t>
            </w:r>
            <w:r>
              <w:rPr>
                <w:noProof/>
                <w:webHidden/>
              </w:rPr>
              <w:tab/>
            </w:r>
            <w:r>
              <w:rPr>
                <w:noProof/>
                <w:webHidden/>
              </w:rPr>
              <w:fldChar w:fldCharType="begin"/>
            </w:r>
            <w:r>
              <w:rPr>
                <w:noProof/>
                <w:webHidden/>
              </w:rPr>
              <w:instrText xml:space="preserve"> PAGEREF _Toc215351829 \h </w:instrText>
            </w:r>
            <w:r>
              <w:rPr>
                <w:noProof/>
                <w:webHidden/>
              </w:rPr>
            </w:r>
            <w:r>
              <w:rPr>
                <w:noProof/>
                <w:webHidden/>
              </w:rPr>
              <w:fldChar w:fldCharType="separate"/>
            </w:r>
            <w:r>
              <w:rPr>
                <w:noProof/>
                <w:webHidden/>
              </w:rPr>
              <w:t>22</w:t>
            </w:r>
            <w:r>
              <w:rPr>
                <w:noProof/>
                <w:webHidden/>
              </w:rPr>
              <w:fldChar w:fldCharType="end"/>
            </w:r>
          </w:hyperlink>
        </w:p>
        <w:p w:rsidR="000E7B8C" w:rsidRDefault="000E7B8C">
          <w:pPr>
            <w:pStyle w:val="TOC1"/>
            <w:tabs>
              <w:tab w:val="right" w:leader="dot" w:pos="9350"/>
            </w:tabs>
            <w:rPr>
              <w:rFonts w:asciiTheme="minorHAnsi" w:eastAsiaTheme="minorEastAsia" w:hAnsiTheme="minorHAnsi"/>
              <w:noProof/>
              <w:sz w:val="22"/>
            </w:rPr>
          </w:pPr>
          <w:hyperlink w:anchor="_Toc215351830" w:history="1">
            <w:r w:rsidRPr="003A20CB">
              <w:rPr>
                <w:rStyle w:val="Hyperlink"/>
                <w:noProof/>
              </w:rPr>
              <w:t>Reference</w:t>
            </w:r>
            <w:r>
              <w:rPr>
                <w:noProof/>
                <w:webHidden/>
              </w:rPr>
              <w:tab/>
            </w:r>
            <w:r>
              <w:rPr>
                <w:noProof/>
                <w:webHidden/>
              </w:rPr>
              <w:fldChar w:fldCharType="begin"/>
            </w:r>
            <w:r>
              <w:rPr>
                <w:noProof/>
                <w:webHidden/>
              </w:rPr>
              <w:instrText xml:space="preserve"> PAGEREF _Toc215351830 \h </w:instrText>
            </w:r>
            <w:r>
              <w:rPr>
                <w:noProof/>
                <w:webHidden/>
              </w:rPr>
            </w:r>
            <w:r>
              <w:rPr>
                <w:noProof/>
                <w:webHidden/>
              </w:rPr>
              <w:fldChar w:fldCharType="separate"/>
            </w:r>
            <w:r>
              <w:rPr>
                <w:noProof/>
                <w:webHidden/>
              </w:rPr>
              <w:t>23</w:t>
            </w:r>
            <w:r>
              <w:rPr>
                <w:noProof/>
                <w:webHidden/>
              </w:rPr>
              <w:fldChar w:fldCharType="end"/>
            </w:r>
          </w:hyperlink>
        </w:p>
        <w:p w:rsidR="002347E3" w:rsidRDefault="002347E3">
          <w:r>
            <w:rPr>
              <w:b/>
              <w:bCs/>
              <w:noProof/>
            </w:rPr>
            <w:fldChar w:fldCharType="end"/>
          </w:r>
        </w:p>
      </w:sdtContent>
    </w:sdt>
    <w:p w:rsidR="002347E3" w:rsidRDefault="002347E3" w:rsidP="004158FE">
      <w:pPr>
        <w:pStyle w:val="Heading1"/>
      </w:pPr>
    </w:p>
    <w:p w:rsidR="002347E3" w:rsidRDefault="002347E3" w:rsidP="002347E3">
      <w:pPr>
        <w:rPr>
          <w:rFonts w:eastAsiaTheme="majorEastAsia" w:cstheme="majorBidi"/>
          <w:sz w:val="32"/>
          <w:szCs w:val="32"/>
        </w:rPr>
      </w:pPr>
      <w:r>
        <w:br w:type="page"/>
      </w:r>
    </w:p>
    <w:p w:rsidR="00E30414" w:rsidRDefault="000A263D" w:rsidP="004158FE">
      <w:pPr>
        <w:pStyle w:val="Heading1"/>
      </w:pPr>
      <w:bookmarkStart w:id="1" w:name="_Toc215351811"/>
      <w:r>
        <w:lastRenderedPageBreak/>
        <w:t>Introduction</w:t>
      </w:r>
      <w:bookmarkEnd w:id="1"/>
    </w:p>
    <w:p w:rsidR="000A263D" w:rsidRPr="000A263D" w:rsidRDefault="000A263D" w:rsidP="006C7B96">
      <w:r w:rsidRPr="000A263D">
        <w:t xml:space="preserve">Nestlé S.A. is the largest food and beverage multinational company in the world, established in 1866 and based in </w:t>
      </w:r>
      <w:proofErr w:type="spellStart"/>
      <w:r w:rsidRPr="000A263D">
        <w:t>Vevey</w:t>
      </w:r>
      <w:proofErr w:type="spellEnd"/>
      <w:r w:rsidRPr="000A263D">
        <w:t>, Switzerland, and trading in more than 190 countries</w:t>
      </w:r>
      <w:r w:rsidR="006C7B96" w:rsidRPr="006C7B96">
        <w:t xml:space="preserve"> (Takahashi, 2021)</w:t>
      </w:r>
      <w:r w:rsidRPr="000A263D">
        <w:t xml:space="preserve">. The company has a wide range of products, which include nutrition, health and wellness category, beverages, dairy products, infant nutrition, pet care, and confectionery. </w:t>
      </w:r>
      <w:r w:rsidR="00EB1474">
        <w:t xml:space="preserve">Nestlé </w:t>
      </w:r>
      <w:r w:rsidRPr="000A263D">
        <w:t>has the vision of improving the quality of life and add up to a healthier future based on its high sustainability, innovation, and responsible business practices. Being a transnational company, Nestlé combines the efficiency of global and the sensitivity of local markets, adjusting its policies to the requirements of various consumers and laws. Its operation in the emerging economies like India, Brazil, and Nigeria shows that the company has managed to operate in complex global markets</w:t>
      </w:r>
      <w:r w:rsidR="006C7B96" w:rsidRPr="006C7B96">
        <w:t xml:space="preserve"> (</w:t>
      </w:r>
      <w:proofErr w:type="spellStart"/>
      <w:r w:rsidR="006C7B96" w:rsidRPr="006C7B96">
        <w:t>Goncalves</w:t>
      </w:r>
      <w:proofErr w:type="spellEnd"/>
      <w:r w:rsidR="006C7B96" w:rsidRPr="006C7B96">
        <w:t>, 2024)</w:t>
      </w:r>
      <w:r w:rsidRPr="000A263D">
        <w:t>. This report evaluates the advantages and weaknesses of the global business of Nestlé, how the OLI factors influence its market entry strategies, cultural issues, and strategic recommendations to reinforce its performance in the new markets.</w:t>
      </w:r>
    </w:p>
    <w:p w:rsidR="004158FE" w:rsidRDefault="000A263D" w:rsidP="0081391C">
      <w:pPr>
        <w:pStyle w:val="Heading1"/>
      </w:pPr>
      <w:r>
        <w:br w:type="page"/>
      </w:r>
      <w:bookmarkStart w:id="2" w:name="_Toc215351812"/>
      <w:r w:rsidR="004158FE">
        <w:lastRenderedPageBreak/>
        <w:t xml:space="preserve">2. </w:t>
      </w:r>
      <w:r w:rsidR="004158FE" w:rsidRPr="004158FE">
        <w:t>Benefits and challenges of international operations</w:t>
      </w:r>
      <w:bookmarkEnd w:id="2"/>
    </w:p>
    <w:p w:rsidR="00EB1474" w:rsidRPr="00EB1474" w:rsidRDefault="00EB1474" w:rsidP="002347E3">
      <w:pPr>
        <w:pStyle w:val="Heading2"/>
      </w:pPr>
      <w:bookmarkStart w:id="3" w:name="_Toc215351813"/>
      <w:r w:rsidRPr="00EB1474">
        <w:t xml:space="preserve">a. Nestlé classification as a </w:t>
      </w:r>
      <w:r>
        <w:t>Multinational Corporation (MNC)</w:t>
      </w:r>
      <w:bookmarkEnd w:id="3"/>
    </w:p>
    <w:p w:rsidR="00EB1474" w:rsidRDefault="00EB1474" w:rsidP="00EB1474">
      <w:r w:rsidRPr="00EB1474">
        <w:t>The presence of numerous operations in over 190 countries and its specific governance system being a unique case of balancing global integration and local responsiveness of its operations defines Nestlé S.A. as a Multinational Corporation (MNC) and a Transnational Corporation (TNC) in particular</w:t>
      </w:r>
      <w:r w:rsidR="006C7B96" w:rsidRPr="006C7B96">
        <w:t xml:space="preserve"> (</w:t>
      </w:r>
      <w:proofErr w:type="spellStart"/>
      <w:r w:rsidR="006C7B96" w:rsidRPr="006C7B96">
        <w:t>Goncalves</w:t>
      </w:r>
      <w:proofErr w:type="spellEnd"/>
      <w:r w:rsidR="006C7B96" w:rsidRPr="006C7B96">
        <w:t>, 2024)</w:t>
      </w:r>
      <w:r w:rsidRPr="00EB1474">
        <w:t xml:space="preserve">. Nestlé is a Swiss-based company, and its management is decentralised in that the local and regional subsidiaries are allowed to make decisions that benefit their markets without compromising the global strategic goals of the corporation. This framework is a good example of the </w:t>
      </w:r>
      <w:proofErr w:type="spellStart"/>
      <w:r w:rsidRPr="00EB1474">
        <w:t>conceptualisation</w:t>
      </w:r>
      <w:proofErr w:type="spellEnd"/>
      <w:r w:rsidRPr="00EB1474">
        <w:t xml:space="preserve"> of the transnational model as proposed to drive efficiency, flexibility, and cross-border learning</w:t>
      </w:r>
      <w:r w:rsidR="006C7B96" w:rsidRPr="006C7B96">
        <w:t xml:space="preserve"> (Richter et al., 2022)</w:t>
      </w:r>
      <w:r w:rsidRPr="00EB1474">
        <w:t>.</w:t>
      </w:r>
    </w:p>
    <w:p w:rsidR="00F573E3" w:rsidRPr="00EB1474" w:rsidRDefault="00F573E3" w:rsidP="00F573E3">
      <w:pPr>
        <w:jc w:val="center"/>
      </w:pPr>
      <w:r>
        <w:rPr>
          <w:noProof/>
        </w:rPr>
        <w:drawing>
          <wp:anchor distT="0" distB="0" distL="114300" distR="114300" simplePos="0" relativeHeight="251658240" behindDoc="0" locked="0" layoutInCell="1" allowOverlap="1" wp14:anchorId="521D6807" wp14:editId="4D2CA876">
            <wp:simplePos x="0" y="0"/>
            <wp:positionH relativeFrom="column">
              <wp:posOffset>0</wp:posOffset>
            </wp:positionH>
            <wp:positionV relativeFrom="paragraph">
              <wp:posOffset>1960</wp:posOffset>
            </wp:positionV>
            <wp:extent cx="5943600" cy="23228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1C1A43.tmp"/>
                    <pic:cNvPicPr/>
                  </pic:nvPicPr>
                  <pic:blipFill>
                    <a:blip r:embed="rId9">
                      <a:extLst>
                        <a:ext uri="{28A0092B-C50C-407E-A947-70E740481C1C}">
                          <a14:useLocalDpi xmlns:a14="http://schemas.microsoft.com/office/drawing/2010/main" val="0"/>
                        </a:ext>
                      </a:extLst>
                    </a:blip>
                    <a:stretch>
                      <a:fillRect/>
                    </a:stretch>
                  </pic:blipFill>
                  <pic:spPr>
                    <a:xfrm>
                      <a:off x="0" y="0"/>
                      <a:ext cx="5943600" cy="2322830"/>
                    </a:xfrm>
                    <a:prstGeom prst="rect">
                      <a:avLst/>
                    </a:prstGeom>
                  </pic:spPr>
                </pic:pic>
              </a:graphicData>
            </a:graphic>
          </wp:anchor>
        </w:drawing>
      </w:r>
      <w:r>
        <w:t xml:space="preserve">Figure 1: Product portfolio of </w:t>
      </w:r>
      <w:r w:rsidRPr="00EB1474">
        <w:t>Nestlé</w:t>
      </w:r>
      <w:r>
        <w:t xml:space="preserve"> </w:t>
      </w:r>
      <w:r w:rsidRPr="00F573E3">
        <w:t>(Nestlé, 2025)</w:t>
      </w:r>
      <w:r>
        <w:t>.</w:t>
      </w:r>
    </w:p>
    <w:p w:rsidR="00772917" w:rsidRDefault="00EB1474" w:rsidP="00EB1474">
      <w:r w:rsidRPr="00EB1474">
        <w:t>With a workforce of more than 270000 employees, Nestlé operates more than 2000 brands and has international stars like Nescafé, KitKat, Maggi, and Purina. It also has an international network of R&amp;D, which consists of 23 research centres, further strengthening its MNC status</w:t>
      </w:r>
      <w:r w:rsidR="006C7B96" w:rsidRPr="006C7B96">
        <w:t xml:space="preserve"> (Takahashi, 2021)</w:t>
      </w:r>
      <w:r w:rsidRPr="00EB1474">
        <w:t xml:space="preserve">. Contrary to the purely global corporations that follow the </w:t>
      </w:r>
      <w:proofErr w:type="spellStart"/>
      <w:r w:rsidRPr="00EB1474">
        <w:t>standardisation</w:t>
      </w:r>
      <w:proofErr w:type="spellEnd"/>
      <w:r w:rsidRPr="00EB1474">
        <w:t xml:space="preserve"> path, Nes</w:t>
      </w:r>
      <w:r w:rsidR="0081391C">
        <w:t>tlé follows the approach of glob</w:t>
      </w:r>
      <w:r w:rsidRPr="00EB1474">
        <w:t xml:space="preserve">alisation, the combination of global skills and local response. </w:t>
      </w:r>
    </w:p>
    <w:p w:rsidR="00EB1474" w:rsidRPr="00EB1474" w:rsidRDefault="00EB1474" w:rsidP="002347E3">
      <w:pPr>
        <w:pStyle w:val="Heading2"/>
      </w:pPr>
      <w:bookmarkStart w:id="4" w:name="_Toc215351814"/>
      <w:r w:rsidRPr="00EB1474">
        <w:lastRenderedPageBreak/>
        <w:t>b. The Characteristics of Global Operations and Value Chain of Nestlé.</w:t>
      </w:r>
      <w:bookmarkEnd w:id="4"/>
    </w:p>
    <w:p w:rsidR="00EB1474" w:rsidRPr="00EB1474" w:rsidRDefault="00EB1474" w:rsidP="00EB1474">
      <w:r w:rsidRPr="00EB1474">
        <w:t>The Nestlé value chain is an indication of its multifaceted and globalized operations, which involve research and development (R&amp;D), sourcing, production, marketing, distribution, and financing</w:t>
      </w:r>
      <w:r w:rsidR="006C7B96" w:rsidRPr="006C7B96">
        <w:t xml:space="preserve"> (</w:t>
      </w:r>
      <w:proofErr w:type="spellStart"/>
      <w:r w:rsidR="006C7B96" w:rsidRPr="006C7B96">
        <w:t>Jansson</w:t>
      </w:r>
      <w:proofErr w:type="spellEnd"/>
      <w:r w:rsidR="006C7B96" w:rsidRPr="006C7B96">
        <w:t>, 2020)</w:t>
      </w:r>
      <w:r w:rsidRPr="00EB1474">
        <w:t>. All these factors are helping it maintain its competitive edge in the food and beverage industry across the world.</w:t>
      </w:r>
    </w:p>
    <w:p w:rsidR="00EB1474" w:rsidRPr="002347E3" w:rsidRDefault="002347E3" w:rsidP="00EB1474">
      <w:pPr>
        <w:rPr>
          <w:b/>
        </w:rPr>
      </w:pPr>
      <w:r w:rsidRPr="002347E3">
        <w:rPr>
          <w:b/>
        </w:rPr>
        <w:t>Research and Development</w:t>
      </w:r>
    </w:p>
    <w:p w:rsidR="00772917" w:rsidRDefault="00EB1474" w:rsidP="00EB1474">
      <w:r>
        <w:t>Nestlé</w:t>
      </w:r>
      <w:r w:rsidRPr="00EB1474">
        <w:t xml:space="preserve"> has its success based on innovation. Its network of global R&amp;D, with its research centres in Switzerland, China, and Singapore, enables the process of product innovation that is </w:t>
      </w:r>
      <w:proofErr w:type="spellStart"/>
      <w:r w:rsidRPr="00EB1474">
        <w:t>localised</w:t>
      </w:r>
      <w:proofErr w:type="spellEnd"/>
      <w:r w:rsidR="006C7B96" w:rsidRPr="006C7B96">
        <w:t xml:space="preserve"> (</w:t>
      </w:r>
      <w:proofErr w:type="spellStart"/>
      <w:r w:rsidR="006C7B96" w:rsidRPr="006C7B96">
        <w:t>Jansson</w:t>
      </w:r>
      <w:proofErr w:type="spellEnd"/>
      <w:r w:rsidR="006C7B96" w:rsidRPr="006C7B96">
        <w:t>, 2020)</w:t>
      </w:r>
      <w:r w:rsidRPr="00EB1474">
        <w:t xml:space="preserve">. In this regard, a case in point, the company R&amp;D </w:t>
      </w:r>
      <w:proofErr w:type="spellStart"/>
      <w:r w:rsidRPr="00EB1474">
        <w:t>centre</w:t>
      </w:r>
      <w:proofErr w:type="spellEnd"/>
      <w:r w:rsidRPr="00EB1474">
        <w:t xml:space="preserve"> in India has been working on affordable nutrition development, including iron-enriched cereals, which in this instance can deal with the regional shortages of diets. </w:t>
      </w:r>
    </w:p>
    <w:p w:rsidR="00EB1474" w:rsidRPr="002347E3" w:rsidRDefault="002347E3" w:rsidP="00EB1474">
      <w:pPr>
        <w:rPr>
          <w:b/>
        </w:rPr>
      </w:pPr>
      <w:r w:rsidRPr="002347E3">
        <w:rPr>
          <w:b/>
        </w:rPr>
        <w:t>Sourcing and Procurement</w:t>
      </w:r>
    </w:p>
    <w:p w:rsidR="002347E3" w:rsidRDefault="00EB1474" w:rsidP="00EB1474">
      <w:r w:rsidRPr="00EB1474">
        <w:t xml:space="preserve">Nestlé obtains raw materials, such as milk, cocoa, and coffee, working with thousands of farmers around the world. The Nestlé Cocoa Plan and Nescafé Plan of the company are to achieve this objective by increasing the sustainability of the supply chains through better agricultural practices, the income of the farmers, and environmental </w:t>
      </w:r>
      <w:r w:rsidR="006C7B96" w:rsidRPr="00EB1474">
        <w:t>performance</w:t>
      </w:r>
      <w:r w:rsidR="006C7B96" w:rsidRPr="006C7B96">
        <w:t xml:space="preserve"> (</w:t>
      </w:r>
      <w:proofErr w:type="spellStart"/>
      <w:r w:rsidR="006C7B96" w:rsidRPr="006C7B96">
        <w:t>Galanakis</w:t>
      </w:r>
      <w:proofErr w:type="spellEnd"/>
      <w:r w:rsidR="006C7B96" w:rsidRPr="006C7B96">
        <w:t>, 2022)</w:t>
      </w:r>
      <w:r w:rsidRPr="00EB1474">
        <w:t xml:space="preserve">. </w:t>
      </w:r>
    </w:p>
    <w:p w:rsidR="00EB1474" w:rsidRPr="002347E3" w:rsidRDefault="002347E3" w:rsidP="00EB1474">
      <w:pPr>
        <w:rPr>
          <w:b/>
        </w:rPr>
      </w:pPr>
      <w:r w:rsidRPr="002347E3">
        <w:rPr>
          <w:b/>
        </w:rPr>
        <w:t>Production and Manufacturing</w:t>
      </w:r>
    </w:p>
    <w:p w:rsidR="00772917" w:rsidRDefault="00EB1474" w:rsidP="00EB1474">
      <w:r>
        <w:t xml:space="preserve">Nestlé </w:t>
      </w:r>
      <w:r w:rsidRPr="00EB1474">
        <w:t xml:space="preserve">has about 350 factories globally; they are strategically positioned to increase their production efficiency and closeness to the major </w:t>
      </w:r>
      <w:r w:rsidR="006C7B96" w:rsidRPr="00EB1474">
        <w:t>markets</w:t>
      </w:r>
      <w:r w:rsidR="006C7B96" w:rsidRPr="006C7B96">
        <w:t xml:space="preserve"> (</w:t>
      </w:r>
      <w:proofErr w:type="spellStart"/>
      <w:r w:rsidR="006C7B96" w:rsidRPr="006C7B96">
        <w:t>Squicciarini</w:t>
      </w:r>
      <w:proofErr w:type="spellEnd"/>
      <w:r w:rsidR="006C7B96" w:rsidRPr="006C7B96">
        <w:t xml:space="preserve"> and Johan </w:t>
      </w:r>
      <w:proofErr w:type="spellStart"/>
      <w:r w:rsidR="006C7B96" w:rsidRPr="006C7B96">
        <w:t>Swinnen</w:t>
      </w:r>
      <w:proofErr w:type="spellEnd"/>
      <w:r w:rsidR="006C7B96" w:rsidRPr="006C7B96">
        <w:t>, 2016)</w:t>
      </w:r>
      <w:r w:rsidRPr="00EB1474">
        <w:t xml:space="preserve">. In the emerging markets like India, Nigeria, and Brazil, the local manufacturing plants allow the cost to be minimized by economies of scale and lower the transportation expenses. </w:t>
      </w:r>
    </w:p>
    <w:p w:rsidR="00EB1474" w:rsidRPr="002347E3" w:rsidRDefault="002347E3" w:rsidP="00EB1474">
      <w:pPr>
        <w:rPr>
          <w:b/>
        </w:rPr>
      </w:pPr>
      <w:r w:rsidRPr="002347E3">
        <w:rPr>
          <w:b/>
        </w:rPr>
        <w:t>Marketing and Distribution</w:t>
      </w:r>
    </w:p>
    <w:p w:rsidR="002347E3" w:rsidRDefault="00EB1474" w:rsidP="00EB1474">
      <w:r w:rsidRPr="00EB1474">
        <w:t xml:space="preserve">The marketing approach of </w:t>
      </w:r>
      <w:r>
        <w:t xml:space="preserve">Nestlé </w:t>
      </w:r>
      <w:r w:rsidRPr="00EB1474">
        <w:t>combines the worldwide brand uniformity and subsequent localization. The firm applies a combined marketing strategy, using digital media, sponsoring, and social campaigns. The Nescafé campaign of #</w:t>
      </w:r>
      <w:proofErr w:type="spellStart"/>
      <w:r w:rsidRPr="00EB1474">
        <w:t>ItAllStarts</w:t>
      </w:r>
      <w:proofErr w:type="spellEnd"/>
      <w:r w:rsidRPr="00EB1474">
        <w:t xml:space="preserve"> is a good </w:t>
      </w:r>
      <w:r w:rsidRPr="00EB1474">
        <w:lastRenderedPageBreak/>
        <w:t>example, which appeals to the whole world but is regional in terms of approach to local desires</w:t>
      </w:r>
      <w:r w:rsidR="005F56DD" w:rsidRPr="005F56DD">
        <w:t xml:space="preserve"> (</w:t>
      </w:r>
      <w:proofErr w:type="spellStart"/>
      <w:r w:rsidR="005F56DD" w:rsidRPr="005F56DD">
        <w:t>Gunasekaran</w:t>
      </w:r>
      <w:proofErr w:type="spellEnd"/>
      <w:r w:rsidR="005F56DD" w:rsidRPr="005F56DD">
        <w:t xml:space="preserve"> et al., 2012)</w:t>
      </w:r>
      <w:r w:rsidRPr="00EB1474">
        <w:t xml:space="preserve">. </w:t>
      </w:r>
    </w:p>
    <w:p w:rsidR="00EB1474" w:rsidRPr="002347E3" w:rsidRDefault="00EB1474" w:rsidP="00EB1474">
      <w:pPr>
        <w:rPr>
          <w:b/>
        </w:rPr>
      </w:pPr>
      <w:r w:rsidRPr="002347E3">
        <w:rPr>
          <w:b/>
        </w:rPr>
        <w:t>Inve</w:t>
      </w:r>
      <w:r w:rsidR="002347E3" w:rsidRPr="002347E3">
        <w:rPr>
          <w:b/>
        </w:rPr>
        <w:t>stment and Corporate Governance</w:t>
      </w:r>
    </w:p>
    <w:p w:rsidR="00EB1474" w:rsidRPr="00EB1474" w:rsidRDefault="00EB1474" w:rsidP="00EB1474">
      <w:r>
        <w:t xml:space="preserve">Nestlé </w:t>
      </w:r>
      <w:r w:rsidRPr="00EB1474">
        <w:t xml:space="preserve">has a </w:t>
      </w:r>
      <w:proofErr w:type="spellStart"/>
      <w:r w:rsidRPr="00EB1474">
        <w:t>centralised</w:t>
      </w:r>
      <w:proofErr w:type="spellEnd"/>
      <w:r w:rsidRPr="00EB1474">
        <w:t xml:space="preserve"> treasury system based in Switzerland, which oversees finances and enables the company to maintain economic stability and capital expenditures all over the world. The credit rating of the company is one of the highest in the industry (AA- by Standard &amp; Poor’s), indicating good financial management. </w:t>
      </w:r>
    </w:p>
    <w:p w:rsidR="00EB1474" w:rsidRPr="00EB1474" w:rsidRDefault="00EB1474" w:rsidP="00EB1474">
      <w:r w:rsidRPr="00EB1474">
        <w:t>All in all, Nestlé's value chain is built in synergy such that including research, sustainability, and responsiveness to the local environment, so that it can remain at the same level as a global leader in the food and nutrition industry.</w:t>
      </w:r>
    </w:p>
    <w:p w:rsidR="00EB1474" w:rsidRPr="00EB1474" w:rsidRDefault="00EB1474" w:rsidP="002347E3">
      <w:pPr>
        <w:pStyle w:val="Heading2"/>
      </w:pPr>
      <w:bookmarkStart w:id="5" w:name="_Toc215351815"/>
      <w:r w:rsidRPr="00EB1474">
        <w:t xml:space="preserve">c. </w:t>
      </w:r>
      <w:r w:rsidR="005F56DD">
        <w:t>E</w:t>
      </w:r>
      <w:r w:rsidRPr="00EB1474">
        <w:t xml:space="preserve">ntry modes </w:t>
      </w:r>
      <w:r w:rsidR="005F56DD">
        <w:t>for Nestl</w:t>
      </w:r>
      <w:r w:rsidR="005F56DD" w:rsidRPr="005F56DD">
        <w:t>é</w:t>
      </w:r>
      <w:r w:rsidR="005F56DD">
        <w:t xml:space="preserve"> </w:t>
      </w:r>
      <w:r w:rsidRPr="00EB1474">
        <w:t>in International markets</w:t>
      </w:r>
      <w:bookmarkEnd w:id="5"/>
    </w:p>
    <w:p w:rsidR="00EB1474" w:rsidRPr="00EB1474" w:rsidRDefault="00EB1474" w:rsidP="00EB1474">
      <w:r>
        <w:t xml:space="preserve">Nestlé </w:t>
      </w:r>
      <w:r w:rsidRPr="00EB1474">
        <w:t>has used various entry modes to increase its presence in the international market, and it pursues them depending on the market circumstances, cultural background, and risk tolerance</w:t>
      </w:r>
      <w:r w:rsidR="005F56DD" w:rsidRPr="005F56DD">
        <w:t xml:space="preserve"> (</w:t>
      </w:r>
      <w:proofErr w:type="spellStart"/>
      <w:r w:rsidR="005F56DD" w:rsidRPr="005F56DD">
        <w:t>Elsner</w:t>
      </w:r>
      <w:proofErr w:type="spellEnd"/>
      <w:r w:rsidR="005F56DD" w:rsidRPr="005F56DD">
        <w:t>, 2014)</w:t>
      </w:r>
      <w:r w:rsidRPr="00EB1474">
        <w:t>. This company applies foreign direct investment (FDI), joint ventures (JVs), acquisitions, and strategic alliances in expanding and entering various markets.</w:t>
      </w:r>
    </w:p>
    <w:p w:rsidR="00EB1474" w:rsidRPr="002347E3" w:rsidRDefault="002347E3" w:rsidP="00EB1474">
      <w:pPr>
        <w:rPr>
          <w:b/>
        </w:rPr>
      </w:pPr>
      <w:r w:rsidRPr="002347E3">
        <w:rPr>
          <w:b/>
        </w:rPr>
        <w:t>Foreign Direct Investment (FDI)</w:t>
      </w:r>
    </w:p>
    <w:p w:rsidR="00EB1474" w:rsidRPr="00EB1474" w:rsidRDefault="00EB1474" w:rsidP="00EB1474">
      <w:r w:rsidRPr="00EB1474">
        <w:t xml:space="preserve">The leading mode of entry by </w:t>
      </w:r>
      <w:r>
        <w:t xml:space="preserve">Nestlé </w:t>
      </w:r>
      <w:r w:rsidRPr="00EB1474">
        <w:t xml:space="preserve">is FDI. The company puts a lot of investment into the establishment of wholly owned subsidiaries and local production plants with control of quality, supply chain management, and brand identity. As an example, </w:t>
      </w:r>
      <w:r>
        <w:t xml:space="preserve">Nestlé </w:t>
      </w:r>
      <w:r w:rsidRPr="00EB1474">
        <w:t>has been able to establish deep-rooted operations in India since its first direct investment in India in 1912, which makes it one of the largest food companies in the region</w:t>
      </w:r>
      <w:r w:rsidR="005F56DD" w:rsidRPr="005F56DD">
        <w:t xml:space="preserve"> (Van et al., 2025)</w:t>
      </w:r>
      <w:r w:rsidRPr="00EB1474">
        <w:t xml:space="preserve">. Equally, </w:t>
      </w:r>
      <w:r>
        <w:t xml:space="preserve">Nestlé </w:t>
      </w:r>
      <w:r w:rsidRPr="00EB1474">
        <w:t>has more than 30 factories and a number of R&amp;D centres in China that depict its long-term investment in the market.</w:t>
      </w:r>
    </w:p>
    <w:p w:rsidR="00EB1474" w:rsidRPr="002347E3" w:rsidRDefault="00EB1474" w:rsidP="00EB1474">
      <w:pPr>
        <w:rPr>
          <w:b/>
        </w:rPr>
      </w:pPr>
      <w:r w:rsidRPr="002347E3">
        <w:rPr>
          <w:b/>
        </w:rPr>
        <w:t>Joint V</w:t>
      </w:r>
      <w:r w:rsidR="002347E3" w:rsidRPr="002347E3">
        <w:rPr>
          <w:b/>
        </w:rPr>
        <w:t>entures and Strategic Alliances</w:t>
      </w:r>
    </w:p>
    <w:p w:rsidR="00EB1474" w:rsidRPr="00EB1474" w:rsidRDefault="00EB1474" w:rsidP="00EB1474">
      <w:r w:rsidRPr="00EB1474">
        <w:t xml:space="preserve">Joint ventures are also applied by </w:t>
      </w:r>
      <w:r>
        <w:t xml:space="preserve">Nestlé </w:t>
      </w:r>
      <w:r w:rsidRPr="00EB1474">
        <w:t xml:space="preserve">in entering regulated or complex markets. It has, for instance, partnered in a joint venture with General Mills, General Mills- Cereal Partners Worldwide (CPW), and has produced and marketed breakfast cereal in more than 130 </w:t>
      </w:r>
      <w:r w:rsidRPr="00EB1474">
        <w:lastRenderedPageBreak/>
        <w:t>countries</w:t>
      </w:r>
      <w:r w:rsidR="003C2BD7" w:rsidRPr="003C2BD7">
        <w:t xml:space="preserve"> (Nestlé, 2025)</w:t>
      </w:r>
      <w:r w:rsidRPr="00EB1474">
        <w:t xml:space="preserve">. Moreover, in 2018, </w:t>
      </w:r>
      <w:r>
        <w:t xml:space="preserve">Nestlé </w:t>
      </w:r>
      <w:r w:rsidRPr="00EB1474">
        <w:t>made a global partnership with Starbucks to market and sell products with the Starbucks brand name, using its global distribution network. These partnerships lower the barriers of entry and pool strengths in product development and market penetration.</w:t>
      </w:r>
    </w:p>
    <w:p w:rsidR="00EB1474" w:rsidRPr="002347E3" w:rsidRDefault="002347E3" w:rsidP="00EB1474">
      <w:pPr>
        <w:rPr>
          <w:b/>
        </w:rPr>
      </w:pPr>
      <w:r w:rsidRPr="002347E3">
        <w:rPr>
          <w:b/>
        </w:rPr>
        <w:t>Mergers and Acquisitions (M&amp;A)</w:t>
      </w:r>
    </w:p>
    <w:p w:rsidR="00EB1474" w:rsidRPr="00EB1474" w:rsidRDefault="00EB1474" w:rsidP="00EB1474">
      <w:r w:rsidRPr="00EB1474">
        <w:t xml:space="preserve">Acquisition has helped </w:t>
      </w:r>
      <w:r>
        <w:t xml:space="preserve">Nestlé </w:t>
      </w:r>
      <w:r w:rsidRPr="00EB1474">
        <w:t>to broaden its portfolio and geographical coverage. An example is the acquisition of Wyeth Nutrition, which increased its contribution in infant nutrition, and the acquisition of Pfizer's nutrition division, which consolidated its leadership in the emerging markets</w:t>
      </w:r>
      <w:r w:rsidR="003C2BD7" w:rsidRPr="003C2BD7">
        <w:t xml:space="preserve"> (Nestle, 2023)</w:t>
      </w:r>
      <w:r w:rsidRPr="00EB1474">
        <w:t xml:space="preserve">. The approach that </w:t>
      </w:r>
      <w:r>
        <w:t xml:space="preserve">Nestlé </w:t>
      </w:r>
      <w:r w:rsidRPr="00EB1474">
        <w:t>uses in Latin America and Africa is to acquire local brands that already have a consumer trust, thus penetrating the market and cultural acceptance faster.</w:t>
      </w:r>
    </w:p>
    <w:p w:rsidR="00EB1474" w:rsidRPr="002347E3" w:rsidRDefault="002347E3" w:rsidP="00EB1474">
      <w:pPr>
        <w:rPr>
          <w:b/>
        </w:rPr>
      </w:pPr>
      <w:r w:rsidRPr="002347E3">
        <w:rPr>
          <w:b/>
        </w:rPr>
        <w:t>Franchising and Licensing</w:t>
      </w:r>
    </w:p>
    <w:p w:rsidR="00EB1474" w:rsidRPr="00EB1474" w:rsidRDefault="00EB1474" w:rsidP="00EB1474">
      <w:r w:rsidRPr="00EB1474">
        <w:t xml:space="preserve">Less popular is franchising, which is selectively applied to </w:t>
      </w:r>
      <w:r>
        <w:t xml:space="preserve">Nestlé </w:t>
      </w:r>
      <w:r w:rsidRPr="00EB1474">
        <w:t xml:space="preserve">retail-driven businesses, including </w:t>
      </w:r>
      <w:proofErr w:type="spellStart"/>
      <w:r w:rsidRPr="00EB1474">
        <w:t>Nespresso</w:t>
      </w:r>
      <w:proofErr w:type="spellEnd"/>
      <w:r w:rsidRPr="00EB1474">
        <w:t xml:space="preserve"> Boutiques and </w:t>
      </w:r>
      <w:r>
        <w:t xml:space="preserve">Nestlé </w:t>
      </w:r>
      <w:r w:rsidRPr="00EB1474">
        <w:t>Toll House Cafes. The licensing structure, especially the beverage and confectionery business, gives the company the opportunity to utilize local production without compromising brand reputation</w:t>
      </w:r>
      <w:r w:rsidR="003C2BD7" w:rsidRPr="003C2BD7">
        <w:t xml:space="preserve"> (Jensen et al., 2023)</w:t>
      </w:r>
      <w:r w:rsidRPr="00EB1474">
        <w:t>.</w:t>
      </w:r>
    </w:p>
    <w:p w:rsidR="00EB1474" w:rsidRPr="00EB1474" w:rsidRDefault="00EB1474" w:rsidP="00EB1474">
      <w:r w:rsidRPr="00EB1474">
        <w:t xml:space="preserve">In general, the diversified entry strategy of </w:t>
      </w:r>
      <w:r>
        <w:t xml:space="preserve">Nestlé </w:t>
      </w:r>
      <w:r w:rsidRPr="00EB1474">
        <w:t xml:space="preserve">can be considered as flexible and having profound knowledge of the dynamics of the local markets. Its prevailing position of using FDI highlights its </w:t>
      </w:r>
      <w:proofErr w:type="spellStart"/>
      <w:r w:rsidRPr="00EB1474">
        <w:t>favour</w:t>
      </w:r>
      <w:proofErr w:type="spellEnd"/>
      <w:r w:rsidRPr="00EB1474">
        <w:t xml:space="preserve"> of control and long-term entrapment in the market, which is aligned with the Dunning paradigm of the portion of advantages in ownership, location, and internalisation, which is Eclectic.</w:t>
      </w:r>
    </w:p>
    <w:p w:rsidR="00EB1474" w:rsidRPr="00EB1474" w:rsidRDefault="00EB1474" w:rsidP="002347E3">
      <w:pPr>
        <w:pStyle w:val="Heading2"/>
      </w:pPr>
      <w:bookmarkStart w:id="6" w:name="_Toc215351816"/>
      <w:r w:rsidRPr="00EB1474">
        <w:t xml:space="preserve">d. Advantages and Problems of the International Activities of </w:t>
      </w:r>
      <w:r>
        <w:t>Nestlé</w:t>
      </w:r>
      <w:bookmarkEnd w:id="6"/>
    </w:p>
    <w:p w:rsidR="00EB1474" w:rsidRPr="003C2BD7" w:rsidRDefault="00EB1474" w:rsidP="00EB1474">
      <w:pPr>
        <w:rPr>
          <w:b/>
          <w:sz w:val="28"/>
        </w:rPr>
      </w:pPr>
      <w:r w:rsidRPr="003C2BD7">
        <w:rPr>
          <w:b/>
          <w:sz w:val="28"/>
        </w:rPr>
        <w:t>Key Benefits</w:t>
      </w:r>
    </w:p>
    <w:p w:rsidR="00EB1474" w:rsidRPr="002347E3" w:rsidRDefault="00EB1474" w:rsidP="00EB1474">
      <w:pPr>
        <w:rPr>
          <w:b/>
        </w:rPr>
      </w:pPr>
      <w:r w:rsidRPr="002347E3">
        <w:rPr>
          <w:b/>
        </w:rPr>
        <w:t>1. Global Market Di</w:t>
      </w:r>
      <w:r w:rsidR="002347E3" w:rsidRPr="002347E3">
        <w:rPr>
          <w:b/>
        </w:rPr>
        <w:t>versification</w:t>
      </w:r>
    </w:p>
    <w:p w:rsidR="00EB1474" w:rsidRPr="00EB1474" w:rsidRDefault="00EB1474" w:rsidP="00EB1474">
      <w:r w:rsidRPr="00EB1474">
        <w:t xml:space="preserve">The global growth offers Nestlé diversification of risk and revenue stability. The geographic diversification of the company helps to have the economic downturns in one part of the world counteracted by growth in another part. To illustrate, the European economic crisis caused </w:t>
      </w:r>
      <w:r>
        <w:t xml:space="preserve">Nestlé </w:t>
      </w:r>
      <w:r w:rsidRPr="00EB1474">
        <w:t xml:space="preserve">to perform well in Asia and Africa, which supported the </w:t>
      </w:r>
      <w:r w:rsidRPr="00EB1474">
        <w:lastRenderedPageBreak/>
        <w:t>profitability in general</w:t>
      </w:r>
      <w:r w:rsidR="00901B18" w:rsidRPr="00901B18">
        <w:t xml:space="preserve"> (</w:t>
      </w:r>
      <w:proofErr w:type="spellStart"/>
      <w:r w:rsidR="00901B18" w:rsidRPr="00901B18">
        <w:t>Schlegelmilch</w:t>
      </w:r>
      <w:proofErr w:type="spellEnd"/>
      <w:r w:rsidR="00901B18" w:rsidRPr="00901B18">
        <w:t>, 2023)</w:t>
      </w:r>
      <w:r w:rsidRPr="00EB1474">
        <w:t>. This diversification is a buffer against currency and market volatility.</w:t>
      </w:r>
    </w:p>
    <w:p w:rsidR="00EB1474" w:rsidRPr="002347E3" w:rsidRDefault="002347E3" w:rsidP="00EB1474">
      <w:pPr>
        <w:rPr>
          <w:b/>
        </w:rPr>
      </w:pPr>
      <w:r w:rsidRPr="002347E3">
        <w:rPr>
          <w:b/>
        </w:rPr>
        <w:t>2. Economies of Scale and Scope</w:t>
      </w:r>
    </w:p>
    <w:p w:rsidR="00EB1474" w:rsidRPr="00EB1474" w:rsidRDefault="00EB1474" w:rsidP="00EB1474">
      <w:r w:rsidRPr="00EB1474">
        <w:t xml:space="preserve">The large scale of </w:t>
      </w:r>
      <w:r>
        <w:t xml:space="preserve">Nestlé </w:t>
      </w:r>
      <w:r w:rsidRPr="00EB1474">
        <w:t xml:space="preserve">is also effective in the cost-efficiency in production, purchases, and transportation. </w:t>
      </w:r>
      <w:proofErr w:type="spellStart"/>
      <w:r w:rsidRPr="00EB1474">
        <w:t>Centralised</w:t>
      </w:r>
      <w:proofErr w:type="spellEnd"/>
      <w:r w:rsidRPr="00EB1474">
        <w:t xml:space="preserve"> R&amp;D enables an innovation diffusion across markets as </w:t>
      </w:r>
      <w:proofErr w:type="spellStart"/>
      <w:r w:rsidRPr="00EB1474">
        <w:t>standardised</w:t>
      </w:r>
      <w:proofErr w:type="spellEnd"/>
      <w:r w:rsidRPr="00EB1474">
        <w:t xml:space="preserve"> global processes are used to improve operational consistency</w:t>
      </w:r>
      <w:r w:rsidR="00901B18" w:rsidRPr="00901B18">
        <w:t xml:space="preserve"> (</w:t>
      </w:r>
      <w:proofErr w:type="spellStart"/>
      <w:r w:rsidR="00901B18" w:rsidRPr="00901B18">
        <w:t>Bhagirath</w:t>
      </w:r>
      <w:proofErr w:type="spellEnd"/>
      <w:r w:rsidR="00901B18" w:rsidRPr="00901B18">
        <w:t xml:space="preserve"> Prakash </w:t>
      </w:r>
      <w:proofErr w:type="spellStart"/>
      <w:r w:rsidR="00901B18" w:rsidRPr="00901B18">
        <w:t>Baria</w:t>
      </w:r>
      <w:proofErr w:type="spellEnd"/>
      <w:r w:rsidR="00901B18" w:rsidRPr="00901B18">
        <w:t>, 2022)</w:t>
      </w:r>
      <w:r w:rsidRPr="00EB1474">
        <w:t>. Supply chain integration also enables bulk buying of raw materials, thus lowering the input costs.</w:t>
      </w:r>
    </w:p>
    <w:p w:rsidR="00EB1474" w:rsidRPr="002347E3" w:rsidRDefault="002347E3" w:rsidP="00EB1474">
      <w:pPr>
        <w:rPr>
          <w:b/>
        </w:rPr>
      </w:pPr>
      <w:r w:rsidRPr="002347E3">
        <w:rPr>
          <w:b/>
        </w:rPr>
        <w:t>3. Access to Emerging Markets</w:t>
      </w:r>
    </w:p>
    <w:p w:rsidR="00EB1474" w:rsidRPr="00EB1474" w:rsidRDefault="00EB1474" w:rsidP="00EB1474">
      <w:r w:rsidRPr="00EB1474">
        <w:t xml:space="preserve">The move to the new economies has given </w:t>
      </w:r>
      <w:r>
        <w:t xml:space="preserve">Nestlé </w:t>
      </w:r>
      <w:r w:rsidRPr="00EB1474">
        <w:t xml:space="preserve">a great growth potential. As an example, India and Nigeria are now big income-generating countries for </w:t>
      </w:r>
      <w:r>
        <w:t xml:space="preserve">Nestlé </w:t>
      </w:r>
      <w:r w:rsidRPr="00EB1474">
        <w:t>as a result of the increase in middle-class consumption</w:t>
      </w:r>
      <w:r w:rsidR="00901B18" w:rsidRPr="00901B18">
        <w:t xml:space="preserve"> (</w:t>
      </w:r>
      <w:proofErr w:type="spellStart"/>
      <w:r w:rsidR="00901B18" w:rsidRPr="00901B18">
        <w:t>Bhagirath</w:t>
      </w:r>
      <w:proofErr w:type="spellEnd"/>
      <w:r w:rsidR="00901B18" w:rsidRPr="00901B18">
        <w:t xml:space="preserve"> Prakash </w:t>
      </w:r>
      <w:proofErr w:type="spellStart"/>
      <w:r w:rsidR="00901B18" w:rsidRPr="00901B18">
        <w:t>Baria</w:t>
      </w:r>
      <w:proofErr w:type="spellEnd"/>
      <w:r w:rsidR="00901B18" w:rsidRPr="00901B18">
        <w:t>, 2022)</w:t>
      </w:r>
      <w:r w:rsidRPr="00EB1474">
        <w:t>. It has competed well by customizing its products to the local tastes, including smaller packs, to its price-sensitive market.</w:t>
      </w:r>
    </w:p>
    <w:p w:rsidR="00EB1474" w:rsidRPr="002347E3" w:rsidRDefault="002347E3" w:rsidP="00EB1474">
      <w:pPr>
        <w:rPr>
          <w:b/>
        </w:rPr>
      </w:pPr>
      <w:r w:rsidRPr="002347E3">
        <w:rPr>
          <w:b/>
        </w:rPr>
        <w:t>4. Brand Equity and Recognition</w:t>
      </w:r>
    </w:p>
    <w:p w:rsidR="00EB1474" w:rsidRPr="00EB1474" w:rsidRDefault="00EB1474" w:rsidP="00EB1474">
      <w:r w:rsidRPr="00EB1474">
        <w:t>The internationalization of its operations increases the brand equity of Nestlé. It has a long-standing quality and nutrition that has earned consumer trust among various consumers. In addition, international presence enhances investor confidence, which is useful in long-term strategic investments.</w:t>
      </w:r>
    </w:p>
    <w:p w:rsidR="00EB1474" w:rsidRPr="002347E3" w:rsidRDefault="00EB1474" w:rsidP="00EB1474">
      <w:pPr>
        <w:rPr>
          <w:b/>
        </w:rPr>
      </w:pPr>
      <w:r w:rsidRPr="002347E3">
        <w:rPr>
          <w:b/>
        </w:rPr>
        <w:t>5. In</w:t>
      </w:r>
      <w:r w:rsidR="002347E3" w:rsidRPr="002347E3">
        <w:rPr>
          <w:b/>
        </w:rPr>
        <w:t>novation and Knowledge Transfer</w:t>
      </w:r>
    </w:p>
    <w:p w:rsidR="00EB1474" w:rsidRPr="00EB1474" w:rsidRDefault="00EB1474" w:rsidP="00EB1474">
      <w:r w:rsidRPr="00EB1474">
        <w:t xml:space="preserve">Cross-border learning and innovation are brought about through international operations. The </w:t>
      </w:r>
      <w:r>
        <w:t xml:space="preserve">Nestlé </w:t>
      </w:r>
      <w:r w:rsidRPr="00EB1474">
        <w:t>framework of Shared Value Creation allows the subsidiaries to share best practices and technological advancements, and product improvement occurs</w:t>
      </w:r>
      <w:r w:rsidR="00901B18" w:rsidRPr="00901B18">
        <w:t xml:space="preserve"> (</w:t>
      </w:r>
      <w:proofErr w:type="spellStart"/>
      <w:r w:rsidR="00901B18" w:rsidRPr="00901B18">
        <w:t>Galanakis</w:t>
      </w:r>
      <w:proofErr w:type="spellEnd"/>
      <w:r w:rsidR="00901B18" w:rsidRPr="00901B18">
        <w:t>, 2022)</w:t>
      </w:r>
      <w:r w:rsidRPr="00EB1474">
        <w:t xml:space="preserve">. An example of this is the remaining parts of the world that have emulated the sustainability practices of </w:t>
      </w:r>
      <w:r>
        <w:t xml:space="preserve">Nestlé </w:t>
      </w:r>
      <w:r w:rsidRPr="00EB1474">
        <w:t>in its European agricultural ventures in Latin America.</w:t>
      </w:r>
    </w:p>
    <w:p w:rsidR="00EB1474" w:rsidRPr="00901B18" w:rsidRDefault="00EB1474" w:rsidP="00EB1474">
      <w:pPr>
        <w:rPr>
          <w:b/>
        </w:rPr>
      </w:pPr>
      <w:r w:rsidRPr="00901B18">
        <w:rPr>
          <w:b/>
        </w:rPr>
        <w:t>Key Challenges</w:t>
      </w:r>
    </w:p>
    <w:p w:rsidR="00EB1474" w:rsidRPr="002347E3" w:rsidRDefault="00EB1474" w:rsidP="00EB1474">
      <w:pPr>
        <w:rPr>
          <w:b/>
        </w:rPr>
      </w:pPr>
      <w:r w:rsidRPr="002347E3">
        <w:rPr>
          <w:b/>
        </w:rPr>
        <w:t>1.</w:t>
      </w:r>
      <w:r w:rsidR="002347E3" w:rsidRPr="002347E3">
        <w:rPr>
          <w:b/>
        </w:rPr>
        <w:t xml:space="preserve"> Regulatory and Political Risks</w:t>
      </w:r>
    </w:p>
    <w:p w:rsidR="00EB1474" w:rsidRPr="00EB1474" w:rsidRDefault="00EB1474" w:rsidP="00EB1474">
      <w:r w:rsidRPr="00EB1474">
        <w:lastRenderedPageBreak/>
        <w:t xml:space="preserve">Working in different jurisdictions subjects </w:t>
      </w:r>
      <w:r>
        <w:t xml:space="preserve">Nestlé </w:t>
      </w:r>
      <w:r w:rsidRPr="00EB1474">
        <w:t xml:space="preserve">to different laws, trade restrictions, as well as political unrest. In India, as an example, </w:t>
      </w:r>
      <w:r>
        <w:t xml:space="preserve">Nestlé </w:t>
      </w:r>
      <w:r w:rsidRPr="00EB1474">
        <w:t>suffered a massive reputational blow in the Maggi noodles ban of 2015, due to reported safety infractions</w:t>
      </w:r>
      <w:r w:rsidR="00901B18" w:rsidRPr="00901B18">
        <w:t xml:space="preserve"> (Food Safety and Quality Institute, 2024)</w:t>
      </w:r>
      <w:r w:rsidRPr="00EB1474">
        <w:t>. Though the product has since been revived, the incident has made global firms vulnerable to discrepancies in regulations.</w:t>
      </w:r>
    </w:p>
    <w:p w:rsidR="00EB1474" w:rsidRPr="002347E3" w:rsidRDefault="00EB1474" w:rsidP="00EB1474">
      <w:pPr>
        <w:rPr>
          <w:b/>
        </w:rPr>
      </w:pPr>
      <w:r w:rsidRPr="002347E3">
        <w:rPr>
          <w:b/>
        </w:rPr>
        <w:t xml:space="preserve">2. </w:t>
      </w:r>
      <w:r w:rsidR="002347E3" w:rsidRPr="002347E3">
        <w:rPr>
          <w:b/>
        </w:rPr>
        <w:t>Cultural and Consumer Diversity</w:t>
      </w:r>
    </w:p>
    <w:p w:rsidR="00EB1474" w:rsidRPr="00EB1474" w:rsidRDefault="00EB1474" w:rsidP="00EB1474">
      <w:r w:rsidRPr="00EB1474">
        <w:t xml:space="preserve">Product acceptance and marketing performance are influenced by cultural differences. The accommodation of the differences in tastes, food habits, and religious standards, including halal certification in the Muslim predominated countries, requires regular market research and </w:t>
      </w:r>
      <w:proofErr w:type="spellStart"/>
      <w:r w:rsidRPr="00EB1474">
        <w:t>localisation</w:t>
      </w:r>
      <w:proofErr w:type="spellEnd"/>
      <w:r w:rsidR="00901B18" w:rsidRPr="00901B18">
        <w:t xml:space="preserve"> (</w:t>
      </w:r>
      <w:proofErr w:type="spellStart"/>
      <w:r w:rsidR="00901B18" w:rsidRPr="00901B18">
        <w:t>Tarnanidis</w:t>
      </w:r>
      <w:proofErr w:type="spellEnd"/>
      <w:r w:rsidR="00901B18" w:rsidRPr="00901B18">
        <w:t xml:space="preserve"> et al., 2025)</w:t>
      </w:r>
      <w:r w:rsidRPr="00EB1474">
        <w:t>. Inability to conform to cultural requirements may be counterproductive to market success.</w:t>
      </w:r>
    </w:p>
    <w:p w:rsidR="00EB1474" w:rsidRPr="002347E3" w:rsidRDefault="002347E3" w:rsidP="00EB1474">
      <w:pPr>
        <w:rPr>
          <w:b/>
        </w:rPr>
      </w:pPr>
      <w:r w:rsidRPr="002347E3">
        <w:rPr>
          <w:b/>
        </w:rPr>
        <w:t>3. Supply Chain Complexity</w:t>
      </w:r>
    </w:p>
    <w:p w:rsidR="00EB1474" w:rsidRPr="00EB1474" w:rsidRDefault="00EB1474" w:rsidP="00EB1474">
      <w:r>
        <w:t xml:space="preserve">Nestlé </w:t>
      </w:r>
      <w:r w:rsidRPr="00EB1474">
        <w:t xml:space="preserve">has a large and extensive global supply chain that presents logistical, sustainability, and ethical sourcing risks. Cocoa farming has been </w:t>
      </w:r>
      <w:proofErr w:type="spellStart"/>
      <w:r w:rsidRPr="00EB1474">
        <w:t>criticised</w:t>
      </w:r>
      <w:proofErr w:type="spellEnd"/>
      <w:r w:rsidRPr="00EB1474">
        <w:t xml:space="preserve"> on issues like child labour and environmental conditions. Although there are the right actions are taken, such as the </w:t>
      </w:r>
      <w:r>
        <w:t xml:space="preserve">Nestlé </w:t>
      </w:r>
      <w:r w:rsidRPr="00EB1474">
        <w:t>Responsible Sourcing Standard, adherence by thousands of suppliers is a huge challenge.</w:t>
      </w:r>
    </w:p>
    <w:p w:rsidR="00EB1474" w:rsidRPr="002347E3" w:rsidRDefault="00EB1474" w:rsidP="00EB1474">
      <w:pPr>
        <w:rPr>
          <w:b/>
        </w:rPr>
      </w:pPr>
      <w:r w:rsidRPr="002347E3">
        <w:rPr>
          <w:b/>
        </w:rPr>
        <w:t>4. The Fluctuations in C</w:t>
      </w:r>
      <w:r w:rsidR="002347E3" w:rsidRPr="002347E3">
        <w:rPr>
          <w:b/>
        </w:rPr>
        <w:t>urrency and Economic Volatility</w:t>
      </w:r>
    </w:p>
    <w:p w:rsidR="00EB1474" w:rsidRPr="00EB1474" w:rsidRDefault="00EB1474" w:rsidP="00EB1474">
      <w:r w:rsidRPr="00EB1474">
        <w:t xml:space="preserve">The financial performance of </w:t>
      </w:r>
      <w:r>
        <w:t xml:space="preserve">Nestlé </w:t>
      </w:r>
      <w:r w:rsidRPr="00EB1474">
        <w:t>is affected by the exchange rate volatility. A high Swiss franc, e.g., decreases the value of foreign revenues that are consolidated onto Swiss accounts. Sales and profitability can be disrupted due to economic crises in the emerging markets as well.</w:t>
      </w:r>
    </w:p>
    <w:p w:rsidR="00477276" w:rsidRDefault="00477276" w:rsidP="002347E3">
      <w:pPr>
        <w:pStyle w:val="Heading1"/>
      </w:pPr>
      <w:bookmarkStart w:id="7" w:name="_Toc215351817"/>
      <w:r>
        <w:t>3. Effects of OLI Factors on the Market Entry Mode of Nestlé</w:t>
      </w:r>
      <w:bookmarkEnd w:id="7"/>
    </w:p>
    <w:p w:rsidR="00477276" w:rsidRDefault="00477276" w:rsidP="00477276">
      <w:r>
        <w:t>The Eclectic Paradigm (OLI framework) created by John Dunning (1979) tells us why multinational enterprises will engage in international production. It incorporates three mutually reinforcing variables of Ownership (O), Location (L), and Internalisation (I) advantages</w:t>
      </w:r>
      <w:r w:rsidR="00901B18" w:rsidRPr="00901B18">
        <w:t xml:space="preserve"> (Naidoo and </w:t>
      </w:r>
      <w:proofErr w:type="spellStart"/>
      <w:r w:rsidR="00901B18" w:rsidRPr="00901B18">
        <w:t>Verma</w:t>
      </w:r>
      <w:proofErr w:type="spellEnd"/>
      <w:r w:rsidR="00901B18" w:rsidRPr="00901B18">
        <w:t>, 2024)</w:t>
      </w:r>
      <w:r>
        <w:t xml:space="preserve">. All of this makes these factors define the reasons </w:t>
      </w:r>
      <w:r>
        <w:lastRenderedPageBreak/>
        <w:t xml:space="preserve">and methods of choosing particular market entry modes, like foreign direct investment (FDI), joint venture, or licensing. </w:t>
      </w:r>
    </w:p>
    <w:p w:rsidR="00F573E3" w:rsidRDefault="00F573E3" w:rsidP="00477276">
      <w:pPr>
        <w:rPr>
          <w:noProof/>
        </w:rPr>
      </w:pPr>
      <w:r>
        <w:rPr>
          <w:noProof/>
        </w:rPr>
        <w:drawing>
          <wp:anchor distT="0" distB="0" distL="114300" distR="114300" simplePos="0" relativeHeight="251659264" behindDoc="0" locked="0" layoutInCell="1" allowOverlap="1" wp14:anchorId="4547A17D" wp14:editId="680B2474">
            <wp:simplePos x="0" y="0"/>
            <wp:positionH relativeFrom="margin">
              <wp:align>center</wp:align>
            </wp:positionH>
            <wp:positionV relativeFrom="paragraph">
              <wp:posOffset>215644</wp:posOffset>
            </wp:positionV>
            <wp:extent cx="4262755" cy="4255135"/>
            <wp:effectExtent l="0" t="0" r="444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Nov 15, 2025, 10_23_42 PM.png"/>
                    <pic:cNvPicPr/>
                  </pic:nvPicPr>
                  <pic:blipFill rotWithShape="1">
                    <a:blip r:embed="rId10">
                      <a:extLst>
                        <a:ext uri="{28A0092B-C50C-407E-A947-70E740481C1C}">
                          <a14:useLocalDpi xmlns:a14="http://schemas.microsoft.com/office/drawing/2010/main" val="0"/>
                        </a:ext>
                      </a:extLst>
                    </a:blip>
                    <a:srcRect l="1" t="6061" r="-228" b="27246"/>
                    <a:stretch/>
                  </pic:blipFill>
                  <pic:spPr bwMode="auto">
                    <a:xfrm>
                      <a:off x="0" y="0"/>
                      <a:ext cx="4262755" cy="4255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573E3" w:rsidRDefault="00F573E3" w:rsidP="00F573E3">
      <w:pPr>
        <w:jc w:val="center"/>
      </w:pPr>
      <w:r>
        <w:t>Figure 2: OLI factors</w:t>
      </w:r>
    </w:p>
    <w:p w:rsidR="00477276" w:rsidRDefault="00477276" w:rsidP="002347E3">
      <w:pPr>
        <w:pStyle w:val="Heading2"/>
      </w:pPr>
      <w:bookmarkStart w:id="8" w:name="_Toc215351818"/>
      <w:r>
        <w:t>a. Ownership Advantages</w:t>
      </w:r>
      <w:bookmarkEnd w:id="8"/>
    </w:p>
    <w:p w:rsidR="00477276" w:rsidRDefault="00477276" w:rsidP="00477276">
      <w:r>
        <w:t>Ownership advantages would be those firm-specific assets that give the firm a competitive advantage over local competitors in the foreign markets</w:t>
      </w:r>
      <w:r w:rsidR="00901B18" w:rsidRPr="00901B18">
        <w:t xml:space="preserve"> (Fuchs, 2022)</w:t>
      </w:r>
      <w:r>
        <w:t>. They are physical services such as technology and manufacturing plants, and non-physical services such as brand name, research and development and patents, and administrative competence.</w:t>
      </w:r>
    </w:p>
    <w:p w:rsidR="0099647C" w:rsidRDefault="00477276" w:rsidP="00477276">
      <w:r>
        <w:t xml:space="preserve">The benefits of Nestlé, which are related to its ownership, are based on its brand portfolio, the ability to conduct its own research and development, and the ability to manage worldwide. Nescafé, Maggi, and Kat are all brands of the company, which has a </w:t>
      </w:r>
      <w:r>
        <w:lastRenderedPageBreak/>
        <w:t>tremendous global recognition and customer confidence, which can be easily exploited to penetrate the market even in a culturally diverse market</w:t>
      </w:r>
      <w:r w:rsidR="00901B18" w:rsidRPr="00901B18">
        <w:t xml:space="preserve"> (Fuchs, 2022)</w:t>
      </w:r>
      <w:r>
        <w:t xml:space="preserve">. </w:t>
      </w:r>
    </w:p>
    <w:p w:rsidR="00477276" w:rsidRDefault="00477276" w:rsidP="00477276">
      <w:r>
        <w:t xml:space="preserve">The ownership strength of Nestlé is also supported by its managerial and </w:t>
      </w:r>
      <w:proofErr w:type="spellStart"/>
      <w:r>
        <w:t>organisational</w:t>
      </w:r>
      <w:proofErr w:type="spellEnd"/>
      <w:r>
        <w:t xml:space="preserve"> expertise. The decentralized nature of the firm gives powers to the local subsidiary companies, but keeps the firm on track towards global corporate goals</w:t>
      </w:r>
      <w:r w:rsidR="00901B18" w:rsidRPr="00901B18">
        <w:t xml:space="preserve"> (</w:t>
      </w:r>
      <w:proofErr w:type="spellStart"/>
      <w:r w:rsidR="00901B18" w:rsidRPr="00901B18">
        <w:t>Jurevicius</w:t>
      </w:r>
      <w:proofErr w:type="spellEnd"/>
      <w:r w:rsidR="00901B18" w:rsidRPr="00901B18">
        <w:t>, 2023)</w:t>
      </w:r>
      <w:r>
        <w:t xml:space="preserve">. This </w:t>
      </w:r>
      <w:proofErr w:type="spellStart"/>
      <w:r>
        <w:t>centralisation</w:t>
      </w:r>
      <w:proofErr w:type="spellEnd"/>
      <w:r>
        <w:t xml:space="preserve">, coupled with </w:t>
      </w:r>
      <w:proofErr w:type="spellStart"/>
      <w:r>
        <w:t>decentralisation</w:t>
      </w:r>
      <w:proofErr w:type="spellEnd"/>
      <w:r>
        <w:t xml:space="preserve">, enables Nestlé to react swiftly to regional issues, which is very crucial in unpredictable emerging economies. </w:t>
      </w:r>
    </w:p>
    <w:p w:rsidR="00477276" w:rsidRDefault="00477276" w:rsidP="002347E3">
      <w:pPr>
        <w:pStyle w:val="Heading2"/>
      </w:pPr>
      <w:bookmarkStart w:id="9" w:name="_Toc215351819"/>
      <w:r>
        <w:t>b. Location Advantages</w:t>
      </w:r>
      <w:bookmarkEnd w:id="9"/>
    </w:p>
    <w:p w:rsidR="00477276" w:rsidRDefault="00477276" w:rsidP="00477276">
      <w:r>
        <w:t>The characteristics of the host country that make it an attractive destination to multinational investment include: location benefits, which include the size of the market, natural resources, infrastructure, labour costs, and institutional stability</w:t>
      </w:r>
      <w:r w:rsidR="00FE1633" w:rsidRPr="00FE1633">
        <w:t xml:space="preserve"> (</w:t>
      </w:r>
      <w:proofErr w:type="spellStart"/>
      <w:r w:rsidR="00FE1633" w:rsidRPr="00FE1633">
        <w:t>Chalençon</w:t>
      </w:r>
      <w:proofErr w:type="spellEnd"/>
      <w:r w:rsidR="00FE1633" w:rsidRPr="00FE1633">
        <w:t>, 2017)</w:t>
      </w:r>
      <w:r>
        <w:t>. The need to achieve such advantages is what pushes Nestlé to make decisions to open up in new economies or even to expand.</w:t>
      </w:r>
    </w:p>
    <w:p w:rsidR="0099647C" w:rsidRDefault="00477276" w:rsidP="00477276">
      <w:r w:rsidRPr="00772917">
        <w:rPr>
          <w:b/>
        </w:rPr>
        <w:t>Market Size and Growth Potential:</w:t>
      </w:r>
      <w:r>
        <w:t xml:space="preserve"> New markets such as India, Brazil, and China provide huge and expanding consumer markets, especially in the middle-income group. The fact that Nestlé invested in India as early as 1912 indicates that it has been aware of the huge demographic opportunities in India</w:t>
      </w:r>
      <w:r w:rsidR="00FE1633" w:rsidRPr="00FE1633">
        <w:t xml:space="preserve"> (</w:t>
      </w:r>
      <w:proofErr w:type="spellStart"/>
      <w:r w:rsidR="00FE1633" w:rsidRPr="00FE1633">
        <w:t>Sathyan</w:t>
      </w:r>
      <w:proofErr w:type="spellEnd"/>
      <w:r w:rsidR="00FE1633" w:rsidRPr="00FE1633">
        <w:t xml:space="preserve"> and S. N., 2021)</w:t>
      </w:r>
      <w:r>
        <w:t xml:space="preserve">. Local production also helps Nestlé to minimize the cost of imports and sell products cheaply to the masses. </w:t>
      </w:r>
    </w:p>
    <w:p w:rsidR="0099647C" w:rsidRDefault="00477276" w:rsidP="00477276">
      <w:r w:rsidRPr="00772917">
        <w:rPr>
          <w:b/>
        </w:rPr>
        <w:t>Availability of labour and resources:</w:t>
      </w:r>
      <w:r>
        <w:t xml:space="preserve"> Nestlé has been taking advantage of the low-cost and skilled labour in the emerging markets to keep the cost of production affordable. Vietnam and Nigeria manufacturing facilities represent the strategy of the company to find its location of production near raw materials and the market. </w:t>
      </w:r>
    </w:p>
    <w:p w:rsidR="0099647C" w:rsidRDefault="00477276" w:rsidP="00477276">
      <w:r w:rsidRPr="00772917">
        <w:rPr>
          <w:b/>
        </w:rPr>
        <w:t>Government Incentives and Institutional Support:</w:t>
      </w:r>
      <w:r>
        <w:t xml:space="preserve"> A number of the emerging economies have foreign investor incentives. Nestlé enjoyed a preferential tax regime and the benefits of industrial zones in the early years of its development in China</w:t>
      </w:r>
      <w:r w:rsidR="00FE1633" w:rsidRPr="00FE1633">
        <w:t xml:space="preserve"> (Lee and Shen, 2020)</w:t>
      </w:r>
      <w:r>
        <w:t xml:space="preserve">. Likewise, the pro-investment policies, including the Make in India, promoted India to augment its domestic production capability for Nestlé. </w:t>
      </w:r>
    </w:p>
    <w:p w:rsidR="00477276" w:rsidRDefault="00477276" w:rsidP="00477276">
      <w:r w:rsidRPr="00772917">
        <w:rPr>
          <w:b/>
        </w:rPr>
        <w:t>Geographic Positioning to New Markets and Regional Hubs:</w:t>
      </w:r>
      <w:r>
        <w:t xml:space="preserve"> Nestlé also utilizes the strategy of regional integration through its location. As an example, its manufacturing </w:t>
      </w:r>
      <w:r>
        <w:lastRenderedPageBreak/>
        <w:t>facilities in Malaysia and the Philippines serve as export bases to the Southeast Asian region, as well as catering to the domestic market. This regionalization lowers logistics expenses and increases the supply to demand.</w:t>
      </w:r>
    </w:p>
    <w:p w:rsidR="00477276" w:rsidRDefault="00477276" w:rsidP="002347E3">
      <w:pPr>
        <w:pStyle w:val="Heading2"/>
      </w:pPr>
      <w:bookmarkStart w:id="10" w:name="_Toc215351820"/>
      <w:r>
        <w:t>c. Internalisation Benefits</w:t>
      </w:r>
      <w:bookmarkEnd w:id="10"/>
    </w:p>
    <w:p w:rsidR="00477276" w:rsidRDefault="00477276" w:rsidP="00477276">
      <w:r>
        <w:t xml:space="preserve">Internalisation benefits elaborate why companies choose to </w:t>
      </w:r>
      <w:proofErr w:type="spellStart"/>
      <w:r>
        <w:t>internalise</w:t>
      </w:r>
      <w:proofErr w:type="spellEnd"/>
      <w:r>
        <w:t xml:space="preserve"> operations, that is, to maintain ownership and control instead of externality through contracting through licensing, or franchising. Internalisation lowers the cost of transactions, secures the proprietary knowledge, and offers quality checks along the value chain.</w:t>
      </w:r>
    </w:p>
    <w:p w:rsidR="00477276" w:rsidRDefault="00477276" w:rsidP="00477276">
      <w:r>
        <w:t>In the case of Nestlé, the process of production and distribution remains under internal control, and that is one of the key reasons that allow it to retain its global brand image and provide its products with safety. The food and beverage sector is also one of the industries where quality matters are highly sensitive, and the outsourcing option may put the company at risk of reputation. Nestlé has internalised major functions through FDI, thus making sure that it has applied the global standards across its subsidiaries.</w:t>
      </w:r>
    </w:p>
    <w:p w:rsidR="00477276" w:rsidRDefault="00477276" w:rsidP="00477276">
      <w:r>
        <w:t>Therefore, internalisation gives Nestlé the adaptability to combine global efficiency and local adaptation, which strengthens its model of transnationalism.</w:t>
      </w:r>
    </w:p>
    <w:p w:rsidR="00477276" w:rsidRDefault="00477276" w:rsidP="002347E3">
      <w:pPr>
        <w:pStyle w:val="Heading2"/>
      </w:pPr>
      <w:bookmarkStart w:id="11" w:name="_Toc215351821"/>
      <w:r>
        <w:t>d. The OLI Factor Interplay in the Nestlé</w:t>
      </w:r>
      <w:bookmarkEnd w:id="11"/>
      <w:r>
        <w:t xml:space="preserve"> </w:t>
      </w:r>
    </w:p>
    <w:p w:rsidR="00477276" w:rsidRDefault="00477276" w:rsidP="00477276">
      <w:r>
        <w:t>The overall market entry strategy of Nestlé is determined by the synergy of the factors of OLI. An example here is the expansion of Nestlé in China, which is one of its most successful investments in the new market environment.</w:t>
      </w:r>
    </w:p>
    <w:p w:rsidR="002347E3" w:rsidRDefault="00477276" w:rsidP="00477276">
      <w:r w:rsidRPr="0099647C">
        <w:rPr>
          <w:b/>
        </w:rPr>
        <w:t>Ownership-Location Interaction:</w:t>
      </w:r>
      <w:r>
        <w:t xml:space="preserve"> The high brand equity and R&amp;D competency (ownership benefits) that Nestlé has, coupled with the high number of consumers and the quality human resources (location benefits) in China, made FDI a viable option. Since it entered China in 1908, Nestlé has established more than 30 manufacturing plants and several research and development centres with more than 20,000 employees</w:t>
      </w:r>
      <w:r w:rsidR="00FE1633" w:rsidRPr="00FE1633">
        <w:t xml:space="preserve"> (Nestlé, 2025)</w:t>
      </w:r>
      <w:r>
        <w:t xml:space="preserve">. </w:t>
      </w:r>
    </w:p>
    <w:p w:rsidR="00477276" w:rsidRDefault="00477276" w:rsidP="00477276">
      <w:r w:rsidRPr="0099647C">
        <w:rPr>
          <w:b/>
        </w:rPr>
        <w:t>Internalisation-Ownership Interaction:</w:t>
      </w:r>
      <w:r>
        <w:t xml:space="preserve"> Nestlé has also adopted an internalisation strategy, whereby the technological expertise and food safety standards prevail </w:t>
      </w:r>
      <w:r>
        <w:lastRenderedPageBreak/>
        <w:t>throughout the markets</w:t>
      </w:r>
      <w:r w:rsidR="00FE1633" w:rsidRPr="00FE1633">
        <w:t xml:space="preserve"> (</w:t>
      </w:r>
      <w:proofErr w:type="spellStart"/>
      <w:r w:rsidR="00FE1633" w:rsidRPr="00FE1633">
        <w:t>Witek-Hajduk</w:t>
      </w:r>
      <w:proofErr w:type="spellEnd"/>
      <w:r w:rsidR="00FE1633" w:rsidRPr="00FE1633">
        <w:t xml:space="preserve">, </w:t>
      </w:r>
      <w:proofErr w:type="spellStart"/>
      <w:r w:rsidR="00FE1633" w:rsidRPr="00FE1633">
        <w:t>Grginović</w:t>
      </w:r>
      <w:proofErr w:type="spellEnd"/>
      <w:r w:rsidR="00FE1633" w:rsidRPr="00FE1633">
        <w:t xml:space="preserve"> and </w:t>
      </w:r>
      <w:proofErr w:type="spellStart"/>
      <w:r w:rsidR="00FE1633" w:rsidRPr="00FE1633">
        <w:t>Targański</w:t>
      </w:r>
      <w:proofErr w:type="spellEnd"/>
      <w:r w:rsidR="00FE1633" w:rsidRPr="00FE1633">
        <w:t>, 2025)</w:t>
      </w:r>
      <w:r>
        <w:t>. In the example of its domination of the dairy supply market in China, it gives the company the opportunity to ensure quality from the farm to the factory. Such vertical integration would be hard to attain using a licensing or franchising model.</w:t>
      </w:r>
    </w:p>
    <w:p w:rsidR="00772917" w:rsidRDefault="00477276" w:rsidP="00477276">
      <w:r w:rsidRPr="0099647C">
        <w:rPr>
          <w:b/>
        </w:rPr>
        <w:t>Striking a balance between Localisation and Global Integration:</w:t>
      </w:r>
      <w:r>
        <w:t xml:space="preserve"> Nestlé uses a similar approach in India through OLI. The company continues to </w:t>
      </w:r>
      <w:proofErr w:type="spellStart"/>
      <w:r>
        <w:t>capitalise</w:t>
      </w:r>
      <w:proofErr w:type="spellEnd"/>
      <w:r>
        <w:t xml:space="preserve"> on its benefits as an owner, global brand name, and innovation potential, coupled with the location advantages India has, which include a large consumer base and ready labour. </w:t>
      </w:r>
    </w:p>
    <w:p w:rsidR="009C4175" w:rsidRDefault="00477276" w:rsidP="00D213EB">
      <w:r>
        <w:t xml:space="preserve">Although the OLI framework is a detailed explanation of the international strategy of Nestlé, it has its drawbacks in the ability to explain the dynamic and institutional complexities of contemporary </w:t>
      </w:r>
      <w:proofErr w:type="spellStart"/>
      <w:r>
        <w:t>globalisation</w:t>
      </w:r>
      <w:proofErr w:type="spellEnd"/>
      <w:r w:rsidR="00FE1633" w:rsidRPr="00FE1633">
        <w:t xml:space="preserve"> (</w:t>
      </w:r>
      <w:proofErr w:type="spellStart"/>
      <w:r w:rsidR="00FE1633" w:rsidRPr="00FE1633">
        <w:t>Witek-Hajduk</w:t>
      </w:r>
      <w:proofErr w:type="spellEnd"/>
      <w:r w:rsidR="00FE1633" w:rsidRPr="00FE1633">
        <w:t xml:space="preserve">, </w:t>
      </w:r>
      <w:proofErr w:type="spellStart"/>
      <w:r w:rsidR="00FE1633" w:rsidRPr="00FE1633">
        <w:t>Grginović</w:t>
      </w:r>
      <w:proofErr w:type="spellEnd"/>
      <w:r w:rsidR="00FE1633" w:rsidRPr="00FE1633">
        <w:t xml:space="preserve"> and </w:t>
      </w:r>
      <w:proofErr w:type="spellStart"/>
      <w:r w:rsidR="00FE1633" w:rsidRPr="00FE1633">
        <w:t>Targański</w:t>
      </w:r>
      <w:proofErr w:type="spellEnd"/>
      <w:r w:rsidR="00FE1633" w:rsidRPr="00FE1633">
        <w:t>, 2025)</w:t>
      </w:r>
      <w:r>
        <w:t>. As an example, the model presupposes rational decision-making on the basis of economic factors, whereas the decisions of Nestlé are usually influenced by social and ethical factors that include environmental sustainability and corporate social responsibility</w:t>
      </w:r>
      <w:r w:rsidR="00FE1633" w:rsidRPr="00FE1633">
        <w:t xml:space="preserve"> (</w:t>
      </w:r>
      <w:proofErr w:type="spellStart"/>
      <w:r w:rsidR="00FE1633" w:rsidRPr="00FE1633">
        <w:t>Leblond</w:t>
      </w:r>
      <w:proofErr w:type="spellEnd"/>
      <w:r w:rsidR="00FE1633" w:rsidRPr="00FE1633">
        <w:t xml:space="preserve"> and </w:t>
      </w:r>
      <w:proofErr w:type="spellStart"/>
      <w:r w:rsidR="00FE1633" w:rsidRPr="00FE1633">
        <w:t>VanDuzer</w:t>
      </w:r>
      <w:proofErr w:type="spellEnd"/>
      <w:r w:rsidR="00FE1633" w:rsidRPr="00FE1633">
        <w:t>, 2020)</w:t>
      </w:r>
      <w:r w:rsidR="00FE1633">
        <w:t>.</w:t>
      </w:r>
    </w:p>
    <w:p w:rsidR="00101D8E" w:rsidRPr="00101D8E" w:rsidRDefault="000E7B8C" w:rsidP="000E7B8C">
      <w:pPr>
        <w:pStyle w:val="Heading1"/>
        <w:rPr>
          <w:rFonts w:eastAsia="Times New Roman"/>
        </w:rPr>
      </w:pPr>
      <w:bookmarkStart w:id="12" w:name="_Toc215351822"/>
      <w:r>
        <w:rPr>
          <w:rFonts w:eastAsia="Times New Roman"/>
        </w:rPr>
        <w:t>4</w:t>
      </w:r>
      <w:r w:rsidR="00101D8E" w:rsidRPr="00101D8E">
        <w:rPr>
          <w:rFonts w:eastAsia="Times New Roman"/>
        </w:rPr>
        <w:t>. Critical Evaluation of Cultural Differences Between Switzerland and India</w:t>
      </w:r>
      <w:bookmarkEnd w:id="12"/>
    </w:p>
    <w:p w:rsidR="00101D8E" w:rsidRPr="00101D8E" w:rsidRDefault="00101D8E" w:rsidP="00101D8E">
      <w:r w:rsidRPr="00101D8E">
        <w:t>The Nestlé move out of its Swiss mother country to India is faced with major cultural, institutional and competitive differences. Being a food and beverage multinational, the cultural fit is especially crucial since cultures differ radically in the eating habits, the levels of trust in the packaged food, family patterns, and views on safety.</w:t>
      </w:r>
    </w:p>
    <w:p w:rsidR="00101D8E" w:rsidRPr="00101D8E" w:rsidRDefault="000E7B8C" w:rsidP="000E7B8C">
      <w:pPr>
        <w:pStyle w:val="Heading2"/>
        <w:rPr>
          <w:rFonts w:eastAsia="Times New Roman"/>
        </w:rPr>
      </w:pPr>
      <w:bookmarkStart w:id="13" w:name="_Toc215351823"/>
      <w:r>
        <w:rPr>
          <w:rFonts w:eastAsia="Times New Roman"/>
        </w:rPr>
        <w:t>4</w:t>
      </w:r>
      <w:r w:rsidR="00101D8E" w:rsidRPr="00101D8E">
        <w:rPr>
          <w:rFonts w:eastAsia="Times New Roman"/>
        </w:rPr>
        <w:t>.1 Hofstede Cultural Dimensions: Cultural Dist</w:t>
      </w:r>
      <w:r>
        <w:t>ance and Strategic Implications</w:t>
      </w:r>
      <w:bookmarkEnd w:id="13"/>
    </w:p>
    <w:p w:rsidR="00101D8E" w:rsidRPr="00101D8E" w:rsidRDefault="00101D8E" w:rsidP="00101D8E">
      <w:r w:rsidRPr="00101D8E">
        <w:t>Power Distance</w:t>
      </w:r>
    </w:p>
    <w:p w:rsidR="00101D8E" w:rsidRPr="00101D8E" w:rsidRDefault="00101D8E" w:rsidP="00101D8E">
      <w:r w:rsidRPr="00101D8E">
        <w:t>Switzerland has a low power distance score, which indicates work environments where people are egalitarian, participatory, and decentralised (</w:t>
      </w:r>
      <w:proofErr w:type="spellStart"/>
      <w:r w:rsidRPr="00101D8E">
        <w:t>Klyukanov</w:t>
      </w:r>
      <w:proofErr w:type="spellEnd"/>
      <w:r w:rsidRPr="00101D8E">
        <w:t xml:space="preserve">, 2024). On the other hand, India has a high power distance society where there is hierarchy, authority and top-down </w:t>
      </w:r>
      <w:proofErr w:type="spellStart"/>
      <w:r w:rsidRPr="00101D8E">
        <w:t>organisation</w:t>
      </w:r>
      <w:proofErr w:type="spellEnd"/>
      <w:r w:rsidRPr="00101D8E">
        <w:t>, which is social in nature.</w:t>
      </w:r>
    </w:p>
    <w:p w:rsidR="00101D8E" w:rsidRPr="00101D8E" w:rsidRDefault="00101D8E" w:rsidP="00101D8E">
      <w:r w:rsidRPr="00101D8E">
        <w:lastRenderedPageBreak/>
        <w:t>In the market, this distinction implies that Nestlé cannot afford to use its Swiss-style consensus-oriented management approach. Rather, the process of entering India by using wholly owned subsidiaries or joint ventures meant changing the approach of leadership to be more formal, directive, and hierarchy-sensitive communication. Indian managers need direct authority and directives, and workers are more responsive to directive leadership as compared to the Swiss informality.</w:t>
      </w:r>
    </w:p>
    <w:p w:rsidR="00101D8E" w:rsidRPr="000E7B8C" w:rsidRDefault="00101D8E" w:rsidP="00101D8E">
      <w:pPr>
        <w:rPr>
          <w:b/>
        </w:rPr>
      </w:pPr>
      <w:proofErr w:type="spellStart"/>
      <w:r w:rsidRPr="000E7B8C">
        <w:rPr>
          <w:b/>
        </w:rPr>
        <w:t>Familism</w:t>
      </w:r>
      <w:proofErr w:type="spellEnd"/>
      <w:r w:rsidRPr="000E7B8C">
        <w:rPr>
          <w:b/>
        </w:rPr>
        <w:t xml:space="preserve"> vs. Individualism.</w:t>
      </w:r>
    </w:p>
    <w:p w:rsidR="00101D8E" w:rsidRPr="00101D8E" w:rsidRDefault="00101D8E" w:rsidP="00101D8E">
      <w:r w:rsidRPr="00101D8E">
        <w:t>Switzerland is an individualist country, and it embraces independence, personal success and privacy. India is highly collectivist and places much emphasis on community, family networks, and long-term relationship trust.</w:t>
      </w:r>
    </w:p>
    <w:p w:rsidR="00101D8E" w:rsidRPr="00101D8E" w:rsidRDefault="00101D8E" w:rsidP="00101D8E">
      <w:r w:rsidRPr="00101D8E">
        <w:t>The marketing and distribution strategy of Nestlé was highly influenced by this difference. Food purchase decisions in collectivist societies are usually drawn on family requirements, social practices and the reputation of the community (</w:t>
      </w:r>
      <w:proofErr w:type="spellStart"/>
      <w:r w:rsidRPr="00101D8E">
        <w:t>Beugelsdijk</w:t>
      </w:r>
      <w:proofErr w:type="spellEnd"/>
      <w:r w:rsidRPr="00101D8E">
        <w:t xml:space="preserve"> and </w:t>
      </w:r>
      <w:proofErr w:type="spellStart"/>
      <w:r w:rsidRPr="00101D8E">
        <w:t>Welzel</w:t>
      </w:r>
      <w:proofErr w:type="spellEnd"/>
      <w:r w:rsidRPr="00101D8E">
        <w:t xml:space="preserve">, 2018). Nestle could not afford to use Western-type individualistic branding, but rather needed to make its products family-friendly, safe and culturally relevant. This is the reason why Maggi noodles, Nescafé, and </w:t>
      </w:r>
      <w:proofErr w:type="spellStart"/>
      <w:r w:rsidRPr="00101D8E">
        <w:t>Cerelac</w:t>
      </w:r>
      <w:proofErr w:type="spellEnd"/>
      <w:r w:rsidRPr="00101D8E">
        <w:t xml:space="preserve"> were being promoted based on trust, nurturing and togetherness and not just based on the convenience of an individual (</w:t>
      </w:r>
      <w:proofErr w:type="spellStart"/>
      <w:r w:rsidRPr="00101D8E">
        <w:t>Beugelsdijk</w:t>
      </w:r>
      <w:proofErr w:type="spellEnd"/>
      <w:r w:rsidRPr="00101D8E">
        <w:t xml:space="preserve"> and </w:t>
      </w:r>
      <w:proofErr w:type="spellStart"/>
      <w:r w:rsidRPr="00101D8E">
        <w:t>Welzel</w:t>
      </w:r>
      <w:proofErr w:type="spellEnd"/>
      <w:r w:rsidRPr="00101D8E">
        <w:t>, 2018).</w:t>
      </w:r>
    </w:p>
    <w:p w:rsidR="00101D8E" w:rsidRPr="000E7B8C" w:rsidRDefault="00101D8E" w:rsidP="00101D8E">
      <w:pPr>
        <w:rPr>
          <w:b/>
        </w:rPr>
      </w:pPr>
      <w:r w:rsidRPr="000E7B8C">
        <w:rPr>
          <w:b/>
        </w:rPr>
        <w:t>Uncertainty Avoidance</w:t>
      </w:r>
    </w:p>
    <w:p w:rsidR="00101D8E" w:rsidRPr="00101D8E" w:rsidRDefault="00101D8E" w:rsidP="00101D8E">
      <w:r w:rsidRPr="00101D8E">
        <w:t>Switzerland is moderate in terms of uncertainty avoidance, whereas India is also inclined to be somewhat higher, more towards structure, clarity and stability. To enter the market, this implied that Nestle needed to focus more on product safety, certifications and the quality standards more evident than in Switzerland (</w:t>
      </w:r>
      <w:proofErr w:type="spellStart"/>
      <w:r w:rsidRPr="00101D8E">
        <w:t>Willink</w:t>
      </w:r>
      <w:proofErr w:type="spellEnd"/>
      <w:r w:rsidRPr="00101D8E">
        <w:t>, 2013). Indian consumers and regulators want to have clear promises concerning hygiene, compliance, and health. The Indian sensitivity to product risk was noted during the crisis in Maggi in 2015 (</w:t>
      </w:r>
      <w:proofErr w:type="spellStart"/>
      <w:r w:rsidRPr="00101D8E">
        <w:t>Kaul</w:t>
      </w:r>
      <w:proofErr w:type="spellEnd"/>
      <w:r w:rsidRPr="00101D8E">
        <w:t xml:space="preserve">, </w:t>
      </w:r>
      <w:proofErr w:type="spellStart"/>
      <w:r w:rsidRPr="00101D8E">
        <w:t>Chaudri</w:t>
      </w:r>
      <w:proofErr w:type="spellEnd"/>
      <w:r w:rsidRPr="00101D8E">
        <w:t xml:space="preserve"> and </w:t>
      </w:r>
      <w:proofErr w:type="spellStart"/>
      <w:r w:rsidRPr="00101D8E">
        <w:t>Vankar</w:t>
      </w:r>
      <w:proofErr w:type="spellEnd"/>
      <w:r w:rsidRPr="00101D8E">
        <w:t>, 2018). Nestle reacted to the situation by increasing their openness, increasing focus on safety audits, and strategies of communication that are more aligned with the Indian culture of certainty and evidence.</w:t>
      </w:r>
    </w:p>
    <w:p w:rsidR="00101D8E" w:rsidRPr="000E7B8C" w:rsidRDefault="00101D8E" w:rsidP="00101D8E">
      <w:pPr>
        <w:rPr>
          <w:b/>
        </w:rPr>
      </w:pPr>
      <w:r w:rsidRPr="000E7B8C">
        <w:rPr>
          <w:b/>
        </w:rPr>
        <w:t>Masculinity vs. Femininity</w:t>
      </w:r>
    </w:p>
    <w:p w:rsidR="00101D8E" w:rsidRPr="00101D8E" w:rsidRDefault="00101D8E" w:rsidP="00101D8E">
      <w:r w:rsidRPr="00101D8E">
        <w:lastRenderedPageBreak/>
        <w:t>Switzerland is moderately feminine, and it appreciates work-life balance, modesty and quality of life. India is more masculine, and it appreciates success, competition, and publicity. This has an effect on the Nestlé branding strategy. Success-oriented marketing (e.g. education-oriented products to children, performance-enhancing drinks) resonates better than the down-to-earth Swiss voice in India. The Indian campaigns by Nestle show the orientation on ambition, confidence, and aspiration more than in Switzerland because of the local culture.</w:t>
      </w:r>
    </w:p>
    <w:p w:rsidR="00101D8E" w:rsidRPr="000E7B8C" w:rsidRDefault="00101D8E" w:rsidP="00101D8E">
      <w:pPr>
        <w:rPr>
          <w:b/>
        </w:rPr>
      </w:pPr>
      <w:r w:rsidRPr="000E7B8C">
        <w:rPr>
          <w:b/>
        </w:rPr>
        <w:t>Long-Term Orientation</w:t>
      </w:r>
    </w:p>
    <w:p w:rsidR="00101D8E" w:rsidRPr="00101D8E" w:rsidRDefault="00101D8E" w:rsidP="00101D8E">
      <w:r w:rsidRPr="00101D8E">
        <w:t>Switzerland, as well as India, has a high long-term orientation, which is good. It translates to the fact that both societies believe in learning, perseverance, flexibility, and investment in the future (</w:t>
      </w:r>
      <w:proofErr w:type="spellStart"/>
      <w:r w:rsidRPr="00101D8E">
        <w:t>Merkin</w:t>
      </w:r>
      <w:proofErr w:type="spellEnd"/>
      <w:r w:rsidRPr="00101D8E">
        <w:t xml:space="preserve">, 2018). This commonality </w:t>
      </w:r>
      <w:proofErr w:type="spellStart"/>
      <w:r w:rsidRPr="00101D8E">
        <w:t>favours</w:t>
      </w:r>
      <w:proofErr w:type="spellEnd"/>
      <w:r w:rsidRPr="00101D8E">
        <w:t xml:space="preserve"> the strategic fit of Nestlé. India does not reward companies that make short-term gains and not long-term commitment. The 30-year history, spending in milk districts and local R&amp;D inclusion made Nestle a stronger and more trusted brand in India and integrated the company into the economic business environment.</w:t>
      </w:r>
    </w:p>
    <w:p w:rsidR="00101D8E" w:rsidRPr="00101D8E" w:rsidRDefault="000E7B8C" w:rsidP="000E7B8C">
      <w:pPr>
        <w:pStyle w:val="Heading2"/>
        <w:rPr>
          <w:rFonts w:eastAsia="Times New Roman"/>
        </w:rPr>
      </w:pPr>
      <w:bookmarkStart w:id="14" w:name="_Toc215351824"/>
      <w:r>
        <w:rPr>
          <w:rFonts w:eastAsia="Times New Roman"/>
        </w:rPr>
        <w:t>4</w:t>
      </w:r>
      <w:r w:rsidR="00101D8E" w:rsidRPr="00101D8E">
        <w:rPr>
          <w:rFonts w:eastAsia="Times New Roman"/>
        </w:rPr>
        <w:t>.2 The Diamond Model of Porter: Strategic Adaptation</w:t>
      </w:r>
      <w:bookmarkEnd w:id="14"/>
    </w:p>
    <w:p w:rsidR="00101D8E" w:rsidRPr="00101D8E" w:rsidRDefault="00101D8E" w:rsidP="00101D8E">
      <w:r w:rsidRPr="00101D8E">
        <w:t xml:space="preserve">The Diamond Model by Porter describes the national conditions regarding the strategy of Nestlé's entry and its chances of success in India. The variations between the Swiss competitive environment and the emerging-market environment in India influence the formulation of the </w:t>
      </w:r>
      <w:proofErr w:type="spellStart"/>
      <w:r w:rsidRPr="00101D8E">
        <w:t>organisation</w:t>
      </w:r>
      <w:proofErr w:type="spellEnd"/>
      <w:r w:rsidRPr="00101D8E">
        <w:t xml:space="preserve"> of production, supply chains, and the marketing positioning in Nestlé (</w:t>
      </w:r>
      <w:proofErr w:type="spellStart"/>
      <w:r w:rsidRPr="00101D8E">
        <w:t>Hashim</w:t>
      </w:r>
      <w:proofErr w:type="spellEnd"/>
      <w:r w:rsidRPr="00101D8E">
        <w:t xml:space="preserve"> and </w:t>
      </w:r>
      <w:proofErr w:type="spellStart"/>
      <w:r w:rsidRPr="00101D8E">
        <w:t>Jamaluddin</w:t>
      </w:r>
      <w:proofErr w:type="spellEnd"/>
      <w:r w:rsidRPr="00101D8E">
        <w:t>, 2019).</w:t>
      </w:r>
    </w:p>
    <w:p w:rsidR="00101D8E" w:rsidRPr="000E7B8C" w:rsidRDefault="00101D8E" w:rsidP="00101D8E">
      <w:pPr>
        <w:rPr>
          <w:b/>
        </w:rPr>
      </w:pPr>
      <w:r w:rsidRPr="000E7B8C">
        <w:rPr>
          <w:b/>
        </w:rPr>
        <w:t>Factor Conditions</w:t>
      </w:r>
    </w:p>
    <w:p w:rsidR="00101D8E" w:rsidRPr="00101D8E" w:rsidRDefault="00101D8E" w:rsidP="00101D8E">
      <w:r w:rsidRPr="00101D8E">
        <w:t xml:space="preserve">Switzerland boasts of high levels of up-to-date factors, including technology, qualified </w:t>
      </w:r>
      <w:proofErr w:type="spellStart"/>
      <w:r w:rsidRPr="00101D8E">
        <w:t>labour</w:t>
      </w:r>
      <w:proofErr w:type="spellEnd"/>
      <w:r w:rsidRPr="00101D8E">
        <w:t xml:space="preserve"> and innovation potential. India, nevertheless, has plenty of the most fundamental factors like cheap </w:t>
      </w:r>
      <w:proofErr w:type="spellStart"/>
      <w:r w:rsidRPr="00101D8E">
        <w:t>labour</w:t>
      </w:r>
      <w:proofErr w:type="spellEnd"/>
      <w:r w:rsidRPr="00101D8E">
        <w:t xml:space="preserve">, farmlands, as well as a high amount of </w:t>
      </w:r>
      <w:proofErr w:type="spellStart"/>
      <w:r w:rsidRPr="00101D8E">
        <w:t>labour</w:t>
      </w:r>
      <w:proofErr w:type="spellEnd"/>
      <w:r w:rsidRPr="00101D8E">
        <w:t xml:space="preserve"> force (</w:t>
      </w:r>
      <w:proofErr w:type="spellStart"/>
      <w:r w:rsidRPr="00101D8E">
        <w:t>Amann</w:t>
      </w:r>
      <w:proofErr w:type="spellEnd"/>
      <w:r w:rsidRPr="00101D8E">
        <w:t xml:space="preserve"> and </w:t>
      </w:r>
      <w:proofErr w:type="spellStart"/>
      <w:r w:rsidRPr="00101D8E">
        <w:t>AlBurai</w:t>
      </w:r>
      <w:proofErr w:type="spellEnd"/>
      <w:r w:rsidRPr="00101D8E">
        <w:t>, 2021).</w:t>
      </w:r>
    </w:p>
    <w:p w:rsidR="00101D8E" w:rsidRPr="00101D8E" w:rsidRDefault="00101D8E" w:rsidP="00101D8E">
      <w:r w:rsidRPr="00101D8E">
        <w:t xml:space="preserve">This mismatch affected the market entry decision of the FDI adopted by Nestlé. The natural </w:t>
      </w:r>
      <w:proofErr w:type="spellStart"/>
      <w:r w:rsidRPr="00101D8E">
        <w:t>calibre</w:t>
      </w:r>
      <w:proofErr w:type="spellEnd"/>
      <w:r w:rsidRPr="00101D8E">
        <w:t xml:space="preserve"> of dairy, grain, and spices that India has naturally made it just the right fit, considering the input needs of Nestlé. The local production led to a big saving of money </w:t>
      </w:r>
      <w:r w:rsidRPr="00101D8E">
        <w:lastRenderedPageBreak/>
        <w:t xml:space="preserve">and enabled Nestlé to adapt recipes to the Indian preferences. The cost and resource advantages of India, coupled with the technological knowledge of Switzerland, led to the </w:t>
      </w:r>
      <w:proofErr w:type="spellStart"/>
      <w:r w:rsidRPr="00101D8E">
        <w:t>optimisation</w:t>
      </w:r>
      <w:proofErr w:type="spellEnd"/>
      <w:r w:rsidRPr="00101D8E">
        <w:t xml:space="preserve"> of the global-local model of production.</w:t>
      </w:r>
    </w:p>
    <w:p w:rsidR="00101D8E" w:rsidRPr="000E7B8C" w:rsidRDefault="00101D8E" w:rsidP="00101D8E">
      <w:pPr>
        <w:rPr>
          <w:b/>
        </w:rPr>
      </w:pPr>
      <w:r w:rsidRPr="000E7B8C">
        <w:rPr>
          <w:b/>
        </w:rPr>
        <w:t>Demand Conditions</w:t>
      </w:r>
    </w:p>
    <w:p w:rsidR="00101D8E" w:rsidRPr="00101D8E" w:rsidRDefault="00101D8E" w:rsidP="00101D8E">
      <w:r w:rsidRPr="00101D8E">
        <w:t>The Swiss consumers are very specific in terms of premium quality, innovation and nutritional accuracy. The Indian consumers are more culturally sensitive, more price sensitive and more heterogeneous.</w:t>
      </w:r>
    </w:p>
    <w:p w:rsidR="00101D8E" w:rsidRPr="00101D8E" w:rsidRDefault="00101D8E" w:rsidP="00101D8E">
      <w:r w:rsidRPr="00101D8E">
        <w:t xml:space="preserve">This required a lot of </w:t>
      </w:r>
      <w:proofErr w:type="spellStart"/>
      <w:r w:rsidRPr="00101D8E">
        <w:t>localisation</w:t>
      </w:r>
      <w:proofErr w:type="spellEnd"/>
      <w:r w:rsidRPr="00101D8E">
        <w:t xml:space="preserve"> of product lines, packaging sizes and </w:t>
      </w:r>
      <w:proofErr w:type="spellStart"/>
      <w:r w:rsidRPr="00101D8E">
        <w:t>flavour</w:t>
      </w:r>
      <w:proofErr w:type="spellEnd"/>
      <w:r w:rsidRPr="00101D8E">
        <w:t xml:space="preserve"> profiles. As Nestle could not be </w:t>
      </w:r>
      <w:proofErr w:type="spellStart"/>
      <w:r w:rsidRPr="00101D8E">
        <w:t>globalised</w:t>
      </w:r>
      <w:proofErr w:type="spellEnd"/>
      <w:r w:rsidRPr="00101D8E">
        <w:t xml:space="preserve"> in India, it tailored India-tropical products like masala-</w:t>
      </w:r>
      <w:proofErr w:type="spellStart"/>
      <w:r w:rsidRPr="00101D8E">
        <w:t>flavoured</w:t>
      </w:r>
      <w:proofErr w:type="spellEnd"/>
      <w:r w:rsidRPr="00101D8E">
        <w:t xml:space="preserve"> noodles or small sachets priced low (Stimson, Roberts and </w:t>
      </w:r>
      <w:proofErr w:type="spellStart"/>
      <w:r w:rsidRPr="00101D8E">
        <w:t>Stough</w:t>
      </w:r>
      <w:proofErr w:type="spellEnd"/>
      <w:r w:rsidRPr="00101D8E">
        <w:t>, 2020). The Swiss dietary habits could not be unceremoniously imported; Nestlé had to seriously study the Indian food culture before it would succeed.</w:t>
      </w:r>
    </w:p>
    <w:p w:rsidR="00101D8E" w:rsidRPr="000E7B8C" w:rsidRDefault="00101D8E" w:rsidP="00101D8E">
      <w:pPr>
        <w:rPr>
          <w:b/>
        </w:rPr>
      </w:pPr>
      <w:r w:rsidRPr="000E7B8C">
        <w:rPr>
          <w:b/>
        </w:rPr>
        <w:t>Supporting and related Industries</w:t>
      </w:r>
    </w:p>
    <w:p w:rsidR="00101D8E" w:rsidRPr="00101D8E" w:rsidRDefault="00101D8E" w:rsidP="00101D8E">
      <w:r w:rsidRPr="00101D8E">
        <w:t xml:space="preserve">Switzerland also enjoys suppliers who are very technologically advanced. India has a very big but disintegrated association of small-scale farmers and suppliers. This required Nestle to make backward integration or farmer support </w:t>
      </w:r>
      <w:proofErr w:type="spellStart"/>
      <w:r w:rsidRPr="00101D8E">
        <w:t>programmes</w:t>
      </w:r>
      <w:proofErr w:type="spellEnd"/>
      <w:r w:rsidRPr="00101D8E">
        <w:t xml:space="preserve"> and local logistics fortification investments (Stimson, Roberts and </w:t>
      </w:r>
      <w:proofErr w:type="spellStart"/>
      <w:r w:rsidRPr="00101D8E">
        <w:t>Stough</w:t>
      </w:r>
      <w:proofErr w:type="spellEnd"/>
      <w:r w:rsidRPr="00101D8E">
        <w:t>, 2020). It took the establishment of components of the ecosystem to enter India. In the long term, the supplier development activity of Nestlé enhanced consistency in quality and developed better clusters of suppliers around the factories of company.</w:t>
      </w:r>
    </w:p>
    <w:p w:rsidR="00101D8E" w:rsidRPr="000E7B8C" w:rsidRDefault="00101D8E" w:rsidP="00101D8E">
      <w:pPr>
        <w:rPr>
          <w:b/>
        </w:rPr>
      </w:pPr>
      <w:r w:rsidRPr="000E7B8C">
        <w:rPr>
          <w:b/>
        </w:rPr>
        <w:t>Strict Strategy, Structure and Competition</w:t>
      </w:r>
    </w:p>
    <w:p w:rsidR="00101D8E" w:rsidRPr="00101D8E" w:rsidRDefault="00101D8E" w:rsidP="00101D8E">
      <w:r w:rsidRPr="00101D8E">
        <w:t>Quality, innovation, and decentralised decision-making are of importance to Swiss firms. Competition in India is price-based and relationship-based, and is very dynamic.</w:t>
      </w:r>
      <w:r w:rsidRPr="00101D8E">
        <w:rPr>
          <w:b/>
          <w:bCs/>
        </w:rPr>
        <w:t xml:space="preserve"> </w:t>
      </w:r>
      <w:r w:rsidRPr="00101D8E">
        <w:t>The decision of Nestle to venture into India meant the integration of Swiss quality expertise and the Indian frugality and responsiveness (</w:t>
      </w:r>
      <w:proofErr w:type="spellStart"/>
      <w:r w:rsidRPr="00101D8E">
        <w:t>Ateljević</w:t>
      </w:r>
      <w:proofErr w:type="spellEnd"/>
      <w:r w:rsidRPr="00101D8E">
        <w:t xml:space="preserve">, 2023). Local rivals are quicker, more cost-effective in innovation and are located nearer to informal markets. Nestlé needs to change its </w:t>
      </w:r>
      <w:proofErr w:type="spellStart"/>
      <w:r w:rsidRPr="00101D8E">
        <w:t>organisation</w:t>
      </w:r>
      <w:proofErr w:type="spellEnd"/>
      <w:r w:rsidRPr="00101D8E">
        <w:t xml:space="preserve"> to enable quicker </w:t>
      </w:r>
      <w:proofErr w:type="spellStart"/>
      <w:r w:rsidRPr="00101D8E">
        <w:t>decentralisation</w:t>
      </w:r>
      <w:proofErr w:type="spellEnd"/>
      <w:r w:rsidRPr="00101D8E">
        <w:t xml:space="preserve">, malleable pricing </w:t>
      </w:r>
      <w:r w:rsidRPr="00101D8E">
        <w:lastRenderedPageBreak/>
        <w:t>policies, and regional portfolios. The Indian competitive environment compels Nestlé to be nimbler as compared to Switzerland.</w:t>
      </w:r>
    </w:p>
    <w:p w:rsidR="000E7B8C" w:rsidRDefault="000E7B8C" w:rsidP="000E7B8C">
      <w:pPr>
        <w:pStyle w:val="Heading1"/>
        <w:rPr>
          <w:rFonts w:ascii="Times New Roman" w:hAnsi="Times New Roman"/>
          <w:sz w:val="36"/>
        </w:rPr>
      </w:pPr>
      <w:bookmarkStart w:id="15" w:name="_Toc215351825"/>
      <w:r>
        <w:t>5. Critical Discussion and Recommendations: Adjustments in Standard Operating Procedures (SOPs)</w:t>
      </w:r>
      <w:bookmarkEnd w:id="15"/>
    </w:p>
    <w:p w:rsidR="000E7B8C" w:rsidRDefault="000E7B8C" w:rsidP="000E7B8C">
      <w:r>
        <w:t xml:space="preserve">In the case of a transnational </w:t>
      </w:r>
      <w:proofErr w:type="spellStart"/>
      <w:r>
        <w:t>organisation</w:t>
      </w:r>
      <w:proofErr w:type="spellEnd"/>
      <w:r>
        <w:t xml:space="preserve"> like Nestlé S.A., which is functioning successfully in such emerging economies as India requires constant changes in its Standard Operating Procedures (SOPs) are required. As the previous discussion of the OLI (Ownership, Location, </w:t>
      </w:r>
      <w:proofErr w:type="spellStart"/>
      <w:r>
        <w:t>Internalisation</w:t>
      </w:r>
      <w:proofErr w:type="spellEnd"/>
      <w:r>
        <w:t>) factors and cultural dimensions has shown, the strengths of Nestle in terms of ownership, such as brand equity, R&amp;D capability, and financial resources allow the company to take over the global food industry, but its future success in India will be determined by its capacities to incorporate the local responsiveness, cultural sensitivity, and sustainability into its activities.</w:t>
      </w:r>
      <w:r>
        <w:br/>
        <w:t xml:space="preserve">1.Enhancing </w:t>
      </w:r>
      <w:proofErr w:type="spellStart"/>
      <w:r>
        <w:t>localisation</w:t>
      </w:r>
      <w:proofErr w:type="spellEnd"/>
      <w:r>
        <w:t xml:space="preserve"> and inclusive value creation in the supply chain.</w:t>
      </w:r>
    </w:p>
    <w:p w:rsidR="000E7B8C" w:rsidRDefault="000E7B8C" w:rsidP="000E7B8C">
      <w:r>
        <w:t>2.Incorporation of the cross-</w:t>
      </w:r>
      <w:proofErr w:type="spellStart"/>
      <w:r>
        <w:t>enterpreneurial</w:t>
      </w:r>
      <w:proofErr w:type="spellEnd"/>
      <w:r>
        <w:t xml:space="preserve"> human resource management (HRM) into the SOPs.</w:t>
      </w:r>
    </w:p>
    <w:p w:rsidR="000E7B8C" w:rsidRDefault="000E7B8C" w:rsidP="000E7B8C">
      <w:r>
        <w:t>3.Digitising digital sustainability and ethical compliance mechanisms.</w:t>
      </w:r>
    </w:p>
    <w:p w:rsidR="000E7B8C" w:rsidRDefault="000E7B8C" w:rsidP="000E7B8C">
      <w:pPr>
        <w:pStyle w:val="Heading2"/>
        <w:spacing w:before="240" w:after="120"/>
      </w:pPr>
      <w:bookmarkStart w:id="16" w:name="_Toc215351826"/>
      <w:r>
        <w:t xml:space="preserve">Adjustment 1: Deepening Supply Chain </w:t>
      </w:r>
      <w:proofErr w:type="spellStart"/>
      <w:r>
        <w:t>Localisation</w:t>
      </w:r>
      <w:proofErr w:type="spellEnd"/>
      <w:r>
        <w:t xml:space="preserve"> and Inclusive Value Creation</w:t>
      </w:r>
      <w:bookmarkEnd w:id="16"/>
    </w:p>
    <w:p w:rsidR="000E7B8C" w:rsidRDefault="000E7B8C" w:rsidP="000E7B8C">
      <w:r>
        <w:t>Dunning, in his OLI model, where location advantages influence the choice of an MNE location to invest, includes resources available, access to markets, economies of scale, and so on (</w:t>
      </w:r>
      <w:proofErr w:type="spellStart"/>
      <w:r>
        <w:t>Isenhour</w:t>
      </w:r>
      <w:proofErr w:type="spellEnd"/>
      <w:r>
        <w:t>, 2017). The location strength of Nestle in India is huge because of the large agricultural base of the country, cheap prices of production costs, and a big consumer market. Nevertheless, cultural analysis also demonstrated that Indian consumers like local products, which are trustworthy and affordable. Thus, in order to leverage the potential in India, Nestlé should change its SOPs to increase the level of local supply chain integration and value creation based on communities (</w:t>
      </w:r>
      <w:proofErr w:type="spellStart"/>
      <w:r>
        <w:t>Skordili</w:t>
      </w:r>
      <w:proofErr w:type="spellEnd"/>
      <w:r>
        <w:t xml:space="preserve"> and </w:t>
      </w:r>
      <w:proofErr w:type="spellStart"/>
      <w:r>
        <w:t>Kalfagianni</w:t>
      </w:r>
      <w:proofErr w:type="spellEnd"/>
      <w:r>
        <w:t>, 2018).</w:t>
      </w:r>
    </w:p>
    <w:p w:rsidR="000E7B8C" w:rsidRDefault="000E7B8C" w:rsidP="000E7B8C">
      <w:r>
        <w:t>Recommended SOP Adjustment:</w:t>
      </w:r>
    </w:p>
    <w:p w:rsidR="000E7B8C" w:rsidRDefault="000E7B8C" w:rsidP="000E7B8C">
      <w:pPr>
        <w:numPr>
          <w:ilvl w:val="0"/>
          <w:numId w:val="5"/>
        </w:numPr>
        <w:spacing w:before="120" w:after="120"/>
      </w:pPr>
      <w:r>
        <w:lastRenderedPageBreak/>
        <w:t xml:space="preserve">Nestlé ought to come up with a formal </w:t>
      </w:r>
      <w:proofErr w:type="spellStart"/>
      <w:r>
        <w:t>Localised</w:t>
      </w:r>
      <w:proofErr w:type="spellEnd"/>
      <w:r>
        <w:t xml:space="preserve"> Supply Chain and Rural Partnership SOP, which will aim to ensure that farmers, suppliers, and small-scale distributors are incorporated into their value chain (</w:t>
      </w:r>
      <w:proofErr w:type="spellStart"/>
      <w:r>
        <w:t>Skordili</w:t>
      </w:r>
      <w:proofErr w:type="spellEnd"/>
      <w:r>
        <w:t xml:space="preserve"> and </w:t>
      </w:r>
      <w:proofErr w:type="spellStart"/>
      <w:r>
        <w:t>Kalfagianni</w:t>
      </w:r>
      <w:proofErr w:type="spellEnd"/>
      <w:r>
        <w:t>, 2018). The amended SOP must contain:</w:t>
      </w:r>
    </w:p>
    <w:p w:rsidR="000E7B8C" w:rsidRDefault="000E7B8C" w:rsidP="000E7B8C">
      <w:pPr>
        <w:numPr>
          <w:ilvl w:val="0"/>
          <w:numId w:val="5"/>
        </w:numPr>
        <w:spacing w:before="120" w:after="120"/>
      </w:pPr>
      <w:r>
        <w:t>Establish capacity building programs among the smallholder farmers by training them in sustainable agriculture, quality control, and productivity improvement.</w:t>
      </w:r>
    </w:p>
    <w:p w:rsidR="000E7B8C" w:rsidRDefault="000E7B8C" w:rsidP="000E7B8C">
      <w:pPr>
        <w:numPr>
          <w:ilvl w:val="0"/>
          <w:numId w:val="5"/>
        </w:numPr>
        <w:spacing w:before="120" w:after="120"/>
      </w:pPr>
      <w:r>
        <w:t xml:space="preserve">Open up decentralised procurement </w:t>
      </w:r>
      <w:proofErr w:type="spellStart"/>
      <w:r>
        <w:t>centres</w:t>
      </w:r>
      <w:proofErr w:type="spellEnd"/>
      <w:r>
        <w:t xml:space="preserve"> in order to </w:t>
      </w:r>
      <w:proofErr w:type="spellStart"/>
      <w:r>
        <w:t>minimise</w:t>
      </w:r>
      <w:proofErr w:type="spellEnd"/>
      <w:r>
        <w:t xml:space="preserve"> the transportation expenses and </w:t>
      </w:r>
      <w:proofErr w:type="spellStart"/>
      <w:r>
        <w:t>maximise</w:t>
      </w:r>
      <w:proofErr w:type="spellEnd"/>
      <w:r>
        <w:t xml:space="preserve"> sourcing effectiveness.</w:t>
      </w:r>
    </w:p>
    <w:p w:rsidR="000E7B8C" w:rsidRDefault="000E7B8C" w:rsidP="000E7B8C">
      <w:pPr>
        <w:numPr>
          <w:ilvl w:val="0"/>
          <w:numId w:val="5"/>
        </w:numPr>
        <w:spacing w:before="120" w:after="120"/>
      </w:pPr>
      <w:r>
        <w:t>Use mobile-based solutions to bridge local suppliers to the procurement systems of Nestlé, which will have real-time information about the crop yields, quality, and payments.</w:t>
      </w:r>
    </w:p>
    <w:p w:rsidR="000E7B8C" w:rsidRDefault="000E7B8C" w:rsidP="000E7B8C">
      <w:pPr>
        <w:spacing w:after="0"/>
      </w:pPr>
      <w:r>
        <w:t>Nestle has already undertaken some strides in India with its model of Nestle Milk District that involves more than 100,000 dairy farmers in Punjab and Karnataka (www.hbs.edu, 2020). This program offers training, veterinary services, and market access, thus enhancing the quality of milk and farmers' earnings. Nonetheless, this program is still confined to some areas.</w:t>
      </w:r>
    </w:p>
    <w:p w:rsidR="000E7B8C" w:rsidRDefault="000E7B8C" w:rsidP="000E7B8C">
      <w:pPr>
        <w:pStyle w:val="Heading2"/>
        <w:spacing w:before="240" w:after="120"/>
      </w:pPr>
      <w:bookmarkStart w:id="17" w:name="_Toc215351827"/>
      <w:r>
        <w:t>b. Adjustment 2: Embedding Cross-Cultural Human Resource Management (HRM) into SOPs</w:t>
      </w:r>
      <w:bookmarkEnd w:id="17"/>
    </w:p>
    <w:p w:rsidR="000E7B8C" w:rsidRDefault="000E7B8C" w:rsidP="000E7B8C">
      <w:r>
        <w:t>The cultural analysis showed that Switzerland had major differences with India in terms of power distance, which was low in Switzerland and high in India, with a collectivist society (</w:t>
      </w:r>
      <w:proofErr w:type="spellStart"/>
      <w:r>
        <w:t>Budhwar</w:t>
      </w:r>
      <w:proofErr w:type="spellEnd"/>
      <w:r>
        <w:t>, Schuler and Sparrow, 2009). These cultural differences influence the leadership, communication, and approaches to making decisions in the operations of Nestlé India. Although Nestle has a considerable number of local workers (more than 7,500 workers, 99 per cent are Indian), there are still some expatriates in the top management, so there is some friction in communication and motivation.</w:t>
      </w:r>
    </w:p>
    <w:p w:rsidR="000E7B8C" w:rsidRDefault="000E7B8C" w:rsidP="000E7B8C">
      <w:r>
        <w:t>Recommended SOP Adjustment:</w:t>
      </w:r>
    </w:p>
    <w:p w:rsidR="000E7B8C" w:rsidRDefault="000E7B8C" w:rsidP="000E7B8C">
      <w:r>
        <w:lastRenderedPageBreak/>
        <w:t>Nestlé ought to implement a Cross-Cultural Integration and Leadership Development SOP that inculcates cultural flexibility in the recruitment, training, and leadership appraisal system. The SOP should include:</w:t>
      </w:r>
    </w:p>
    <w:p w:rsidR="000E7B8C" w:rsidRDefault="000E7B8C" w:rsidP="000E7B8C">
      <w:pPr>
        <w:numPr>
          <w:ilvl w:val="0"/>
          <w:numId w:val="7"/>
        </w:numPr>
        <w:spacing w:before="120" w:after="120"/>
      </w:pPr>
      <w:r>
        <w:t>Compulsory training of the expatriates and Indian managers on communication norms, conflict management, and cultural empathy (</w:t>
      </w:r>
      <w:proofErr w:type="spellStart"/>
      <w:r>
        <w:t>Dessler</w:t>
      </w:r>
      <w:proofErr w:type="spellEnd"/>
      <w:r>
        <w:t>, 2015).</w:t>
      </w:r>
    </w:p>
    <w:p w:rsidR="000E7B8C" w:rsidRDefault="000E7B8C" w:rsidP="000E7B8C">
      <w:pPr>
        <w:numPr>
          <w:ilvl w:val="0"/>
          <w:numId w:val="7"/>
        </w:numPr>
        <w:spacing w:before="120" w:after="120"/>
      </w:pPr>
      <w:r>
        <w:t>Instituting leadership programs to promote the rise of local managers to high positions, with a balance between global and local knowledge.</w:t>
      </w:r>
    </w:p>
    <w:p w:rsidR="000E7B8C" w:rsidRDefault="000E7B8C" w:rsidP="000E7B8C">
      <w:pPr>
        <w:numPr>
          <w:ilvl w:val="0"/>
          <w:numId w:val="7"/>
        </w:numPr>
        <w:spacing w:before="120" w:after="120"/>
      </w:pPr>
      <w:r>
        <w:t>Establish two-way communication solutions (e.g., voice of India forums) to receive employee input in the country regarding workplace policies and product innovation.</w:t>
      </w:r>
    </w:p>
    <w:p w:rsidR="000E7B8C" w:rsidRDefault="000E7B8C" w:rsidP="000E7B8C">
      <w:pPr>
        <w:spacing w:after="0"/>
      </w:pPr>
      <w:r>
        <w:t>Nestlé has been able to conduct such initiatives in other markets. As an example, it introduced the Leading the Future program in China to train more than 3,000 local leaders on cross-cultural management (</w:t>
      </w:r>
      <w:proofErr w:type="spellStart"/>
      <w:r>
        <w:t>Dessler</w:t>
      </w:r>
      <w:proofErr w:type="spellEnd"/>
      <w:r>
        <w:t>, 2015). This model would be applicable to India and enhance the internal unity and decrease the cultural tension.</w:t>
      </w:r>
    </w:p>
    <w:p w:rsidR="000E7B8C" w:rsidRDefault="000E7B8C" w:rsidP="000E7B8C">
      <w:pPr>
        <w:pStyle w:val="Heading2"/>
        <w:spacing w:before="240" w:after="120"/>
      </w:pPr>
      <w:bookmarkStart w:id="18" w:name="_Toc215351828"/>
      <w:r>
        <w:t xml:space="preserve">c. Adjustment 3: </w:t>
      </w:r>
      <w:proofErr w:type="spellStart"/>
      <w:r>
        <w:t>Institutionalising</w:t>
      </w:r>
      <w:proofErr w:type="spellEnd"/>
      <w:r>
        <w:t xml:space="preserve"> Digital Sustainability and Ethical Compliance Systems</w:t>
      </w:r>
      <w:bookmarkEnd w:id="18"/>
    </w:p>
    <w:p w:rsidR="000E7B8C" w:rsidRDefault="000E7B8C" w:rsidP="000E7B8C">
      <w:r>
        <w:t xml:space="preserve">The OLI framework focuses on </w:t>
      </w:r>
      <w:proofErr w:type="spellStart"/>
      <w:r>
        <w:t>internalisation</w:t>
      </w:r>
      <w:proofErr w:type="spellEnd"/>
      <w:r>
        <w:t xml:space="preserve"> benefits, which occur when a company has control over proprietary systems to protect quality and ethics. Nestle should intensify ethical or sustainability control in emerging economies, which have different regulatory implementation and environmental governing policies, such as India.</w:t>
      </w:r>
    </w:p>
    <w:p w:rsidR="000E7B8C" w:rsidRDefault="000E7B8C" w:rsidP="000E7B8C">
      <w:r>
        <w:t>Nestle ought to launch a Digital Sustainability and Ethical Governance SOP into all its operations in India, with technology-related monitoring and reporting systems. Key elements include:</w:t>
      </w:r>
    </w:p>
    <w:p w:rsidR="000E7B8C" w:rsidRDefault="000E7B8C" w:rsidP="000E7B8C">
      <w:pPr>
        <w:numPr>
          <w:ilvl w:val="0"/>
          <w:numId w:val="7"/>
        </w:numPr>
        <w:spacing w:before="120" w:after="120"/>
      </w:pPr>
      <w:r>
        <w:t>Create a real-time dashboard to track the environmental performance features like carbon emissions, water, and waste management (</w:t>
      </w:r>
      <w:proofErr w:type="spellStart"/>
      <w:r>
        <w:t>Aigbavboa</w:t>
      </w:r>
      <w:proofErr w:type="spellEnd"/>
      <w:r>
        <w:t xml:space="preserve">, </w:t>
      </w:r>
      <w:proofErr w:type="spellStart"/>
      <w:r>
        <w:t>Oke</w:t>
      </w:r>
      <w:proofErr w:type="spellEnd"/>
      <w:r>
        <w:t xml:space="preserve"> and Israel </w:t>
      </w:r>
      <w:proofErr w:type="spellStart"/>
      <w:r>
        <w:t>Akinradewo</w:t>
      </w:r>
      <w:proofErr w:type="spellEnd"/>
      <w:r>
        <w:t>, 2025).</w:t>
      </w:r>
    </w:p>
    <w:p w:rsidR="000E7B8C" w:rsidRDefault="000E7B8C" w:rsidP="000E7B8C">
      <w:pPr>
        <w:numPr>
          <w:ilvl w:val="0"/>
          <w:numId w:val="7"/>
        </w:numPr>
        <w:spacing w:before="120" w:after="120"/>
      </w:pPr>
      <w:r>
        <w:t xml:space="preserve">Adopt </w:t>
      </w:r>
      <w:proofErr w:type="spellStart"/>
      <w:r>
        <w:t>blockchain</w:t>
      </w:r>
      <w:proofErr w:type="spellEnd"/>
      <w:r>
        <w:t xml:space="preserve"> technology in the process of ensuring the source and ethical practices of raw materials, especially cocoa, milk, and coffee.</w:t>
      </w:r>
    </w:p>
    <w:p w:rsidR="000E7B8C" w:rsidRDefault="000E7B8C" w:rsidP="000E7B8C">
      <w:pPr>
        <w:numPr>
          <w:ilvl w:val="0"/>
          <w:numId w:val="7"/>
        </w:numPr>
        <w:spacing w:before="120" w:after="120"/>
      </w:pPr>
      <w:r>
        <w:lastRenderedPageBreak/>
        <w:t>Collaborate with local NGOs and auditing companies to independently verify the sustainability reports and release the annual performance information.</w:t>
      </w:r>
    </w:p>
    <w:p w:rsidR="000E7B8C" w:rsidRDefault="000E7B8C" w:rsidP="000E7B8C">
      <w:pPr>
        <w:spacing w:after="0"/>
      </w:pPr>
      <w:r>
        <w:t xml:space="preserve">The Net Zero Roadmap targets by Nestlé will consider the reduction of carbon to zero by the year 2050, and by half by the year 2030. The company in India has cut down on water consumption per </w:t>
      </w:r>
      <w:proofErr w:type="spellStart"/>
      <w:r>
        <w:t>tonne</w:t>
      </w:r>
      <w:proofErr w:type="spellEnd"/>
      <w:r>
        <w:t xml:space="preserve"> of production by more than 25% and in the past 10 years, it has turned 75% of packaging materials into recyclable materials (Hyun et al., 2025). But there are still sustainability issues, plastic waste management, and ethical sourcing.</w:t>
      </w:r>
    </w:p>
    <w:p w:rsidR="000E7B8C" w:rsidRDefault="000E7B8C" w:rsidP="000E7B8C">
      <w:r>
        <w:t xml:space="preserve">After implementing digital sustainability reporting in SOPs, Nestle India will be able to attain more control and transparency in its operations. Indicatively, the digital milk collection system in </w:t>
      </w:r>
      <w:proofErr w:type="spellStart"/>
      <w:r>
        <w:t>Moga</w:t>
      </w:r>
      <w:proofErr w:type="spellEnd"/>
      <w:r>
        <w:t>, Punjab, has already been implemented in the company, and it involves electronic testing and payments to achieve fairness and accountability. This model, when expanded nationwide, would improve traceability and consumer trust.</w:t>
      </w:r>
    </w:p>
    <w:p w:rsidR="000E7B8C" w:rsidRDefault="000E7B8C" w:rsidP="000E7B8C"/>
    <w:p w:rsidR="000E7B8C" w:rsidRDefault="000E7B8C">
      <w:pPr>
        <w:spacing w:line="259" w:lineRule="auto"/>
        <w:jc w:val="left"/>
        <w:rPr>
          <w:rFonts w:eastAsiaTheme="majorEastAsia" w:cstheme="majorBidi"/>
          <w:b/>
          <w:sz w:val="32"/>
          <w:szCs w:val="32"/>
        </w:rPr>
      </w:pPr>
      <w:r>
        <w:br w:type="page"/>
      </w:r>
    </w:p>
    <w:p w:rsidR="000E7B8C" w:rsidRDefault="000E7B8C" w:rsidP="000E7B8C">
      <w:pPr>
        <w:pStyle w:val="Heading1"/>
        <w:spacing w:after="120"/>
      </w:pPr>
      <w:bookmarkStart w:id="19" w:name="_Toc215351829"/>
      <w:r>
        <w:lastRenderedPageBreak/>
        <w:t>Conclusion</w:t>
      </w:r>
      <w:bookmarkEnd w:id="19"/>
    </w:p>
    <w:p w:rsidR="000E7B8C" w:rsidRDefault="000E7B8C" w:rsidP="000E7B8C">
      <w:r>
        <w:t xml:space="preserve">Nestlé S.A., being one of the largest and most diversified transnational corporations in the world, has been a model of the opportunities and the challenges of operating in international markets. This report has </w:t>
      </w:r>
      <w:proofErr w:type="spellStart"/>
      <w:r>
        <w:t>analysed</w:t>
      </w:r>
      <w:proofErr w:type="spellEnd"/>
      <w:r>
        <w:t xml:space="preserve"> Nestlé's international operations in the context of the OLI (Ownership, Location and </w:t>
      </w:r>
      <w:proofErr w:type="spellStart"/>
      <w:r>
        <w:t>Internalisation</w:t>
      </w:r>
      <w:proofErr w:type="spellEnd"/>
      <w:r>
        <w:t xml:space="preserve">) model and cultural differences, with special emphasis on its involvement with India as one of the emerging economies. Nevertheless, it was also discovered in the study that not only economic or operational power is needed to succeed in new marketplaces such as India, but also the capacity of Nestlé to adapt its global strategies to the local cultural, social, and institutional realities. To attain long-term sustainable growth, Nestlé should keep on changing its Standard Operating Procedures (SOPs) to fit the dynamic environment of India. This report suggested three essential changes, which were to strengthen the local supply chain integration to make it more responsive and be trusted by the community, to </w:t>
      </w:r>
      <w:proofErr w:type="spellStart"/>
      <w:r>
        <w:t>institutionalise</w:t>
      </w:r>
      <w:proofErr w:type="spellEnd"/>
      <w:r>
        <w:t xml:space="preserve"> the digital sustainability systems to facilitate ethical transparency between the Swiss and Indian managerial values, and cross-cultural human resource practice.</w:t>
      </w:r>
    </w:p>
    <w:p w:rsidR="003C2BD7" w:rsidRDefault="003C2BD7">
      <w:pPr>
        <w:spacing w:line="259" w:lineRule="auto"/>
        <w:jc w:val="left"/>
      </w:pPr>
      <w:r>
        <w:br w:type="page"/>
      </w:r>
    </w:p>
    <w:p w:rsidR="003B2A37" w:rsidRPr="003B2A37" w:rsidRDefault="003C2BD7" w:rsidP="003C2BD7">
      <w:pPr>
        <w:pStyle w:val="Heading1"/>
      </w:pPr>
      <w:bookmarkStart w:id="20" w:name="_Toc215351830"/>
      <w:r>
        <w:lastRenderedPageBreak/>
        <w:t>Reference</w:t>
      </w:r>
      <w:bookmarkEnd w:id="20"/>
    </w:p>
    <w:p w:rsidR="000E7B8C" w:rsidRPr="000E7B8C" w:rsidRDefault="000E7B8C" w:rsidP="000E7B8C">
      <w:proofErr w:type="spellStart"/>
      <w:r w:rsidRPr="000E7B8C">
        <w:t>Aigbavboa</w:t>
      </w:r>
      <w:proofErr w:type="spellEnd"/>
      <w:r w:rsidRPr="000E7B8C">
        <w:t xml:space="preserve">, C.O., </w:t>
      </w:r>
      <w:proofErr w:type="spellStart"/>
      <w:r w:rsidRPr="000E7B8C">
        <w:t>Oke</w:t>
      </w:r>
      <w:proofErr w:type="spellEnd"/>
      <w:r w:rsidRPr="000E7B8C">
        <w:t xml:space="preserve">, A.E. and Israel </w:t>
      </w:r>
      <w:proofErr w:type="spellStart"/>
      <w:r w:rsidRPr="000E7B8C">
        <w:t>Akinradewo</w:t>
      </w:r>
      <w:proofErr w:type="spellEnd"/>
      <w:r w:rsidRPr="000E7B8C">
        <w:t xml:space="preserve">, O. (2025). </w:t>
      </w:r>
      <w:proofErr w:type="spellStart"/>
      <w:r w:rsidRPr="000E7B8C">
        <w:rPr>
          <w:i/>
          <w:iCs/>
        </w:rPr>
        <w:t>Blockchain</w:t>
      </w:r>
      <w:proofErr w:type="spellEnd"/>
      <w:r w:rsidRPr="000E7B8C">
        <w:rPr>
          <w:i/>
          <w:iCs/>
        </w:rPr>
        <w:t xml:space="preserve"> Technology for Information Management: A New Era for Sustainable Construction Practices</w:t>
      </w:r>
      <w:r w:rsidRPr="000E7B8C">
        <w:t>. Springer Nature.</w:t>
      </w:r>
    </w:p>
    <w:p w:rsidR="000E7B8C" w:rsidRPr="000E7B8C" w:rsidRDefault="000E7B8C" w:rsidP="000E7B8C">
      <w:proofErr w:type="spellStart"/>
      <w:r w:rsidRPr="000E7B8C">
        <w:t>Amann</w:t>
      </w:r>
      <w:proofErr w:type="spellEnd"/>
      <w:r w:rsidRPr="000E7B8C">
        <w:t xml:space="preserve">, W. and </w:t>
      </w:r>
      <w:proofErr w:type="spellStart"/>
      <w:r w:rsidRPr="000E7B8C">
        <w:t>AlBurai</w:t>
      </w:r>
      <w:proofErr w:type="spellEnd"/>
      <w:r w:rsidRPr="000E7B8C">
        <w:t xml:space="preserve">, M. (2021). </w:t>
      </w:r>
      <w:r w:rsidRPr="000E7B8C">
        <w:rPr>
          <w:i/>
          <w:iCs/>
        </w:rPr>
        <w:t>Rethinking Competitiveness in the Real Estate Industry</w:t>
      </w:r>
      <w:r w:rsidRPr="000E7B8C">
        <w:t>. Walnut Publication.</w:t>
      </w:r>
    </w:p>
    <w:p w:rsidR="000E7B8C" w:rsidRPr="000E7B8C" w:rsidRDefault="000E7B8C" w:rsidP="000E7B8C">
      <w:proofErr w:type="spellStart"/>
      <w:r w:rsidRPr="000E7B8C">
        <w:t>Ateljević</w:t>
      </w:r>
      <w:proofErr w:type="spellEnd"/>
      <w:r w:rsidRPr="000E7B8C">
        <w:t xml:space="preserve">, J. (2023). </w:t>
      </w:r>
      <w:r w:rsidRPr="000E7B8C">
        <w:rPr>
          <w:i/>
          <w:iCs/>
        </w:rPr>
        <w:t>Business Strategy and Competitive Advantage</w:t>
      </w:r>
      <w:r w:rsidRPr="000E7B8C">
        <w:t>.</w:t>
      </w:r>
    </w:p>
    <w:p w:rsidR="000E7B8C" w:rsidRPr="000E7B8C" w:rsidRDefault="000E7B8C" w:rsidP="000E7B8C">
      <w:proofErr w:type="spellStart"/>
      <w:r w:rsidRPr="000E7B8C">
        <w:t>Beugelsdijk</w:t>
      </w:r>
      <w:proofErr w:type="spellEnd"/>
      <w:r w:rsidRPr="000E7B8C">
        <w:t xml:space="preserve">, S. and </w:t>
      </w:r>
      <w:proofErr w:type="spellStart"/>
      <w:r w:rsidRPr="000E7B8C">
        <w:t>Welzel</w:t>
      </w:r>
      <w:proofErr w:type="spellEnd"/>
      <w:r w:rsidRPr="000E7B8C">
        <w:t xml:space="preserve">, C. (2018). Dimensions and Dynamics of National Culture: Synthesizing Hofstede </w:t>
      </w:r>
      <w:proofErr w:type="gramStart"/>
      <w:r w:rsidRPr="000E7B8C">
        <w:t>With</w:t>
      </w:r>
      <w:proofErr w:type="gramEnd"/>
      <w:r w:rsidRPr="000E7B8C">
        <w:t xml:space="preserve"> </w:t>
      </w:r>
      <w:proofErr w:type="spellStart"/>
      <w:r w:rsidRPr="000E7B8C">
        <w:t>Inglehart</w:t>
      </w:r>
      <w:proofErr w:type="spellEnd"/>
      <w:r w:rsidRPr="000E7B8C">
        <w:t xml:space="preserve">. </w:t>
      </w:r>
      <w:r w:rsidRPr="000E7B8C">
        <w:rPr>
          <w:i/>
          <w:iCs/>
        </w:rPr>
        <w:t>Journal of Cross-Cultural Psychology</w:t>
      </w:r>
      <w:r w:rsidRPr="000E7B8C">
        <w:t xml:space="preserve">, [online] 49(10), pp.1469–1505. </w:t>
      </w:r>
      <w:proofErr w:type="spellStart"/>
      <w:r w:rsidRPr="000E7B8C">
        <w:t>doi:https</w:t>
      </w:r>
      <w:proofErr w:type="spellEnd"/>
      <w:r w:rsidRPr="000E7B8C">
        <w:t>://doi.org/10.1177/0022022118798505.</w:t>
      </w:r>
    </w:p>
    <w:p w:rsidR="000E7B8C" w:rsidRPr="000E7B8C" w:rsidRDefault="000E7B8C" w:rsidP="000E7B8C">
      <w:proofErr w:type="spellStart"/>
      <w:r w:rsidRPr="000E7B8C">
        <w:t>Bhagirath</w:t>
      </w:r>
      <w:proofErr w:type="spellEnd"/>
      <w:r w:rsidRPr="000E7B8C">
        <w:t xml:space="preserve"> Prakash </w:t>
      </w:r>
      <w:proofErr w:type="spellStart"/>
      <w:r w:rsidRPr="000E7B8C">
        <w:t>Baria</w:t>
      </w:r>
      <w:proofErr w:type="spellEnd"/>
      <w:r w:rsidRPr="000E7B8C">
        <w:t xml:space="preserve"> (2022). </w:t>
      </w:r>
      <w:r w:rsidRPr="000E7B8C">
        <w:rPr>
          <w:i/>
          <w:iCs/>
        </w:rPr>
        <w:t>The Economics of Financial Services in Emerging Markets</w:t>
      </w:r>
      <w:r w:rsidRPr="000E7B8C">
        <w:t>. Taylor &amp; Francis.</w:t>
      </w:r>
    </w:p>
    <w:p w:rsidR="000E7B8C" w:rsidRPr="000E7B8C" w:rsidRDefault="000E7B8C" w:rsidP="000E7B8C">
      <w:proofErr w:type="spellStart"/>
      <w:r w:rsidRPr="000E7B8C">
        <w:t>Budhwar</w:t>
      </w:r>
      <w:proofErr w:type="spellEnd"/>
      <w:r w:rsidRPr="000E7B8C">
        <w:t xml:space="preserve">, P.S., Schuler, R.S. and Sparrow, P. (2009). </w:t>
      </w:r>
      <w:r w:rsidRPr="000E7B8C">
        <w:rPr>
          <w:i/>
          <w:iCs/>
        </w:rPr>
        <w:t>Cross-cultural Human Resource Management</w:t>
      </w:r>
      <w:r w:rsidRPr="000E7B8C">
        <w:t>.</w:t>
      </w:r>
    </w:p>
    <w:p w:rsidR="000E7B8C" w:rsidRPr="000E7B8C" w:rsidRDefault="000E7B8C" w:rsidP="000E7B8C">
      <w:proofErr w:type="spellStart"/>
      <w:r w:rsidRPr="000E7B8C">
        <w:t>Chalençon</w:t>
      </w:r>
      <w:proofErr w:type="spellEnd"/>
      <w:r w:rsidRPr="000E7B8C">
        <w:t xml:space="preserve">, L. (2017). </w:t>
      </w:r>
      <w:r w:rsidRPr="000E7B8C">
        <w:rPr>
          <w:i/>
          <w:iCs/>
        </w:rPr>
        <w:t>Location Strategies and Value Creation of International Mergers and Acquisitions</w:t>
      </w:r>
      <w:r w:rsidRPr="000E7B8C">
        <w:t>. John Wiley &amp; Sons.</w:t>
      </w:r>
    </w:p>
    <w:p w:rsidR="000E7B8C" w:rsidRPr="000E7B8C" w:rsidRDefault="000E7B8C" w:rsidP="000E7B8C">
      <w:proofErr w:type="spellStart"/>
      <w:r w:rsidRPr="000E7B8C">
        <w:t>Dessler</w:t>
      </w:r>
      <w:proofErr w:type="spellEnd"/>
      <w:r w:rsidRPr="000E7B8C">
        <w:t xml:space="preserve">, G. (2015). </w:t>
      </w:r>
      <w:r w:rsidRPr="000E7B8C">
        <w:rPr>
          <w:i/>
          <w:iCs/>
        </w:rPr>
        <w:t>Human resource management</w:t>
      </w:r>
      <w:r w:rsidRPr="000E7B8C">
        <w:t>. Boston: Pearson.</w:t>
      </w:r>
    </w:p>
    <w:p w:rsidR="000E7B8C" w:rsidRPr="000E7B8C" w:rsidRDefault="000E7B8C" w:rsidP="000E7B8C">
      <w:proofErr w:type="spellStart"/>
      <w:r w:rsidRPr="000E7B8C">
        <w:t>Elsner</w:t>
      </w:r>
      <w:proofErr w:type="spellEnd"/>
      <w:r w:rsidRPr="000E7B8C">
        <w:t xml:space="preserve">, S. (2014). </w:t>
      </w:r>
      <w:r w:rsidRPr="000E7B8C">
        <w:rPr>
          <w:i/>
          <w:iCs/>
        </w:rPr>
        <w:t xml:space="preserve">Retail </w:t>
      </w:r>
      <w:proofErr w:type="gramStart"/>
      <w:r w:rsidRPr="000E7B8C">
        <w:rPr>
          <w:i/>
          <w:iCs/>
        </w:rPr>
        <w:t>internationalization :</w:t>
      </w:r>
      <w:proofErr w:type="gramEnd"/>
      <w:r w:rsidRPr="000E7B8C">
        <w:rPr>
          <w:i/>
          <w:iCs/>
        </w:rPr>
        <w:t xml:space="preserve"> analysis of market entry modes, format transfer and coordination of retail activities</w:t>
      </w:r>
      <w:r w:rsidRPr="000E7B8C">
        <w:t xml:space="preserve">. Wiesbaden: Springer </w:t>
      </w:r>
      <w:proofErr w:type="spellStart"/>
      <w:r w:rsidRPr="000E7B8C">
        <w:t>Gabler</w:t>
      </w:r>
      <w:proofErr w:type="spellEnd"/>
      <w:r w:rsidRPr="000E7B8C">
        <w:t>.</w:t>
      </w:r>
    </w:p>
    <w:p w:rsidR="000E7B8C" w:rsidRPr="000E7B8C" w:rsidRDefault="000E7B8C" w:rsidP="000E7B8C">
      <w:r w:rsidRPr="000E7B8C">
        <w:t xml:space="preserve">Food Safety and Quality Institute. (2024). </w:t>
      </w:r>
      <w:r w:rsidRPr="000E7B8C">
        <w:rPr>
          <w:i/>
          <w:iCs/>
        </w:rPr>
        <w:t>Maggi Noodle Controversy: Food Safety Concerns in India (2015) • Food Safety Institute</w:t>
      </w:r>
      <w:r w:rsidRPr="000E7B8C">
        <w:t>. [online] Available at: https://foodsafety.institute/food-toxicology-public-health/maggi-noodle-controversy-india-2015/.</w:t>
      </w:r>
    </w:p>
    <w:p w:rsidR="000E7B8C" w:rsidRPr="000E7B8C" w:rsidRDefault="000E7B8C" w:rsidP="000E7B8C">
      <w:r w:rsidRPr="000E7B8C">
        <w:t xml:space="preserve">Fuchs, M. (2022). </w:t>
      </w:r>
      <w:r w:rsidRPr="000E7B8C">
        <w:rPr>
          <w:i/>
          <w:iCs/>
        </w:rPr>
        <w:t>International Management</w:t>
      </w:r>
      <w:r w:rsidRPr="000E7B8C">
        <w:t>. Springer Nature.</w:t>
      </w:r>
    </w:p>
    <w:p w:rsidR="000E7B8C" w:rsidRPr="000E7B8C" w:rsidRDefault="000E7B8C" w:rsidP="000E7B8C">
      <w:proofErr w:type="spellStart"/>
      <w:r w:rsidRPr="000E7B8C">
        <w:t>Galanakis</w:t>
      </w:r>
      <w:proofErr w:type="spellEnd"/>
      <w:r w:rsidRPr="000E7B8C">
        <w:t xml:space="preserve">, C.M. (2022). </w:t>
      </w:r>
      <w:r w:rsidRPr="000E7B8C">
        <w:rPr>
          <w:i/>
          <w:iCs/>
        </w:rPr>
        <w:t>Trends in sustainable chocolate production</w:t>
      </w:r>
      <w:r w:rsidRPr="000E7B8C">
        <w:t>. Cham, Switzerland: Springer.</w:t>
      </w:r>
    </w:p>
    <w:p w:rsidR="000E7B8C" w:rsidRPr="000E7B8C" w:rsidRDefault="000E7B8C" w:rsidP="000E7B8C">
      <w:proofErr w:type="spellStart"/>
      <w:r w:rsidRPr="000E7B8C">
        <w:lastRenderedPageBreak/>
        <w:t>Goncalves</w:t>
      </w:r>
      <w:proofErr w:type="spellEnd"/>
      <w:r w:rsidRPr="000E7B8C">
        <w:t xml:space="preserve">, M. (2024). </w:t>
      </w:r>
      <w:r w:rsidRPr="000E7B8C">
        <w:rPr>
          <w:i/>
          <w:iCs/>
        </w:rPr>
        <w:t>Global Markets, Diverse Economies</w:t>
      </w:r>
      <w:r w:rsidRPr="000E7B8C">
        <w:t xml:space="preserve">. Walter de </w:t>
      </w:r>
      <w:proofErr w:type="spellStart"/>
      <w:r w:rsidRPr="000E7B8C">
        <w:t>Gruyter</w:t>
      </w:r>
      <w:proofErr w:type="spellEnd"/>
      <w:r w:rsidRPr="000E7B8C">
        <w:t xml:space="preserve"> GmbH &amp; Co KG.</w:t>
      </w:r>
    </w:p>
    <w:p w:rsidR="000E7B8C" w:rsidRPr="000E7B8C" w:rsidRDefault="000E7B8C" w:rsidP="000E7B8C">
      <w:proofErr w:type="spellStart"/>
      <w:r w:rsidRPr="000E7B8C">
        <w:t>Gunasekaran</w:t>
      </w:r>
      <w:proofErr w:type="spellEnd"/>
      <w:r w:rsidRPr="000E7B8C">
        <w:t xml:space="preserve">, S., </w:t>
      </w:r>
      <w:proofErr w:type="spellStart"/>
      <w:r w:rsidRPr="000E7B8C">
        <w:t>Krishnadevarajan</w:t>
      </w:r>
      <w:proofErr w:type="spellEnd"/>
      <w:r w:rsidRPr="000E7B8C">
        <w:t xml:space="preserve">, P., Lawrence, F.B. and </w:t>
      </w:r>
      <w:proofErr w:type="spellStart"/>
      <w:r w:rsidRPr="000E7B8C">
        <w:t>Naw</w:t>
      </w:r>
      <w:proofErr w:type="spellEnd"/>
      <w:r w:rsidRPr="000E7B8C">
        <w:t xml:space="preserve"> Institute </w:t>
      </w:r>
      <w:proofErr w:type="gramStart"/>
      <w:r w:rsidRPr="000E7B8C">
        <w:t>For</w:t>
      </w:r>
      <w:proofErr w:type="gramEnd"/>
      <w:r w:rsidRPr="000E7B8C">
        <w:t xml:space="preserve"> Distribution Excellence (2012). </w:t>
      </w:r>
      <w:r w:rsidRPr="000E7B8C">
        <w:rPr>
          <w:i/>
          <w:iCs/>
        </w:rPr>
        <w:t xml:space="preserve">Sales and marketing </w:t>
      </w:r>
      <w:proofErr w:type="gramStart"/>
      <w:r w:rsidRPr="000E7B8C">
        <w:rPr>
          <w:i/>
          <w:iCs/>
        </w:rPr>
        <w:t>optimization :</w:t>
      </w:r>
      <w:proofErr w:type="gramEnd"/>
      <w:r w:rsidRPr="000E7B8C">
        <w:rPr>
          <w:i/>
          <w:iCs/>
        </w:rPr>
        <w:t xml:space="preserve"> developing competitive value propositions in distribution</w:t>
      </w:r>
      <w:r w:rsidRPr="000E7B8C">
        <w:t xml:space="preserve">. Washington, D.C.: </w:t>
      </w:r>
      <w:proofErr w:type="spellStart"/>
      <w:r w:rsidRPr="000E7B8C">
        <w:t>Naw</w:t>
      </w:r>
      <w:proofErr w:type="spellEnd"/>
      <w:r w:rsidRPr="000E7B8C">
        <w:t xml:space="preserve"> Institute </w:t>
      </w:r>
      <w:proofErr w:type="gramStart"/>
      <w:r w:rsidRPr="000E7B8C">
        <w:t>For</w:t>
      </w:r>
      <w:proofErr w:type="gramEnd"/>
      <w:r w:rsidRPr="000E7B8C">
        <w:t xml:space="preserve"> Distribution Excellence.</w:t>
      </w:r>
    </w:p>
    <w:p w:rsidR="000E7B8C" w:rsidRPr="000E7B8C" w:rsidRDefault="000E7B8C" w:rsidP="000E7B8C">
      <w:proofErr w:type="spellStart"/>
      <w:r w:rsidRPr="000E7B8C">
        <w:t>Hashim</w:t>
      </w:r>
      <w:proofErr w:type="spellEnd"/>
      <w:r w:rsidRPr="000E7B8C">
        <w:t xml:space="preserve">, R. and </w:t>
      </w:r>
      <w:proofErr w:type="spellStart"/>
      <w:r w:rsidRPr="000E7B8C">
        <w:t>Jamaluddin</w:t>
      </w:r>
      <w:proofErr w:type="spellEnd"/>
      <w:r w:rsidRPr="000E7B8C">
        <w:t xml:space="preserve">, M.R. (2019). </w:t>
      </w:r>
      <w:r w:rsidRPr="000E7B8C">
        <w:rPr>
          <w:i/>
          <w:iCs/>
        </w:rPr>
        <w:t>Positioning and branding for global competitiveness</w:t>
      </w:r>
      <w:r w:rsidRPr="000E7B8C">
        <w:t>. Hershey, Pennsylvania (701 E. Chocolate Avenue, Hershey, Pennsylvania, 17033, USA): IGI Global.</w:t>
      </w:r>
    </w:p>
    <w:p w:rsidR="000E7B8C" w:rsidRPr="000E7B8C" w:rsidRDefault="000E7B8C" w:rsidP="000E7B8C">
      <w:r w:rsidRPr="000E7B8C">
        <w:t xml:space="preserve">Hyun, S., </w:t>
      </w:r>
      <w:proofErr w:type="spellStart"/>
      <w:r w:rsidRPr="000E7B8C">
        <w:t>Farzad</w:t>
      </w:r>
      <w:proofErr w:type="spellEnd"/>
      <w:r w:rsidRPr="000E7B8C">
        <w:t xml:space="preserve"> </w:t>
      </w:r>
      <w:proofErr w:type="spellStart"/>
      <w:r w:rsidRPr="000E7B8C">
        <w:t>Taghizadeh-Hesary</w:t>
      </w:r>
      <w:proofErr w:type="spellEnd"/>
      <w:r w:rsidRPr="000E7B8C">
        <w:t xml:space="preserve">, Lee, I. and Xu, B. (2025). </w:t>
      </w:r>
      <w:r w:rsidRPr="000E7B8C">
        <w:rPr>
          <w:i/>
          <w:iCs/>
        </w:rPr>
        <w:t>The Role of Green and Transition Finance in Achieving Carbon Neutrality and Sustainable Energy</w:t>
      </w:r>
      <w:r w:rsidRPr="000E7B8C">
        <w:t>. Elsevier.</w:t>
      </w:r>
    </w:p>
    <w:p w:rsidR="000E7B8C" w:rsidRPr="000E7B8C" w:rsidRDefault="000E7B8C" w:rsidP="000E7B8C">
      <w:proofErr w:type="spellStart"/>
      <w:r w:rsidRPr="000E7B8C">
        <w:t>Isenhour</w:t>
      </w:r>
      <w:proofErr w:type="spellEnd"/>
      <w:r w:rsidRPr="000E7B8C">
        <w:t xml:space="preserve">, J. (2017). </w:t>
      </w:r>
      <w:r w:rsidRPr="000E7B8C">
        <w:rPr>
          <w:i/>
          <w:iCs/>
        </w:rPr>
        <w:t>Standardizing Standard Operating Procedures</w:t>
      </w:r>
      <w:r w:rsidRPr="000E7B8C">
        <w:t>.</w:t>
      </w:r>
    </w:p>
    <w:p w:rsidR="000E7B8C" w:rsidRPr="000E7B8C" w:rsidRDefault="000E7B8C" w:rsidP="000E7B8C">
      <w:proofErr w:type="spellStart"/>
      <w:r w:rsidRPr="000E7B8C">
        <w:t>Jansson</w:t>
      </w:r>
      <w:proofErr w:type="spellEnd"/>
      <w:r w:rsidRPr="000E7B8C">
        <w:t xml:space="preserve">, H. (2020). </w:t>
      </w:r>
      <w:r w:rsidRPr="000E7B8C">
        <w:rPr>
          <w:i/>
          <w:iCs/>
        </w:rPr>
        <w:t>International business strategy in complex markets</w:t>
      </w:r>
      <w:r w:rsidRPr="000E7B8C">
        <w:t xml:space="preserve">. Cheltenham, </w:t>
      </w:r>
      <w:proofErr w:type="spellStart"/>
      <w:proofErr w:type="gramStart"/>
      <w:r w:rsidRPr="000E7B8C">
        <w:t>Uk</w:t>
      </w:r>
      <w:proofErr w:type="spellEnd"/>
      <w:r w:rsidRPr="000E7B8C">
        <w:t xml:space="preserve"> ;</w:t>
      </w:r>
      <w:proofErr w:type="gramEnd"/>
      <w:r w:rsidRPr="000E7B8C">
        <w:t xml:space="preserve"> Northampton, Ma: Edward Elgar.</w:t>
      </w:r>
    </w:p>
    <w:p w:rsidR="000E7B8C" w:rsidRPr="000E7B8C" w:rsidRDefault="000E7B8C" w:rsidP="000E7B8C">
      <w:r w:rsidRPr="000E7B8C">
        <w:t xml:space="preserve">Jensen, R.J., Bryce, D.J., Godfrey, P.C. and Dyer, J.H. (2023). </w:t>
      </w:r>
      <w:r w:rsidRPr="000E7B8C">
        <w:rPr>
          <w:i/>
          <w:iCs/>
        </w:rPr>
        <w:t>Strategic Management</w:t>
      </w:r>
      <w:r w:rsidRPr="000E7B8C">
        <w:t>. John Wiley &amp; Sons.</w:t>
      </w:r>
    </w:p>
    <w:p w:rsidR="000E7B8C" w:rsidRPr="000E7B8C" w:rsidRDefault="000E7B8C" w:rsidP="000E7B8C">
      <w:proofErr w:type="spellStart"/>
      <w:r w:rsidRPr="000E7B8C">
        <w:t>Jurevicius</w:t>
      </w:r>
      <w:proofErr w:type="spellEnd"/>
      <w:r w:rsidRPr="000E7B8C">
        <w:t xml:space="preserve">, O. (2023). </w:t>
      </w:r>
      <w:r w:rsidRPr="000E7B8C">
        <w:rPr>
          <w:i/>
          <w:iCs/>
        </w:rPr>
        <w:t>SWOT Analysis of Nestle 2023</w:t>
      </w:r>
      <w:r w:rsidRPr="000E7B8C">
        <w:t>. [online] Strategic Management Insight. Available at: https://strategicmanagementinsight.com/swot-analyses/nestle-swot-analysis/.</w:t>
      </w:r>
    </w:p>
    <w:p w:rsidR="000E7B8C" w:rsidRPr="000E7B8C" w:rsidRDefault="000E7B8C" w:rsidP="000E7B8C">
      <w:proofErr w:type="spellStart"/>
      <w:r w:rsidRPr="000E7B8C">
        <w:t>Kaul</w:t>
      </w:r>
      <w:proofErr w:type="spellEnd"/>
      <w:r w:rsidRPr="000E7B8C">
        <w:t xml:space="preserve">, A., </w:t>
      </w:r>
      <w:proofErr w:type="spellStart"/>
      <w:r w:rsidRPr="000E7B8C">
        <w:t>Chaudri</w:t>
      </w:r>
      <w:proofErr w:type="spellEnd"/>
      <w:r w:rsidRPr="000E7B8C">
        <w:t xml:space="preserve">, V. and </w:t>
      </w:r>
      <w:proofErr w:type="spellStart"/>
      <w:r w:rsidRPr="000E7B8C">
        <w:t>Vankar</w:t>
      </w:r>
      <w:proofErr w:type="spellEnd"/>
      <w:r w:rsidRPr="000E7B8C">
        <w:t xml:space="preserve">, N. (2018). </w:t>
      </w:r>
      <w:r w:rsidRPr="000E7B8C">
        <w:rPr>
          <w:i/>
          <w:iCs/>
        </w:rPr>
        <w:t>Nestlé Entangled: Braving the Maggi Noodle Crisis in India</w:t>
      </w:r>
      <w:r w:rsidRPr="000E7B8C">
        <w:t xml:space="preserve">. Indian Institute </w:t>
      </w:r>
      <w:proofErr w:type="gramStart"/>
      <w:r w:rsidRPr="000E7B8C">
        <w:t>Of</w:t>
      </w:r>
      <w:proofErr w:type="gramEnd"/>
      <w:r w:rsidRPr="000E7B8C">
        <w:t xml:space="preserve"> Management, Ahmedabad.</w:t>
      </w:r>
    </w:p>
    <w:p w:rsidR="000E7B8C" w:rsidRPr="000E7B8C" w:rsidRDefault="000E7B8C" w:rsidP="000E7B8C">
      <w:proofErr w:type="spellStart"/>
      <w:r w:rsidRPr="000E7B8C">
        <w:t>Klyukanov</w:t>
      </w:r>
      <w:proofErr w:type="spellEnd"/>
      <w:r w:rsidRPr="000E7B8C">
        <w:t xml:space="preserve">, I.E. (2024). </w:t>
      </w:r>
      <w:r w:rsidRPr="000E7B8C">
        <w:rPr>
          <w:i/>
          <w:iCs/>
        </w:rPr>
        <w:t>Principles of Intercultural Communication</w:t>
      </w:r>
      <w:r w:rsidRPr="000E7B8C">
        <w:t>. Taylor &amp; Francis.</w:t>
      </w:r>
    </w:p>
    <w:p w:rsidR="000E7B8C" w:rsidRPr="000E7B8C" w:rsidRDefault="000E7B8C" w:rsidP="000E7B8C">
      <w:proofErr w:type="spellStart"/>
      <w:r w:rsidRPr="000E7B8C">
        <w:t>Leblond</w:t>
      </w:r>
      <w:proofErr w:type="spellEnd"/>
      <w:r w:rsidRPr="000E7B8C">
        <w:t xml:space="preserve">, P. and </w:t>
      </w:r>
      <w:proofErr w:type="spellStart"/>
      <w:r w:rsidRPr="000E7B8C">
        <w:t>VanDuzer</w:t>
      </w:r>
      <w:proofErr w:type="spellEnd"/>
      <w:r w:rsidRPr="000E7B8C">
        <w:t xml:space="preserve">, J.A. (2020). </w:t>
      </w:r>
      <w:r w:rsidRPr="000E7B8C">
        <w:rPr>
          <w:i/>
          <w:iCs/>
        </w:rPr>
        <w:t>Promoting and Managing International Investment</w:t>
      </w:r>
      <w:r w:rsidRPr="000E7B8C">
        <w:t>. Routledge.</w:t>
      </w:r>
    </w:p>
    <w:p w:rsidR="000E7B8C" w:rsidRPr="000E7B8C" w:rsidRDefault="000E7B8C" w:rsidP="000E7B8C">
      <w:r w:rsidRPr="000E7B8C">
        <w:t xml:space="preserve">Lee, H.L. and Shen, Z.-J. (Max) (2020). Supply Chain and Logistics Innovations with the Belt and Road Initiative. </w:t>
      </w:r>
      <w:r w:rsidRPr="000E7B8C">
        <w:rPr>
          <w:i/>
          <w:iCs/>
        </w:rPr>
        <w:t>Journal of Management Science and Engineering</w:t>
      </w:r>
      <w:r w:rsidRPr="000E7B8C">
        <w:t xml:space="preserve">, 5(2). </w:t>
      </w:r>
      <w:proofErr w:type="spellStart"/>
      <w:r w:rsidRPr="000E7B8C">
        <w:t>doi:https</w:t>
      </w:r>
      <w:proofErr w:type="spellEnd"/>
      <w:r w:rsidRPr="000E7B8C">
        <w:t>://doi.org/10.1016/j.jmse.2020.05.001.</w:t>
      </w:r>
    </w:p>
    <w:p w:rsidR="000E7B8C" w:rsidRPr="000E7B8C" w:rsidRDefault="000E7B8C" w:rsidP="000E7B8C">
      <w:proofErr w:type="spellStart"/>
      <w:r w:rsidRPr="000E7B8C">
        <w:lastRenderedPageBreak/>
        <w:t>Merkin</w:t>
      </w:r>
      <w:proofErr w:type="spellEnd"/>
      <w:r w:rsidRPr="000E7B8C">
        <w:t xml:space="preserve">, R.S. (2018). </w:t>
      </w:r>
      <w:r w:rsidRPr="000E7B8C">
        <w:rPr>
          <w:i/>
          <w:iCs/>
        </w:rPr>
        <w:t xml:space="preserve">Saving Face in </w:t>
      </w:r>
      <w:proofErr w:type="gramStart"/>
      <w:r w:rsidRPr="000E7B8C">
        <w:rPr>
          <w:i/>
          <w:iCs/>
        </w:rPr>
        <w:t>Business :</w:t>
      </w:r>
      <w:proofErr w:type="gramEnd"/>
      <w:r w:rsidRPr="000E7B8C">
        <w:rPr>
          <w:i/>
          <w:iCs/>
        </w:rPr>
        <w:t xml:space="preserve"> Managing Cross-Cultural Interactions</w:t>
      </w:r>
      <w:r w:rsidRPr="000E7B8C">
        <w:t>. New York: Palgrave Macmillan Us.</w:t>
      </w:r>
    </w:p>
    <w:p w:rsidR="000E7B8C" w:rsidRPr="000E7B8C" w:rsidRDefault="000E7B8C" w:rsidP="000E7B8C">
      <w:r w:rsidRPr="000E7B8C">
        <w:t xml:space="preserve">Naidoo, V. and </w:t>
      </w:r>
      <w:proofErr w:type="spellStart"/>
      <w:r w:rsidRPr="000E7B8C">
        <w:t>Verma</w:t>
      </w:r>
      <w:proofErr w:type="spellEnd"/>
      <w:r w:rsidRPr="000E7B8C">
        <w:t xml:space="preserve">, R. (2024). </w:t>
      </w:r>
      <w:r w:rsidRPr="000E7B8C">
        <w:rPr>
          <w:i/>
          <w:iCs/>
        </w:rPr>
        <w:t>Reshaping Entrepreneurial Education Within an Industry 4.0 Context</w:t>
      </w:r>
      <w:r w:rsidRPr="000E7B8C">
        <w:t>. IGI Global.</w:t>
      </w:r>
    </w:p>
    <w:p w:rsidR="000E7B8C" w:rsidRPr="000E7B8C" w:rsidRDefault="000E7B8C" w:rsidP="000E7B8C">
      <w:r w:rsidRPr="000E7B8C">
        <w:t xml:space="preserve">Nestle (2023). </w:t>
      </w:r>
      <w:r w:rsidRPr="000E7B8C">
        <w:rPr>
          <w:i/>
          <w:iCs/>
        </w:rPr>
        <w:t>Acquisitions and disposals</w:t>
      </w:r>
      <w:r w:rsidRPr="000E7B8C">
        <w:t>. [online] Nestlé Global. Available at: https://www.nestle.com/investors/overview/mergers-and-acquisitions.</w:t>
      </w:r>
    </w:p>
    <w:p w:rsidR="000E7B8C" w:rsidRPr="000E7B8C" w:rsidRDefault="000E7B8C" w:rsidP="000E7B8C">
      <w:r w:rsidRPr="000E7B8C">
        <w:t xml:space="preserve">Nestlé (2025). </w:t>
      </w:r>
      <w:r w:rsidRPr="000E7B8C">
        <w:rPr>
          <w:i/>
          <w:iCs/>
        </w:rPr>
        <w:t>Facts and figures</w:t>
      </w:r>
      <w:r w:rsidRPr="000E7B8C">
        <w:t>. [online] Nestlé Global. Available at: https://www.nestle.com/investors/annual-report/facts-figures.</w:t>
      </w:r>
    </w:p>
    <w:p w:rsidR="000E7B8C" w:rsidRPr="000E7B8C" w:rsidRDefault="000E7B8C" w:rsidP="000E7B8C">
      <w:r w:rsidRPr="000E7B8C">
        <w:t xml:space="preserve">Richter, N.F., </w:t>
      </w:r>
      <w:proofErr w:type="spellStart"/>
      <w:r w:rsidRPr="000E7B8C">
        <w:t>Strandskov</w:t>
      </w:r>
      <w:proofErr w:type="spellEnd"/>
      <w:r w:rsidRPr="000E7B8C">
        <w:t xml:space="preserve">, J., </w:t>
      </w:r>
      <w:proofErr w:type="spellStart"/>
      <w:r w:rsidRPr="000E7B8C">
        <w:t>Hauff</w:t>
      </w:r>
      <w:proofErr w:type="spellEnd"/>
      <w:r w:rsidRPr="000E7B8C">
        <w:t xml:space="preserve">, S. and </w:t>
      </w:r>
      <w:proofErr w:type="spellStart"/>
      <w:r w:rsidRPr="000E7B8C">
        <w:t>Taras</w:t>
      </w:r>
      <w:proofErr w:type="spellEnd"/>
      <w:r w:rsidRPr="000E7B8C">
        <w:t xml:space="preserve">, V. (2022). </w:t>
      </w:r>
      <w:r w:rsidRPr="000E7B8C">
        <w:rPr>
          <w:i/>
          <w:iCs/>
        </w:rPr>
        <w:t xml:space="preserve">International business strategy and cross-cultural </w:t>
      </w:r>
      <w:proofErr w:type="gramStart"/>
      <w:r w:rsidRPr="000E7B8C">
        <w:rPr>
          <w:i/>
          <w:iCs/>
        </w:rPr>
        <w:t>management :</w:t>
      </w:r>
      <w:proofErr w:type="gramEnd"/>
      <w:r w:rsidRPr="000E7B8C">
        <w:rPr>
          <w:i/>
          <w:iCs/>
        </w:rPr>
        <w:t xml:space="preserve"> an applied approach</w:t>
      </w:r>
      <w:r w:rsidRPr="000E7B8C">
        <w:t>. Cheltenham: Edward Elgar Publishing.</w:t>
      </w:r>
    </w:p>
    <w:p w:rsidR="000E7B8C" w:rsidRPr="000E7B8C" w:rsidRDefault="000E7B8C" w:rsidP="000E7B8C">
      <w:proofErr w:type="spellStart"/>
      <w:r w:rsidRPr="000E7B8C">
        <w:t>Sathyan</w:t>
      </w:r>
      <w:proofErr w:type="spellEnd"/>
      <w:r w:rsidRPr="000E7B8C">
        <w:t xml:space="preserve">, S. and S. N., J. (2021). 100 Years of Growth and Success Story of Nestle India - A Fast Moving Consumer Goods (FMCG) Industry. </w:t>
      </w:r>
      <w:r w:rsidRPr="000E7B8C">
        <w:rPr>
          <w:i/>
          <w:iCs/>
        </w:rPr>
        <w:t>International Journal of Case Studies in Business, IT, and Education</w:t>
      </w:r>
      <w:r w:rsidRPr="000E7B8C">
        <w:t xml:space="preserve">, [online] 5(2), pp.226–238. </w:t>
      </w:r>
      <w:proofErr w:type="spellStart"/>
      <w:r w:rsidRPr="000E7B8C">
        <w:t>doi:https</w:t>
      </w:r>
      <w:proofErr w:type="spellEnd"/>
      <w:r w:rsidRPr="000E7B8C">
        <w:t>://doi.org/10.47992/ijcsbe.2581.6942.0131.</w:t>
      </w:r>
    </w:p>
    <w:p w:rsidR="000E7B8C" w:rsidRPr="000E7B8C" w:rsidRDefault="000E7B8C" w:rsidP="000E7B8C">
      <w:proofErr w:type="spellStart"/>
      <w:r w:rsidRPr="000E7B8C">
        <w:t>Schlegelmilch</w:t>
      </w:r>
      <w:proofErr w:type="spellEnd"/>
      <w:r w:rsidRPr="000E7B8C">
        <w:t xml:space="preserve">, B.B. (2023). </w:t>
      </w:r>
      <w:r w:rsidRPr="000E7B8C">
        <w:rPr>
          <w:i/>
          <w:iCs/>
        </w:rPr>
        <w:t xml:space="preserve">Global marketing </w:t>
      </w:r>
      <w:proofErr w:type="gramStart"/>
      <w:r w:rsidRPr="000E7B8C">
        <w:rPr>
          <w:i/>
          <w:iCs/>
        </w:rPr>
        <w:t>strategy :</w:t>
      </w:r>
      <w:proofErr w:type="gramEnd"/>
      <w:r w:rsidRPr="000E7B8C">
        <w:rPr>
          <w:i/>
          <w:iCs/>
        </w:rPr>
        <w:t xml:space="preserve"> an executive digest</w:t>
      </w:r>
      <w:r w:rsidRPr="000E7B8C">
        <w:t>. Cham: Springer, pp.129–159.</w:t>
      </w:r>
    </w:p>
    <w:p w:rsidR="000E7B8C" w:rsidRPr="000E7B8C" w:rsidRDefault="000E7B8C" w:rsidP="000E7B8C">
      <w:proofErr w:type="spellStart"/>
      <w:r w:rsidRPr="000E7B8C">
        <w:t>Skordili</w:t>
      </w:r>
      <w:proofErr w:type="spellEnd"/>
      <w:r w:rsidRPr="000E7B8C">
        <w:t xml:space="preserve">, S. and </w:t>
      </w:r>
      <w:proofErr w:type="spellStart"/>
      <w:r w:rsidRPr="000E7B8C">
        <w:t>Kalfagianni</w:t>
      </w:r>
      <w:proofErr w:type="spellEnd"/>
      <w:r w:rsidRPr="000E7B8C">
        <w:t xml:space="preserve">, A. (2018). </w:t>
      </w:r>
      <w:r w:rsidRPr="000E7B8C">
        <w:rPr>
          <w:i/>
          <w:iCs/>
        </w:rPr>
        <w:t>Localizing Global Food</w:t>
      </w:r>
      <w:r w:rsidRPr="000E7B8C">
        <w:t>. Routledge.</w:t>
      </w:r>
    </w:p>
    <w:p w:rsidR="000E7B8C" w:rsidRPr="000E7B8C" w:rsidRDefault="000E7B8C" w:rsidP="000E7B8C">
      <w:proofErr w:type="spellStart"/>
      <w:r w:rsidRPr="000E7B8C">
        <w:t>Squicciarini</w:t>
      </w:r>
      <w:proofErr w:type="spellEnd"/>
      <w:r w:rsidRPr="000E7B8C">
        <w:t xml:space="preserve">, M.P. and Johan </w:t>
      </w:r>
      <w:proofErr w:type="spellStart"/>
      <w:r w:rsidRPr="000E7B8C">
        <w:t>Swinnen</w:t>
      </w:r>
      <w:proofErr w:type="spellEnd"/>
      <w:r w:rsidRPr="000E7B8C">
        <w:t xml:space="preserve"> (2016). </w:t>
      </w:r>
      <w:r w:rsidRPr="000E7B8C">
        <w:rPr>
          <w:i/>
          <w:iCs/>
        </w:rPr>
        <w:t>The economics of chocolate</w:t>
      </w:r>
      <w:r w:rsidRPr="000E7B8C">
        <w:t>. Oxford: Oxford University Press.</w:t>
      </w:r>
    </w:p>
    <w:p w:rsidR="000E7B8C" w:rsidRPr="000E7B8C" w:rsidRDefault="000E7B8C" w:rsidP="000E7B8C">
      <w:r w:rsidRPr="000E7B8C">
        <w:t xml:space="preserve">Stimson, R.J., Roberts, B.H. and </w:t>
      </w:r>
      <w:proofErr w:type="spellStart"/>
      <w:r w:rsidRPr="000E7B8C">
        <w:t>Stough</w:t>
      </w:r>
      <w:proofErr w:type="spellEnd"/>
      <w:r w:rsidRPr="000E7B8C">
        <w:t xml:space="preserve">, R. (2020). </w:t>
      </w:r>
      <w:r w:rsidRPr="000E7B8C">
        <w:rPr>
          <w:i/>
          <w:iCs/>
        </w:rPr>
        <w:t xml:space="preserve">Regional Economic </w:t>
      </w:r>
      <w:proofErr w:type="gramStart"/>
      <w:r w:rsidRPr="000E7B8C">
        <w:rPr>
          <w:i/>
          <w:iCs/>
        </w:rPr>
        <w:t>Development :</w:t>
      </w:r>
      <w:proofErr w:type="gramEnd"/>
      <w:r w:rsidRPr="000E7B8C">
        <w:rPr>
          <w:i/>
          <w:iCs/>
        </w:rPr>
        <w:t xml:space="preserve"> Analysis and Planning Strategy</w:t>
      </w:r>
      <w:r w:rsidRPr="000E7B8C">
        <w:t>. Berlin, Heidelberg: Springer-</w:t>
      </w:r>
      <w:proofErr w:type="spellStart"/>
      <w:r w:rsidRPr="000E7B8C">
        <w:t>Verlag</w:t>
      </w:r>
      <w:proofErr w:type="spellEnd"/>
      <w:r w:rsidRPr="000E7B8C">
        <w:t xml:space="preserve"> Berlin Heidelberg.</w:t>
      </w:r>
    </w:p>
    <w:p w:rsidR="000E7B8C" w:rsidRPr="000E7B8C" w:rsidRDefault="000E7B8C" w:rsidP="000E7B8C">
      <w:r w:rsidRPr="000E7B8C">
        <w:t xml:space="preserve">Takahashi, H. (2021). </w:t>
      </w:r>
      <w:r w:rsidRPr="000E7B8C">
        <w:rPr>
          <w:i/>
          <w:iCs/>
        </w:rPr>
        <w:t xml:space="preserve">Everything Originated </w:t>
      </w:r>
      <w:proofErr w:type="gramStart"/>
      <w:r w:rsidRPr="000E7B8C">
        <w:rPr>
          <w:i/>
          <w:iCs/>
        </w:rPr>
        <w:t>From</w:t>
      </w:r>
      <w:proofErr w:type="gramEnd"/>
      <w:r w:rsidRPr="000E7B8C">
        <w:rPr>
          <w:i/>
          <w:iCs/>
        </w:rPr>
        <w:t xml:space="preserve"> Milk: Case Study Of Nestle</w:t>
      </w:r>
      <w:r w:rsidRPr="000E7B8C">
        <w:t>. World Scientific.</w:t>
      </w:r>
    </w:p>
    <w:p w:rsidR="000E7B8C" w:rsidRPr="000E7B8C" w:rsidRDefault="000E7B8C" w:rsidP="000E7B8C">
      <w:proofErr w:type="spellStart"/>
      <w:r w:rsidRPr="000E7B8C">
        <w:t>Tarnanidis</w:t>
      </w:r>
      <w:proofErr w:type="spellEnd"/>
      <w:r w:rsidRPr="000E7B8C">
        <w:t xml:space="preserve">, T., Sousa, B., </w:t>
      </w:r>
      <w:proofErr w:type="spellStart"/>
      <w:r w:rsidRPr="000E7B8C">
        <w:t>Vlachopoulou</w:t>
      </w:r>
      <w:proofErr w:type="spellEnd"/>
      <w:r w:rsidRPr="000E7B8C">
        <w:t xml:space="preserve">, M., </w:t>
      </w:r>
      <w:proofErr w:type="spellStart"/>
      <w:r w:rsidRPr="000E7B8C">
        <w:t>Papachristou</w:t>
      </w:r>
      <w:proofErr w:type="spellEnd"/>
      <w:r w:rsidRPr="000E7B8C">
        <w:t xml:space="preserve">, E. and Manda, K. (2025). </w:t>
      </w:r>
      <w:r w:rsidRPr="000E7B8C">
        <w:rPr>
          <w:i/>
          <w:iCs/>
        </w:rPr>
        <w:t>Diversity and Inclusion-Driven Marketing for Multicultural Marketplaces</w:t>
      </w:r>
      <w:r w:rsidRPr="000E7B8C">
        <w:t>. IGI Global.</w:t>
      </w:r>
    </w:p>
    <w:p w:rsidR="000E7B8C" w:rsidRPr="000E7B8C" w:rsidRDefault="000E7B8C" w:rsidP="000E7B8C">
      <w:r w:rsidRPr="000E7B8C">
        <w:lastRenderedPageBreak/>
        <w:t xml:space="preserve">Van, D.N., </w:t>
      </w:r>
      <w:proofErr w:type="spellStart"/>
      <w:r w:rsidRPr="000E7B8C">
        <w:t>Danh</w:t>
      </w:r>
      <w:proofErr w:type="spellEnd"/>
      <w:r w:rsidRPr="000E7B8C">
        <w:t xml:space="preserve">, N.N., </w:t>
      </w:r>
      <w:proofErr w:type="spellStart"/>
      <w:r w:rsidRPr="000E7B8C">
        <w:t>Luu</w:t>
      </w:r>
      <w:proofErr w:type="spellEnd"/>
      <w:r w:rsidRPr="000E7B8C">
        <w:t xml:space="preserve">, N. and Phuong, M.N. (2025). </w:t>
      </w:r>
      <w:r w:rsidRPr="000E7B8C">
        <w:rPr>
          <w:i/>
          <w:iCs/>
        </w:rPr>
        <w:t>Proceedings of the International Conference on Emerging Challenges: Sustainable Strategies in the Data-Driven Economy (ICECH 2024)</w:t>
      </w:r>
      <w:r w:rsidRPr="000E7B8C">
        <w:t>. Springer Nature.</w:t>
      </w:r>
    </w:p>
    <w:p w:rsidR="000E7B8C" w:rsidRPr="000E7B8C" w:rsidRDefault="000E7B8C" w:rsidP="000E7B8C">
      <w:proofErr w:type="spellStart"/>
      <w:r w:rsidRPr="000E7B8C">
        <w:t>Willink</w:t>
      </w:r>
      <w:proofErr w:type="spellEnd"/>
      <w:r w:rsidRPr="000E7B8C">
        <w:t xml:space="preserve">, R. (2013). </w:t>
      </w:r>
      <w:r w:rsidRPr="000E7B8C">
        <w:rPr>
          <w:i/>
          <w:iCs/>
        </w:rPr>
        <w:t>Measurement uncertainty and probability</w:t>
      </w:r>
      <w:r w:rsidRPr="000E7B8C">
        <w:t>. Cambridge: Cambridge University Press.</w:t>
      </w:r>
    </w:p>
    <w:p w:rsidR="000E7B8C" w:rsidRPr="000E7B8C" w:rsidRDefault="000E7B8C" w:rsidP="000E7B8C">
      <w:proofErr w:type="spellStart"/>
      <w:r w:rsidRPr="000E7B8C">
        <w:t>Witek-Hajduk</w:t>
      </w:r>
      <w:proofErr w:type="spellEnd"/>
      <w:r w:rsidRPr="000E7B8C">
        <w:t xml:space="preserve">, M.K., </w:t>
      </w:r>
      <w:proofErr w:type="spellStart"/>
      <w:r w:rsidRPr="000E7B8C">
        <w:t>Grginović</w:t>
      </w:r>
      <w:proofErr w:type="spellEnd"/>
      <w:r w:rsidRPr="000E7B8C">
        <w:t xml:space="preserve">, M.G. and </w:t>
      </w:r>
      <w:proofErr w:type="spellStart"/>
      <w:r w:rsidRPr="000E7B8C">
        <w:t>Targański</w:t>
      </w:r>
      <w:proofErr w:type="spellEnd"/>
      <w:r w:rsidRPr="000E7B8C">
        <w:t xml:space="preserve">, B. (2025). </w:t>
      </w:r>
      <w:r w:rsidRPr="000E7B8C">
        <w:rPr>
          <w:i/>
          <w:iCs/>
        </w:rPr>
        <w:t xml:space="preserve">Digital </w:t>
      </w:r>
      <w:proofErr w:type="spellStart"/>
      <w:r w:rsidRPr="000E7B8C">
        <w:rPr>
          <w:i/>
          <w:iCs/>
        </w:rPr>
        <w:t>Internationalisation</w:t>
      </w:r>
      <w:proofErr w:type="spellEnd"/>
      <w:r w:rsidRPr="000E7B8C">
        <w:rPr>
          <w:i/>
          <w:iCs/>
        </w:rPr>
        <w:t xml:space="preserve"> of Firms</w:t>
      </w:r>
      <w:r w:rsidRPr="000E7B8C">
        <w:t>. Taylor &amp; Francis.</w:t>
      </w:r>
    </w:p>
    <w:p w:rsidR="000E7B8C" w:rsidRPr="000E7B8C" w:rsidRDefault="000E7B8C" w:rsidP="000E7B8C">
      <w:r w:rsidRPr="000E7B8C">
        <w:t xml:space="preserve">www.hbs.edu. (2020). </w:t>
      </w:r>
      <w:proofErr w:type="spellStart"/>
      <w:r w:rsidRPr="000E7B8C">
        <w:rPr>
          <w:i/>
          <w:iCs/>
        </w:rPr>
        <w:t>Nestle’s</w:t>
      </w:r>
      <w:proofErr w:type="spellEnd"/>
      <w:r w:rsidRPr="000E7B8C">
        <w:rPr>
          <w:i/>
          <w:iCs/>
        </w:rPr>
        <w:t xml:space="preserve"> Milk District Model: Economic Development for a Value-Added Food Chain and Improved Nutrition - Case - Faculty &amp; Research - Harvard Business School</w:t>
      </w:r>
      <w:r w:rsidRPr="000E7B8C">
        <w:t>. [online] Available at: https://www.hbs.edu/faculty/Pages/item.aspx?num=32804.</w:t>
      </w:r>
    </w:p>
    <w:p w:rsidR="003B2A37" w:rsidRPr="0099647C" w:rsidRDefault="003B2A37" w:rsidP="0099647C"/>
    <w:p w:rsidR="0099647C" w:rsidRPr="00772917" w:rsidRDefault="0099647C" w:rsidP="00772917"/>
    <w:p w:rsidR="00772917" w:rsidRPr="001239BB" w:rsidRDefault="00772917" w:rsidP="001239BB"/>
    <w:sectPr w:rsidR="00772917" w:rsidRPr="001239B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5168" w:rsidRDefault="00DF5168" w:rsidP="008D3D02">
      <w:pPr>
        <w:spacing w:after="0" w:line="240" w:lineRule="auto"/>
      </w:pPr>
      <w:r>
        <w:separator/>
      </w:r>
    </w:p>
  </w:endnote>
  <w:endnote w:type="continuationSeparator" w:id="0">
    <w:p w:rsidR="00DF5168" w:rsidRDefault="00DF5168" w:rsidP="008D3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0119254"/>
      <w:docPartObj>
        <w:docPartGallery w:val="Page Numbers (Bottom of Page)"/>
        <w:docPartUnique/>
      </w:docPartObj>
    </w:sdtPr>
    <w:sdtEndPr>
      <w:rPr>
        <w:noProof/>
      </w:rPr>
    </w:sdtEndPr>
    <w:sdtContent>
      <w:p w:rsidR="008D3D02" w:rsidRDefault="008D3D02">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rsidR="008D3D02" w:rsidRDefault="008D3D0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5168" w:rsidRDefault="00DF5168" w:rsidP="008D3D02">
      <w:pPr>
        <w:spacing w:after="0" w:line="240" w:lineRule="auto"/>
      </w:pPr>
      <w:r>
        <w:separator/>
      </w:r>
    </w:p>
  </w:footnote>
  <w:footnote w:type="continuationSeparator" w:id="0">
    <w:p w:rsidR="00DF5168" w:rsidRDefault="00DF5168" w:rsidP="008D3D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DA6401"/>
    <w:multiLevelType w:val="hybridMultilevel"/>
    <w:tmpl w:val="68D8A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546E0F"/>
    <w:multiLevelType w:val="multilevel"/>
    <w:tmpl w:val="F4E0B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3F386B"/>
    <w:multiLevelType w:val="multilevel"/>
    <w:tmpl w:val="34D43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2A13B5"/>
    <w:multiLevelType w:val="hybridMultilevel"/>
    <w:tmpl w:val="643493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BC327D"/>
    <w:multiLevelType w:val="multilevel"/>
    <w:tmpl w:val="2BE45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B94127"/>
    <w:multiLevelType w:val="hybridMultilevel"/>
    <w:tmpl w:val="6302DE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6DD05E5"/>
    <w:multiLevelType w:val="multilevel"/>
    <w:tmpl w:val="99A02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2"/>
  </w:num>
  <w:num w:numId="4">
    <w:abstractNumId w:val="3"/>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63D"/>
    <w:rsid w:val="00067E5E"/>
    <w:rsid w:val="000A263D"/>
    <w:rsid w:val="000E7B8C"/>
    <w:rsid w:val="00101D8E"/>
    <w:rsid w:val="001239BB"/>
    <w:rsid w:val="00146379"/>
    <w:rsid w:val="001B06D3"/>
    <w:rsid w:val="00206B01"/>
    <w:rsid w:val="002347E3"/>
    <w:rsid w:val="00305BC9"/>
    <w:rsid w:val="003B2A37"/>
    <w:rsid w:val="003C2BD7"/>
    <w:rsid w:val="004158FE"/>
    <w:rsid w:val="00477276"/>
    <w:rsid w:val="0049117F"/>
    <w:rsid w:val="00541B63"/>
    <w:rsid w:val="005F56DD"/>
    <w:rsid w:val="006035FE"/>
    <w:rsid w:val="0068151E"/>
    <w:rsid w:val="006C7B96"/>
    <w:rsid w:val="00772917"/>
    <w:rsid w:val="0081391C"/>
    <w:rsid w:val="00837CF8"/>
    <w:rsid w:val="008D3D02"/>
    <w:rsid w:val="00901B18"/>
    <w:rsid w:val="00920188"/>
    <w:rsid w:val="0099647C"/>
    <w:rsid w:val="009C4175"/>
    <w:rsid w:val="00A309F9"/>
    <w:rsid w:val="00A42406"/>
    <w:rsid w:val="00A93DF9"/>
    <w:rsid w:val="00B32371"/>
    <w:rsid w:val="00C8401D"/>
    <w:rsid w:val="00D213EB"/>
    <w:rsid w:val="00DF5168"/>
    <w:rsid w:val="00EB1474"/>
    <w:rsid w:val="00F573E3"/>
    <w:rsid w:val="00F76AF1"/>
    <w:rsid w:val="00FE1633"/>
    <w:rsid w:val="00FE7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98A45"/>
  <w15:chartTrackingRefBased/>
  <w15:docId w15:val="{0A820EA2-88D0-4BC4-A3F8-42F6B98DE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7B96"/>
    <w:pPr>
      <w:spacing w:line="360" w:lineRule="auto"/>
      <w:jc w:val="both"/>
    </w:pPr>
    <w:rPr>
      <w:rFonts w:ascii="Arial" w:hAnsi="Arial"/>
      <w:sz w:val="24"/>
    </w:rPr>
  </w:style>
  <w:style w:type="paragraph" w:styleId="Heading1">
    <w:name w:val="heading 1"/>
    <w:basedOn w:val="Normal"/>
    <w:next w:val="Normal"/>
    <w:link w:val="Heading1Char"/>
    <w:uiPriority w:val="9"/>
    <w:qFormat/>
    <w:rsid w:val="0014637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4637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37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46379"/>
    <w:rPr>
      <w:rFonts w:ascii="Times New Roman" w:eastAsiaTheme="majorEastAsia" w:hAnsi="Times New Roman" w:cstheme="majorBidi"/>
      <w:b/>
      <w:sz w:val="28"/>
      <w:szCs w:val="26"/>
    </w:rPr>
  </w:style>
  <w:style w:type="paragraph" w:styleId="ListParagraph">
    <w:name w:val="List Paragraph"/>
    <w:basedOn w:val="Normal"/>
    <w:uiPriority w:val="34"/>
    <w:qFormat/>
    <w:rsid w:val="00772917"/>
    <w:pPr>
      <w:ind w:left="720"/>
      <w:contextualSpacing/>
    </w:pPr>
  </w:style>
  <w:style w:type="paragraph" w:styleId="TOCHeading">
    <w:name w:val="TOC Heading"/>
    <w:basedOn w:val="Heading1"/>
    <w:next w:val="Normal"/>
    <w:uiPriority w:val="39"/>
    <w:unhideWhenUsed/>
    <w:qFormat/>
    <w:rsid w:val="002347E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347E3"/>
    <w:pPr>
      <w:spacing w:after="100"/>
    </w:pPr>
  </w:style>
  <w:style w:type="paragraph" w:styleId="TOC2">
    <w:name w:val="toc 2"/>
    <w:basedOn w:val="Normal"/>
    <w:next w:val="Normal"/>
    <w:autoRedefine/>
    <w:uiPriority w:val="39"/>
    <w:unhideWhenUsed/>
    <w:rsid w:val="002347E3"/>
    <w:pPr>
      <w:spacing w:after="100"/>
      <w:ind w:left="240"/>
    </w:pPr>
  </w:style>
  <w:style w:type="character" w:styleId="Hyperlink">
    <w:name w:val="Hyperlink"/>
    <w:basedOn w:val="DefaultParagraphFont"/>
    <w:uiPriority w:val="99"/>
    <w:unhideWhenUsed/>
    <w:rsid w:val="002347E3"/>
    <w:rPr>
      <w:color w:val="0563C1" w:themeColor="hyperlink"/>
      <w:u w:val="single"/>
    </w:rPr>
  </w:style>
  <w:style w:type="paragraph" w:styleId="Header">
    <w:name w:val="header"/>
    <w:basedOn w:val="Normal"/>
    <w:link w:val="HeaderChar"/>
    <w:uiPriority w:val="99"/>
    <w:unhideWhenUsed/>
    <w:rsid w:val="008D3D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3D02"/>
    <w:rPr>
      <w:rFonts w:ascii="Arial" w:hAnsi="Arial"/>
      <w:sz w:val="24"/>
    </w:rPr>
  </w:style>
  <w:style w:type="paragraph" w:styleId="Footer">
    <w:name w:val="footer"/>
    <w:basedOn w:val="Normal"/>
    <w:link w:val="FooterChar"/>
    <w:uiPriority w:val="99"/>
    <w:unhideWhenUsed/>
    <w:rsid w:val="008D3D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3D0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560691">
      <w:bodyDiv w:val="1"/>
      <w:marLeft w:val="0"/>
      <w:marRight w:val="0"/>
      <w:marTop w:val="0"/>
      <w:marBottom w:val="0"/>
      <w:divBdr>
        <w:top w:val="none" w:sz="0" w:space="0" w:color="auto"/>
        <w:left w:val="none" w:sz="0" w:space="0" w:color="auto"/>
        <w:bottom w:val="none" w:sz="0" w:space="0" w:color="auto"/>
        <w:right w:val="none" w:sz="0" w:space="0" w:color="auto"/>
      </w:divBdr>
      <w:divsChild>
        <w:div w:id="246689576">
          <w:marLeft w:val="0"/>
          <w:marRight w:val="0"/>
          <w:marTop w:val="120"/>
          <w:marBottom w:val="120"/>
          <w:divBdr>
            <w:top w:val="none" w:sz="0" w:space="0" w:color="auto"/>
            <w:left w:val="none" w:sz="0" w:space="0" w:color="auto"/>
            <w:bottom w:val="none" w:sz="0" w:space="0" w:color="auto"/>
            <w:right w:val="none" w:sz="0" w:space="0" w:color="auto"/>
          </w:divBdr>
        </w:div>
        <w:div w:id="785777609">
          <w:marLeft w:val="0"/>
          <w:marRight w:val="0"/>
          <w:marTop w:val="120"/>
          <w:marBottom w:val="120"/>
          <w:divBdr>
            <w:top w:val="none" w:sz="0" w:space="0" w:color="auto"/>
            <w:left w:val="none" w:sz="0" w:space="0" w:color="auto"/>
            <w:bottom w:val="none" w:sz="0" w:space="0" w:color="auto"/>
            <w:right w:val="none" w:sz="0" w:space="0" w:color="auto"/>
          </w:divBdr>
        </w:div>
        <w:div w:id="1346712252">
          <w:marLeft w:val="0"/>
          <w:marRight w:val="0"/>
          <w:marTop w:val="120"/>
          <w:marBottom w:val="120"/>
          <w:divBdr>
            <w:top w:val="none" w:sz="0" w:space="0" w:color="auto"/>
            <w:left w:val="none" w:sz="0" w:space="0" w:color="auto"/>
            <w:bottom w:val="none" w:sz="0" w:space="0" w:color="auto"/>
            <w:right w:val="none" w:sz="0" w:space="0" w:color="auto"/>
          </w:divBdr>
        </w:div>
        <w:div w:id="1743677216">
          <w:marLeft w:val="0"/>
          <w:marRight w:val="0"/>
          <w:marTop w:val="120"/>
          <w:marBottom w:val="120"/>
          <w:divBdr>
            <w:top w:val="none" w:sz="0" w:space="0" w:color="auto"/>
            <w:left w:val="none" w:sz="0" w:space="0" w:color="auto"/>
            <w:bottom w:val="none" w:sz="0" w:space="0" w:color="auto"/>
            <w:right w:val="none" w:sz="0" w:space="0" w:color="auto"/>
          </w:divBdr>
        </w:div>
        <w:div w:id="1872524570">
          <w:marLeft w:val="0"/>
          <w:marRight w:val="0"/>
          <w:marTop w:val="120"/>
          <w:marBottom w:val="120"/>
          <w:divBdr>
            <w:top w:val="none" w:sz="0" w:space="0" w:color="auto"/>
            <w:left w:val="none" w:sz="0" w:space="0" w:color="auto"/>
            <w:bottom w:val="none" w:sz="0" w:space="0" w:color="auto"/>
            <w:right w:val="none" w:sz="0" w:space="0" w:color="auto"/>
          </w:divBdr>
        </w:div>
        <w:div w:id="400980514">
          <w:marLeft w:val="0"/>
          <w:marRight w:val="0"/>
          <w:marTop w:val="120"/>
          <w:marBottom w:val="120"/>
          <w:divBdr>
            <w:top w:val="none" w:sz="0" w:space="0" w:color="auto"/>
            <w:left w:val="none" w:sz="0" w:space="0" w:color="auto"/>
            <w:bottom w:val="none" w:sz="0" w:space="0" w:color="auto"/>
            <w:right w:val="none" w:sz="0" w:space="0" w:color="auto"/>
          </w:divBdr>
        </w:div>
        <w:div w:id="69039892">
          <w:marLeft w:val="0"/>
          <w:marRight w:val="0"/>
          <w:marTop w:val="120"/>
          <w:marBottom w:val="120"/>
          <w:divBdr>
            <w:top w:val="none" w:sz="0" w:space="0" w:color="auto"/>
            <w:left w:val="none" w:sz="0" w:space="0" w:color="auto"/>
            <w:bottom w:val="none" w:sz="0" w:space="0" w:color="auto"/>
            <w:right w:val="none" w:sz="0" w:space="0" w:color="auto"/>
          </w:divBdr>
        </w:div>
        <w:div w:id="1508448360">
          <w:marLeft w:val="0"/>
          <w:marRight w:val="0"/>
          <w:marTop w:val="120"/>
          <w:marBottom w:val="120"/>
          <w:divBdr>
            <w:top w:val="none" w:sz="0" w:space="0" w:color="auto"/>
            <w:left w:val="none" w:sz="0" w:space="0" w:color="auto"/>
            <w:bottom w:val="none" w:sz="0" w:space="0" w:color="auto"/>
            <w:right w:val="none" w:sz="0" w:space="0" w:color="auto"/>
          </w:divBdr>
        </w:div>
        <w:div w:id="1238512768">
          <w:marLeft w:val="0"/>
          <w:marRight w:val="0"/>
          <w:marTop w:val="120"/>
          <w:marBottom w:val="120"/>
          <w:divBdr>
            <w:top w:val="none" w:sz="0" w:space="0" w:color="auto"/>
            <w:left w:val="none" w:sz="0" w:space="0" w:color="auto"/>
            <w:bottom w:val="none" w:sz="0" w:space="0" w:color="auto"/>
            <w:right w:val="none" w:sz="0" w:space="0" w:color="auto"/>
          </w:divBdr>
        </w:div>
        <w:div w:id="537543952">
          <w:marLeft w:val="0"/>
          <w:marRight w:val="0"/>
          <w:marTop w:val="120"/>
          <w:marBottom w:val="120"/>
          <w:divBdr>
            <w:top w:val="none" w:sz="0" w:space="0" w:color="auto"/>
            <w:left w:val="none" w:sz="0" w:space="0" w:color="auto"/>
            <w:bottom w:val="none" w:sz="0" w:space="0" w:color="auto"/>
            <w:right w:val="none" w:sz="0" w:space="0" w:color="auto"/>
          </w:divBdr>
        </w:div>
      </w:divsChild>
    </w:div>
    <w:div w:id="282268547">
      <w:bodyDiv w:val="1"/>
      <w:marLeft w:val="0"/>
      <w:marRight w:val="0"/>
      <w:marTop w:val="0"/>
      <w:marBottom w:val="0"/>
      <w:divBdr>
        <w:top w:val="none" w:sz="0" w:space="0" w:color="auto"/>
        <w:left w:val="none" w:sz="0" w:space="0" w:color="auto"/>
        <w:bottom w:val="none" w:sz="0" w:space="0" w:color="auto"/>
        <w:right w:val="none" w:sz="0" w:space="0" w:color="auto"/>
      </w:divBdr>
      <w:divsChild>
        <w:div w:id="2129546379">
          <w:marLeft w:val="0"/>
          <w:marRight w:val="0"/>
          <w:marTop w:val="120"/>
          <w:marBottom w:val="120"/>
          <w:divBdr>
            <w:top w:val="none" w:sz="0" w:space="0" w:color="auto"/>
            <w:left w:val="none" w:sz="0" w:space="0" w:color="auto"/>
            <w:bottom w:val="none" w:sz="0" w:space="0" w:color="auto"/>
            <w:right w:val="none" w:sz="0" w:space="0" w:color="auto"/>
          </w:divBdr>
        </w:div>
      </w:divsChild>
    </w:div>
    <w:div w:id="449009460">
      <w:bodyDiv w:val="1"/>
      <w:marLeft w:val="0"/>
      <w:marRight w:val="0"/>
      <w:marTop w:val="0"/>
      <w:marBottom w:val="0"/>
      <w:divBdr>
        <w:top w:val="none" w:sz="0" w:space="0" w:color="auto"/>
        <w:left w:val="none" w:sz="0" w:space="0" w:color="auto"/>
        <w:bottom w:val="none" w:sz="0" w:space="0" w:color="auto"/>
        <w:right w:val="none" w:sz="0" w:space="0" w:color="auto"/>
      </w:divBdr>
      <w:divsChild>
        <w:div w:id="1431268447">
          <w:marLeft w:val="0"/>
          <w:marRight w:val="0"/>
          <w:marTop w:val="120"/>
          <w:marBottom w:val="120"/>
          <w:divBdr>
            <w:top w:val="none" w:sz="0" w:space="0" w:color="auto"/>
            <w:left w:val="none" w:sz="0" w:space="0" w:color="auto"/>
            <w:bottom w:val="none" w:sz="0" w:space="0" w:color="auto"/>
            <w:right w:val="none" w:sz="0" w:space="0" w:color="auto"/>
          </w:divBdr>
        </w:div>
        <w:div w:id="401801575">
          <w:marLeft w:val="0"/>
          <w:marRight w:val="0"/>
          <w:marTop w:val="120"/>
          <w:marBottom w:val="120"/>
          <w:divBdr>
            <w:top w:val="none" w:sz="0" w:space="0" w:color="auto"/>
            <w:left w:val="none" w:sz="0" w:space="0" w:color="auto"/>
            <w:bottom w:val="none" w:sz="0" w:space="0" w:color="auto"/>
            <w:right w:val="none" w:sz="0" w:space="0" w:color="auto"/>
          </w:divBdr>
        </w:div>
        <w:div w:id="1547372876">
          <w:marLeft w:val="0"/>
          <w:marRight w:val="0"/>
          <w:marTop w:val="120"/>
          <w:marBottom w:val="120"/>
          <w:divBdr>
            <w:top w:val="none" w:sz="0" w:space="0" w:color="auto"/>
            <w:left w:val="none" w:sz="0" w:space="0" w:color="auto"/>
            <w:bottom w:val="none" w:sz="0" w:space="0" w:color="auto"/>
            <w:right w:val="none" w:sz="0" w:space="0" w:color="auto"/>
          </w:divBdr>
        </w:div>
        <w:div w:id="1135224141">
          <w:marLeft w:val="0"/>
          <w:marRight w:val="0"/>
          <w:marTop w:val="120"/>
          <w:marBottom w:val="120"/>
          <w:divBdr>
            <w:top w:val="none" w:sz="0" w:space="0" w:color="auto"/>
            <w:left w:val="none" w:sz="0" w:space="0" w:color="auto"/>
            <w:bottom w:val="none" w:sz="0" w:space="0" w:color="auto"/>
            <w:right w:val="none" w:sz="0" w:space="0" w:color="auto"/>
          </w:divBdr>
        </w:div>
        <w:div w:id="80100729">
          <w:marLeft w:val="0"/>
          <w:marRight w:val="0"/>
          <w:marTop w:val="120"/>
          <w:marBottom w:val="120"/>
          <w:divBdr>
            <w:top w:val="none" w:sz="0" w:space="0" w:color="auto"/>
            <w:left w:val="none" w:sz="0" w:space="0" w:color="auto"/>
            <w:bottom w:val="none" w:sz="0" w:space="0" w:color="auto"/>
            <w:right w:val="none" w:sz="0" w:space="0" w:color="auto"/>
          </w:divBdr>
        </w:div>
        <w:div w:id="1387099465">
          <w:marLeft w:val="0"/>
          <w:marRight w:val="0"/>
          <w:marTop w:val="120"/>
          <w:marBottom w:val="120"/>
          <w:divBdr>
            <w:top w:val="none" w:sz="0" w:space="0" w:color="auto"/>
            <w:left w:val="none" w:sz="0" w:space="0" w:color="auto"/>
            <w:bottom w:val="none" w:sz="0" w:space="0" w:color="auto"/>
            <w:right w:val="none" w:sz="0" w:space="0" w:color="auto"/>
          </w:divBdr>
        </w:div>
        <w:div w:id="537552603">
          <w:marLeft w:val="0"/>
          <w:marRight w:val="0"/>
          <w:marTop w:val="120"/>
          <w:marBottom w:val="120"/>
          <w:divBdr>
            <w:top w:val="none" w:sz="0" w:space="0" w:color="auto"/>
            <w:left w:val="none" w:sz="0" w:space="0" w:color="auto"/>
            <w:bottom w:val="none" w:sz="0" w:space="0" w:color="auto"/>
            <w:right w:val="none" w:sz="0" w:space="0" w:color="auto"/>
          </w:divBdr>
        </w:div>
        <w:div w:id="291209116">
          <w:marLeft w:val="0"/>
          <w:marRight w:val="0"/>
          <w:marTop w:val="120"/>
          <w:marBottom w:val="120"/>
          <w:divBdr>
            <w:top w:val="none" w:sz="0" w:space="0" w:color="auto"/>
            <w:left w:val="none" w:sz="0" w:space="0" w:color="auto"/>
            <w:bottom w:val="none" w:sz="0" w:space="0" w:color="auto"/>
            <w:right w:val="none" w:sz="0" w:space="0" w:color="auto"/>
          </w:divBdr>
        </w:div>
        <w:div w:id="737291700">
          <w:marLeft w:val="0"/>
          <w:marRight w:val="0"/>
          <w:marTop w:val="120"/>
          <w:marBottom w:val="120"/>
          <w:divBdr>
            <w:top w:val="none" w:sz="0" w:space="0" w:color="auto"/>
            <w:left w:val="none" w:sz="0" w:space="0" w:color="auto"/>
            <w:bottom w:val="none" w:sz="0" w:space="0" w:color="auto"/>
            <w:right w:val="none" w:sz="0" w:space="0" w:color="auto"/>
          </w:divBdr>
        </w:div>
        <w:div w:id="1736931904">
          <w:marLeft w:val="0"/>
          <w:marRight w:val="0"/>
          <w:marTop w:val="120"/>
          <w:marBottom w:val="120"/>
          <w:divBdr>
            <w:top w:val="none" w:sz="0" w:space="0" w:color="auto"/>
            <w:left w:val="none" w:sz="0" w:space="0" w:color="auto"/>
            <w:bottom w:val="none" w:sz="0" w:space="0" w:color="auto"/>
            <w:right w:val="none" w:sz="0" w:space="0" w:color="auto"/>
          </w:divBdr>
        </w:div>
        <w:div w:id="601886885">
          <w:marLeft w:val="0"/>
          <w:marRight w:val="0"/>
          <w:marTop w:val="120"/>
          <w:marBottom w:val="120"/>
          <w:divBdr>
            <w:top w:val="none" w:sz="0" w:space="0" w:color="auto"/>
            <w:left w:val="none" w:sz="0" w:space="0" w:color="auto"/>
            <w:bottom w:val="none" w:sz="0" w:space="0" w:color="auto"/>
            <w:right w:val="none" w:sz="0" w:space="0" w:color="auto"/>
          </w:divBdr>
        </w:div>
      </w:divsChild>
    </w:div>
    <w:div w:id="507333926">
      <w:bodyDiv w:val="1"/>
      <w:marLeft w:val="0"/>
      <w:marRight w:val="0"/>
      <w:marTop w:val="0"/>
      <w:marBottom w:val="0"/>
      <w:divBdr>
        <w:top w:val="none" w:sz="0" w:space="0" w:color="auto"/>
        <w:left w:val="none" w:sz="0" w:space="0" w:color="auto"/>
        <w:bottom w:val="none" w:sz="0" w:space="0" w:color="auto"/>
        <w:right w:val="none" w:sz="0" w:space="0" w:color="auto"/>
      </w:divBdr>
      <w:divsChild>
        <w:div w:id="1147824897">
          <w:marLeft w:val="0"/>
          <w:marRight w:val="0"/>
          <w:marTop w:val="120"/>
          <w:marBottom w:val="120"/>
          <w:divBdr>
            <w:top w:val="none" w:sz="0" w:space="0" w:color="auto"/>
            <w:left w:val="none" w:sz="0" w:space="0" w:color="auto"/>
            <w:bottom w:val="none" w:sz="0" w:space="0" w:color="auto"/>
            <w:right w:val="none" w:sz="0" w:space="0" w:color="auto"/>
          </w:divBdr>
        </w:div>
        <w:div w:id="861044731">
          <w:marLeft w:val="0"/>
          <w:marRight w:val="0"/>
          <w:marTop w:val="120"/>
          <w:marBottom w:val="120"/>
          <w:divBdr>
            <w:top w:val="none" w:sz="0" w:space="0" w:color="auto"/>
            <w:left w:val="none" w:sz="0" w:space="0" w:color="auto"/>
            <w:bottom w:val="none" w:sz="0" w:space="0" w:color="auto"/>
            <w:right w:val="none" w:sz="0" w:space="0" w:color="auto"/>
          </w:divBdr>
        </w:div>
        <w:div w:id="2022538498">
          <w:marLeft w:val="0"/>
          <w:marRight w:val="0"/>
          <w:marTop w:val="120"/>
          <w:marBottom w:val="120"/>
          <w:divBdr>
            <w:top w:val="none" w:sz="0" w:space="0" w:color="auto"/>
            <w:left w:val="none" w:sz="0" w:space="0" w:color="auto"/>
            <w:bottom w:val="none" w:sz="0" w:space="0" w:color="auto"/>
            <w:right w:val="none" w:sz="0" w:space="0" w:color="auto"/>
          </w:divBdr>
        </w:div>
        <w:div w:id="1877036410">
          <w:marLeft w:val="0"/>
          <w:marRight w:val="0"/>
          <w:marTop w:val="120"/>
          <w:marBottom w:val="120"/>
          <w:divBdr>
            <w:top w:val="none" w:sz="0" w:space="0" w:color="auto"/>
            <w:left w:val="none" w:sz="0" w:space="0" w:color="auto"/>
            <w:bottom w:val="none" w:sz="0" w:space="0" w:color="auto"/>
            <w:right w:val="none" w:sz="0" w:space="0" w:color="auto"/>
          </w:divBdr>
        </w:div>
        <w:div w:id="1841116540">
          <w:marLeft w:val="0"/>
          <w:marRight w:val="0"/>
          <w:marTop w:val="120"/>
          <w:marBottom w:val="120"/>
          <w:divBdr>
            <w:top w:val="none" w:sz="0" w:space="0" w:color="auto"/>
            <w:left w:val="none" w:sz="0" w:space="0" w:color="auto"/>
            <w:bottom w:val="none" w:sz="0" w:space="0" w:color="auto"/>
            <w:right w:val="none" w:sz="0" w:space="0" w:color="auto"/>
          </w:divBdr>
        </w:div>
        <w:div w:id="1947734121">
          <w:marLeft w:val="0"/>
          <w:marRight w:val="0"/>
          <w:marTop w:val="120"/>
          <w:marBottom w:val="120"/>
          <w:divBdr>
            <w:top w:val="none" w:sz="0" w:space="0" w:color="auto"/>
            <w:left w:val="none" w:sz="0" w:space="0" w:color="auto"/>
            <w:bottom w:val="none" w:sz="0" w:space="0" w:color="auto"/>
            <w:right w:val="none" w:sz="0" w:space="0" w:color="auto"/>
          </w:divBdr>
        </w:div>
        <w:div w:id="474568230">
          <w:marLeft w:val="0"/>
          <w:marRight w:val="0"/>
          <w:marTop w:val="120"/>
          <w:marBottom w:val="120"/>
          <w:divBdr>
            <w:top w:val="none" w:sz="0" w:space="0" w:color="auto"/>
            <w:left w:val="none" w:sz="0" w:space="0" w:color="auto"/>
            <w:bottom w:val="none" w:sz="0" w:space="0" w:color="auto"/>
            <w:right w:val="none" w:sz="0" w:space="0" w:color="auto"/>
          </w:divBdr>
        </w:div>
        <w:div w:id="466555175">
          <w:marLeft w:val="0"/>
          <w:marRight w:val="0"/>
          <w:marTop w:val="120"/>
          <w:marBottom w:val="120"/>
          <w:divBdr>
            <w:top w:val="none" w:sz="0" w:space="0" w:color="auto"/>
            <w:left w:val="none" w:sz="0" w:space="0" w:color="auto"/>
            <w:bottom w:val="none" w:sz="0" w:space="0" w:color="auto"/>
            <w:right w:val="none" w:sz="0" w:space="0" w:color="auto"/>
          </w:divBdr>
        </w:div>
        <w:div w:id="230310711">
          <w:marLeft w:val="0"/>
          <w:marRight w:val="0"/>
          <w:marTop w:val="120"/>
          <w:marBottom w:val="120"/>
          <w:divBdr>
            <w:top w:val="none" w:sz="0" w:space="0" w:color="auto"/>
            <w:left w:val="none" w:sz="0" w:space="0" w:color="auto"/>
            <w:bottom w:val="none" w:sz="0" w:space="0" w:color="auto"/>
            <w:right w:val="none" w:sz="0" w:space="0" w:color="auto"/>
          </w:divBdr>
        </w:div>
        <w:div w:id="354306144">
          <w:marLeft w:val="0"/>
          <w:marRight w:val="0"/>
          <w:marTop w:val="120"/>
          <w:marBottom w:val="120"/>
          <w:divBdr>
            <w:top w:val="none" w:sz="0" w:space="0" w:color="auto"/>
            <w:left w:val="none" w:sz="0" w:space="0" w:color="auto"/>
            <w:bottom w:val="none" w:sz="0" w:space="0" w:color="auto"/>
            <w:right w:val="none" w:sz="0" w:space="0" w:color="auto"/>
          </w:divBdr>
        </w:div>
        <w:div w:id="942610393">
          <w:marLeft w:val="0"/>
          <w:marRight w:val="0"/>
          <w:marTop w:val="120"/>
          <w:marBottom w:val="120"/>
          <w:divBdr>
            <w:top w:val="none" w:sz="0" w:space="0" w:color="auto"/>
            <w:left w:val="none" w:sz="0" w:space="0" w:color="auto"/>
            <w:bottom w:val="none" w:sz="0" w:space="0" w:color="auto"/>
            <w:right w:val="none" w:sz="0" w:space="0" w:color="auto"/>
          </w:divBdr>
        </w:div>
        <w:div w:id="1677725492">
          <w:marLeft w:val="0"/>
          <w:marRight w:val="0"/>
          <w:marTop w:val="120"/>
          <w:marBottom w:val="120"/>
          <w:divBdr>
            <w:top w:val="none" w:sz="0" w:space="0" w:color="auto"/>
            <w:left w:val="none" w:sz="0" w:space="0" w:color="auto"/>
            <w:bottom w:val="none" w:sz="0" w:space="0" w:color="auto"/>
            <w:right w:val="none" w:sz="0" w:space="0" w:color="auto"/>
          </w:divBdr>
        </w:div>
        <w:div w:id="1463307848">
          <w:marLeft w:val="0"/>
          <w:marRight w:val="0"/>
          <w:marTop w:val="120"/>
          <w:marBottom w:val="120"/>
          <w:divBdr>
            <w:top w:val="none" w:sz="0" w:space="0" w:color="auto"/>
            <w:left w:val="none" w:sz="0" w:space="0" w:color="auto"/>
            <w:bottom w:val="none" w:sz="0" w:space="0" w:color="auto"/>
            <w:right w:val="none" w:sz="0" w:space="0" w:color="auto"/>
          </w:divBdr>
        </w:div>
        <w:div w:id="1007829501">
          <w:marLeft w:val="0"/>
          <w:marRight w:val="0"/>
          <w:marTop w:val="120"/>
          <w:marBottom w:val="120"/>
          <w:divBdr>
            <w:top w:val="none" w:sz="0" w:space="0" w:color="auto"/>
            <w:left w:val="none" w:sz="0" w:space="0" w:color="auto"/>
            <w:bottom w:val="none" w:sz="0" w:space="0" w:color="auto"/>
            <w:right w:val="none" w:sz="0" w:space="0" w:color="auto"/>
          </w:divBdr>
        </w:div>
        <w:div w:id="795215375">
          <w:marLeft w:val="0"/>
          <w:marRight w:val="0"/>
          <w:marTop w:val="120"/>
          <w:marBottom w:val="120"/>
          <w:divBdr>
            <w:top w:val="none" w:sz="0" w:space="0" w:color="auto"/>
            <w:left w:val="none" w:sz="0" w:space="0" w:color="auto"/>
            <w:bottom w:val="none" w:sz="0" w:space="0" w:color="auto"/>
            <w:right w:val="none" w:sz="0" w:space="0" w:color="auto"/>
          </w:divBdr>
        </w:div>
        <w:div w:id="1817870242">
          <w:marLeft w:val="0"/>
          <w:marRight w:val="0"/>
          <w:marTop w:val="120"/>
          <w:marBottom w:val="120"/>
          <w:divBdr>
            <w:top w:val="none" w:sz="0" w:space="0" w:color="auto"/>
            <w:left w:val="none" w:sz="0" w:space="0" w:color="auto"/>
            <w:bottom w:val="none" w:sz="0" w:space="0" w:color="auto"/>
            <w:right w:val="none" w:sz="0" w:space="0" w:color="auto"/>
          </w:divBdr>
        </w:div>
      </w:divsChild>
    </w:div>
    <w:div w:id="781877189">
      <w:bodyDiv w:val="1"/>
      <w:marLeft w:val="0"/>
      <w:marRight w:val="0"/>
      <w:marTop w:val="0"/>
      <w:marBottom w:val="0"/>
      <w:divBdr>
        <w:top w:val="none" w:sz="0" w:space="0" w:color="auto"/>
        <w:left w:val="none" w:sz="0" w:space="0" w:color="auto"/>
        <w:bottom w:val="none" w:sz="0" w:space="0" w:color="auto"/>
        <w:right w:val="none" w:sz="0" w:space="0" w:color="auto"/>
      </w:divBdr>
    </w:div>
    <w:div w:id="842279647">
      <w:bodyDiv w:val="1"/>
      <w:marLeft w:val="0"/>
      <w:marRight w:val="0"/>
      <w:marTop w:val="0"/>
      <w:marBottom w:val="0"/>
      <w:divBdr>
        <w:top w:val="none" w:sz="0" w:space="0" w:color="auto"/>
        <w:left w:val="none" w:sz="0" w:space="0" w:color="auto"/>
        <w:bottom w:val="none" w:sz="0" w:space="0" w:color="auto"/>
        <w:right w:val="none" w:sz="0" w:space="0" w:color="auto"/>
      </w:divBdr>
      <w:divsChild>
        <w:div w:id="60297324">
          <w:marLeft w:val="0"/>
          <w:marRight w:val="0"/>
          <w:marTop w:val="120"/>
          <w:marBottom w:val="120"/>
          <w:divBdr>
            <w:top w:val="none" w:sz="0" w:space="0" w:color="auto"/>
            <w:left w:val="none" w:sz="0" w:space="0" w:color="auto"/>
            <w:bottom w:val="none" w:sz="0" w:space="0" w:color="auto"/>
            <w:right w:val="none" w:sz="0" w:space="0" w:color="auto"/>
          </w:divBdr>
        </w:div>
        <w:div w:id="247228471">
          <w:marLeft w:val="0"/>
          <w:marRight w:val="0"/>
          <w:marTop w:val="120"/>
          <w:marBottom w:val="120"/>
          <w:divBdr>
            <w:top w:val="none" w:sz="0" w:space="0" w:color="auto"/>
            <w:left w:val="none" w:sz="0" w:space="0" w:color="auto"/>
            <w:bottom w:val="none" w:sz="0" w:space="0" w:color="auto"/>
            <w:right w:val="none" w:sz="0" w:space="0" w:color="auto"/>
          </w:divBdr>
        </w:div>
        <w:div w:id="645622739">
          <w:marLeft w:val="0"/>
          <w:marRight w:val="0"/>
          <w:marTop w:val="120"/>
          <w:marBottom w:val="120"/>
          <w:divBdr>
            <w:top w:val="none" w:sz="0" w:space="0" w:color="auto"/>
            <w:left w:val="none" w:sz="0" w:space="0" w:color="auto"/>
            <w:bottom w:val="none" w:sz="0" w:space="0" w:color="auto"/>
            <w:right w:val="none" w:sz="0" w:space="0" w:color="auto"/>
          </w:divBdr>
        </w:div>
        <w:div w:id="379401401">
          <w:marLeft w:val="0"/>
          <w:marRight w:val="0"/>
          <w:marTop w:val="120"/>
          <w:marBottom w:val="120"/>
          <w:divBdr>
            <w:top w:val="none" w:sz="0" w:space="0" w:color="auto"/>
            <w:left w:val="none" w:sz="0" w:space="0" w:color="auto"/>
            <w:bottom w:val="none" w:sz="0" w:space="0" w:color="auto"/>
            <w:right w:val="none" w:sz="0" w:space="0" w:color="auto"/>
          </w:divBdr>
        </w:div>
      </w:divsChild>
    </w:div>
    <w:div w:id="916207112">
      <w:bodyDiv w:val="1"/>
      <w:marLeft w:val="0"/>
      <w:marRight w:val="0"/>
      <w:marTop w:val="0"/>
      <w:marBottom w:val="0"/>
      <w:divBdr>
        <w:top w:val="none" w:sz="0" w:space="0" w:color="auto"/>
        <w:left w:val="none" w:sz="0" w:space="0" w:color="auto"/>
        <w:bottom w:val="none" w:sz="0" w:space="0" w:color="auto"/>
        <w:right w:val="none" w:sz="0" w:space="0" w:color="auto"/>
      </w:divBdr>
      <w:divsChild>
        <w:div w:id="1303997226">
          <w:marLeft w:val="0"/>
          <w:marRight w:val="0"/>
          <w:marTop w:val="120"/>
          <w:marBottom w:val="120"/>
          <w:divBdr>
            <w:top w:val="none" w:sz="0" w:space="0" w:color="auto"/>
            <w:left w:val="none" w:sz="0" w:space="0" w:color="auto"/>
            <w:bottom w:val="none" w:sz="0" w:space="0" w:color="auto"/>
            <w:right w:val="none" w:sz="0" w:space="0" w:color="auto"/>
          </w:divBdr>
        </w:div>
        <w:div w:id="1468007468">
          <w:marLeft w:val="0"/>
          <w:marRight w:val="0"/>
          <w:marTop w:val="120"/>
          <w:marBottom w:val="120"/>
          <w:divBdr>
            <w:top w:val="none" w:sz="0" w:space="0" w:color="auto"/>
            <w:left w:val="none" w:sz="0" w:space="0" w:color="auto"/>
            <w:bottom w:val="none" w:sz="0" w:space="0" w:color="auto"/>
            <w:right w:val="none" w:sz="0" w:space="0" w:color="auto"/>
          </w:divBdr>
        </w:div>
        <w:div w:id="78985074">
          <w:marLeft w:val="0"/>
          <w:marRight w:val="0"/>
          <w:marTop w:val="120"/>
          <w:marBottom w:val="120"/>
          <w:divBdr>
            <w:top w:val="none" w:sz="0" w:space="0" w:color="auto"/>
            <w:left w:val="none" w:sz="0" w:space="0" w:color="auto"/>
            <w:bottom w:val="none" w:sz="0" w:space="0" w:color="auto"/>
            <w:right w:val="none" w:sz="0" w:space="0" w:color="auto"/>
          </w:divBdr>
        </w:div>
        <w:div w:id="662241431">
          <w:marLeft w:val="0"/>
          <w:marRight w:val="0"/>
          <w:marTop w:val="120"/>
          <w:marBottom w:val="120"/>
          <w:divBdr>
            <w:top w:val="none" w:sz="0" w:space="0" w:color="auto"/>
            <w:left w:val="none" w:sz="0" w:space="0" w:color="auto"/>
            <w:bottom w:val="none" w:sz="0" w:space="0" w:color="auto"/>
            <w:right w:val="none" w:sz="0" w:space="0" w:color="auto"/>
          </w:divBdr>
        </w:div>
        <w:div w:id="907956791">
          <w:marLeft w:val="0"/>
          <w:marRight w:val="0"/>
          <w:marTop w:val="120"/>
          <w:marBottom w:val="120"/>
          <w:divBdr>
            <w:top w:val="none" w:sz="0" w:space="0" w:color="auto"/>
            <w:left w:val="none" w:sz="0" w:space="0" w:color="auto"/>
            <w:bottom w:val="none" w:sz="0" w:space="0" w:color="auto"/>
            <w:right w:val="none" w:sz="0" w:space="0" w:color="auto"/>
          </w:divBdr>
        </w:div>
        <w:div w:id="897395214">
          <w:marLeft w:val="0"/>
          <w:marRight w:val="0"/>
          <w:marTop w:val="120"/>
          <w:marBottom w:val="120"/>
          <w:divBdr>
            <w:top w:val="none" w:sz="0" w:space="0" w:color="auto"/>
            <w:left w:val="none" w:sz="0" w:space="0" w:color="auto"/>
            <w:bottom w:val="none" w:sz="0" w:space="0" w:color="auto"/>
            <w:right w:val="none" w:sz="0" w:space="0" w:color="auto"/>
          </w:divBdr>
        </w:div>
        <w:div w:id="2109621826">
          <w:marLeft w:val="0"/>
          <w:marRight w:val="0"/>
          <w:marTop w:val="120"/>
          <w:marBottom w:val="120"/>
          <w:divBdr>
            <w:top w:val="none" w:sz="0" w:space="0" w:color="auto"/>
            <w:left w:val="none" w:sz="0" w:space="0" w:color="auto"/>
            <w:bottom w:val="none" w:sz="0" w:space="0" w:color="auto"/>
            <w:right w:val="none" w:sz="0" w:space="0" w:color="auto"/>
          </w:divBdr>
        </w:div>
        <w:div w:id="2026905417">
          <w:marLeft w:val="0"/>
          <w:marRight w:val="0"/>
          <w:marTop w:val="120"/>
          <w:marBottom w:val="120"/>
          <w:divBdr>
            <w:top w:val="none" w:sz="0" w:space="0" w:color="auto"/>
            <w:left w:val="none" w:sz="0" w:space="0" w:color="auto"/>
            <w:bottom w:val="none" w:sz="0" w:space="0" w:color="auto"/>
            <w:right w:val="none" w:sz="0" w:space="0" w:color="auto"/>
          </w:divBdr>
        </w:div>
      </w:divsChild>
    </w:div>
    <w:div w:id="1012413844">
      <w:bodyDiv w:val="1"/>
      <w:marLeft w:val="0"/>
      <w:marRight w:val="0"/>
      <w:marTop w:val="0"/>
      <w:marBottom w:val="0"/>
      <w:divBdr>
        <w:top w:val="none" w:sz="0" w:space="0" w:color="auto"/>
        <w:left w:val="none" w:sz="0" w:space="0" w:color="auto"/>
        <w:bottom w:val="none" w:sz="0" w:space="0" w:color="auto"/>
        <w:right w:val="none" w:sz="0" w:space="0" w:color="auto"/>
      </w:divBdr>
    </w:div>
    <w:div w:id="1184057853">
      <w:bodyDiv w:val="1"/>
      <w:marLeft w:val="0"/>
      <w:marRight w:val="0"/>
      <w:marTop w:val="0"/>
      <w:marBottom w:val="0"/>
      <w:divBdr>
        <w:top w:val="none" w:sz="0" w:space="0" w:color="auto"/>
        <w:left w:val="none" w:sz="0" w:space="0" w:color="auto"/>
        <w:bottom w:val="none" w:sz="0" w:space="0" w:color="auto"/>
        <w:right w:val="none" w:sz="0" w:space="0" w:color="auto"/>
      </w:divBdr>
      <w:divsChild>
        <w:div w:id="1753771504">
          <w:marLeft w:val="0"/>
          <w:marRight w:val="0"/>
          <w:marTop w:val="120"/>
          <w:marBottom w:val="120"/>
          <w:divBdr>
            <w:top w:val="none" w:sz="0" w:space="0" w:color="auto"/>
            <w:left w:val="none" w:sz="0" w:space="0" w:color="auto"/>
            <w:bottom w:val="none" w:sz="0" w:space="0" w:color="auto"/>
            <w:right w:val="none" w:sz="0" w:space="0" w:color="auto"/>
          </w:divBdr>
        </w:div>
        <w:div w:id="988443962">
          <w:marLeft w:val="0"/>
          <w:marRight w:val="0"/>
          <w:marTop w:val="120"/>
          <w:marBottom w:val="120"/>
          <w:divBdr>
            <w:top w:val="none" w:sz="0" w:space="0" w:color="auto"/>
            <w:left w:val="none" w:sz="0" w:space="0" w:color="auto"/>
            <w:bottom w:val="none" w:sz="0" w:space="0" w:color="auto"/>
            <w:right w:val="none" w:sz="0" w:space="0" w:color="auto"/>
          </w:divBdr>
        </w:div>
        <w:div w:id="1751929262">
          <w:marLeft w:val="0"/>
          <w:marRight w:val="0"/>
          <w:marTop w:val="120"/>
          <w:marBottom w:val="120"/>
          <w:divBdr>
            <w:top w:val="none" w:sz="0" w:space="0" w:color="auto"/>
            <w:left w:val="none" w:sz="0" w:space="0" w:color="auto"/>
            <w:bottom w:val="none" w:sz="0" w:space="0" w:color="auto"/>
            <w:right w:val="none" w:sz="0" w:space="0" w:color="auto"/>
          </w:divBdr>
        </w:div>
        <w:div w:id="396245612">
          <w:marLeft w:val="0"/>
          <w:marRight w:val="0"/>
          <w:marTop w:val="120"/>
          <w:marBottom w:val="120"/>
          <w:divBdr>
            <w:top w:val="none" w:sz="0" w:space="0" w:color="auto"/>
            <w:left w:val="none" w:sz="0" w:space="0" w:color="auto"/>
            <w:bottom w:val="none" w:sz="0" w:space="0" w:color="auto"/>
            <w:right w:val="none" w:sz="0" w:space="0" w:color="auto"/>
          </w:divBdr>
        </w:div>
        <w:div w:id="1263732112">
          <w:marLeft w:val="0"/>
          <w:marRight w:val="0"/>
          <w:marTop w:val="120"/>
          <w:marBottom w:val="120"/>
          <w:divBdr>
            <w:top w:val="none" w:sz="0" w:space="0" w:color="auto"/>
            <w:left w:val="none" w:sz="0" w:space="0" w:color="auto"/>
            <w:bottom w:val="none" w:sz="0" w:space="0" w:color="auto"/>
            <w:right w:val="none" w:sz="0" w:space="0" w:color="auto"/>
          </w:divBdr>
        </w:div>
        <w:div w:id="1888954673">
          <w:marLeft w:val="0"/>
          <w:marRight w:val="0"/>
          <w:marTop w:val="120"/>
          <w:marBottom w:val="120"/>
          <w:divBdr>
            <w:top w:val="none" w:sz="0" w:space="0" w:color="auto"/>
            <w:left w:val="none" w:sz="0" w:space="0" w:color="auto"/>
            <w:bottom w:val="none" w:sz="0" w:space="0" w:color="auto"/>
            <w:right w:val="none" w:sz="0" w:space="0" w:color="auto"/>
          </w:divBdr>
        </w:div>
      </w:divsChild>
    </w:div>
    <w:div w:id="1240990941">
      <w:bodyDiv w:val="1"/>
      <w:marLeft w:val="0"/>
      <w:marRight w:val="0"/>
      <w:marTop w:val="0"/>
      <w:marBottom w:val="0"/>
      <w:divBdr>
        <w:top w:val="none" w:sz="0" w:space="0" w:color="auto"/>
        <w:left w:val="none" w:sz="0" w:space="0" w:color="auto"/>
        <w:bottom w:val="none" w:sz="0" w:space="0" w:color="auto"/>
        <w:right w:val="none" w:sz="0" w:space="0" w:color="auto"/>
      </w:divBdr>
      <w:divsChild>
        <w:div w:id="1284194978">
          <w:marLeft w:val="0"/>
          <w:marRight w:val="0"/>
          <w:marTop w:val="120"/>
          <w:marBottom w:val="120"/>
          <w:divBdr>
            <w:top w:val="none" w:sz="0" w:space="0" w:color="auto"/>
            <w:left w:val="none" w:sz="0" w:space="0" w:color="auto"/>
            <w:bottom w:val="none" w:sz="0" w:space="0" w:color="auto"/>
            <w:right w:val="none" w:sz="0" w:space="0" w:color="auto"/>
          </w:divBdr>
        </w:div>
        <w:div w:id="1303583854">
          <w:marLeft w:val="0"/>
          <w:marRight w:val="0"/>
          <w:marTop w:val="120"/>
          <w:marBottom w:val="120"/>
          <w:divBdr>
            <w:top w:val="none" w:sz="0" w:space="0" w:color="auto"/>
            <w:left w:val="none" w:sz="0" w:space="0" w:color="auto"/>
            <w:bottom w:val="none" w:sz="0" w:space="0" w:color="auto"/>
            <w:right w:val="none" w:sz="0" w:space="0" w:color="auto"/>
          </w:divBdr>
        </w:div>
      </w:divsChild>
    </w:div>
    <w:div w:id="1246375917">
      <w:bodyDiv w:val="1"/>
      <w:marLeft w:val="0"/>
      <w:marRight w:val="0"/>
      <w:marTop w:val="0"/>
      <w:marBottom w:val="0"/>
      <w:divBdr>
        <w:top w:val="none" w:sz="0" w:space="0" w:color="auto"/>
        <w:left w:val="none" w:sz="0" w:space="0" w:color="auto"/>
        <w:bottom w:val="none" w:sz="0" w:space="0" w:color="auto"/>
        <w:right w:val="none" w:sz="0" w:space="0" w:color="auto"/>
      </w:divBdr>
      <w:divsChild>
        <w:div w:id="1525096798">
          <w:marLeft w:val="0"/>
          <w:marRight w:val="0"/>
          <w:marTop w:val="120"/>
          <w:marBottom w:val="120"/>
          <w:divBdr>
            <w:top w:val="none" w:sz="0" w:space="0" w:color="auto"/>
            <w:left w:val="none" w:sz="0" w:space="0" w:color="auto"/>
            <w:bottom w:val="none" w:sz="0" w:space="0" w:color="auto"/>
            <w:right w:val="none" w:sz="0" w:space="0" w:color="auto"/>
          </w:divBdr>
        </w:div>
        <w:div w:id="931595562">
          <w:marLeft w:val="0"/>
          <w:marRight w:val="0"/>
          <w:marTop w:val="120"/>
          <w:marBottom w:val="120"/>
          <w:divBdr>
            <w:top w:val="none" w:sz="0" w:space="0" w:color="auto"/>
            <w:left w:val="none" w:sz="0" w:space="0" w:color="auto"/>
            <w:bottom w:val="none" w:sz="0" w:space="0" w:color="auto"/>
            <w:right w:val="none" w:sz="0" w:space="0" w:color="auto"/>
          </w:divBdr>
        </w:div>
        <w:div w:id="344481425">
          <w:marLeft w:val="0"/>
          <w:marRight w:val="0"/>
          <w:marTop w:val="120"/>
          <w:marBottom w:val="120"/>
          <w:divBdr>
            <w:top w:val="none" w:sz="0" w:space="0" w:color="auto"/>
            <w:left w:val="none" w:sz="0" w:space="0" w:color="auto"/>
            <w:bottom w:val="none" w:sz="0" w:space="0" w:color="auto"/>
            <w:right w:val="none" w:sz="0" w:space="0" w:color="auto"/>
          </w:divBdr>
        </w:div>
        <w:div w:id="2104375097">
          <w:marLeft w:val="0"/>
          <w:marRight w:val="0"/>
          <w:marTop w:val="120"/>
          <w:marBottom w:val="120"/>
          <w:divBdr>
            <w:top w:val="none" w:sz="0" w:space="0" w:color="auto"/>
            <w:left w:val="none" w:sz="0" w:space="0" w:color="auto"/>
            <w:bottom w:val="none" w:sz="0" w:space="0" w:color="auto"/>
            <w:right w:val="none" w:sz="0" w:space="0" w:color="auto"/>
          </w:divBdr>
        </w:div>
        <w:div w:id="288901121">
          <w:marLeft w:val="0"/>
          <w:marRight w:val="0"/>
          <w:marTop w:val="120"/>
          <w:marBottom w:val="120"/>
          <w:divBdr>
            <w:top w:val="none" w:sz="0" w:space="0" w:color="auto"/>
            <w:left w:val="none" w:sz="0" w:space="0" w:color="auto"/>
            <w:bottom w:val="none" w:sz="0" w:space="0" w:color="auto"/>
            <w:right w:val="none" w:sz="0" w:space="0" w:color="auto"/>
          </w:divBdr>
        </w:div>
        <w:div w:id="1691300355">
          <w:marLeft w:val="0"/>
          <w:marRight w:val="0"/>
          <w:marTop w:val="120"/>
          <w:marBottom w:val="120"/>
          <w:divBdr>
            <w:top w:val="none" w:sz="0" w:space="0" w:color="auto"/>
            <w:left w:val="none" w:sz="0" w:space="0" w:color="auto"/>
            <w:bottom w:val="none" w:sz="0" w:space="0" w:color="auto"/>
            <w:right w:val="none" w:sz="0" w:space="0" w:color="auto"/>
          </w:divBdr>
        </w:div>
        <w:div w:id="962881532">
          <w:marLeft w:val="0"/>
          <w:marRight w:val="0"/>
          <w:marTop w:val="120"/>
          <w:marBottom w:val="120"/>
          <w:divBdr>
            <w:top w:val="none" w:sz="0" w:space="0" w:color="auto"/>
            <w:left w:val="none" w:sz="0" w:space="0" w:color="auto"/>
            <w:bottom w:val="none" w:sz="0" w:space="0" w:color="auto"/>
            <w:right w:val="none" w:sz="0" w:space="0" w:color="auto"/>
          </w:divBdr>
        </w:div>
        <w:div w:id="1268394245">
          <w:marLeft w:val="0"/>
          <w:marRight w:val="0"/>
          <w:marTop w:val="120"/>
          <w:marBottom w:val="120"/>
          <w:divBdr>
            <w:top w:val="none" w:sz="0" w:space="0" w:color="auto"/>
            <w:left w:val="none" w:sz="0" w:space="0" w:color="auto"/>
            <w:bottom w:val="none" w:sz="0" w:space="0" w:color="auto"/>
            <w:right w:val="none" w:sz="0" w:space="0" w:color="auto"/>
          </w:divBdr>
        </w:div>
      </w:divsChild>
    </w:div>
    <w:div w:id="1345132385">
      <w:bodyDiv w:val="1"/>
      <w:marLeft w:val="0"/>
      <w:marRight w:val="0"/>
      <w:marTop w:val="0"/>
      <w:marBottom w:val="0"/>
      <w:divBdr>
        <w:top w:val="none" w:sz="0" w:space="0" w:color="auto"/>
        <w:left w:val="none" w:sz="0" w:space="0" w:color="auto"/>
        <w:bottom w:val="none" w:sz="0" w:space="0" w:color="auto"/>
        <w:right w:val="none" w:sz="0" w:space="0" w:color="auto"/>
      </w:divBdr>
      <w:divsChild>
        <w:div w:id="1722167972">
          <w:marLeft w:val="0"/>
          <w:marRight w:val="0"/>
          <w:marTop w:val="0"/>
          <w:marBottom w:val="0"/>
          <w:divBdr>
            <w:top w:val="none" w:sz="0" w:space="0" w:color="auto"/>
            <w:left w:val="none" w:sz="0" w:space="0" w:color="auto"/>
            <w:bottom w:val="none" w:sz="0" w:space="0" w:color="auto"/>
            <w:right w:val="none" w:sz="0" w:space="0" w:color="auto"/>
          </w:divBdr>
        </w:div>
      </w:divsChild>
    </w:div>
    <w:div w:id="1431271297">
      <w:bodyDiv w:val="1"/>
      <w:marLeft w:val="0"/>
      <w:marRight w:val="0"/>
      <w:marTop w:val="0"/>
      <w:marBottom w:val="0"/>
      <w:divBdr>
        <w:top w:val="none" w:sz="0" w:space="0" w:color="auto"/>
        <w:left w:val="none" w:sz="0" w:space="0" w:color="auto"/>
        <w:bottom w:val="none" w:sz="0" w:space="0" w:color="auto"/>
        <w:right w:val="none" w:sz="0" w:space="0" w:color="auto"/>
      </w:divBdr>
      <w:divsChild>
        <w:div w:id="882181868">
          <w:marLeft w:val="0"/>
          <w:marRight w:val="0"/>
          <w:marTop w:val="120"/>
          <w:marBottom w:val="120"/>
          <w:divBdr>
            <w:top w:val="none" w:sz="0" w:space="0" w:color="auto"/>
            <w:left w:val="none" w:sz="0" w:space="0" w:color="auto"/>
            <w:bottom w:val="none" w:sz="0" w:space="0" w:color="auto"/>
            <w:right w:val="none" w:sz="0" w:space="0" w:color="auto"/>
          </w:divBdr>
        </w:div>
        <w:div w:id="610278889">
          <w:marLeft w:val="0"/>
          <w:marRight w:val="0"/>
          <w:marTop w:val="120"/>
          <w:marBottom w:val="120"/>
          <w:divBdr>
            <w:top w:val="none" w:sz="0" w:space="0" w:color="auto"/>
            <w:left w:val="none" w:sz="0" w:space="0" w:color="auto"/>
            <w:bottom w:val="none" w:sz="0" w:space="0" w:color="auto"/>
            <w:right w:val="none" w:sz="0" w:space="0" w:color="auto"/>
          </w:divBdr>
        </w:div>
        <w:div w:id="1919556996">
          <w:marLeft w:val="0"/>
          <w:marRight w:val="0"/>
          <w:marTop w:val="120"/>
          <w:marBottom w:val="120"/>
          <w:divBdr>
            <w:top w:val="none" w:sz="0" w:space="0" w:color="auto"/>
            <w:left w:val="none" w:sz="0" w:space="0" w:color="auto"/>
            <w:bottom w:val="none" w:sz="0" w:space="0" w:color="auto"/>
            <w:right w:val="none" w:sz="0" w:space="0" w:color="auto"/>
          </w:divBdr>
        </w:div>
        <w:div w:id="1420326623">
          <w:marLeft w:val="0"/>
          <w:marRight w:val="0"/>
          <w:marTop w:val="120"/>
          <w:marBottom w:val="120"/>
          <w:divBdr>
            <w:top w:val="none" w:sz="0" w:space="0" w:color="auto"/>
            <w:left w:val="none" w:sz="0" w:space="0" w:color="auto"/>
            <w:bottom w:val="none" w:sz="0" w:space="0" w:color="auto"/>
            <w:right w:val="none" w:sz="0" w:space="0" w:color="auto"/>
          </w:divBdr>
        </w:div>
        <w:div w:id="1975867104">
          <w:marLeft w:val="0"/>
          <w:marRight w:val="0"/>
          <w:marTop w:val="120"/>
          <w:marBottom w:val="120"/>
          <w:divBdr>
            <w:top w:val="none" w:sz="0" w:space="0" w:color="auto"/>
            <w:left w:val="none" w:sz="0" w:space="0" w:color="auto"/>
            <w:bottom w:val="none" w:sz="0" w:space="0" w:color="auto"/>
            <w:right w:val="none" w:sz="0" w:space="0" w:color="auto"/>
          </w:divBdr>
        </w:div>
        <w:div w:id="2126727423">
          <w:marLeft w:val="0"/>
          <w:marRight w:val="0"/>
          <w:marTop w:val="120"/>
          <w:marBottom w:val="120"/>
          <w:divBdr>
            <w:top w:val="none" w:sz="0" w:space="0" w:color="auto"/>
            <w:left w:val="none" w:sz="0" w:space="0" w:color="auto"/>
            <w:bottom w:val="none" w:sz="0" w:space="0" w:color="auto"/>
            <w:right w:val="none" w:sz="0" w:space="0" w:color="auto"/>
          </w:divBdr>
        </w:div>
        <w:div w:id="30496562">
          <w:marLeft w:val="0"/>
          <w:marRight w:val="0"/>
          <w:marTop w:val="120"/>
          <w:marBottom w:val="120"/>
          <w:divBdr>
            <w:top w:val="none" w:sz="0" w:space="0" w:color="auto"/>
            <w:left w:val="none" w:sz="0" w:space="0" w:color="auto"/>
            <w:bottom w:val="none" w:sz="0" w:space="0" w:color="auto"/>
            <w:right w:val="none" w:sz="0" w:space="0" w:color="auto"/>
          </w:divBdr>
        </w:div>
        <w:div w:id="1018776051">
          <w:marLeft w:val="0"/>
          <w:marRight w:val="0"/>
          <w:marTop w:val="120"/>
          <w:marBottom w:val="120"/>
          <w:divBdr>
            <w:top w:val="none" w:sz="0" w:space="0" w:color="auto"/>
            <w:left w:val="none" w:sz="0" w:space="0" w:color="auto"/>
            <w:bottom w:val="none" w:sz="0" w:space="0" w:color="auto"/>
            <w:right w:val="none" w:sz="0" w:space="0" w:color="auto"/>
          </w:divBdr>
        </w:div>
        <w:div w:id="404451310">
          <w:marLeft w:val="0"/>
          <w:marRight w:val="0"/>
          <w:marTop w:val="120"/>
          <w:marBottom w:val="120"/>
          <w:divBdr>
            <w:top w:val="none" w:sz="0" w:space="0" w:color="auto"/>
            <w:left w:val="none" w:sz="0" w:space="0" w:color="auto"/>
            <w:bottom w:val="none" w:sz="0" w:space="0" w:color="auto"/>
            <w:right w:val="none" w:sz="0" w:space="0" w:color="auto"/>
          </w:divBdr>
        </w:div>
        <w:div w:id="336813284">
          <w:marLeft w:val="0"/>
          <w:marRight w:val="0"/>
          <w:marTop w:val="120"/>
          <w:marBottom w:val="120"/>
          <w:divBdr>
            <w:top w:val="none" w:sz="0" w:space="0" w:color="auto"/>
            <w:left w:val="none" w:sz="0" w:space="0" w:color="auto"/>
            <w:bottom w:val="none" w:sz="0" w:space="0" w:color="auto"/>
            <w:right w:val="none" w:sz="0" w:space="0" w:color="auto"/>
          </w:divBdr>
        </w:div>
        <w:div w:id="873273412">
          <w:marLeft w:val="0"/>
          <w:marRight w:val="0"/>
          <w:marTop w:val="120"/>
          <w:marBottom w:val="120"/>
          <w:divBdr>
            <w:top w:val="none" w:sz="0" w:space="0" w:color="auto"/>
            <w:left w:val="none" w:sz="0" w:space="0" w:color="auto"/>
            <w:bottom w:val="none" w:sz="0" w:space="0" w:color="auto"/>
            <w:right w:val="none" w:sz="0" w:space="0" w:color="auto"/>
          </w:divBdr>
        </w:div>
        <w:div w:id="1793860095">
          <w:marLeft w:val="0"/>
          <w:marRight w:val="0"/>
          <w:marTop w:val="120"/>
          <w:marBottom w:val="120"/>
          <w:divBdr>
            <w:top w:val="none" w:sz="0" w:space="0" w:color="auto"/>
            <w:left w:val="none" w:sz="0" w:space="0" w:color="auto"/>
            <w:bottom w:val="none" w:sz="0" w:space="0" w:color="auto"/>
            <w:right w:val="none" w:sz="0" w:space="0" w:color="auto"/>
          </w:divBdr>
        </w:div>
        <w:div w:id="1240290686">
          <w:marLeft w:val="0"/>
          <w:marRight w:val="0"/>
          <w:marTop w:val="120"/>
          <w:marBottom w:val="120"/>
          <w:divBdr>
            <w:top w:val="none" w:sz="0" w:space="0" w:color="auto"/>
            <w:left w:val="none" w:sz="0" w:space="0" w:color="auto"/>
            <w:bottom w:val="none" w:sz="0" w:space="0" w:color="auto"/>
            <w:right w:val="none" w:sz="0" w:space="0" w:color="auto"/>
          </w:divBdr>
        </w:div>
        <w:div w:id="1497573192">
          <w:marLeft w:val="0"/>
          <w:marRight w:val="0"/>
          <w:marTop w:val="120"/>
          <w:marBottom w:val="120"/>
          <w:divBdr>
            <w:top w:val="none" w:sz="0" w:space="0" w:color="auto"/>
            <w:left w:val="none" w:sz="0" w:space="0" w:color="auto"/>
            <w:bottom w:val="none" w:sz="0" w:space="0" w:color="auto"/>
            <w:right w:val="none" w:sz="0" w:space="0" w:color="auto"/>
          </w:divBdr>
        </w:div>
        <w:div w:id="146868593">
          <w:marLeft w:val="0"/>
          <w:marRight w:val="0"/>
          <w:marTop w:val="120"/>
          <w:marBottom w:val="120"/>
          <w:divBdr>
            <w:top w:val="none" w:sz="0" w:space="0" w:color="auto"/>
            <w:left w:val="none" w:sz="0" w:space="0" w:color="auto"/>
            <w:bottom w:val="none" w:sz="0" w:space="0" w:color="auto"/>
            <w:right w:val="none" w:sz="0" w:space="0" w:color="auto"/>
          </w:divBdr>
        </w:div>
        <w:div w:id="1088771760">
          <w:marLeft w:val="0"/>
          <w:marRight w:val="0"/>
          <w:marTop w:val="120"/>
          <w:marBottom w:val="120"/>
          <w:divBdr>
            <w:top w:val="none" w:sz="0" w:space="0" w:color="auto"/>
            <w:left w:val="none" w:sz="0" w:space="0" w:color="auto"/>
            <w:bottom w:val="none" w:sz="0" w:space="0" w:color="auto"/>
            <w:right w:val="none" w:sz="0" w:space="0" w:color="auto"/>
          </w:divBdr>
        </w:div>
        <w:div w:id="890574030">
          <w:marLeft w:val="0"/>
          <w:marRight w:val="0"/>
          <w:marTop w:val="120"/>
          <w:marBottom w:val="120"/>
          <w:divBdr>
            <w:top w:val="none" w:sz="0" w:space="0" w:color="auto"/>
            <w:left w:val="none" w:sz="0" w:space="0" w:color="auto"/>
            <w:bottom w:val="none" w:sz="0" w:space="0" w:color="auto"/>
            <w:right w:val="none" w:sz="0" w:space="0" w:color="auto"/>
          </w:divBdr>
        </w:div>
        <w:div w:id="554197134">
          <w:marLeft w:val="0"/>
          <w:marRight w:val="0"/>
          <w:marTop w:val="120"/>
          <w:marBottom w:val="120"/>
          <w:divBdr>
            <w:top w:val="none" w:sz="0" w:space="0" w:color="auto"/>
            <w:left w:val="none" w:sz="0" w:space="0" w:color="auto"/>
            <w:bottom w:val="none" w:sz="0" w:space="0" w:color="auto"/>
            <w:right w:val="none" w:sz="0" w:space="0" w:color="auto"/>
          </w:divBdr>
        </w:div>
        <w:div w:id="1001198732">
          <w:marLeft w:val="0"/>
          <w:marRight w:val="0"/>
          <w:marTop w:val="120"/>
          <w:marBottom w:val="120"/>
          <w:divBdr>
            <w:top w:val="none" w:sz="0" w:space="0" w:color="auto"/>
            <w:left w:val="none" w:sz="0" w:space="0" w:color="auto"/>
            <w:bottom w:val="none" w:sz="0" w:space="0" w:color="auto"/>
            <w:right w:val="none" w:sz="0" w:space="0" w:color="auto"/>
          </w:divBdr>
        </w:div>
        <w:div w:id="1510096234">
          <w:marLeft w:val="0"/>
          <w:marRight w:val="0"/>
          <w:marTop w:val="120"/>
          <w:marBottom w:val="120"/>
          <w:divBdr>
            <w:top w:val="none" w:sz="0" w:space="0" w:color="auto"/>
            <w:left w:val="none" w:sz="0" w:space="0" w:color="auto"/>
            <w:bottom w:val="none" w:sz="0" w:space="0" w:color="auto"/>
            <w:right w:val="none" w:sz="0" w:space="0" w:color="auto"/>
          </w:divBdr>
        </w:div>
        <w:div w:id="395706401">
          <w:marLeft w:val="0"/>
          <w:marRight w:val="0"/>
          <w:marTop w:val="120"/>
          <w:marBottom w:val="120"/>
          <w:divBdr>
            <w:top w:val="none" w:sz="0" w:space="0" w:color="auto"/>
            <w:left w:val="none" w:sz="0" w:space="0" w:color="auto"/>
            <w:bottom w:val="none" w:sz="0" w:space="0" w:color="auto"/>
            <w:right w:val="none" w:sz="0" w:space="0" w:color="auto"/>
          </w:divBdr>
        </w:div>
        <w:div w:id="1820268540">
          <w:marLeft w:val="0"/>
          <w:marRight w:val="0"/>
          <w:marTop w:val="120"/>
          <w:marBottom w:val="120"/>
          <w:divBdr>
            <w:top w:val="none" w:sz="0" w:space="0" w:color="auto"/>
            <w:left w:val="none" w:sz="0" w:space="0" w:color="auto"/>
            <w:bottom w:val="none" w:sz="0" w:space="0" w:color="auto"/>
            <w:right w:val="none" w:sz="0" w:space="0" w:color="auto"/>
          </w:divBdr>
        </w:div>
        <w:div w:id="692465561">
          <w:marLeft w:val="0"/>
          <w:marRight w:val="0"/>
          <w:marTop w:val="120"/>
          <w:marBottom w:val="120"/>
          <w:divBdr>
            <w:top w:val="none" w:sz="0" w:space="0" w:color="auto"/>
            <w:left w:val="none" w:sz="0" w:space="0" w:color="auto"/>
            <w:bottom w:val="none" w:sz="0" w:space="0" w:color="auto"/>
            <w:right w:val="none" w:sz="0" w:space="0" w:color="auto"/>
          </w:divBdr>
        </w:div>
        <w:div w:id="651762797">
          <w:marLeft w:val="0"/>
          <w:marRight w:val="0"/>
          <w:marTop w:val="120"/>
          <w:marBottom w:val="120"/>
          <w:divBdr>
            <w:top w:val="none" w:sz="0" w:space="0" w:color="auto"/>
            <w:left w:val="none" w:sz="0" w:space="0" w:color="auto"/>
            <w:bottom w:val="none" w:sz="0" w:space="0" w:color="auto"/>
            <w:right w:val="none" w:sz="0" w:space="0" w:color="auto"/>
          </w:divBdr>
        </w:div>
        <w:div w:id="439646482">
          <w:marLeft w:val="0"/>
          <w:marRight w:val="0"/>
          <w:marTop w:val="120"/>
          <w:marBottom w:val="120"/>
          <w:divBdr>
            <w:top w:val="none" w:sz="0" w:space="0" w:color="auto"/>
            <w:left w:val="none" w:sz="0" w:space="0" w:color="auto"/>
            <w:bottom w:val="none" w:sz="0" w:space="0" w:color="auto"/>
            <w:right w:val="none" w:sz="0" w:space="0" w:color="auto"/>
          </w:divBdr>
        </w:div>
        <w:div w:id="1178546153">
          <w:marLeft w:val="0"/>
          <w:marRight w:val="0"/>
          <w:marTop w:val="120"/>
          <w:marBottom w:val="120"/>
          <w:divBdr>
            <w:top w:val="none" w:sz="0" w:space="0" w:color="auto"/>
            <w:left w:val="none" w:sz="0" w:space="0" w:color="auto"/>
            <w:bottom w:val="none" w:sz="0" w:space="0" w:color="auto"/>
            <w:right w:val="none" w:sz="0" w:space="0" w:color="auto"/>
          </w:divBdr>
        </w:div>
        <w:div w:id="352072693">
          <w:marLeft w:val="0"/>
          <w:marRight w:val="0"/>
          <w:marTop w:val="120"/>
          <w:marBottom w:val="120"/>
          <w:divBdr>
            <w:top w:val="none" w:sz="0" w:space="0" w:color="auto"/>
            <w:left w:val="none" w:sz="0" w:space="0" w:color="auto"/>
            <w:bottom w:val="none" w:sz="0" w:space="0" w:color="auto"/>
            <w:right w:val="none" w:sz="0" w:space="0" w:color="auto"/>
          </w:divBdr>
        </w:div>
      </w:divsChild>
    </w:div>
    <w:div w:id="1506700041">
      <w:bodyDiv w:val="1"/>
      <w:marLeft w:val="0"/>
      <w:marRight w:val="0"/>
      <w:marTop w:val="0"/>
      <w:marBottom w:val="0"/>
      <w:divBdr>
        <w:top w:val="none" w:sz="0" w:space="0" w:color="auto"/>
        <w:left w:val="none" w:sz="0" w:space="0" w:color="auto"/>
        <w:bottom w:val="none" w:sz="0" w:space="0" w:color="auto"/>
        <w:right w:val="none" w:sz="0" w:space="0" w:color="auto"/>
      </w:divBdr>
      <w:divsChild>
        <w:div w:id="1390376685">
          <w:marLeft w:val="0"/>
          <w:marRight w:val="0"/>
          <w:marTop w:val="120"/>
          <w:marBottom w:val="120"/>
          <w:divBdr>
            <w:top w:val="none" w:sz="0" w:space="0" w:color="auto"/>
            <w:left w:val="none" w:sz="0" w:space="0" w:color="auto"/>
            <w:bottom w:val="none" w:sz="0" w:space="0" w:color="auto"/>
            <w:right w:val="none" w:sz="0" w:space="0" w:color="auto"/>
          </w:divBdr>
        </w:div>
        <w:div w:id="349796055">
          <w:marLeft w:val="0"/>
          <w:marRight w:val="0"/>
          <w:marTop w:val="120"/>
          <w:marBottom w:val="120"/>
          <w:divBdr>
            <w:top w:val="none" w:sz="0" w:space="0" w:color="auto"/>
            <w:left w:val="none" w:sz="0" w:space="0" w:color="auto"/>
            <w:bottom w:val="none" w:sz="0" w:space="0" w:color="auto"/>
            <w:right w:val="none" w:sz="0" w:space="0" w:color="auto"/>
          </w:divBdr>
        </w:div>
        <w:div w:id="919095525">
          <w:marLeft w:val="0"/>
          <w:marRight w:val="0"/>
          <w:marTop w:val="120"/>
          <w:marBottom w:val="120"/>
          <w:divBdr>
            <w:top w:val="none" w:sz="0" w:space="0" w:color="auto"/>
            <w:left w:val="none" w:sz="0" w:space="0" w:color="auto"/>
            <w:bottom w:val="none" w:sz="0" w:space="0" w:color="auto"/>
            <w:right w:val="none" w:sz="0" w:space="0" w:color="auto"/>
          </w:divBdr>
        </w:div>
        <w:div w:id="508178680">
          <w:marLeft w:val="0"/>
          <w:marRight w:val="0"/>
          <w:marTop w:val="120"/>
          <w:marBottom w:val="120"/>
          <w:divBdr>
            <w:top w:val="none" w:sz="0" w:space="0" w:color="auto"/>
            <w:left w:val="none" w:sz="0" w:space="0" w:color="auto"/>
            <w:bottom w:val="none" w:sz="0" w:space="0" w:color="auto"/>
            <w:right w:val="none" w:sz="0" w:space="0" w:color="auto"/>
          </w:divBdr>
        </w:div>
        <w:div w:id="796067139">
          <w:marLeft w:val="0"/>
          <w:marRight w:val="0"/>
          <w:marTop w:val="120"/>
          <w:marBottom w:val="120"/>
          <w:divBdr>
            <w:top w:val="none" w:sz="0" w:space="0" w:color="auto"/>
            <w:left w:val="none" w:sz="0" w:space="0" w:color="auto"/>
            <w:bottom w:val="none" w:sz="0" w:space="0" w:color="auto"/>
            <w:right w:val="none" w:sz="0" w:space="0" w:color="auto"/>
          </w:divBdr>
        </w:div>
      </w:divsChild>
    </w:div>
    <w:div w:id="1607734899">
      <w:bodyDiv w:val="1"/>
      <w:marLeft w:val="0"/>
      <w:marRight w:val="0"/>
      <w:marTop w:val="0"/>
      <w:marBottom w:val="0"/>
      <w:divBdr>
        <w:top w:val="none" w:sz="0" w:space="0" w:color="auto"/>
        <w:left w:val="none" w:sz="0" w:space="0" w:color="auto"/>
        <w:bottom w:val="none" w:sz="0" w:space="0" w:color="auto"/>
        <w:right w:val="none" w:sz="0" w:space="0" w:color="auto"/>
      </w:divBdr>
      <w:divsChild>
        <w:div w:id="1580404752">
          <w:marLeft w:val="0"/>
          <w:marRight w:val="0"/>
          <w:marTop w:val="120"/>
          <w:marBottom w:val="120"/>
          <w:divBdr>
            <w:top w:val="none" w:sz="0" w:space="0" w:color="auto"/>
            <w:left w:val="none" w:sz="0" w:space="0" w:color="auto"/>
            <w:bottom w:val="none" w:sz="0" w:space="0" w:color="auto"/>
            <w:right w:val="none" w:sz="0" w:space="0" w:color="auto"/>
          </w:divBdr>
        </w:div>
        <w:div w:id="1402026189">
          <w:marLeft w:val="0"/>
          <w:marRight w:val="0"/>
          <w:marTop w:val="120"/>
          <w:marBottom w:val="120"/>
          <w:divBdr>
            <w:top w:val="none" w:sz="0" w:space="0" w:color="auto"/>
            <w:left w:val="none" w:sz="0" w:space="0" w:color="auto"/>
            <w:bottom w:val="none" w:sz="0" w:space="0" w:color="auto"/>
            <w:right w:val="none" w:sz="0" w:space="0" w:color="auto"/>
          </w:divBdr>
        </w:div>
        <w:div w:id="824322011">
          <w:marLeft w:val="0"/>
          <w:marRight w:val="0"/>
          <w:marTop w:val="120"/>
          <w:marBottom w:val="120"/>
          <w:divBdr>
            <w:top w:val="none" w:sz="0" w:space="0" w:color="auto"/>
            <w:left w:val="none" w:sz="0" w:space="0" w:color="auto"/>
            <w:bottom w:val="none" w:sz="0" w:space="0" w:color="auto"/>
            <w:right w:val="none" w:sz="0" w:space="0" w:color="auto"/>
          </w:divBdr>
        </w:div>
        <w:div w:id="192495637">
          <w:marLeft w:val="0"/>
          <w:marRight w:val="0"/>
          <w:marTop w:val="120"/>
          <w:marBottom w:val="120"/>
          <w:divBdr>
            <w:top w:val="none" w:sz="0" w:space="0" w:color="auto"/>
            <w:left w:val="none" w:sz="0" w:space="0" w:color="auto"/>
            <w:bottom w:val="none" w:sz="0" w:space="0" w:color="auto"/>
            <w:right w:val="none" w:sz="0" w:space="0" w:color="auto"/>
          </w:divBdr>
        </w:div>
        <w:div w:id="154298481">
          <w:marLeft w:val="0"/>
          <w:marRight w:val="0"/>
          <w:marTop w:val="120"/>
          <w:marBottom w:val="120"/>
          <w:divBdr>
            <w:top w:val="none" w:sz="0" w:space="0" w:color="auto"/>
            <w:left w:val="none" w:sz="0" w:space="0" w:color="auto"/>
            <w:bottom w:val="none" w:sz="0" w:space="0" w:color="auto"/>
            <w:right w:val="none" w:sz="0" w:space="0" w:color="auto"/>
          </w:divBdr>
        </w:div>
      </w:divsChild>
    </w:div>
    <w:div w:id="1732607639">
      <w:bodyDiv w:val="1"/>
      <w:marLeft w:val="0"/>
      <w:marRight w:val="0"/>
      <w:marTop w:val="0"/>
      <w:marBottom w:val="0"/>
      <w:divBdr>
        <w:top w:val="none" w:sz="0" w:space="0" w:color="auto"/>
        <w:left w:val="none" w:sz="0" w:space="0" w:color="auto"/>
        <w:bottom w:val="none" w:sz="0" w:space="0" w:color="auto"/>
        <w:right w:val="none" w:sz="0" w:space="0" w:color="auto"/>
      </w:divBdr>
      <w:divsChild>
        <w:div w:id="1844276611">
          <w:marLeft w:val="0"/>
          <w:marRight w:val="0"/>
          <w:marTop w:val="120"/>
          <w:marBottom w:val="120"/>
          <w:divBdr>
            <w:top w:val="none" w:sz="0" w:space="0" w:color="auto"/>
            <w:left w:val="none" w:sz="0" w:space="0" w:color="auto"/>
            <w:bottom w:val="none" w:sz="0" w:space="0" w:color="auto"/>
            <w:right w:val="none" w:sz="0" w:space="0" w:color="auto"/>
          </w:divBdr>
        </w:div>
      </w:divsChild>
    </w:div>
    <w:div w:id="2006669652">
      <w:bodyDiv w:val="1"/>
      <w:marLeft w:val="0"/>
      <w:marRight w:val="0"/>
      <w:marTop w:val="0"/>
      <w:marBottom w:val="0"/>
      <w:divBdr>
        <w:top w:val="none" w:sz="0" w:space="0" w:color="auto"/>
        <w:left w:val="none" w:sz="0" w:space="0" w:color="auto"/>
        <w:bottom w:val="none" w:sz="0" w:space="0" w:color="auto"/>
        <w:right w:val="none" w:sz="0" w:space="0" w:color="auto"/>
      </w:divBdr>
      <w:divsChild>
        <w:div w:id="1031422547">
          <w:marLeft w:val="0"/>
          <w:marRight w:val="0"/>
          <w:marTop w:val="0"/>
          <w:marBottom w:val="0"/>
          <w:divBdr>
            <w:top w:val="none" w:sz="0" w:space="0" w:color="auto"/>
            <w:left w:val="none" w:sz="0" w:space="0" w:color="auto"/>
            <w:bottom w:val="none" w:sz="0" w:space="0" w:color="auto"/>
            <w:right w:val="none" w:sz="0" w:space="0" w:color="auto"/>
          </w:divBdr>
        </w:div>
      </w:divsChild>
    </w:div>
    <w:div w:id="2058118388">
      <w:bodyDiv w:val="1"/>
      <w:marLeft w:val="0"/>
      <w:marRight w:val="0"/>
      <w:marTop w:val="0"/>
      <w:marBottom w:val="0"/>
      <w:divBdr>
        <w:top w:val="none" w:sz="0" w:space="0" w:color="auto"/>
        <w:left w:val="none" w:sz="0" w:space="0" w:color="auto"/>
        <w:bottom w:val="none" w:sz="0" w:space="0" w:color="auto"/>
        <w:right w:val="none" w:sz="0" w:space="0" w:color="auto"/>
      </w:divBdr>
      <w:divsChild>
        <w:div w:id="701712958">
          <w:marLeft w:val="0"/>
          <w:marRight w:val="0"/>
          <w:marTop w:val="120"/>
          <w:marBottom w:val="120"/>
          <w:divBdr>
            <w:top w:val="none" w:sz="0" w:space="0" w:color="auto"/>
            <w:left w:val="none" w:sz="0" w:space="0" w:color="auto"/>
            <w:bottom w:val="none" w:sz="0" w:space="0" w:color="auto"/>
            <w:right w:val="none" w:sz="0" w:space="0" w:color="auto"/>
          </w:divBdr>
        </w:div>
        <w:div w:id="1259563043">
          <w:marLeft w:val="0"/>
          <w:marRight w:val="0"/>
          <w:marTop w:val="120"/>
          <w:marBottom w:val="120"/>
          <w:divBdr>
            <w:top w:val="none" w:sz="0" w:space="0" w:color="auto"/>
            <w:left w:val="none" w:sz="0" w:space="0" w:color="auto"/>
            <w:bottom w:val="none" w:sz="0" w:space="0" w:color="auto"/>
            <w:right w:val="none" w:sz="0" w:space="0" w:color="auto"/>
          </w:divBdr>
        </w:div>
        <w:div w:id="1035152477">
          <w:marLeft w:val="0"/>
          <w:marRight w:val="0"/>
          <w:marTop w:val="120"/>
          <w:marBottom w:val="120"/>
          <w:divBdr>
            <w:top w:val="none" w:sz="0" w:space="0" w:color="auto"/>
            <w:left w:val="none" w:sz="0" w:space="0" w:color="auto"/>
            <w:bottom w:val="none" w:sz="0" w:space="0" w:color="auto"/>
            <w:right w:val="none" w:sz="0" w:space="0" w:color="auto"/>
          </w:divBdr>
        </w:div>
        <w:div w:id="2141606560">
          <w:marLeft w:val="0"/>
          <w:marRight w:val="0"/>
          <w:marTop w:val="120"/>
          <w:marBottom w:val="120"/>
          <w:divBdr>
            <w:top w:val="none" w:sz="0" w:space="0" w:color="auto"/>
            <w:left w:val="none" w:sz="0" w:space="0" w:color="auto"/>
            <w:bottom w:val="none" w:sz="0" w:space="0" w:color="auto"/>
            <w:right w:val="none" w:sz="0" w:space="0" w:color="auto"/>
          </w:divBdr>
        </w:div>
        <w:div w:id="1978099442">
          <w:marLeft w:val="0"/>
          <w:marRight w:val="0"/>
          <w:marTop w:val="120"/>
          <w:marBottom w:val="120"/>
          <w:divBdr>
            <w:top w:val="none" w:sz="0" w:space="0" w:color="auto"/>
            <w:left w:val="none" w:sz="0" w:space="0" w:color="auto"/>
            <w:bottom w:val="none" w:sz="0" w:space="0" w:color="auto"/>
            <w:right w:val="none" w:sz="0" w:space="0" w:color="auto"/>
          </w:divBdr>
        </w:div>
        <w:div w:id="162360573">
          <w:marLeft w:val="0"/>
          <w:marRight w:val="0"/>
          <w:marTop w:val="120"/>
          <w:marBottom w:val="120"/>
          <w:divBdr>
            <w:top w:val="none" w:sz="0" w:space="0" w:color="auto"/>
            <w:left w:val="none" w:sz="0" w:space="0" w:color="auto"/>
            <w:bottom w:val="none" w:sz="0" w:space="0" w:color="auto"/>
            <w:right w:val="none" w:sz="0" w:space="0" w:color="auto"/>
          </w:divBdr>
        </w:div>
        <w:div w:id="1478188533">
          <w:marLeft w:val="0"/>
          <w:marRight w:val="0"/>
          <w:marTop w:val="120"/>
          <w:marBottom w:val="120"/>
          <w:divBdr>
            <w:top w:val="none" w:sz="0" w:space="0" w:color="auto"/>
            <w:left w:val="none" w:sz="0" w:space="0" w:color="auto"/>
            <w:bottom w:val="none" w:sz="0" w:space="0" w:color="auto"/>
            <w:right w:val="none" w:sz="0" w:space="0" w:color="auto"/>
          </w:divBdr>
        </w:div>
        <w:div w:id="777019665">
          <w:marLeft w:val="0"/>
          <w:marRight w:val="0"/>
          <w:marTop w:val="120"/>
          <w:marBottom w:val="120"/>
          <w:divBdr>
            <w:top w:val="none" w:sz="0" w:space="0" w:color="auto"/>
            <w:left w:val="none" w:sz="0" w:space="0" w:color="auto"/>
            <w:bottom w:val="none" w:sz="0" w:space="0" w:color="auto"/>
            <w:right w:val="none" w:sz="0" w:space="0" w:color="auto"/>
          </w:divBdr>
        </w:div>
        <w:div w:id="1667442229">
          <w:marLeft w:val="0"/>
          <w:marRight w:val="0"/>
          <w:marTop w:val="120"/>
          <w:marBottom w:val="120"/>
          <w:divBdr>
            <w:top w:val="none" w:sz="0" w:space="0" w:color="auto"/>
            <w:left w:val="none" w:sz="0" w:space="0" w:color="auto"/>
            <w:bottom w:val="none" w:sz="0" w:space="0" w:color="auto"/>
            <w:right w:val="none" w:sz="0" w:space="0" w:color="auto"/>
          </w:divBdr>
        </w:div>
        <w:div w:id="1533570935">
          <w:marLeft w:val="0"/>
          <w:marRight w:val="0"/>
          <w:marTop w:val="120"/>
          <w:marBottom w:val="120"/>
          <w:divBdr>
            <w:top w:val="none" w:sz="0" w:space="0" w:color="auto"/>
            <w:left w:val="none" w:sz="0" w:space="0" w:color="auto"/>
            <w:bottom w:val="none" w:sz="0" w:space="0" w:color="auto"/>
            <w:right w:val="none" w:sz="0" w:space="0" w:color="auto"/>
          </w:divBdr>
        </w:div>
        <w:div w:id="1524005935">
          <w:marLeft w:val="0"/>
          <w:marRight w:val="0"/>
          <w:marTop w:val="120"/>
          <w:marBottom w:val="120"/>
          <w:divBdr>
            <w:top w:val="none" w:sz="0" w:space="0" w:color="auto"/>
            <w:left w:val="none" w:sz="0" w:space="0" w:color="auto"/>
            <w:bottom w:val="none" w:sz="0" w:space="0" w:color="auto"/>
            <w:right w:val="none" w:sz="0" w:space="0" w:color="auto"/>
          </w:divBdr>
        </w:div>
        <w:div w:id="946700264">
          <w:marLeft w:val="0"/>
          <w:marRight w:val="0"/>
          <w:marTop w:val="120"/>
          <w:marBottom w:val="120"/>
          <w:divBdr>
            <w:top w:val="none" w:sz="0" w:space="0" w:color="auto"/>
            <w:left w:val="none" w:sz="0" w:space="0" w:color="auto"/>
            <w:bottom w:val="none" w:sz="0" w:space="0" w:color="auto"/>
            <w:right w:val="none" w:sz="0" w:space="0" w:color="auto"/>
          </w:divBdr>
        </w:div>
        <w:div w:id="181937929">
          <w:marLeft w:val="0"/>
          <w:marRight w:val="0"/>
          <w:marTop w:val="120"/>
          <w:marBottom w:val="120"/>
          <w:divBdr>
            <w:top w:val="none" w:sz="0" w:space="0" w:color="auto"/>
            <w:left w:val="none" w:sz="0" w:space="0" w:color="auto"/>
            <w:bottom w:val="none" w:sz="0" w:space="0" w:color="auto"/>
            <w:right w:val="none" w:sz="0" w:space="0" w:color="auto"/>
          </w:divBdr>
        </w:div>
        <w:div w:id="381708528">
          <w:marLeft w:val="0"/>
          <w:marRight w:val="0"/>
          <w:marTop w:val="120"/>
          <w:marBottom w:val="120"/>
          <w:divBdr>
            <w:top w:val="none" w:sz="0" w:space="0" w:color="auto"/>
            <w:left w:val="none" w:sz="0" w:space="0" w:color="auto"/>
            <w:bottom w:val="none" w:sz="0" w:space="0" w:color="auto"/>
            <w:right w:val="none" w:sz="0" w:space="0" w:color="auto"/>
          </w:divBdr>
        </w:div>
        <w:div w:id="1588231230">
          <w:marLeft w:val="0"/>
          <w:marRight w:val="0"/>
          <w:marTop w:val="120"/>
          <w:marBottom w:val="120"/>
          <w:divBdr>
            <w:top w:val="none" w:sz="0" w:space="0" w:color="auto"/>
            <w:left w:val="none" w:sz="0" w:space="0" w:color="auto"/>
            <w:bottom w:val="none" w:sz="0" w:space="0" w:color="auto"/>
            <w:right w:val="none" w:sz="0" w:space="0" w:color="auto"/>
          </w:divBdr>
        </w:div>
        <w:div w:id="1899781796">
          <w:marLeft w:val="0"/>
          <w:marRight w:val="0"/>
          <w:marTop w:val="120"/>
          <w:marBottom w:val="120"/>
          <w:divBdr>
            <w:top w:val="none" w:sz="0" w:space="0" w:color="auto"/>
            <w:left w:val="none" w:sz="0" w:space="0" w:color="auto"/>
            <w:bottom w:val="none" w:sz="0" w:space="0" w:color="auto"/>
            <w:right w:val="none" w:sz="0" w:space="0" w:color="auto"/>
          </w:divBdr>
        </w:div>
        <w:div w:id="1319962992">
          <w:marLeft w:val="0"/>
          <w:marRight w:val="0"/>
          <w:marTop w:val="120"/>
          <w:marBottom w:val="120"/>
          <w:divBdr>
            <w:top w:val="none" w:sz="0" w:space="0" w:color="auto"/>
            <w:left w:val="none" w:sz="0" w:space="0" w:color="auto"/>
            <w:bottom w:val="none" w:sz="0" w:space="0" w:color="auto"/>
            <w:right w:val="none" w:sz="0" w:space="0" w:color="auto"/>
          </w:divBdr>
        </w:div>
        <w:div w:id="729041189">
          <w:marLeft w:val="0"/>
          <w:marRight w:val="0"/>
          <w:marTop w:val="120"/>
          <w:marBottom w:val="120"/>
          <w:divBdr>
            <w:top w:val="none" w:sz="0" w:space="0" w:color="auto"/>
            <w:left w:val="none" w:sz="0" w:space="0" w:color="auto"/>
            <w:bottom w:val="none" w:sz="0" w:space="0" w:color="auto"/>
            <w:right w:val="none" w:sz="0" w:space="0" w:color="auto"/>
          </w:divBdr>
        </w:div>
        <w:div w:id="583995956">
          <w:marLeft w:val="0"/>
          <w:marRight w:val="0"/>
          <w:marTop w:val="120"/>
          <w:marBottom w:val="120"/>
          <w:divBdr>
            <w:top w:val="none" w:sz="0" w:space="0" w:color="auto"/>
            <w:left w:val="none" w:sz="0" w:space="0" w:color="auto"/>
            <w:bottom w:val="none" w:sz="0" w:space="0" w:color="auto"/>
            <w:right w:val="none" w:sz="0" w:space="0" w:color="auto"/>
          </w:divBdr>
        </w:div>
        <w:div w:id="1828353750">
          <w:marLeft w:val="0"/>
          <w:marRight w:val="0"/>
          <w:marTop w:val="120"/>
          <w:marBottom w:val="120"/>
          <w:divBdr>
            <w:top w:val="none" w:sz="0" w:space="0" w:color="auto"/>
            <w:left w:val="none" w:sz="0" w:space="0" w:color="auto"/>
            <w:bottom w:val="none" w:sz="0" w:space="0" w:color="auto"/>
            <w:right w:val="none" w:sz="0" w:space="0" w:color="auto"/>
          </w:divBdr>
        </w:div>
        <w:div w:id="213396472">
          <w:marLeft w:val="0"/>
          <w:marRight w:val="0"/>
          <w:marTop w:val="120"/>
          <w:marBottom w:val="120"/>
          <w:divBdr>
            <w:top w:val="none" w:sz="0" w:space="0" w:color="auto"/>
            <w:left w:val="none" w:sz="0" w:space="0" w:color="auto"/>
            <w:bottom w:val="none" w:sz="0" w:space="0" w:color="auto"/>
            <w:right w:val="none" w:sz="0" w:space="0" w:color="auto"/>
          </w:divBdr>
        </w:div>
        <w:div w:id="1785953821">
          <w:marLeft w:val="0"/>
          <w:marRight w:val="0"/>
          <w:marTop w:val="120"/>
          <w:marBottom w:val="120"/>
          <w:divBdr>
            <w:top w:val="none" w:sz="0" w:space="0" w:color="auto"/>
            <w:left w:val="none" w:sz="0" w:space="0" w:color="auto"/>
            <w:bottom w:val="none" w:sz="0" w:space="0" w:color="auto"/>
            <w:right w:val="none" w:sz="0" w:space="0" w:color="auto"/>
          </w:divBdr>
        </w:div>
        <w:div w:id="1161695726">
          <w:marLeft w:val="0"/>
          <w:marRight w:val="0"/>
          <w:marTop w:val="120"/>
          <w:marBottom w:val="120"/>
          <w:divBdr>
            <w:top w:val="none" w:sz="0" w:space="0" w:color="auto"/>
            <w:left w:val="none" w:sz="0" w:space="0" w:color="auto"/>
            <w:bottom w:val="none" w:sz="0" w:space="0" w:color="auto"/>
            <w:right w:val="none" w:sz="0" w:space="0" w:color="auto"/>
          </w:divBdr>
        </w:div>
        <w:div w:id="1848446766">
          <w:marLeft w:val="0"/>
          <w:marRight w:val="0"/>
          <w:marTop w:val="120"/>
          <w:marBottom w:val="120"/>
          <w:divBdr>
            <w:top w:val="none" w:sz="0" w:space="0" w:color="auto"/>
            <w:left w:val="none" w:sz="0" w:space="0" w:color="auto"/>
            <w:bottom w:val="none" w:sz="0" w:space="0" w:color="auto"/>
            <w:right w:val="none" w:sz="0" w:space="0" w:color="auto"/>
          </w:divBdr>
        </w:div>
        <w:div w:id="1425347954">
          <w:marLeft w:val="0"/>
          <w:marRight w:val="0"/>
          <w:marTop w:val="120"/>
          <w:marBottom w:val="120"/>
          <w:divBdr>
            <w:top w:val="none" w:sz="0" w:space="0" w:color="auto"/>
            <w:left w:val="none" w:sz="0" w:space="0" w:color="auto"/>
            <w:bottom w:val="none" w:sz="0" w:space="0" w:color="auto"/>
            <w:right w:val="none" w:sz="0" w:space="0" w:color="auto"/>
          </w:divBdr>
        </w:div>
        <w:div w:id="951746224">
          <w:marLeft w:val="0"/>
          <w:marRight w:val="0"/>
          <w:marTop w:val="120"/>
          <w:marBottom w:val="120"/>
          <w:divBdr>
            <w:top w:val="none" w:sz="0" w:space="0" w:color="auto"/>
            <w:left w:val="none" w:sz="0" w:space="0" w:color="auto"/>
            <w:bottom w:val="none" w:sz="0" w:space="0" w:color="auto"/>
            <w:right w:val="none" w:sz="0" w:space="0" w:color="auto"/>
          </w:divBdr>
        </w:div>
        <w:div w:id="1321075614">
          <w:marLeft w:val="0"/>
          <w:marRight w:val="0"/>
          <w:marTop w:val="120"/>
          <w:marBottom w:val="120"/>
          <w:divBdr>
            <w:top w:val="none" w:sz="0" w:space="0" w:color="auto"/>
            <w:left w:val="none" w:sz="0" w:space="0" w:color="auto"/>
            <w:bottom w:val="none" w:sz="0" w:space="0" w:color="auto"/>
            <w:right w:val="none" w:sz="0" w:space="0" w:color="auto"/>
          </w:divBdr>
        </w:div>
        <w:div w:id="1591280514">
          <w:marLeft w:val="0"/>
          <w:marRight w:val="0"/>
          <w:marTop w:val="120"/>
          <w:marBottom w:val="120"/>
          <w:divBdr>
            <w:top w:val="none" w:sz="0" w:space="0" w:color="auto"/>
            <w:left w:val="none" w:sz="0" w:space="0" w:color="auto"/>
            <w:bottom w:val="none" w:sz="0" w:space="0" w:color="auto"/>
            <w:right w:val="none" w:sz="0" w:space="0" w:color="auto"/>
          </w:divBdr>
        </w:div>
        <w:div w:id="449789451">
          <w:marLeft w:val="0"/>
          <w:marRight w:val="0"/>
          <w:marTop w:val="120"/>
          <w:marBottom w:val="120"/>
          <w:divBdr>
            <w:top w:val="none" w:sz="0" w:space="0" w:color="auto"/>
            <w:left w:val="none" w:sz="0" w:space="0" w:color="auto"/>
            <w:bottom w:val="none" w:sz="0" w:space="0" w:color="auto"/>
            <w:right w:val="none" w:sz="0" w:space="0" w:color="auto"/>
          </w:divBdr>
        </w:div>
        <w:div w:id="1046174696">
          <w:marLeft w:val="0"/>
          <w:marRight w:val="0"/>
          <w:marTop w:val="120"/>
          <w:marBottom w:val="120"/>
          <w:divBdr>
            <w:top w:val="none" w:sz="0" w:space="0" w:color="auto"/>
            <w:left w:val="none" w:sz="0" w:space="0" w:color="auto"/>
            <w:bottom w:val="none" w:sz="0" w:space="0" w:color="auto"/>
            <w:right w:val="none" w:sz="0" w:space="0" w:color="auto"/>
          </w:divBdr>
        </w:div>
        <w:div w:id="2016230023">
          <w:marLeft w:val="0"/>
          <w:marRight w:val="0"/>
          <w:marTop w:val="120"/>
          <w:marBottom w:val="120"/>
          <w:divBdr>
            <w:top w:val="none" w:sz="0" w:space="0" w:color="auto"/>
            <w:left w:val="none" w:sz="0" w:space="0" w:color="auto"/>
            <w:bottom w:val="none" w:sz="0" w:space="0" w:color="auto"/>
            <w:right w:val="none" w:sz="0" w:space="0" w:color="auto"/>
          </w:divBdr>
        </w:div>
        <w:div w:id="1707413338">
          <w:marLeft w:val="0"/>
          <w:marRight w:val="0"/>
          <w:marTop w:val="120"/>
          <w:marBottom w:val="120"/>
          <w:divBdr>
            <w:top w:val="none" w:sz="0" w:space="0" w:color="auto"/>
            <w:left w:val="none" w:sz="0" w:space="0" w:color="auto"/>
            <w:bottom w:val="none" w:sz="0" w:space="0" w:color="auto"/>
            <w:right w:val="none" w:sz="0" w:space="0" w:color="auto"/>
          </w:divBdr>
        </w:div>
        <w:div w:id="2039811976">
          <w:marLeft w:val="0"/>
          <w:marRight w:val="0"/>
          <w:marTop w:val="120"/>
          <w:marBottom w:val="120"/>
          <w:divBdr>
            <w:top w:val="none" w:sz="0" w:space="0" w:color="auto"/>
            <w:left w:val="none" w:sz="0" w:space="0" w:color="auto"/>
            <w:bottom w:val="none" w:sz="0" w:space="0" w:color="auto"/>
            <w:right w:val="none" w:sz="0" w:space="0" w:color="auto"/>
          </w:divBdr>
        </w:div>
        <w:div w:id="1345979470">
          <w:marLeft w:val="0"/>
          <w:marRight w:val="0"/>
          <w:marTop w:val="120"/>
          <w:marBottom w:val="120"/>
          <w:divBdr>
            <w:top w:val="none" w:sz="0" w:space="0" w:color="auto"/>
            <w:left w:val="none" w:sz="0" w:space="0" w:color="auto"/>
            <w:bottom w:val="none" w:sz="0" w:space="0" w:color="auto"/>
            <w:right w:val="none" w:sz="0" w:space="0" w:color="auto"/>
          </w:divBdr>
        </w:div>
        <w:div w:id="508444981">
          <w:marLeft w:val="0"/>
          <w:marRight w:val="0"/>
          <w:marTop w:val="120"/>
          <w:marBottom w:val="120"/>
          <w:divBdr>
            <w:top w:val="none" w:sz="0" w:space="0" w:color="auto"/>
            <w:left w:val="none" w:sz="0" w:space="0" w:color="auto"/>
            <w:bottom w:val="none" w:sz="0" w:space="0" w:color="auto"/>
            <w:right w:val="none" w:sz="0" w:space="0" w:color="auto"/>
          </w:divBdr>
        </w:div>
        <w:div w:id="760831621">
          <w:marLeft w:val="0"/>
          <w:marRight w:val="0"/>
          <w:marTop w:val="120"/>
          <w:marBottom w:val="120"/>
          <w:divBdr>
            <w:top w:val="none" w:sz="0" w:space="0" w:color="auto"/>
            <w:left w:val="none" w:sz="0" w:space="0" w:color="auto"/>
            <w:bottom w:val="none" w:sz="0" w:space="0" w:color="auto"/>
            <w:right w:val="none" w:sz="0" w:space="0" w:color="auto"/>
          </w:divBdr>
        </w:div>
        <w:div w:id="667096299">
          <w:marLeft w:val="0"/>
          <w:marRight w:val="0"/>
          <w:marTop w:val="120"/>
          <w:marBottom w:val="120"/>
          <w:divBdr>
            <w:top w:val="none" w:sz="0" w:space="0" w:color="auto"/>
            <w:left w:val="none" w:sz="0" w:space="0" w:color="auto"/>
            <w:bottom w:val="none" w:sz="0" w:space="0" w:color="auto"/>
            <w:right w:val="none" w:sz="0" w:space="0" w:color="auto"/>
          </w:divBdr>
        </w:div>
        <w:div w:id="2127655613">
          <w:marLeft w:val="0"/>
          <w:marRight w:val="0"/>
          <w:marTop w:val="120"/>
          <w:marBottom w:val="120"/>
          <w:divBdr>
            <w:top w:val="none" w:sz="0" w:space="0" w:color="auto"/>
            <w:left w:val="none" w:sz="0" w:space="0" w:color="auto"/>
            <w:bottom w:val="none" w:sz="0" w:space="0" w:color="auto"/>
            <w:right w:val="none" w:sz="0" w:space="0" w:color="auto"/>
          </w:divBdr>
        </w:div>
        <w:div w:id="1428961216">
          <w:marLeft w:val="0"/>
          <w:marRight w:val="0"/>
          <w:marTop w:val="120"/>
          <w:marBottom w:val="120"/>
          <w:divBdr>
            <w:top w:val="none" w:sz="0" w:space="0" w:color="auto"/>
            <w:left w:val="none" w:sz="0" w:space="0" w:color="auto"/>
            <w:bottom w:val="none" w:sz="0" w:space="0" w:color="auto"/>
            <w:right w:val="none" w:sz="0" w:space="0" w:color="auto"/>
          </w:divBdr>
        </w:div>
        <w:div w:id="1799640718">
          <w:marLeft w:val="0"/>
          <w:marRight w:val="0"/>
          <w:marTop w:val="120"/>
          <w:marBottom w:val="120"/>
          <w:divBdr>
            <w:top w:val="none" w:sz="0" w:space="0" w:color="auto"/>
            <w:left w:val="none" w:sz="0" w:space="0" w:color="auto"/>
            <w:bottom w:val="none" w:sz="0" w:space="0" w:color="auto"/>
            <w:right w:val="none" w:sz="0" w:space="0" w:color="auto"/>
          </w:divBdr>
        </w:div>
        <w:div w:id="580870968">
          <w:marLeft w:val="0"/>
          <w:marRight w:val="0"/>
          <w:marTop w:val="120"/>
          <w:marBottom w:val="120"/>
          <w:divBdr>
            <w:top w:val="none" w:sz="0" w:space="0" w:color="auto"/>
            <w:left w:val="none" w:sz="0" w:space="0" w:color="auto"/>
            <w:bottom w:val="none" w:sz="0" w:space="0" w:color="auto"/>
            <w:right w:val="none" w:sz="0" w:space="0" w:color="auto"/>
          </w:divBdr>
        </w:div>
        <w:div w:id="1902129337">
          <w:marLeft w:val="0"/>
          <w:marRight w:val="0"/>
          <w:marTop w:val="120"/>
          <w:marBottom w:val="120"/>
          <w:divBdr>
            <w:top w:val="none" w:sz="0" w:space="0" w:color="auto"/>
            <w:left w:val="none" w:sz="0" w:space="0" w:color="auto"/>
            <w:bottom w:val="none" w:sz="0" w:space="0" w:color="auto"/>
            <w:right w:val="none" w:sz="0" w:space="0" w:color="auto"/>
          </w:divBdr>
        </w:div>
        <w:div w:id="1026980686">
          <w:marLeft w:val="0"/>
          <w:marRight w:val="0"/>
          <w:marTop w:val="120"/>
          <w:marBottom w:val="120"/>
          <w:divBdr>
            <w:top w:val="none" w:sz="0" w:space="0" w:color="auto"/>
            <w:left w:val="none" w:sz="0" w:space="0" w:color="auto"/>
            <w:bottom w:val="none" w:sz="0" w:space="0" w:color="auto"/>
            <w:right w:val="none" w:sz="0" w:space="0" w:color="auto"/>
          </w:divBdr>
        </w:div>
        <w:div w:id="153642927">
          <w:marLeft w:val="0"/>
          <w:marRight w:val="0"/>
          <w:marTop w:val="120"/>
          <w:marBottom w:val="120"/>
          <w:divBdr>
            <w:top w:val="none" w:sz="0" w:space="0" w:color="auto"/>
            <w:left w:val="none" w:sz="0" w:space="0" w:color="auto"/>
            <w:bottom w:val="none" w:sz="0" w:space="0" w:color="auto"/>
            <w:right w:val="none" w:sz="0" w:space="0" w:color="auto"/>
          </w:divBdr>
        </w:div>
        <w:div w:id="1366904835">
          <w:marLeft w:val="0"/>
          <w:marRight w:val="0"/>
          <w:marTop w:val="120"/>
          <w:marBottom w:val="120"/>
          <w:divBdr>
            <w:top w:val="none" w:sz="0" w:space="0" w:color="auto"/>
            <w:left w:val="none" w:sz="0" w:space="0" w:color="auto"/>
            <w:bottom w:val="none" w:sz="0" w:space="0" w:color="auto"/>
            <w:right w:val="none" w:sz="0" w:space="0" w:color="auto"/>
          </w:divBdr>
        </w:div>
        <w:div w:id="637877750">
          <w:marLeft w:val="0"/>
          <w:marRight w:val="0"/>
          <w:marTop w:val="120"/>
          <w:marBottom w:val="120"/>
          <w:divBdr>
            <w:top w:val="none" w:sz="0" w:space="0" w:color="auto"/>
            <w:left w:val="none" w:sz="0" w:space="0" w:color="auto"/>
            <w:bottom w:val="none" w:sz="0" w:space="0" w:color="auto"/>
            <w:right w:val="none" w:sz="0" w:space="0" w:color="auto"/>
          </w:divBdr>
        </w:div>
        <w:div w:id="854267726">
          <w:marLeft w:val="0"/>
          <w:marRight w:val="0"/>
          <w:marTop w:val="120"/>
          <w:marBottom w:val="120"/>
          <w:divBdr>
            <w:top w:val="none" w:sz="0" w:space="0" w:color="auto"/>
            <w:left w:val="none" w:sz="0" w:space="0" w:color="auto"/>
            <w:bottom w:val="none" w:sz="0" w:space="0" w:color="auto"/>
            <w:right w:val="none" w:sz="0" w:space="0" w:color="auto"/>
          </w:divBdr>
        </w:div>
        <w:div w:id="527793798">
          <w:marLeft w:val="0"/>
          <w:marRight w:val="0"/>
          <w:marTop w:val="120"/>
          <w:marBottom w:val="120"/>
          <w:divBdr>
            <w:top w:val="none" w:sz="0" w:space="0" w:color="auto"/>
            <w:left w:val="none" w:sz="0" w:space="0" w:color="auto"/>
            <w:bottom w:val="none" w:sz="0" w:space="0" w:color="auto"/>
            <w:right w:val="none" w:sz="0" w:space="0" w:color="auto"/>
          </w:divBdr>
        </w:div>
        <w:div w:id="2023509570">
          <w:marLeft w:val="0"/>
          <w:marRight w:val="0"/>
          <w:marTop w:val="120"/>
          <w:marBottom w:val="120"/>
          <w:divBdr>
            <w:top w:val="none" w:sz="0" w:space="0" w:color="auto"/>
            <w:left w:val="none" w:sz="0" w:space="0" w:color="auto"/>
            <w:bottom w:val="none" w:sz="0" w:space="0" w:color="auto"/>
            <w:right w:val="none" w:sz="0" w:space="0" w:color="auto"/>
          </w:divBdr>
        </w:div>
        <w:div w:id="1616792872">
          <w:marLeft w:val="0"/>
          <w:marRight w:val="0"/>
          <w:marTop w:val="120"/>
          <w:marBottom w:val="120"/>
          <w:divBdr>
            <w:top w:val="none" w:sz="0" w:space="0" w:color="auto"/>
            <w:left w:val="none" w:sz="0" w:space="0" w:color="auto"/>
            <w:bottom w:val="none" w:sz="0" w:space="0" w:color="auto"/>
            <w:right w:val="none" w:sz="0" w:space="0" w:color="auto"/>
          </w:divBdr>
        </w:div>
        <w:div w:id="537619894">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010878-2FEB-42C5-B4DF-AF1D9F77D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2795</TotalTime>
  <Pages>26</Pages>
  <Words>6303</Words>
  <Characters>35933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17</cp:revision>
  <dcterms:created xsi:type="dcterms:W3CDTF">2025-11-07T05:51:00Z</dcterms:created>
  <dcterms:modified xsi:type="dcterms:W3CDTF">2025-11-29T17:42:00Z</dcterms:modified>
</cp:coreProperties>
</file>