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17816267"/>
        <w:docPartObj>
          <w:docPartGallery w:val="Cover Pages"/>
          <w:docPartUnique/>
        </w:docPartObj>
      </w:sdtPr>
      <w:sdtEndPr>
        <w:rPr>
          <w:rFonts w:ascii="Arial" w:hAnsi="Arial" w:cs="Arial"/>
          <w:b/>
          <w:bCs/>
          <w:sz w:val="28"/>
          <w:szCs w:val="28"/>
        </w:rPr>
      </w:sdtEndPr>
      <w:sdtContent>
        <w:p w14:paraId="609E1F2C" w14:textId="02431A32" w:rsidR="00502468" w:rsidRDefault="003D3095" w:rsidP="00502468">
          <w:pPr>
            <w:tabs>
              <w:tab w:val="left" w:pos="8460"/>
            </w:tabs>
          </w:pPr>
          <w:r>
            <w:rPr>
              <w:noProof/>
            </w:rPr>
            <mc:AlternateContent>
              <mc:Choice Requires="wpg">
                <w:drawing>
                  <wp:anchor distT="0" distB="0" distL="114300" distR="114300" simplePos="0" relativeHeight="251660288" behindDoc="0" locked="0" layoutInCell="1" allowOverlap="1" wp14:anchorId="2D1EBFD7" wp14:editId="5037AEC3">
                    <wp:simplePos x="0" y="0"/>
                    <wp:positionH relativeFrom="page">
                      <wp:posOffset>12700</wp:posOffset>
                    </wp:positionH>
                    <wp:positionV relativeFrom="page">
                      <wp:posOffset>-25400</wp:posOffset>
                    </wp:positionV>
                    <wp:extent cx="7757795" cy="10083800"/>
                    <wp:effectExtent l="0" t="0" r="0" b="0"/>
                    <wp:wrapNone/>
                    <wp:docPr id="193" name="Group 198"/>
                    <wp:cNvGraphicFramePr/>
                    <a:graphic xmlns:a="http://schemas.openxmlformats.org/drawingml/2006/main">
                      <a:graphicData uri="http://schemas.microsoft.com/office/word/2010/wordprocessingGroup">
                        <wpg:wgp>
                          <wpg:cNvGrpSpPr/>
                          <wpg:grpSpPr>
                            <a:xfrm>
                              <a:off x="0" y="0"/>
                              <a:ext cx="7757795" cy="10083800"/>
                              <a:chOff x="0" y="148212"/>
                              <a:chExt cx="6864824" cy="8975316"/>
                            </a:xfrm>
                          </wpg:grpSpPr>
                          <wps:wsp>
                            <wps:cNvPr id="194" name="Rectangle 194"/>
                            <wps:cNvSpPr/>
                            <wps:spPr>
                              <a:xfrm>
                                <a:off x="42001" y="148212"/>
                                <a:ext cx="6822823" cy="66693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sz w:val="28"/>
                                      <w:szCs w:val="2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8A25ED5" w14:textId="77777777" w:rsidR="00083476" w:rsidRDefault="00083476" w:rsidP="00083476">
                                      <w:pPr>
                                        <w:pStyle w:val="NoSpacing"/>
                                        <w:jc w:val="center"/>
                                        <w:rPr>
                                          <w:rFonts w:asciiTheme="majorHAnsi" w:eastAsiaTheme="majorEastAsia" w:hAnsiTheme="majorHAnsi" w:cstheme="majorBidi"/>
                                          <w:caps/>
                                          <w:color w:val="4F81BD" w:themeColor="accent1"/>
                                          <w:sz w:val="72"/>
                                          <w:szCs w:val="72"/>
                                        </w:rPr>
                                      </w:pPr>
                                      <w:r w:rsidRPr="00502468">
                                        <w:rPr>
                                          <w:rFonts w:ascii="Arial" w:hAnsi="Arial" w:cs="Arial"/>
                                          <w:b/>
                                          <w:bCs/>
                                          <w:sz w:val="28"/>
                                          <w:szCs w:val="28"/>
                                        </w:rPr>
                                        <w:t>Module Title: Understanding and Engaging Stakeholders</w:t>
                                      </w:r>
                                    </w:p>
                                  </w:sdtContent>
                                </w:sdt>
                                <w:p w14:paraId="73F56777" w14:textId="77777777" w:rsidR="00502468" w:rsidRPr="00083476" w:rsidRDefault="00502468" w:rsidP="00502468">
                                  <w:pPr>
                                    <w:widowControl w:val="0"/>
                                    <w:spacing w:after="200" w:line="360" w:lineRule="auto"/>
                                    <w:jc w:val="right"/>
                                  </w:pPr>
                                </w:p>
                                <w:p w14:paraId="288F37E5" w14:textId="77777777" w:rsidR="00502468" w:rsidRPr="00502468" w:rsidRDefault="00502468" w:rsidP="00502468">
                                  <w:pPr>
                                    <w:widowControl w:val="0"/>
                                    <w:spacing w:after="200" w:line="360" w:lineRule="auto"/>
                                    <w:jc w:val="right"/>
                                    <w:rPr>
                                      <w:rFonts w:ascii="Arial" w:hAnsi="Arial" w:cs="Arial"/>
                                      <w:b/>
                                      <w:bCs/>
                                    </w:rPr>
                                  </w:pPr>
                                  <w:r w:rsidRPr="00502468">
                                    <w:rPr>
                                      <w:rFonts w:ascii="Arial" w:hAnsi="Arial" w:cs="Arial"/>
                                      <w:b/>
                                      <w:bCs/>
                                    </w:rPr>
                                    <w:t>Module Code: LCLM5001</w:t>
                                  </w:r>
                                </w:p>
                                <w:p w14:paraId="1358CF5D" w14:textId="77777777" w:rsidR="00502468" w:rsidRPr="00502468" w:rsidRDefault="00502468" w:rsidP="00502468">
                                  <w:pPr>
                                    <w:widowControl w:val="0"/>
                                    <w:spacing w:after="200" w:line="360" w:lineRule="auto"/>
                                    <w:jc w:val="right"/>
                                    <w:rPr>
                                      <w:rFonts w:ascii="Arial" w:hAnsi="Arial" w:cs="Arial"/>
                                      <w:b/>
                                      <w:bCs/>
                                    </w:rPr>
                                  </w:pPr>
                                  <w:r w:rsidRPr="00502468">
                                    <w:rPr>
                                      <w:rFonts w:ascii="Arial" w:hAnsi="Arial" w:cs="Arial"/>
                                      <w:b/>
                                      <w:bCs/>
                                    </w:rPr>
                                    <w:t>Lecturer Name: Nishi Ramsurrun, Eric Osei</w:t>
                                  </w:r>
                                </w:p>
                                <w:p w14:paraId="5117E88B" w14:textId="4F90A3EA" w:rsidR="00502468" w:rsidRPr="00502468" w:rsidRDefault="00502468" w:rsidP="00502468">
                                  <w:pPr>
                                    <w:widowControl w:val="0"/>
                                    <w:spacing w:after="200" w:line="360" w:lineRule="auto"/>
                                    <w:jc w:val="right"/>
                                    <w:rPr>
                                      <w:rFonts w:ascii="Arial" w:hAnsi="Arial" w:cs="Arial"/>
                                      <w:b/>
                                      <w:bCs/>
                                    </w:rPr>
                                  </w:pPr>
                                  <w:r w:rsidRPr="00502468">
                                    <w:rPr>
                                      <w:rFonts w:ascii="Arial" w:hAnsi="Arial" w:cs="Arial"/>
                                      <w:b/>
                                      <w:bCs/>
                                    </w:rPr>
                                    <w:t>Student Name: Mario</w:t>
                                  </w:r>
                                  <w:r>
                                    <w:rPr>
                                      <w:rFonts w:ascii="Arial" w:hAnsi="Arial" w:cs="Arial"/>
                                      <w:b/>
                                      <w:bCs/>
                                    </w:rPr>
                                    <w:t>-Daniel</w:t>
                                  </w:r>
                                  <w:r w:rsidRPr="00502468">
                                    <w:rPr>
                                      <w:rFonts w:ascii="Arial" w:hAnsi="Arial" w:cs="Arial"/>
                                      <w:b/>
                                      <w:bCs/>
                                    </w:rPr>
                                    <w:t xml:space="preserve"> Gramon</w:t>
                                  </w:r>
                                </w:p>
                                <w:p w14:paraId="1D40FA75" w14:textId="77777777" w:rsidR="00502468" w:rsidRPr="00502468" w:rsidRDefault="00502468" w:rsidP="00502468">
                                  <w:pPr>
                                    <w:widowControl w:val="0"/>
                                    <w:spacing w:after="200" w:line="360" w:lineRule="auto"/>
                                    <w:jc w:val="right"/>
                                    <w:rPr>
                                      <w:rFonts w:ascii="Arial" w:hAnsi="Arial" w:cs="Arial"/>
                                    </w:rPr>
                                  </w:pPr>
                                  <w:r w:rsidRPr="00502468">
                                    <w:rPr>
                                      <w:rFonts w:ascii="Arial" w:hAnsi="Arial" w:cs="Arial"/>
                                      <w:b/>
                                      <w:bCs/>
                                    </w:rPr>
                                    <w:t>Student Number:2416241</w:t>
                                  </w:r>
                                  <w:r w:rsidRPr="00502468">
                                    <w:rPr>
                                      <w:rFonts w:ascii="Arial" w:hAnsi="Arial" w:cs="Arial"/>
                                    </w:rPr>
                                    <w:br w:type="page"/>
                                  </w:r>
                                </w:p>
                                <w:p w14:paraId="4768D30B" w14:textId="5B786D14" w:rsidR="00502468" w:rsidRDefault="00502468">
                                  <w:pPr>
                                    <w:pStyle w:val="NoSpacing"/>
                                    <w:spacing w:before="120"/>
                                    <w:jc w:val="center"/>
                                    <w:rPr>
                                      <w:color w:val="FFFFFF" w:themeColor="background1"/>
                                    </w:rPr>
                                  </w:pPr>
                                </w:p>
                                <w:p w14:paraId="1B751B00" w14:textId="6BA3D05A" w:rsidR="00502468" w:rsidRDefault="00502468">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EE165E1" w14:textId="330BC570" w:rsidR="00083476" w:rsidRPr="00502468" w:rsidRDefault="00083476" w:rsidP="00083476">
                                  <w:pPr>
                                    <w:widowControl w:val="0"/>
                                    <w:spacing w:after="200" w:line="360" w:lineRule="auto"/>
                                    <w:jc w:val="center"/>
                                    <w:rPr>
                                      <w:rFonts w:ascii="Arial" w:hAnsi="Arial" w:cs="Arial"/>
                                      <w:b/>
                                      <w:bCs/>
                                    </w:rPr>
                                  </w:pPr>
                                  <w:r w:rsidRPr="00502468">
                                    <w:rPr>
                                      <w:rFonts w:ascii="Arial" w:hAnsi="Arial" w:cs="Arial"/>
                                      <w:b/>
                                      <w:bCs/>
                                    </w:rPr>
                                    <w:t>Understanding the importance of Stakeholder Engagement in the successful commencement and completion of the project</w:t>
                                  </w:r>
                                </w:p>
                                <w:p w14:paraId="59E6C5FD" w14:textId="77777777" w:rsidR="00083476" w:rsidRDefault="00083476" w:rsidP="00083476">
                                  <w:pPr>
                                    <w:jc w:val="cente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D1EBFD7" id="Group 198" o:spid="_x0000_s1026" style="position:absolute;margin-left:1pt;margin-top:-2pt;width:610.85pt;height:794pt;z-index:251660288;mso-position-horizontal-relative:page;mso-position-vertical-relative:page" coordorigin=",1482" coordsize="68648,897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">
                    <v:rect id="Rectangle 194" o:spid="_x0000_s1027" style="position:absolute;left:420;top:1482;width:68228;height:66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rFonts w:ascii="Arial" w:hAnsi="Arial" w:cs="Arial"/>
                                <w:b/>
                                <w:bCs/>
                                <w:sz w:val="28"/>
                                <w:szCs w:val="2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8A25ED5" w14:textId="77777777" w:rsidR="00083476" w:rsidRDefault="00083476" w:rsidP="00083476">
                                <w:pPr>
                                  <w:pStyle w:val="NoSpacing"/>
                                  <w:jc w:val="center"/>
                                  <w:rPr>
                                    <w:rFonts w:asciiTheme="majorHAnsi" w:eastAsiaTheme="majorEastAsia" w:hAnsiTheme="majorHAnsi" w:cstheme="majorBidi"/>
                                    <w:caps/>
                                    <w:color w:val="4F81BD" w:themeColor="accent1"/>
                                    <w:sz w:val="72"/>
                                    <w:szCs w:val="72"/>
                                  </w:rPr>
                                </w:pPr>
                                <w:r w:rsidRPr="00502468">
                                  <w:rPr>
                                    <w:rFonts w:ascii="Arial" w:hAnsi="Arial" w:cs="Arial"/>
                                    <w:b/>
                                    <w:bCs/>
                                    <w:sz w:val="28"/>
                                    <w:szCs w:val="28"/>
                                  </w:rPr>
                                  <w:t>Module Title: Understanding and Engaging Stakeholders</w:t>
                                </w:r>
                              </w:p>
                            </w:sdtContent>
                          </w:sdt>
                          <w:p w14:paraId="73F56777" w14:textId="77777777" w:rsidR="00502468" w:rsidRPr="00083476" w:rsidRDefault="00502468" w:rsidP="00502468">
                            <w:pPr>
                              <w:widowControl w:val="0"/>
                              <w:spacing w:after="200" w:line="360" w:lineRule="auto"/>
                              <w:jc w:val="right"/>
                            </w:pPr>
                          </w:p>
                          <w:p w14:paraId="288F37E5" w14:textId="77777777" w:rsidR="00502468" w:rsidRPr="00502468" w:rsidRDefault="00502468" w:rsidP="00502468">
                            <w:pPr>
                              <w:widowControl w:val="0"/>
                              <w:spacing w:after="200" w:line="360" w:lineRule="auto"/>
                              <w:jc w:val="right"/>
                              <w:rPr>
                                <w:rFonts w:ascii="Arial" w:hAnsi="Arial" w:cs="Arial"/>
                                <w:b/>
                                <w:bCs/>
                              </w:rPr>
                            </w:pPr>
                            <w:r w:rsidRPr="00502468">
                              <w:rPr>
                                <w:rFonts w:ascii="Arial" w:hAnsi="Arial" w:cs="Arial"/>
                                <w:b/>
                                <w:bCs/>
                              </w:rPr>
                              <w:t>Module Code: LCLM5001</w:t>
                            </w:r>
                          </w:p>
                          <w:p w14:paraId="1358CF5D" w14:textId="77777777" w:rsidR="00502468" w:rsidRPr="00502468" w:rsidRDefault="00502468" w:rsidP="00502468">
                            <w:pPr>
                              <w:widowControl w:val="0"/>
                              <w:spacing w:after="200" w:line="360" w:lineRule="auto"/>
                              <w:jc w:val="right"/>
                              <w:rPr>
                                <w:rFonts w:ascii="Arial" w:hAnsi="Arial" w:cs="Arial"/>
                                <w:b/>
                                <w:bCs/>
                              </w:rPr>
                            </w:pPr>
                            <w:r w:rsidRPr="00502468">
                              <w:rPr>
                                <w:rFonts w:ascii="Arial" w:hAnsi="Arial" w:cs="Arial"/>
                                <w:b/>
                                <w:bCs/>
                              </w:rPr>
                              <w:t>Lecturer Name: Nishi Ramsurrun, Eric Osei</w:t>
                            </w:r>
                          </w:p>
                          <w:p w14:paraId="5117E88B" w14:textId="4F90A3EA" w:rsidR="00502468" w:rsidRPr="00502468" w:rsidRDefault="00502468" w:rsidP="00502468">
                            <w:pPr>
                              <w:widowControl w:val="0"/>
                              <w:spacing w:after="200" w:line="360" w:lineRule="auto"/>
                              <w:jc w:val="right"/>
                              <w:rPr>
                                <w:rFonts w:ascii="Arial" w:hAnsi="Arial" w:cs="Arial"/>
                                <w:b/>
                                <w:bCs/>
                              </w:rPr>
                            </w:pPr>
                            <w:r w:rsidRPr="00502468">
                              <w:rPr>
                                <w:rFonts w:ascii="Arial" w:hAnsi="Arial" w:cs="Arial"/>
                                <w:b/>
                                <w:bCs/>
                              </w:rPr>
                              <w:t>Student Name: Mario</w:t>
                            </w:r>
                            <w:r>
                              <w:rPr>
                                <w:rFonts w:ascii="Arial" w:hAnsi="Arial" w:cs="Arial"/>
                                <w:b/>
                                <w:bCs/>
                              </w:rPr>
                              <w:t>-Daniel</w:t>
                            </w:r>
                            <w:r w:rsidRPr="00502468">
                              <w:rPr>
                                <w:rFonts w:ascii="Arial" w:hAnsi="Arial" w:cs="Arial"/>
                                <w:b/>
                                <w:bCs/>
                              </w:rPr>
                              <w:t xml:space="preserve"> Gramon</w:t>
                            </w:r>
                          </w:p>
                          <w:p w14:paraId="1D40FA75" w14:textId="77777777" w:rsidR="00502468" w:rsidRPr="00502468" w:rsidRDefault="00502468" w:rsidP="00502468">
                            <w:pPr>
                              <w:widowControl w:val="0"/>
                              <w:spacing w:after="200" w:line="360" w:lineRule="auto"/>
                              <w:jc w:val="right"/>
                              <w:rPr>
                                <w:rFonts w:ascii="Arial" w:hAnsi="Arial" w:cs="Arial"/>
                              </w:rPr>
                            </w:pPr>
                            <w:r w:rsidRPr="00502468">
                              <w:rPr>
                                <w:rFonts w:ascii="Arial" w:hAnsi="Arial" w:cs="Arial"/>
                                <w:b/>
                                <w:bCs/>
                              </w:rPr>
                              <w:t>Student Number:2416241</w:t>
                            </w:r>
                            <w:r w:rsidRPr="00502468">
                              <w:rPr>
                                <w:rFonts w:ascii="Arial" w:hAnsi="Arial" w:cs="Arial"/>
                              </w:rPr>
                              <w:br w:type="page"/>
                            </w:r>
                          </w:p>
                          <w:p w14:paraId="4768D30B" w14:textId="5B786D14" w:rsidR="00502468" w:rsidRDefault="00502468">
                            <w:pPr>
                              <w:pStyle w:val="NoSpacing"/>
                              <w:spacing w:before="120"/>
                              <w:jc w:val="center"/>
                              <w:rPr>
                                <w:color w:val="FFFFFF" w:themeColor="background1"/>
                              </w:rPr>
                            </w:pPr>
                          </w:p>
                          <w:p w14:paraId="1B751B00" w14:textId="6BA3D05A" w:rsidR="00502468" w:rsidRDefault="00502468">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EE165E1" w14:textId="330BC570" w:rsidR="00083476" w:rsidRPr="00502468" w:rsidRDefault="00083476" w:rsidP="00083476">
                            <w:pPr>
                              <w:widowControl w:val="0"/>
                              <w:spacing w:after="200" w:line="360" w:lineRule="auto"/>
                              <w:jc w:val="center"/>
                              <w:rPr>
                                <w:rFonts w:ascii="Arial" w:hAnsi="Arial" w:cs="Arial"/>
                                <w:b/>
                                <w:bCs/>
                              </w:rPr>
                            </w:pPr>
                            <w:r w:rsidRPr="00502468">
                              <w:rPr>
                                <w:rFonts w:ascii="Arial" w:hAnsi="Arial" w:cs="Arial"/>
                                <w:b/>
                                <w:bCs/>
                              </w:rPr>
                              <w:t>Understanding the importance of Stakeholder Engagement in the successful commencement and completion of the project</w:t>
                            </w:r>
                          </w:p>
                          <w:p w14:paraId="59E6C5FD" w14:textId="77777777" w:rsidR="00083476" w:rsidRDefault="00083476" w:rsidP="00083476">
                            <w:pPr>
                              <w:jc w:val="center"/>
                            </w:pPr>
                          </w:p>
                        </w:txbxContent>
                      </v:textbox>
                    </v:shape>
                    <w10:wrap anchorx="page" anchory="page"/>
                  </v:group>
                </w:pict>
              </mc:Fallback>
            </mc:AlternateContent>
          </w:r>
          <w:r w:rsidR="00502468" w:rsidRPr="00502468">
            <w:rPr>
              <w:rFonts w:ascii="Arial" w:hAnsi="Arial" w:cs="Arial"/>
              <w:b/>
              <w:bCs/>
              <w:noProof/>
              <w:sz w:val="28"/>
              <w:szCs w:val="28"/>
              <w:lang w:val="en-IN" w:eastAsia="en-IN"/>
            </w:rPr>
            <w:drawing>
              <wp:anchor distT="0" distB="0" distL="114300" distR="114300" simplePos="0" relativeHeight="251661312" behindDoc="0" locked="0" layoutInCell="1" allowOverlap="1" wp14:anchorId="4AFB3050" wp14:editId="63509554">
                <wp:simplePos x="0" y="0"/>
                <wp:positionH relativeFrom="column">
                  <wp:posOffset>-892336</wp:posOffset>
                </wp:positionH>
                <wp:positionV relativeFrom="paragraph">
                  <wp:posOffset>-939800</wp:posOffset>
                </wp:positionV>
                <wp:extent cx="2367915" cy="770255"/>
                <wp:effectExtent l="0" t="0" r="0" b="0"/>
                <wp:wrapNone/>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extLst>
                            <a:ext uri="{28A0092B-C50C-407E-A947-70E740481C1C}">
                              <a14:useLocalDpi xmlns:a14="http://schemas.microsoft.com/office/drawing/2010/main" val="0"/>
                            </a:ext>
                          </a:extLst>
                        </a:blip>
                        <a:stretch>
                          <a:fillRect/>
                        </a:stretch>
                      </pic:blipFill>
                      <pic:spPr>
                        <a:xfrm>
                          <a:off x="0" y="0"/>
                          <a:ext cx="2367915" cy="770255"/>
                        </a:xfrm>
                        <a:prstGeom prst="rect">
                          <a:avLst/>
                        </a:prstGeom>
                      </pic:spPr>
                    </pic:pic>
                  </a:graphicData>
                </a:graphic>
              </wp:anchor>
            </w:drawing>
          </w:r>
          <w:r w:rsidR="00502468">
            <w:tab/>
          </w:r>
        </w:p>
        <w:p w14:paraId="52170632" w14:textId="77777777" w:rsidR="003D3095" w:rsidRDefault="00502468" w:rsidP="003D3095">
          <w:pPr>
            <w:rPr>
              <w:rFonts w:ascii="Arial" w:hAnsi="Arial" w:cs="Arial"/>
              <w:b/>
              <w:bCs/>
              <w:sz w:val="28"/>
              <w:szCs w:val="28"/>
            </w:rPr>
          </w:pPr>
          <w:r>
            <w:rPr>
              <w:rFonts w:ascii="Arial" w:hAnsi="Arial" w:cs="Arial"/>
              <w:b/>
              <w:bCs/>
              <w:sz w:val="28"/>
              <w:szCs w:val="28"/>
            </w:rPr>
            <w:br w:type="page"/>
          </w:r>
        </w:p>
      </w:sdtContent>
    </w:sdt>
    <w:p w14:paraId="534E05E4" w14:textId="05881EEC" w:rsidR="003930F5" w:rsidRDefault="00B72AA6" w:rsidP="003D3095">
      <w:pPr>
        <w:rPr>
          <w:rFonts w:ascii="Arial" w:hAnsi="Arial" w:cs="Arial"/>
          <w:b/>
          <w:bCs/>
        </w:rPr>
      </w:pPr>
      <w:r w:rsidRPr="00502468">
        <w:rPr>
          <w:rFonts w:ascii="Arial" w:hAnsi="Arial" w:cs="Arial"/>
          <w:b/>
          <w:bCs/>
        </w:rPr>
        <w:lastRenderedPageBreak/>
        <w:t>Executive Summary</w:t>
      </w:r>
    </w:p>
    <w:p w14:paraId="64AC3E67" w14:textId="77777777" w:rsidR="003D3095" w:rsidRPr="003D3095" w:rsidRDefault="003D3095" w:rsidP="003D3095">
      <w:pPr>
        <w:rPr>
          <w:rFonts w:ascii="Arial" w:hAnsi="Arial" w:cs="Arial"/>
          <w:b/>
          <w:bCs/>
          <w:sz w:val="28"/>
          <w:szCs w:val="28"/>
        </w:rPr>
      </w:pPr>
    </w:p>
    <w:p w14:paraId="7344E254" w14:textId="509284DA" w:rsidR="003930F5" w:rsidRPr="00502468" w:rsidRDefault="00B72AA6" w:rsidP="00502468">
      <w:pPr>
        <w:widowControl w:val="0"/>
        <w:spacing w:line="360" w:lineRule="auto"/>
        <w:jc w:val="both"/>
        <w:rPr>
          <w:rFonts w:ascii="Arial" w:hAnsi="Arial" w:cs="Arial"/>
          <w:b/>
          <w:bCs/>
        </w:rPr>
      </w:pPr>
      <w:r w:rsidRPr="00502468">
        <w:rPr>
          <w:rFonts w:ascii="Arial" w:hAnsi="Arial" w:cs="Arial"/>
        </w:rPr>
        <w:t>The present report explores a stakeholder engagement process when it comes to the launch of StaySmart+, which is an AI-based, sustainability-oriented service of InterContinental Hotels Group (IHG). It identifies the main internal and external stakeholders, such as product development and marketing teams, operations, product teams, customers, product suppliers, and regulatory authorities, in the project. It defines their roles, work and how they can be engaged to make the service successfully designed and launched. The report also discusses how the different engagement frameworks, including the RACI Matrix, Stakeholder Engagement Matrix, and the Salience Model, have been used to prioritise stakeholders according to their power and interest. In addition, it assesses how the 4Cs Model of conflict management and successful stakeholder input can be applied. Recommendations are made on how to further improve engagement of stakeholders in the future to ensure the future success and competitive advantage of IHG in the international hospitality sector.</w:t>
      </w:r>
      <w:r w:rsidRPr="00502468">
        <w:rPr>
          <w:rFonts w:ascii="Arial" w:hAnsi="Arial" w:cs="Arial"/>
        </w:rPr>
        <w:br w:type="page"/>
      </w:r>
    </w:p>
    <w:p w14:paraId="34AB9CF0" w14:textId="77777777" w:rsidR="003930F5" w:rsidRPr="00502468" w:rsidRDefault="00B72AA6" w:rsidP="00502468">
      <w:pPr>
        <w:keepNext/>
        <w:keepLines/>
        <w:pBdr>
          <w:top w:val="nil"/>
          <w:left w:val="nil"/>
          <w:bottom w:val="nil"/>
          <w:right w:val="nil"/>
          <w:between w:val="nil"/>
        </w:pBdr>
        <w:spacing w:before="240" w:line="360" w:lineRule="auto"/>
        <w:jc w:val="both"/>
        <w:rPr>
          <w:rFonts w:ascii="Arial" w:hAnsi="Arial" w:cs="Arial"/>
          <w:b/>
          <w:bCs/>
          <w:color w:val="000000"/>
        </w:rPr>
      </w:pPr>
      <w:bookmarkStart w:id="0" w:name="_heading=h.34w2sz6nq5cs" w:colFirst="0" w:colLast="0"/>
      <w:bookmarkEnd w:id="0"/>
      <w:r w:rsidRPr="00502468">
        <w:rPr>
          <w:rFonts w:ascii="Arial" w:hAnsi="Arial" w:cs="Arial"/>
          <w:b/>
          <w:bCs/>
          <w:color w:val="000000"/>
        </w:rPr>
        <w:lastRenderedPageBreak/>
        <w:t>Table of Contents</w:t>
      </w:r>
    </w:p>
    <w:sdt>
      <w:sdtPr>
        <w:rPr>
          <w:rFonts w:ascii="Arial" w:hAnsi="Arial" w:cs="Arial"/>
        </w:rPr>
        <w:id w:val="89862506"/>
        <w:docPartObj>
          <w:docPartGallery w:val="Table of Contents"/>
          <w:docPartUnique/>
        </w:docPartObj>
      </w:sdtPr>
      <w:sdtContent>
        <w:p w14:paraId="77404C67" w14:textId="750FEF0C" w:rsidR="002D4897" w:rsidRDefault="00B72AA6">
          <w:pPr>
            <w:pStyle w:val="TOC1"/>
            <w:tabs>
              <w:tab w:val="right" w:pos="9350"/>
            </w:tabs>
            <w:rPr>
              <w:noProof/>
            </w:rPr>
          </w:pPr>
          <w:r w:rsidRPr="00502468">
            <w:rPr>
              <w:rFonts w:ascii="Arial" w:hAnsi="Arial" w:cs="Arial"/>
            </w:rPr>
            <w:fldChar w:fldCharType="begin"/>
          </w:r>
          <w:r w:rsidRPr="00502468">
            <w:rPr>
              <w:rFonts w:ascii="Arial" w:hAnsi="Arial" w:cs="Arial"/>
            </w:rPr>
            <w:instrText xml:space="preserve"> TOC \h \u \z \t "Heading 1,1,Heading 2,2,Heading 3,3,"</w:instrText>
          </w:r>
          <w:r w:rsidRPr="00502468">
            <w:rPr>
              <w:rFonts w:ascii="Arial" w:hAnsi="Arial" w:cs="Arial"/>
            </w:rPr>
            <w:fldChar w:fldCharType="separate"/>
          </w:r>
          <w:hyperlink w:anchor="_Toc228274075" w:history="1">
            <w:r w:rsidR="002D4897" w:rsidRPr="00573987">
              <w:rPr>
                <w:rStyle w:val="Hyperlink"/>
                <w:rFonts w:ascii="Arial" w:hAnsi="Arial" w:cs="Arial"/>
                <w:noProof/>
              </w:rPr>
              <w:t>Introduction of the Company</w:t>
            </w:r>
            <w:r w:rsidR="002D4897">
              <w:rPr>
                <w:noProof/>
                <w:webHidden/>
              </w:rPr>
              <w:tab/>
            </w:r>
            <w:r w:rsidR="002D4897">
              <w:rPr>
                <w:noProof/>
                <w:webHidden/>
              </w:rPr>
              <w:fldChar w:fldCharType="begin"/>
            </w:r>
            <w:r w:rsidR="002D4897">
              <w:rPr>
                <w:noProof/>
                <w:webHidden/>
              </w:rPr>
              <w:instrText xml:space="preserve"> PAGEREF _Toc228274075 \h </w:instrText>
            </w:r>
            <w:r w:rsidR="002D4897">
              <w:rPr>
                <w:noProof/>
                <w:webHidden/>
              </w:rPr>
            </w:r>
            <w:r w:rsidR="002D4897">
              <w:rPr>
                <w:noProof/>
                <w:webHidden/>
              </w:rPr>
              <w:fldChar w:fldCharType="separate"/>
            </w:r>
            <w:r w:rsidR="002D4897">
              <w:rPr>
                <w:noProof/>
                <w:webHidden/>
              </w:rPr>
              <w:t>3</w:t>
            </w:r>
            <w:r w:rsidR="002D4897">
              <w:rPr>
                <w:noProof/>
                <w:webHidden/>
              </w:rPr>
              <w:fldChar w:fldCharType="end"/>
            </w:r>
          </w:hyperlink>
        </w:p>
        <w:p w14:paraId="78C012BC" w14:textId="1B8D196E" w:rsidR="002D4897" w:rsidRDefault="002D4897">
          <w:pPr>
            <w:pStyle w:val="TOC1"/>
            <w:tabs>
              <w:tab w:val="right" w:pos="9350"/>
            </w:tabs>
            <w:rPr>
              <w:noProof/>
            </w:rPr>
          </w:pPr>
          <w:hyperlink w:anchor="_Toc228274076" w:history="1">
            <w:r w:rsidRPr="00573987">
              <w:rPr>
                <w:rStyle w:val="Hyperlink"/>
                <w:rFonts w:ascii="Arial" w:hAnsi="Arial" w:cs="Arial"/>
                <w:noProof/>
              </w:rPr>
              <w:t>SWOT and PESTLE Analysis</w:t>
            </w:r>
            <w:r>
              <w:rPr>
                <w:noProof/>
                <w:webHidden/>
              </w:rPr>
              <w:tab/>
            </w:r>
            <w:r>
              <w:rPr>
                <w:noProof/>
                <w:webHidden/>
              </w:rPr>
              <w:fldChar w:fldCharType="begin"/>
            </w:r>
            <w:r>
              <w:rPr>
                <w:noProof/>
                <w:webHidden/>
              </w:rPr>
              <w:instrText xml:space="preserve"> PAGEREF _Toc228274076 \h </w:instrText>
            </w:r>
            <w:r>
              <w:rPr>
                <w:noProof/>
                <w:webHidden/>
              </w:rPr>
            </w:r>
            <w:r>
              <w:rPr>
                <w:noProof/>
                <w:webHidden/>
              </w:rPr>
              <w:fldChar w:fldCharType="separate"/>
            </w:r>
            <w:r>
              <w:rPr>
                <w:noProof/>
                <w:webHidden/>
              </w:rPr>
              <w:t>5</w:t>
            </w:r>
            <w:r>
              <w:rPr>
                <w:noProof/>
                <w:webHidden/>
              </w:rPr>
              <w:fldChar w:fldCharType="end"/>
            </w:r>
          </w:hyperlink>
        </w:p>
        <w:p w14:paraId="7B9BB84B" w14:textId="3FEEF757" w:rsidR="002D4897" w:rsidRDefault="002D4897">
          <w:pPr>
            <w:pStyle w:val="TOC1"/>
            <w:tabs>
              <w:tab w:val="right" w:pos="9350"/>
            </w:tabs>
            <w:rPr>
              <w:noProof/>
            </w:rPr>
          </w:pPr>
          <w:hyperlink w:anchor="_Toc228274077" w:history="1">
            <w:r w:rsidRPr="00573987">
              <w:rPr>
                <w:rStyle w:val="Hyperlink"/>
                <w:rFonts w:ascii="Arial" w:hAnsi="Arial" w:cs="Arial"/>
                <w:noProof/>
              </w:rPr>
              <w:t>Key Internal and External Stakeholders</w:t>
            </w:r>
            <w:r>
              <w:rPr>
                <w:noProof/>
                <w:webHidden/>
              </w:rPr>
              <w:tab/>
            </w:r>
            <w:r>
              <w:rPr>
                <w:noProof/>
                <w:webHidden/>
              </w:rPr>
              <w:fldChar w:fldCharType="begin"/>
            </w:r>
            <w:r>
              <w:rPr>
                <w:noProof/>
                <w:webHidden/>
              </w:rPr>
              <w:instrText xml:space="preserve"> PAGEREF _Toc228274077 \h </w:instrText>
            </w:r>
            <w:r>
              <w:rPr>
                <w:noProof/>
                <w:webHidden/>
              </w:rPr>
            </w:r>
            <w:r>
              <w:rPr>
                <w:noProof/>
                <w:webHidden/>
              </w:rPr>
              <w:fldChar w:fldCharType="separate"/>
            </w:r>
            <w:r>
              <w:rPr>
                <w:noProof/>
                <w:webHidden/>
              </w:rPr>
              <w:t>9</w:t>
            </w:r>
            <w:r>
              <w:rPr>
                <w:noProof/>
                <w:webHidden/>
              </w:rPr>
              <w:fldChar w:fldCharType="end"/>
            </w:r>
          </w:hyperlink>
        </w:p>
        <w:p w14:paraId="1FFA1B25" w14:textId="326ED5E2" w:rsidR="002D4897" w:rsidRDefault="002D4897">
          <w:pPr>
            <w:pStyle w:val="TOC1"/>
            <w:tabs>
              <w:tab w:val="right" w:pos="9350"/>
            </w:tabs>
            <w:rPr>
              <w:noProof/>
            </w:rPr>
          </w:pPr>
          <w:hyperlink w:anchor="_Toc228274078" w:history="1">
            <w:r w:rsidRPr="00573987">
              <w:rPr>
                <w:rStyle w:val="Hyperlink"/>
                <w:rFonts w:ascii="Arial" w:hAnsi="Arial" w:cs="Arial"/>
                <w:noProof/>
              </w:rPr>
              <w:t>Roles and responsibilities of the key stakeholders</w:t>
            </w:r>
            <w:r>
              <w:rPr>
                <w:noProof/>
                <w:webHidden/>
              </w:rPr>
              <w:tab/>
            </w:r>
            <w:r>
              <w:rPr>
                <w:noProof/>
                <w:webHidden/>
              </w:rPr>
              <w:fldChar w:fldCharType="begin"/>
            </w:r>
            <w:r>
              <w:rPr>
                <w:noProof/>
                <w:webHidden/>
              </w:rPr>
              <w:instrText xml:space="preserve"> PAGEREF _Toc228274078 \h </w:instrText>
            </w:r>
            <w:r>
              <w:rPr>
                <w:noProof/>
                <w:webHidden/>
              </w:rPr>
            </w:r>
            <w:r>
              <w:rPr>
                <w:noProof/>
                <w:webHidden/>
              </w:rPr>
              <w:fldChar w:fldCharType="separate"/>
            </w:r>
            <w:r>
              <w:rPr>
                <w:noProof/>
                <w:webHidden/>
              </w:rPr>
              <w:t>12</w:t>
            </w:r>
            <w:r>
              <w:rPr>
                <w:noProof/>
                <w:webHidden/>
              </w:rPr>
              <w:fldChar w:fldCharType="end"/>
            </w:r>
          </w:hyperlink>
        </w:p>
        <w:p w14:paraId="58F024B2" w14:textId="3D89160A" w:rsidR="002D4897" w:rsidRDefault="002D4897">
          <w:pPr>
            <w:pStyle w:val="TOC1"/>
            <w:tabs>
              <w:tab w:val="right" w:pos="9350"/>
            </w:tabs>
            <w:rPr>
              <w:noProof/>
            </w:rPr>
          </w:pPr>
          <w:hyperlink w:anchor="_Toc228274079" w:history="1">
            <w:r w:rsidRPr="00573987">
              <w:rPr>
                <w:rStyle w:val="Hyperlink"/>
                <w:rFonts w:ascii="Arial" w:hAnsi="Arial" w:cs="Arial"/>
                <w:noProof/>
              </w:rPr>
              <w:t>Engagement Frameworks, Models, and Theories</w:t>
            </w:r>
            <w:r>
              <w:rPr>
                <w:noProof/>
                <w:webHidden/>
              </w:rPr>
              <w:tab/>
            </w:r>
            <w:r>
              <w:rPr>
                <w:noProof/>
                <w:webHidden/>
              </w:rPr>
              <w:fldChar w:fldCharType="begin"/>
            </w:r>
            <w:r>
              <w:rPr>
                <w:noProof/>
                <w:webHidden/>
              </w:rPr>
              <w:instrText xml:space="preserve"> PAGEREF _Toc228274079 \h </w:instrText>
            </w:r>
            <w:r>
              <w:rPr>
                <w:noProof/>
                <w:webHidden/>
              </w:rPr>
            </w:r>
            <w:r>
              <w:rPr>
                <w:noProof/>
                <w:webHidden/>
              </w:rPr>
              <w:fldChar w:fldCharType="separate"/>
            </w:r>
            <w:r>
              <w:rPr>
                <w:noProof/>
                <w:webHidden/>
              </w:rPr>
              <w:t>15</w:t>
            </w:r>
            <w:r>
              <w:rPr>
                <w:noProof/>
                <w:webHidden/>
              </w:rPr>
              <w:fldChar w:fldCharType="end"/>
            </w:r>
          </w:hyperlink>
        </w:p>
        <w:p w14:paraId="0FBC9ABB" w14:textId="7FB396E7" w:rsidR="002D4897" w:rsidRDefault="002D4897">
          <w:pPr>
            <w:pStyle w:val="TOC1"/>
            <w:tabs>
              <w:tab w:val="right" w:pos="9350"/>
            </w:tabs>
            <w:rPr>
              <w:noProof/>
            </w:rPr>
          </w:pPr>
          <w:hyperlink w:anchor="_Toc228274080" w:history="1">
            <w:r w:rsidRPr="00573987">
              <w:rPr>
                <w:rStyle w:val="Hyperlink"/>
                <w:rFonts w:ascii="Arial" w:hAnsi="Arial" w:cs="Arial"/>
                <w:noProof/>
              </w:rPr>
              <w:t>Stakeholder Engagement Process and Conflict Management</w:t>
            </w:r>
            <w:r>
              <w:rPr>
                <w:noProof/>
                <w:webHidden/>
              </w:rPr>
              <w:tab/>
            </w:r>
            <w:r>
              <w:rPr>
                <w:noProof/>
                <w:webHidden/>
              </w:rPr>
              <w:fldChar w:fldCharType="begin"/>
            </w:r>
            <w:r>
              <w:rPr>
                <w:noProof/>
                <w:webHidden/>
              </w:rPr>
              <w:instrText xml:space="preserve"> PAGEREF _Toc228274080 \h </w:instrText>
            </w:r>
            <w:r>
              <w:rPr>
                <w:noProof/>
                <w:webHidden/>
              </w:rPr>
            </w:r>
            <w:r>
              <w:rPr>
                <w:noProof/>
                <w:webHidden/>
              </w:rPr>
              <w:fldChar w:fldCharType="separate"/>
            </w:r>
            <w:r>
              <w:rPr>
                <w:noProof/>
                <w:webHidden/>
              </w:rPr>
              <w:t>17</w:t>
            </w:r>
            <w:r>
              <w:rPr>
                <w:noProof/>
                <w:webHidden/>
              </w:rPr>
              <w:fldChar w:fldCharType="end"/>
            </w:r>
          </w:hyperlink>
        </w:p>
        <w:p w14:paraId="5188B825" w14:textId="4FC76C10" w:rsidR="002D4897" w:rsidRDefault="002D4897">
          <w:pPr>
            <w:pStyle w:val="TOC1"/>
            <w:tabs>
              <w:tab w:val="right" w:pos="9350"/>
            </w:tabs>
            <w:rPr>
              <w:noProof/>
            </w:rPr>
          </w:pPr>
          <w:hyperlink w:anchor="_Toc228274081" w:history="1">
            <w:r w:rsidRPr="00573987">
              <w:rPr>
                <w:rStyle w:val="Hyperlink"/>
                <w:rFonts w:ascii="Arial" w:hAnsi="Arial" w:cs="Arial"/>
                <w:noProof/>
              </w:rPr>
              <w:t>Impact of Stakeholder Engagement on Business Performance and Recommendations</w:t>
            </w:r>
            <w:r>
              <w:rPr>
                <w:noProof/>
                <w:webHidden/>
              </w:rPr>
              <w:tab/>
            </w:r>
            <w:r>
              <w:rPr>
                <w:noProof/>
                <w:webHidden/>
              </w:rPr>
              <w:fldChar w:fldCharType="begin"/>
            </w:r>
            <w:r>
              <w:rPr>
                <w:noProof/>
                <w:webHidden/>
              </w:rPr>
              <w:instrText xml:space="preserve"> PAGEREF _Toc228274081 \h </w:instrText>
            </w:r>
            <w:r>
              <w:rPr>
                <w:noProof/>
                <w:webHidden/>
              </w:rPr>
            </w:r>
            <w:r>
              <w:rPr>
                <w:noProof/>
                <w:webHidden/>
              </w:rPr>
              <w:fldChar w:fldCharType="separate"/>
            </w:r>
            <w:r>
              <w:rPr>
                <w:noProof/>
                <w:webHidden/>
              </w:rPr>
              <w:t>20</w:t>
            </w:r>
            <w:r>
              <w:rPr>
                <w:noProof/>
                <w:webHidden/>
              </w:rPr>
              <w:fldChar w:fldCharType="end"/>
            </w:r>
          </w:hyperlink>
        </w:p>
        <w:p w14:paraId="050D56D6" w14:textId="23907BE8" w:rsidR="002D4897" w:rsidRDefault="002D4897">
          <w:pPr>
            <w:pStyle w:val="TOC1"/>
            <w:tabs>
              <w:tab w:val="right" w:pos="9350"/>
            </w:tabs>
            <w:rPr>
              <w:noProof/>
            </w:rPr>
          </w:pPr>
          <w:hyperlink w:anchor="_Toc228274082" w:history="1">
            <w:r w:rsidRPr="0057398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_Toc228274082 \h </w:instrText>
            </w:r>
            <w:r>
              <w:rPr>
                <w:noProof/>
                <w:webHidden/>
              </w:rPr>
            </w:r>
            <w:r>
              <w:rPr>
                <w:noProof/>
                <w:webHidden/>
              </w:rPr>
              <w:fldChar w:fldCharType="separate"/>
            </w:r>
            <w:r>
              <w:rPr>
                <w:noProof/>
                <w:webHidden/>
              </w:rPr>
              <w:t>23</w:t>
            </w:r>
            <w:r>
              <w:rPr>
                <w:noProof/>
                <w:webHidden/>
              </w:rPr>
              <w:fldChar w:fldCharType="end"/>
            </w:r>
          </w:hyperlink>
        </w:p>
        <w:p w14:paraId="6BC8F8BA" w14:textId="63B64D9F" w:rsidR="002D4897" w:rsidRDefault="002D4897">
          <w:pPr>
            <w:pStyle w:val="TOC1"/>
            <w:tabs>
              <w:tab w:val="right" w:pos="9350"/>
            </w:tabs>
            <w:rPr>
              <w:noProof/>
            </w:rPr>
          </w:pPr>
          <w:hyperlink w:anchor="_Toc228274083" w:history="1">
            <w:r w:rsidRPr="0057398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_Toc228274083 \h </w:instrText>
            </w:r>
            <w:r>
              <w:rPr>
                <w:noProof/>
                <w:webHidden/>
              </w:rPr>
            </w:r>
            <w:r>
              <w:rPr>
                <w:noProof/>
                <w:webHidden/>
              </w:rPr>
              <w:fldChar w:fldCharType="separate"/>
            </w:r>
            <w:r>
              <w:rPr>
                <w:noProof/>
                <w:webHidden/>
              </w:rPr>
              <w:t>24</w:t>
            </w:r>
            <w:r>
              <w:rPr>
                <w:noProof/>
                <w:webHidden/>
              </w:rPr>
              <w:fldChar w:fldCharType="end"/>
            </w:r>
          </w:hyperlink>
        </w:p>
        <w:p w14:paraId="1BF57129" w14:textId="17FADF20" w:rsidR="003930F5" w:rsidRPr="00502468" w:rsidRDefault="00B72AA6" w:rsidP="00502468">
          <w:pPr>
            <w:spacing w:line="360" w:lineRule="auto"/>
            <w:jc w:val="both"/>
            <w:rPr>
              <w:rFonts w:ascii="Arial" w:hAnsi="Arial" w:cs="Arial"/>
            </w:rPr>
          </w:pPr>
          <w:r w:rsidRPr="00502468">
            <w:rPr>
              <w:rFonts w:ascii="Arial" w:hAnsi="Arial" w:cs="Arial"/>
            </w:rPr>
            <w:fldChar w:fldCharType="end"/>
          </w:r>
        </w:p>
      </w:sdtContent>
    </w:sdt>
    <w:p w14:paraId="32030331" w14:textId="77777777" w:rsidR="003930F5" w:rsidRPr="00502468" w:rsidRDefault="00B72AA6" w:rsidP="00502468">
      <w:pPr>
        <w:spacing w:line="360" w:lineRule="auto"/>
        <w:jc w:val="both"/>
        <w:rPr>
          <w:rFonts w:ascii="Arial" w:hAnsi="Arial" w:cs="Arial"/>
          <w:b/>
          <w:bCs/>
        </w:rPr>
      </w:pPr>
      <w:r w:rsidRPr="00502468">
        <w:rPr>
          <w:rFonts w:ascii="Arial" w:hAnsi="Arial" w:cs="Arial"/>
        </w:rPr>
        <w:br w:type="page"/>
      </w:r>
    </w:p>
    <w:p w14:paraId="389E4BB6" w14:textId="77777777" w:rsidR="003930F5" w:rsidRPr="00502468" w:rsidRDefault="00B72AA6" w:rsidP="00502468">
      <w:pPr>
        <w:pStyle w:val="Heading1"/>
        <w:widowControl w:val="0"/>
        <w:rPr>
          <w:rFonts w:ascii="Arial" w:hAnsi="Arial" w:cs="Arial"/>
          <w:sz w:val="24"/>
          <w:szCs w:val="24"/>
        </w:rPr>
      </w:pPr>
      <w:bookmarkStart w:id="1" w:name="_Toc228274075"/>
      <w:r w:rsidRPr="00502468">
        <w:rPr>
          <w:rFonts w:ascii="Arial" w:hAnsi="Arial" w:cs="Arial"/>
          <w:sz w:val="24"/>
          <w:szCs w:val="24"/>
        </w:rPr>
        <w:lastRenderedPageBreak/>
        <w:t>Introduction of the Company</w:t>
      </w:r>
      <w:bookmarkEnd w:id="1"/>
    </w:p>
    <w:p w14:paraId="2BCB67F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 xml:space="preserve">InterContinental Hotels Group (IHG) is a British multinational hospitality firm with headquarters in Windsor, England. This is one of the largest firms globally in terms of scale of operations and market penetration. As of 2025, IHG has a total of 6,963 open hotels providing 1,026,177 rooms in over 100 countries, with a significant contract of 2,292 hotels and 339,526 rooms in the development pipeline (IHG, 2025). It means a continuous international growth and trust of its brands by the owners. </w:t>
      </w:r>
    </w:p>
    <w:p w14:paraId="355F9F28"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noProof/>
          <w:lang w:val="en-IN" w:eastAsia="en-IN"/>
        </w:rPr>
        <w:drawing>
          <wp:inline distT="114300" distB="114300" distL="114300" distR="114300" wp14:anchorId="303F6FAD" wp14:editId="0CAC1D70">
            <wp:extent cx="5943600" cy="17399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8"/>
                    <a:stretch>
                      <a:fillRect/>
                    </a:stretch>
                  </pic:blipFill>
                  <pic:spPr>
                    <a:xfrm>
                      <a:off x="0" y="0"/>
                      <a:ext cx="5943600" cy="1739900"/>
                    </a:xfrm>
                    <a:prstGeom prst="rect">
                      <a:avLst/>
                    </a:prstGeom>
                  </pic:spPr>
                </pic:pic>
              </a:graphicData>
            </a:graphic>
          </wp:inline>
        </w:drawing>
      </w:r>
    </w:p>
    <w:p w14:paraId="30699F1E"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Figure 1: Brand overview of InterContinental Hotels</w:t>
      </w:r>
    </w:p>
    <w:p w14:paraId="5F0A16B7" w14:textId="77777777" w:rsidR="003930F5" w:rsidRPr="00502468" w:rsidRDefault="00B72AA6" w:rsidP="00502468">
      <w:pPr>
        <w:widowControl w:val="0"/>
        <w:spacing w:after="200" w:line="360" w:lineRule="auto"/>
        <w:jc w:val="both"/>
        <w:rPr>
          <w:rFonts w:ascii="Arial" w:hAnsi="Arial" w:cs="Arial"/>
          <w:i/>
          <w:iCs/>
        </w:rPr>
      </w:pPr>
      <w:r w:rsidRPr="00502468">
        <w:rPr>
          <w:rFonts w:ascii="Arial" w:hAnsi="Arial" w:cs="Arial"/>
          <w:i/>
          <w:iCs/>
        </w:rPr>
        <w:t>(Source: IHG, 2025)</w:t>
      </w:r>
    </w:p>
    <w:p w14:paraId="21165C00"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It has even recorded a total revenue of USD 5.19 billion (EUR 4.72 billion) in 2025 and an operating profit of USD 1,198 million, highlighting resilience despite competitive and macroeconomic pressures in the hospitality industry (IHG, 2025a). This also reflects new operational efficiency and the creation of shareholder value.</w:t>
      </w:r>
    </w:p>
    <w:p w14:paraId="71D42697" w14:textId="77777777" w:rsidR="003930F5" w:rsidRPr="00502468" w:rsidRDefault="003930F5" w:rsidP="00502468">
      <w:pPr>
        <w:widowControl w:val="0"/>
        <w:spacing w:after="200" w:line="360" w:lineRule="auto"/>
        <w:jc w:val="both"/>
        <w:rPr>
          <w:rFonts w:ascii="Arial" w:hAnsi="Arial" w:cs="Arial"/>
        </w:rPr>
      </w:pPr>
    </w:p>
    <w:p w14:paraId="72D970B4"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noProof/>
          <w:lang w:val="en-IN" w:eastAsia="en-IN"/>
        </w:rPr>
        <w:lastRenderedPageBreak/>
        <w:drawing>
          <wp:inline distT="114300" distB="114300" distL="114300" distR="114300" wp14:anchorId="41F20025" wp14:editId="7BFC5697">
            <wp:extent cx="5943600" cy="28829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9"/>
                    <a:stretch>
                      <a:fillRect/>
                    </a:stretch>
                  </pic:blipFill>
                  <pic:spPr>
                    <a:xfrm>
                      <a:off x="0" y="0"/>
                      <a:ext cx="5943600" cy="2882900"/>
                    </a:xfrm>
                    <a:prstGeom prst="rect">
                      <a:avLst/>
                    </a:prstGeom>
                  </pic:spPr>
                </pic:pic>
              </a:graphicData>
            </a:graphic>
          </wp:inline>
        </w:drawing>
      </w:r>
    </w:p>
    <w:p w14:paraId="1AC5A15A"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Figure 2: Profit and revenue of InterContinental</w:t>
      </w:r>
    </w:p>
    <w:p w14:paraId="2ACBCC31" w14:textId="77777777" w:rsidR="003930F5" w:rsidRPr="00502468" w:rsidRDefault="00B72AA6" w:rsidP="00502468">
      <w:pPr>
        <w:widowControl w:val="0"/>
        <w:spacing w:after="200" w:line="360" w:lineRule="auto"/>
        <w:jc w:val="both"/>
        <w:rPr>
          <w:rFonts w:ascii="Arial" w:hAnsi="Arial" w:cs="Arial"/>
          <w:i/>
          <w:iCs/>
        </w:rPr>
      </w:pPr>
      <w:r w:rsidRPr="00502468">
        <w:rPr>
          <w:rFonts w:ascii="Arial" w:hAnsi="Arial" w:cs="Arial"/>
          <w:i/>
          <w:iCs/>
        </w:rPr>
        <w:t>(Source: IHG, 2025a)</w:t>
      </w:r>
    </w:p>
    <w:p w14:paraId="67654D1D" w14:textId="77777777" w:rsidR="003930F5" w:rsidRDefault="00B72AA6" w:rsidP="00502468">
      <w:pPr>
        <w:widowControl w:val="0"/>
        <w:spacing w:after="200" w:line="360" w:lineRule="auto"/>
        <w:jc w:val="both"/>
        <w:rPr>
          <w:rFonts w:ascii="Arial" w:hAnsi="Arial" w:cs="Arial"/>
        </w:rPr>
      </w:pPr>
      <w:r w:rsidRPr="00502468">
        <w:rPr>
          <w:rFonts w:ascii="Arial" w:hAnsi="Arial" w:cs="Arial"/>
        </w:rPr>
        <w:t>IHG possesses a good brand portfolio, with 21 brands, including Regent, Holiday Inn, InterContinental and many more. The company also offers a loyalty programme, the IHG One Rewards. It is the largest one in the industry, with more than 160 million members (IHG, n.d.). This gives them a strategic edge by resulting in repeat bookings and customer interaction. Having a large workforce of around 385,000 employees, it eases business operations to support its human capital foundation in service excellence delivery (IHG PLC, 2025). Therefore, stakeholder communication is an essential factor in launching an innovative service o</w:t>
      </w:r>
      <w:r w:rsidR="008231ED" w:rsidRPr="00502468">
        <w:rPr>
          <w:rFonts w:ascii="Arial" w:hAnsi="Arial" w:cs="Arial"/>
        </w:rPr>
        <w:t>f high quality, like StaySmart+</w:t>
      </w:r>
      <w:r w:rsidRPr="00502468">
        <w:rPr>
          <w:rFonts w:ascii="Arial" w:hAnsi="Arial" w:cs="Arial"/>
        </w:rPr>
        <w:t>.</w:t>
      </w:r>
    </w:p>
    <w:p w14:paraId="21F31D96" w14:textId="77777777" w:rsidR="003D3095" w:rsidRDefault="003D3095" w:rsidP="00502468">
      <w:pPr>
        <w:widowControl w:val="0"/>
        <w:spacing w:after="200" w:line="360" w:lineRule="auto"/>
        <w:jc w:val="both"/>
        <w:rPr>
          <w:rFonts w:ascii="Arial" w:hAnsi="Arial" w:cs="Arial"/>
        </w:rPr>
      </w:pPr>
    </w:p>
    <w:p w14:paraId="78312B68" w14:textId="77777777" w:rsidR="003D3095" w:rsidRDefault="003D3095" w:rsidP="00502468">
      <w:pPr>
        <w:widowControl w:val="0"/>
        <w:spacing w:after="200" w:line="360" w:lineRule="auto"/>
        <w:jc w:val="both"/>
        <w:rPr>
          <w:rFonts w:ascii="Arial" w:hAnsi="Arial" w:cs="Arial"/>
        </w:rPr>
      </w:pPr>
    </w:p>
    <w:p w14:paraId="736B54F3" w14:textId="77777777" w:rsidR="003D3095" w:rsidRDefault="003D3095" w:rsidP="00502468">
      <w:pPr>
        <w:widowControl w:val="0"/>
        <w:spacing w:after="200" w:line="360" w:lineRule="auto"/>
        <w:jc w:val="both"/>
        <w:rPr>
          <w:rFonts w:ascii="Arial" w:hAnsi="Arial" w:cs="Arial"/>
        </w:rPr>
      </w:pPr>
    </w:p>
    <w:p w14:paraId="56E47B5D" w14:textId="77777777" w:rsidR="003D3095" w:rsidRPr="00502468" w:rsidRDefault="003D3095" w:rsidP="00502468">
      <w:pPr>
        <w:widowControl w:val="0"/>
        <w:spacing w:after="200" w:line="360" w:lineRule="auto"/>
        <w:jc w:val="both"/>
        <w:rPr>
          <w:rFonts w:ascii="Arial" w:hAnsi="Arial" w:cs="Arial"/>
        </w:rPr>
      </w:pPr>
    </w:p>
    <w:p w14:paraId="344C3F28" w14:textId="77777777" w:rsidR="003930F5" w:rsidRPr="00502468" w:rsidRDefault="00B72AA6" w:rsidP="00502468">
      <w:pPr>
        <w:pStyle w:val="Heading1"/>
        <w:widowControl w:val="0"/>
        <w:rPr>
          <w:rFonts w:ascii="Arial" w:hAnsi="Arial" w:cs="Arial"/>
          <w:sz w:val="24"/>
          <w:szCs w:val="24"/>
        </w:rPr>
      </w:pPr>
      <w:bookmarkStart w:id="2" w:name="_Toc228274076"/>
      <w:r w:rsidRPr="00502468">
        <w:rPr>
          <w:rFonts w:ascii="Arial" w:hAnsi="Arial" w:cs="Arial"/>
          <w:sz w:val="24"/>
          <w:szCs w:val="24"/>
        </w:rPr>
        <w:lastRenderedPageBreak/>
        <w:t>SWOT and PESTLE Analysis</w:t>
      </w:r>
      <w:bookmarkEnd w:id="2"/>
    </w:p>
    <w:p w14:paraId="6C1FB167"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SWOT analysis</w:t>
      </w:r>
    </w:p>
    <w:p w14:paraId="16E5AE6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Strengths:</w:t>
      </w:r>
      <w:r w:rsidRPr="00502468">
        <w:rPr>
          <w:rFonts w:ascii="Arial" w:hAnsi="Arial" w:cs="Arial"/>
        </w:rPr>
        <w:t xml:space="preserve"> IHG has a strong international network. Its rich brand portfolio boosts its reach to the market and customer loyalty (IHG, 2026). Its IHG Green Engage program is also in line with rising customer preference towards environmentally friendly products. The global network enables IHG to expand operations on an international front, with consistent branding and capitalising on market loyalty, and the Green Engage program creates credibility in the long-term sustainability. </w:t>
      </w:r>
    </w:p>
    <w:p w14:paraId="045FCA16"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noProof/>
          <w:lang w:val="en-IN" w:eastAsia="en-IN"/>
        </w:rPr>
        <w:drawing>
          <wp:inline distT="114300" distB="114300" distL="114300" distR="114300" wp14:anchorId="1A92E62E" wp14:editId="109527FD">
            <wp:extent cx="5943600" cy="24003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0"/>
                    <a:stretch>
                      <a:fillRect/>
                    </a:stretch>
                  </pic:blipFill>
                  <pic:spPr>
                    <a:xfrm>
                      <a:off x="0" y="0"/>
                      <a:ext cx="5943600" cy="2400300"/>
                    </a:xfrm>
                    <a:prstGeom prst="rect">
                      <a:avLst/>
                    </a:prstGeom>
                  </pic:spPr>
                </pic:pic>
              </a:graphicData>
            </a:graphic>
          </wp:inline>
        </w:drawing>
      </w:r>
    </w:p>
    <w:p w14:paraId="69D8515B"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Figure 3: Brand portfolio of IHG</w:t>
      </w:r>
    </w:p>
    <w:p w14:paraId="2AB60613" w14:textId="77777777" w:rsidR="003930F5" w:rsidRPr="00502468" w:rsidRDefault="00B72AA6" w:rsidP="00502468">
      <w:pPr>
        <w:widowControl w:val="0"/>
        <w:spacing w:after="200" w:line="360" w:lineRule="auto"/>
        <w:jc w:val="both"/>
        <w:rPr>
          <w:rFonts w:ascii="Arial" w:hAnsi="Arial" w:cs="Arial"/>
          <w:i/>
          <w:iCs/>
        </w:rPr>
      </w:pPr>
      <w:r w:rsidRPr="00502468">
        <w:rPr>
          <w:rFonts w:ascii="Arial" w:hAnsi="Arial" w:cs="Arial"/>
          <w:i/>
          <w:iCs/>
        </w:rPr>
        <w:t>(Source: IHG, 2026)</w:t>
      </w:r>
    </w:p>
    <w:p w14:paraId="2413BD9A"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 xml:space="preserve">Weaknesses: </w:t>
      </w:r>
      <w:r w:rsidRPr="00502468">
        <w:rPr>
          <w:rFonts w:ascii="Arial" w:hAnsi="Arial" w:cs="Arial"/>
        </w:rPr>
        <w:t xml:space="preserve">One of the major weaknesses would be the reliance of IHG on third-party owners and franchisees. Such dependence can be a barrier to IHG enforcing consistent standards and service innovations worldwide to affect customer experience uniformity across its resorts. </w:t>
      </w:r>
    </w:p>
    <w:p w14:paraId="245D875A"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Opportunities:</w:t>
      </w:r>
      <w:r w:rsidRPr="00502468">
        <w:rPr>
          <w:rFonts w:ascii="Arial" w:hAnsi="Arial" w:cs="Arial"/>
        </w:rPr>
        <w:t xml:space="preserve"> There is an increasing trend in personalised travel experiences, as well as AI-enhanced guest services. This can create a prospect for IHG to enhance its services. Implementing AI-based customisation of services will enhance the competitive advantage of IHG, appealing to customers who are technologically advanced and </w:t>
      </w:r>
      <w:r w:rsidRPr="00502468">
        <w:rPr>
          <w:rFonts w:ascii="Arial" w:hAnsi="Arial" w:cs="Arial"/>
        </w:rPr>
        <w:lastRenderedPageBreak/>
        <w:t xml:space="preserve">streamlining its operations in terms of service provisions. </w:t>
      </w:r>
    </w:p>
    <w:p w14:paraId="331E4955"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Threats:</w:t>
      </w:r>
      <w:r w:rsidRPr="00502468">
        <w:rPr>
          <w:rFonts w:ascii="Arial" w:hAnsi="Arial" w:cs="Arial"/>
        </w:rPr>
        <w:t xml:space="preserve"> The financial crisis and geopolitical instabilities, especially in Europe and Asia, might interfere with business activities and have an impact on consumer spending in the luxury service. The geopolitical tensions and economic instability can cause a decrease in the demand for luxury services, which can be a major threat to the revenues and international expansion of IHG. </w:t>
      </w:r>
    </w:p>
    <w:p w14:paraId="2BF02037"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PESTLE analysis</w:t>
      </w:r>
    </w:p>
    <w:p w14:paraId="3610ABC2"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Political:</w:t>
      </w:r>
      <w:r w:rsidRPr="00502468">
        <w:rPr>
          <w:rFonts w:ascii="Arial" w:hAnsi="Arial" w:cs="Arial"/>
        </w:rPr>
        <w:t xml:space="preserve"> The UK is enjoying a stable political environment. According to the report by Murray (2026), 176,685 businesses in the UK fell under the hospitality sector. Nonetheless, there is an increase in regulatory scrutiny. This has caused the opening and closing of many hotel businesses. In March 2026, the Competition and Markets Authority of the UK launched an inquiry into the alleged data-sharing between key hotel chains, including IHG (Almeida, 2026). This may have a significant impact on the strategic data utilisation and the pricing strategies.</w:t>
      </w:r>
    </w:p>
    <w:p w14:paraId="3899F9C8"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noProof/>
          <w:lang w:val="en-IN" w:eastAsia="en-IN"/>
        </w:rPr>
        <w:drawing>
          <wp:inline distT="114300" distB="114300" distL="114300" distR="114300" wp14:anchorId="452BCE01" wp14:editId="3C8AE5F0">
            <wp:extent cx="5943600" cy="26289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1"/>
                    <a:stretch>
                      <a:fillRect/>
                    </a:stretch>
                  </pic:blipFill>
                  <pic:spPr>
                    <a:xfrm>
                      <a:off x="0" y="0"/>
                      <a:ext cx="5943600" cy="2628900"/>
                    </a:xfrm>
                    <a:prstGeom prst="rect">
                      <a:avLst/>
                    </a:prstGeom>
                  </pic:spPr>
                </pic:pic>
              </a:graphicData>
            </a:graphic>
          </wp:inline>
        </w:drawing>
      </w:r>
    </w:p>
    <w:p w14:paraId="0610525D"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Figure 4: Openings and closings of hospitality businesses in the UK</w:t>
      </w:r>
    </w:p>
    <w:p w14:paraId="3B34720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i/>
          <w:iCs/>
        </w:rPr>
        <w:t>(Source: Murray, 2026)</w:t>
      </w:r>
    </w:p>
    <w:p w14:paraId="66086CBC"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Economic:</w:t>
      </w:r>
      <w:r w:rsidRPr="00502468">
        <w:rPr>
          <w:rFonts w:ascii="Arial" w:hAnsi="Arial" w:cs="Arial"/>
        </w:rPr>
        <w:t xml:space="preserve"> The United Kingdom hospitality market is currently growing. It is estimated to </w:t>
      </w:r>
      <w:r w:rsidRPr="00502468">
        <w:rPr>
          <w:rFonts w:ascii="Arial" w:hAnsi="Arial" w:cs="Arial"/>
        </w:rPr>
        <w:lastRenderedPageBreak/>
        <w:t xml:space="preserve">be USD 63.80 billion in 2026 and expected to grow to USD 78.28 billion by 2031, with a CAGR of 4.18% (Mordor Intelligence, 2026). This indicates the increasing demand in the country for travelling. </w:t>
      </w:r>
    </w:p>
    <w:p w14:paraId="6C40467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noProof/>
          <w:lang w:val="en-IN" w:eastAsia="en-IN"/>
        </w:rPr>
        <w:drawing>
          <wp:inline distT="114300" distB="114300" distL="114300" distR="114300" wp14:anchorId="37A3FF68" wp14:editId="2989FCBE">
            <wp:extent cx="3588812" cy="3843338"/>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a:stretch>
                      <a:fillRect/>
                    </a:stretch>
                  </pic:blipFill>
                  <pic:spPr>
                    <a:xfrm>
                      <a:off x="0" y="0"/>
                      <a:ext cx="3588812" cy="3843338"/>
                    </a:xfrm>
                    <a:prstGeom prst="rect">
                      <a:avLst/>
                    </a:prstGeom>
                  </pic:spPr>
                </pic:pic>
              </a:graphicData>
            </a:graphic>
          </wp:inline>
        </w:drawing>
      </w:r>
    </w:p>
    <w:p w14:paraId="78DCC2E2"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 xml:space="preserve">Figure 5: Hospitality market of the UK </w:t>
      </w:r>
    </w:p>
    <w:p w14:paraId="482D4F0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i/>
          <w:iCs/>
        </w:rPr>
        <w:t>(Source: Mordor Intelligence, 2026)</w:t>
      </w:r>
    </w:p>
    <w:p w14:paraId="0D3D0A1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Social:</w:t>
      </w:r>
      <w:r w:rsidRPr="00502468">
        <w:rPr>
          <w:rFonts w:ascii="Arial" w:hAnsi="Arial" w:cs="Arial"/>
        </w:rPr>
        <w:t xml:space="preserve"> There is a rise in middle-class travel. It is especially popular in the emerging markets, such as India, where IHG has around 50 hotels and 80 more under construction (Gomes and Paramasivam, 2026). This indicates changing social reasons for consumption in the hospitality industry.</w:t>
      </w:r>
    </w:p>
    <w:p w14:paraId="79BA0D8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Technological:</w:t>
      </w:r>
      <w:r w:rsidRPr="00502468">
        <w:rPr>
          <w:rFonts w:ascii="Arial" w:hAnsi="Arial" w:cs="Arial"/>
        </w:rPr>
        <w:t xml:space="preserve"> Mobile check-in and AI-driven personalisation, and contactless services, have become a foundational operation imperative. </w:t>
      </w:r>
    </w:p>
    <w:p w14:paraId="71A675DE"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Legal:</w:t>
      </w:r>
      <w:r w:rsidRPr="00502468">
        <w:rPr>
          <w:rFonts w:ascii="Arial" w:hAnsi="Arial" w:cs="Arial"/>
        </w:rPr>
        <w:t xml:space="preserve"> Adherence to various strict data protection laws like the GDPR puts complex legal restrictions, and a solid control of customer data is required.</w:t>
      </w:r>
    </w:p>
    <w:p w14:paraId="1A04C6E7"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lastRenderedPageBreak/>
        <w:t>Environmental:</w:t>
      </w:r>
      <w:r w:rsidRPr="00502468">
        <w:rPr>
          <w:rFonts w:ascii="Arial" w:hAnsi="Arial" w:cs="Arial"/>
        </w:rPr>
        <w:t xml:space="preserve"> IHG has undertaken science-based objectives to cut carbon emissions by 2030 and boost resource efficiency (IHG PLC, n.d.). This is in line with the overall environmental requirements and shareholder demands.</w:t>
      </w:r>
    </w:p>
    <w:p w14:paraId="444F4C22"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SMART Objectives</w:t>
      </w:r>
    </w:p>
    <w:tbl>
      <w:tblPr>
        <w:tblStyle w:val="TableGrid"/>
        <w:tblW w:w="0" w:type="auto"/>
        <w:tblInd w:w="-856" w:type="dxa"/>
        <w:tblLook w:val="04A0" w:firstRow="1" w:lastRow="0" w:firstColumn="1" w:lastColumn="0" w:noHBand="0" w:noVBand="1"/>
      </w:tblPr>
      <w:tblGrid>
        <w:gridCol w:w="1255"/>
        <w:gridCol w:w="1524"/>
        <w:gridCol w:w="1537"/>
        <w:gridCol w:w="1485"/>
        <w:gridCol w:w="1832"/>
        <w:gridCol w:w="1537"/>
        <w:gridCol w:w="1036"/>
      </w:tblGrid>
      <w:tr w:rsidR="008231ED" w:rsidRPr="00502468" w14:paraId="416E2350" w14:textId="77777777" w:rsidTr="003D3095">
        <w:tc>
          <w:tcPr>
            <w:tcW w:w="2008" w:type="dxa"/>
            <w:shd w:val="clear" w:color="auto" w:fill="E5B8B7" w:themeFill="accent2" w:themeFillTint="66"/>
            <w:hideMark/>
          </w:tcPr>
          <w:p w14:paraId="31288161" w14:textId="77777777" w:rsidR="008231ED" w:rsidRPr="00502468" w:rsidRDefault="008231ED" w:rsidP="00502468">
            <w:pPr>
              <w:spacing w:line="360" w:lineRule="auto"/>
              <w:jc w:val="both"/>
              <w:rPr>
                <w:rFonts w:ascii="Arial" w:eastAsia="Times New Roman" w:hAnsi="Arial" w:cs="Arial"/>
                <w:b/>
                <w:bCs/>
                <w:sz w:val="24"/>
                <w:szCs w:val="24"/>
                <w:lang w:eastAsia="en-IN"/>
              </w:rPr>
            </w:pPr>
            <w:r w:rsidRPr="00502468">
              <w:rPr>
                <w:rFonts w:ascii="Arial" w:eastAsia="Times New Roman" w:hAnsi="Arial" w:cs="Arial"/>
                <w:b/>
                <w:bCs/>
                <w:sz w:val="24"/>
                <w:szCs w:val="24"/>
                <w:lang w:eastAsia="en-IN"/>
              </w:rPr>
              <w:t>Objective No.</w:t>
            </w:r>
          </w:p>
        </w:tc>
        <w:tc>
          <w:tcPr>
            <w:tcW w:w="1395" w:type="dxa"/>
            <w:shd w:val="clear" w:color="auto" w:fill="E5B8B7" w:themeFill="accent2" w:themeFillTint="66"/>
            <w:hideMark/>
          </w:tcPr>
          <w:p w14:paraId="79F83596" w14:textId="77777777" w:rsidR="008231ED" w:rsidRPr="00502468" w:rsidRDefault="008231ED" w:rsidP="00502468">
            <w:pPr>
              <w:spacing w:line="360" w:lineRule="auto"/>
              <w:jc w:val="both"/>
              <w:rPr>
                <w:rFonts w:ascii="Arial" w:eastAsia="Times New Roman" w:hAnsi="Arial" w:cs="Arial"/>
                <w:b/>
                <w:bCs/>
                <w:sz w:val="24"/>
                <w:szCs w:val="24"/>
                <w:lang w:eastAsia="en-IN"/>
              </w:rPr>
            </w:pPr>
            <w:r w:rsidRPr="00502468">
              <w:rPr>
                <w:rFonts w:ascii="Arial" w:eastAsia="Times New Roman" w:hAnsi="Arial" w:cs="Arial"/>
                <w:b/>
                <w:bCs/>
                <w:sz w:val="24"/>
                <w:szCs w:val="24"/>
                <w:lang w:eastAsia="en-IN"/>
              </w:rPr>
              <w:t>SMART Objective</w:t>
            </w:r>
          </w:p>
        </w:tc>
        <w:tc>
          <w:tcPr>
            <w:tcW w:w="0" w:type="auto"/>
            <w:shd w:val="clear" w:color="auto" w:fill="E5B8B7" w:themeFill="accent2" w:themeFillTint="66"/>
            <w:hideMark/>
          </w:tcPr>
          <w:p w14:paraId="422CA30B" w14:textId="77777777" w:rsidR="008231ED" w:rsidRPr="00502468" w:rsidRDefault="008231ED" w:rsidP="00502468">
            <w:pPr>
              <w:spacing w:line="360" w:lineRule="auto"/>
              <w:jc w:val="both"/>
              <w:rPr>
                <w:rFonts w:ascii="Arial" w:eastAsia="Times New Roman" w:hAnsi="Arial" w:cs="Arial"/>
                <w:b/>
                <w:bCs/>
                <w:sz w:val="24"/>
                <w:szCs w:val="24"/>
                <w:lang w:eastAsia="en-IN"/>
              </w:rPr>
            </w:pPr>
            <w:r w:rsidRPr="00502468">
              <w:rPr>
                <w:rFonts w:ascii="Arial" w:eastAsia="Times New Roman" w:hAnsi="Arial" w:cs="Arial"/>
                <w:b/>
                <w:bCs/>
                <w:sz w:val="24"/>
                <w:szCs w:val="24"/>
                <w:lang w:eastAsia="en-IN"/>
              </w:rPr>
              <w:t>Specific</w:t>
            </w:r>
          </w:p>
        </w:tc>
        <w:tc>
          <w:tcPr>
            <w:tcW w:w="0" w:type="auto"/>
            <w:shd w:val="clear" w:color="auto" w:fill="E5B8B7" w:themeFill="accent2" w:themeFillTint="66"/>
            <w:hideMark/>
          </w:tcPr>
          <w:p w14:paraId="4577B809" w14:textId="77777777" w:rsidR="008231ED" w:rsidRPr="00502468" w:rsidRDefault="008231ED" w:rsidP="00502468">
            <w:pPr>
              <w:spacing w:line="360" w:lineRule="auto"/>
              <w:jc w:val="both"/>
              <w:rPr>
                <w:rFonts w:ascii="Arial" w:eastAsia="Times New Roman" w:hAnsi="Arial" w:cs="Arial"/>
                <w:b/>
                <w:bCs/>
                <w:sz w:val="24"/>
                <w:szCs w:val="24"/>
                <w:lang w:eastAsia="en-IN"/>
              </w:rPr>
            </w:pPr>
            <w:r w:rsidRPr="00502468">
              <w:rPr>
                <w:rFonts w:ascii="Arial" w:eastAsia="Times New Roman" w:hAnsi="Arial" w:cs="Arial"/>
                <w:b/>
                <w:bCs/>
                <w:sz w:val="24"/>
                <w:szCs w:val="24"/>
                <w:lang w:eastAsia="en-IN"/>
              </w:rPr>
              <w:t>Measurable</w:t>
            </w:r>
          </w:p>
        </w:tc>
        <w:tc>
          <w:tcPr>
            <w:tcW w:w="0" w:type="auto"/>
            <w:shd w:val="clear" w:color="auto" w:fill="E5B8B7" w:themeFill="accent2" w:themeFillTint="66"/>
            <w:hideMark/>
          </w:tcPr>
          <w:p w14:paraId="1CDBFF59" w14:textId="77777777" w:rsidR="008231ED" w:rsidRPr="00502468" w:rsidRDefault="008231ED" w:rsidP="00502468">
            <w:pPr>
              <w:spacing w:line="360" w:lineRule="auto"/>
              <w:jc w:val="both"/>
              <w:rPr>
                <w:rFonts w:ascii="Arial" w:eastAsia="Times New Roman" w:hAnsi="Arial" w:cs="Arial"/>
                <w:b/>
                <w:bCs/>
                <w:sz w:val="24"/>
                <w:szCs w:val="24"/>
                <w:lang w:eastAsia="en-IN"/>
              </w:rPr>
            </w:pPr>
            <w:r w:rsidRPr="00502468">
              <w:rPr>
                <w:rFonts w:ascii="Arial" w:eastAsia="Times New Roman" w:hAnsi="Arial" w:cs="Arial"/>
                <w:b/>
                <w:bCs/>
                <w:sz w:val="24"/>
                <w:szCs w:val="24"/>
                <w:lang w:eastAsia="en-IN"/>
              </w:rPr>
              <w:t>Achievable</w:t>
            </w:r>
          </w:p>
        </w:tc>
        <w:tc>
          <w:tcPr>
            <w:tcW w:w="0" w:type="auto"/>
            <w:shd w:val="clear" w:color="auto" w:fill="E5B8B7" w:themeFill="accent2" w:themeFillTint="66"/>
            <w:hideMark/>
          </w:tcPr>
          <w:p w14:paraId="3EDFB726" w14:textId="77777777" w:rsidR="008231ED" w:rsidRPr="00502468" w:rsidRDefault="008231ED" w:rsidP="00502468">
            <w:pPr>
              <w:spacing w:line="360" w:lineRule="auto"/>
              <w:jc w:val="both"/>
              <w:rPr>
                <w:rFonts w:ascii="Arial" w:eastAsia="Times New Roman" w:hAnsi="Arial" w:cs="Arial"/>
                <w:b/>
                <w:bCs/>
                <w:sz w:val="24"/>
                <w:szCs w:val="24"/>
                <w:lang w:eastAsia="en-IN"/>
              </w:rPr>
            </w:pPr>
            <w:r w:rsidRPr="00502468">
              <w:rPr>
                <w:rFonts w:ascii="Arial" w:eastAsia="Times New Roman" w:hAnsi="Arial" w:cs="Arial"/>
                <w:b/>
                <w:bCs/>
                <w:sz w:val="24"/>
                <w:szCs w:val="24"/>
                <w:lang w:eastAsia="en-IN"/>
              </w:rPr>
              <w:t>Relevant</w:t>
            </w:r>
          </w:p>
        </w:tc>
        <w:tc>
          <w:tcPr>
            <w:tcW w:w="0" w:type="auto"/>
            <w:shd w:val="clear" w:color="auto" w:fill="E5B8B7" w:themeFill="accent2" w:themeFillTint="66"/>
            <w:hideMark/>
          </w:tcPr>
          <w:p w14:paraId="27820107" w14:textId="77777777" w:rsidR="008231ED" w:rsidRPr="00502468" w:rsidRDefault="008231ED" w:rsidP="00502468">
            <w:pPr>
              <w:spacing w:line="360" w:lineRule="auto"/>
              <w:jc w:val="both"/>
              <w:rPr>
                <w:rFonts w:ascii="Arial" w:eastAsia="Times New Roman" w:hAnsi="Arial" w:cs="Arial"/>
                <w:b/>
                <w:bCs/>
                <w:sz w:val="24"/>
                <w:szCs w:val="24"/>
                <w:lang w:eastAsia="en-IN"/>
              </w:rPr>
            </w:pPr>
            <w:r w:rsidRPr="00502468">
              <w:rPr>
                <w:rFonts w:ascii="Arial" w:eastAsia="Times New Roman" w:hAnsi="Arial" w:cs="Arial"/>
                <w:b/>
                <w:bCs/>
                <w:sz w:val="24"/>
                <w:szCs w:val="24"/>
                <w:lang w:eastAsia="en-IN"/>
              </w:rPr>
              <w:t>Time-bound</w:t>
            </w:r>
          </w:p>
        </w:tc>
      </w:tr>
      <w:tr w:rsidR="008231ED" w:rsidRPr="00502468" w14:paraId="2CFFA397" w14:textId="77777777" w:rsidTr="003D3095">
        <w:tc>
          <w:tcPr>
            <w:tcW w:w="2008" w:type="dxa"/>
            <w:hideMark/>
          </w:tcPr>
          <w:p w14:paraId="394D8FA0"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b/>
                <w:bCs/>
                <w:sz w:val="24"/>
                <w:szCs w:val="24"/>
                <w:lang w:eastAsia="en-IN"/>
              </w:rPr>
              <w:t>Objective 1</w:t>
            </w:r>
          </w:p>
        </w:tc>
        <w:tc>
          <w:tcPr>
            <w:tcW w:w="1395" w:type="dxa"/>
            <w:hideMark/>
          </w:tcPr>
          <w:p w14:paraId="6F8BC59D"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 xml:space="preserve">Launch </w:t>
            </w:r>
            <w:proofErr w:type="spellStart"/>
            <w:r w:rsidRPr="00502468">
              <w:rPr>
                <w:rFonts w:ascii="Arial" w:eastAsia="Times New Roman" w:hAnsi="Arial" w:cs="Arial"/>
                <w:sz w:val="24"/>
                <w:szCs w:val="24"/>
                <w:lang w:eastAsia="en-IN"/>
              </w:rPr>
              <w:t>StaySmart</w:t>
            </w:r>
            <w:proofErr w:type="spellEnd"/>
            <w:r w:rsidRPr="00502468">
              <w:rPr>
                <w:rFonts w:ascii="Arial" w:eastAsia="Times New Roman" w:hAnsi="Arial" w:cs="Arial"/>
                <w:sz w:val="24"/>
                <w:szCs w:val="24"/>
                <w:lang w:eastAsia="en-IN"/>
              </w:rPr>
              <w:t>+ in 50 IHG hotels by Q4 2026.</w:t>
            </w:r>
          </w:p>
        </w:tc>
        <w:tc>
          <w:tcPr>
            <w:tcW w:w="0" w:type="auto"/>
            <w:hideMark/>
          </w:tcPr>
          <w:p w14:paraId="602905BB"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50 hotels with AI sustainability features.</w:t>
            </w:r>
          </w:p>
        </w:tc>
        <w:tc>
          <w:tcPr>
            <w:tcW w:w="0" w:type="auto"/>
            <w:hideMark/>
          </w:tcPr>
          <w:p w14:paraId="20CDADC7"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Track hotels launched, AI features, customer feedback.</w:t>
            </w:r>
          </w:p>
        </w:tc>
        <w:tc>
          <w:tcPr>
            <w:tcW w:w="0" w:type="auto"/>
            <w:hideMark/>
          </w:tcPr>
          <w:p w14:paraId="0D9072C7"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Feasible with IHG's resources.</w:t>
            </w:r>
          </w:p>
        </w:tc>
        <w:tc>
          <w:tcPr>
            <w:tcW w:w="0" w:type="auto"/>
            <w:hideMark/>
          </w:tcPr>
          <w:p w14:paraId="798FFAB4"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Aligns with sustainability goals.</w:t>
            </w:r>
          </w:p>
        </w:tc>
        <w:tc>
          <w:tcPr>
            <w:tcW w:w="0" w:type="auto"/>
            <w:hideMark/>
          </w:tcPr>
          <w:p w14:paraId="2391D75C"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By Q4 2026.</w:t>
            </w:r>
          </w:p>
        </w:tc>
      </w:tr>
      <w:tr w:rsidR="008231ED" w:rsidRPr="00502468" w14:paraId="6488447A" w14:textId="77777777" w:rsidTr="003D3095">
        <w:tc>
          <w:tcPr>
            <w:tcW w:w="2008" w:type="dxa"/>
            <w:hideMark/>
          </w:tcPr>
          <w:p w14:paraId="6633900D"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b/>
                <w:bCs/>
                <w:sz w:val="24"/>
                <w:szCs w:val="24"/>
                <w:lang w:eastAsia="en-IN"/>
              </w:rPr>
              <w:t>Objective 2</w:t>
            </w:r>
          </w:p>
        </w:tc>
        <w:tc>
          <w:tcPr>
            <w:tcW w:w="1395" w:type="dxa"/>
            <w:hideMark/>
          </w:tcPr>
          <w:p w14:paraId="632A2567"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Increase adoption by 20% in Year 1.</w:t>
            </w:r>
          </w:p>
        </w:tc>
        <w:tc>
          <w:tcPr>
            <w:tcW w:w="0" w:type="auto"/>
            <w:hideMark/>
          </w:tcPr>
          <w:p w14:paraId="62E9C2B9"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20% increase in guest adoption.</w:t>
            </w:r>
          </w:p>
        </w:tc>
        <w:tc>
          <w:tcPr>
            <w:tcW w:w="0" w:type="auto"/>
            <w:hideMark/>
          </w:tcPr>
          <w:p w14:paraId="3CE01909"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Measure bookings, feedback, AI usage.</w:t>
            </w:r>
          </w:p>
        </w:tc>
        <w:tc>
          <w:tcPr>
            <w:tcW w:w="0" w:type="auto"/>
            <w:hideMark/>
          </w:tcPr>
          <w:p w14:paraId="7C2D4256"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Achievable with IHG's brand loyalty.</w:t>
            </w:r>
          </w:p>
        </w:tc>
        <w:tc>
          <w:tcPr>
            <w:tcW w:w="0" w:type="auto"/>
            <w:hideMark/>
          </w:tcPr>
          <w:p w14:paraId="6F56D5CD"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Improves customer experience.</w:t>
            </w:r>
          </w:p>
        </w:tc>
        <w:tc>
          <w:tcPr>
            <w:tcW w:w="0" w:type="auto"/>
            <w:hideMark/>
          </w:tcPr>
          <w:p w14:paraId="7154FD59"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Within 12 months.</w:t>
            </w:r>
          </w:p>
        </w:tc>
      </w:tr>
      <w:tr w:rsidR="008231ED" w:rsidRPr="00502468" w14:paraId="5DFA3D2A" w14:textId="77777777" w:rsidTr="003D3095">
        <w:tc>
          <w:tcPr>
            <w:tcW w:w="2008" w:type="dxa"/>
            <w:hideMark/>
          </w:tcPr>
          <w:p w14:paraId="5AB7F3FB"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b/>
                <w:bCs/>
                <w:sz w:val="24"/>
                <w:szCs w:val="24"/>
                <w:lang w:eastAsia="en-IN"/>
              </w:rPr>
              <w:t>Objective 3</w:t>
            </w:r>
          </w:p>
        </w:tc>
        <w:tc>
          <w:tcPr>
            <w:tcW w:w="1395" w:type="dxa"/>
            <w:hideMark/>
          </w:tcPr>
          <w:p w14:paraId="5E17C118"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Reduce energy consumption by 15% in 18 months.</w:t>
            </w:r>
          </w:p>
        </w:tc>
        <w:tc>
          <w:tcPr>
            <w:tcW w:w="0" w:type="auto"/>
            <w:hideMark/>
          </w:tcPr>
          <w:p w14:paraId="5057988C"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 xml:space="preserve">15% energy reduction in </w:t>
            </w:r>
            <w:proofErr w:type="spellStart"/>
            <w:r w:rsidRPr="00502468">
              <w:rPr>
                <w:rFonts w:ascii="Arial" w:eastAsia="Times New Roman" w:hAnsi="Arial" w:cs="Arial"/>
                <w:sz w:val="24"/>
                <w:szCs w:val="24"/>
                <w:lang w:eastAsia="en-IN"/>
              </w:rPr>
              <w:t>StaySmart</w:t>
            </w:r>
            <w:proofErr w:type="spellEnd"/>
            <w:r w:rsidRPr="00502468">
              <w:rPr>
                <w:rFonts w:ascii="Arial" w:eastAsia="Times New Roman" w:hAnsi="Arial" w:cs="Arial"/>
                <w:sz w:val="24"/>
                <w:szCs w:val="24"/>
                <w:lang w:eastAsia="en-IN"/>
              </w:rPr>
              <w:t>+ hotels.</w:t>
            </w:r>
          </w:p>
        </w:tc>
        <w:tc>
          <w:tcPr>
            <w:tcW w:w="0" w:type="auto"/>
            <w:hideMark/>
          </w:tcPr>
          <w:p w14:paraId="4B84231A"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Monitor energy savings.</w:t>
            </w:r>
          </w:p>
        </w:tc>
        <w:tc>
          <w:tcPr>
            <w:tcW w:w="0" w:type="auto"/>
            <w:hideMark/>
          </w:tcPr>
          <w:p w14:paraId="27437A08"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Feasible with current tech.</w:t>
            </w:r>
          </w:p>
        </w:tc>
        <w:tc>
          <w:tcPr>
            <w:tcW w:w="0" w:type="auto"/>
            <w:hideMark/>
          </w:tcPr>
          <w:p w14:paraId="62AD59B9"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Supports sustainability efforts.</w:t>
            </w:r>
          </w:p>
        </w:tc>
        <w:tc>
          <w:tcPr>
            <w:tcW w:w="0" w:type="auto"/>
            <w:hideMark/>
          </w:tcPr>
          <w:p w14:paraId="2F57FFBA"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Within 18 months.</w:t>
            </w:r>
          </w:p>
        </w:tc>
      </w:tr>
      <w:tr w:rsidR="008231ED" w:rsidRPr="00502468" w14:paraId="753EC93E" w14:textId="77777777" w:rsidTr="003D3095">
        <w:tc>
          <w:tcPr>
            <w:tcW w:w="2008" w:type="dxa"/>
            <w:hideMark/>
          </w:tcPr>
          <w:p w14:paraId="64094FBE"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b/>
                <w:bCs/>
                <w:sz w:val="24"/>
                <w:szCs w:val="24"/>
                <w:lang w:eastAsia="en-IN"/>
              </w:rPr>
              <w:t>Objective 4</w:t>
            </w:r>
          </w:p>
        </w:tc>
        <w:tc>
          <w:tcPr>
            <w:tcW w:w="1395" w:type="dxa"/>
            <w:hideMark/>
          </w:tcPr>
          <w:p w14:paraId="544523E8"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Improve customer satisfaction by 25% in Year 1.</w:t>
            </w:r>
          </w:p>
        </w:tc>
        <w:tc>
          <w:tcPr>
            <w:tcW w:w="0" w:type="auto"/>
            <w:hideMark/>
          </w:tcPr>
          <w:p w14:paraId="7B7F6D18"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25% increase in satisfaction.</w:t>
            </w:r>
          </w:p>
        </w:tc>
        <w:tc>
          <w:tcPr>
            <w:tcW w:w="0" w:type="auto"/>
            <w:hideMark/>
          </w:tcPr>
          <w:p w14:paraId="62892E8C"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Measure feedback, NPS, service data.</w:t>
            </w:r>
          </w:p>
        </w:tc>
        <w:tc>
          <w:tcPr>
            <w:tcW w:w="0" w:type="auto"/>
            <w:hideMark/>
          </w:tcPr>
          <w:p w14:paraId="43CBA260"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Achievable with AI personalisation.</w:t>
            </w:r>
          </w:p>
        </w:tc>
        <w:tc>
          <w:tcPr>
            <w:tcW w:w="0" w:type="auto"/>
            <w:hideMark/>
          </w:tcPr>
          <w:p w14:paraId="76211DD4"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Enhances guest loyalty.</w:t>
            </w:r>
          </w:p>
        </w:tc>
        <w:tc>
          <w:tcPr>
            <w:tcW w:w="0" w:type="auto"/>
            <w:hideMark/>
          </w:tcPr>
          <w:p w14:paraId="6F824FDD"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Within 12 months.</w:t>
            </w:r>
          </w:p>
        </w:tc>
      </w:tr>
      <w:tr w:rsidR="008231ED" w:rsidRPr="00502468" w14:paraId="70FCAB5A" w14:textId="77777777" w:rsidTr="003D3095">
        <w:tc>
          <w:tcPr>
            <w:tcW w:w="2008" w:type="dxa"/>
            <w:hideMark/>
          </w:tcPr>
          <w:p w14:paraId="04BB4863"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b/>
                <w:bCs/>
                <w:sz w:val="24"/>
                <w:szCs w:val="24"/>
                <w:lang w:eastAsia="en-IN"/>
              </w:rPr>
              <w:t>Objective 5</w:t>
            </w:r>
          </w:p>
        </w:tc>
        <w:tc>
          <w:tcPr>
            <w:tcW w:w="1395" w:type="dxa"/>
            <w:hideMark/>
          </w:tcPr>
          <w:p w14:paraId="1FD4B0FE"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 xml:space="preserve">Implement </w:t>
            </w:r>
            <w:proofErr w:type="spellStart"/>
            <w:r w:rsidRPr="00502468">
              <w:rPr>
                <w:rFonts w:ascii="Arial" w:eastAsia="Times New Roman" w:hAnsi="Arial" w:cs="Arial"/>
                <w:sz w:val="24"/>
                <w:szCs w:val="24"/>
                <w:lang w:eastAsia="en-IN"/>
              </w:rPr>
              <w:t>StaySmart</w:t>
            </w:r>
            <w:proofErr w:type="spellEnd"/>
            <w:r w:rsidRPr="00502468">
              <w:rPr>
                <w:rFonts w:ascii="Arial" w:eastAsia="Times New Roman" w:hAnsi="Arial" w:cs="Arial"/>
                <w:sz w:val="24"/>
                <w:szCs w:val="24"/>
                <w:lang w:eastAsia="en-IN"/>
              </w:rPr>
              <w:t xml:space="preserve">+ in 100 hotels </w:t>
            </w:r>
            <w:r w:rsidRPr="00502468">
              <w:rPr>
                <w:rFonts w:ascii="Arial" w:eastAsia="Times New Roman" w:hAnsi="Arial" w:cs="Arial"/>
                <w:sz w:val="24"/>
                <w:szCs w:val="24"/>
                <w:lang w:eastAsia="en-IN"/>
              </w:rPr>
              <w:lastRenderedPageBreak/>
              <w:t>globally in 2 years.</w:t>
            </w:r>
          </w:p>
        </w:tc>
        <w:tc>
          <w:tcPr>
            <w:tcW w:w="0" w:type="auto"/>
            <w:hideMark/>
          </w:tcPr>
          <w:p w14:paraId="3D96CE80"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lastRenderedPageBreak/>
              <w:t xml:space="preserve">100 hotels with </w:t>
            </w:r>
            <w:proofErr w:type="spellStart"/>
            <w:r w:rsidRPr="00502468">
              <w:rPr>
                <w:rFonts w:ascii="Arial" w:eastAsia="Times New Roman" w:hAnsi="Arial" w:cs="Arial"/>
                <w:sz w:val="24"/>
                <w:szCs w:val="24"/>
                <w:lang w:eastAsia="en-IN"/>
              </w:rPr>
              <w:t>StaySmart</w:t>
            </w:r>
            <w:proofErr w:type="spellEnd"/>
            <w:r w:rsidRPr="00502468">
              <w:rPr>
                <w:rFonts w:ascii="Arial" w:eastAsia="Times New Roman" w:hAnsi="Arial" w:cs="Arial"/>
                <w:sz w:val="24"/>
                <w:szCs w:val="24"/>
                <w:lang w:eastAsia="en-IN"/>
              </w:rPr>
              <w:t>+ service.</w:t>
            </w:r>
          </w:p>
        </w:tc>
        <w:tc>
          <w:tcPr>
            <w:tcW w:w="0" w:type="auto"/>
            <w:hideMark/>
          </w:tcPr>
          <w:p w14:paraId="5D7CD040"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Track adoption and brand reputation.</w:t>
            </w:r>
          </w:p>
        </w:tc>
        <w:tc>
          <w:tcPr>
            <w:tcW w:w="0" w:type="auto"/>
            <w:hideMark/>
          </w:tcPr>
          <w:p w14:paraId="184E1998"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Feasible with global reach.</w:t>
            </w:r>
          </w:p>
        </w:tc>
        <w:tc>
          <w:tcPr>
            <w:tcW w:w="0" w:type="auto"/>
            <w:hideMark/>
          </w:tcPr>
          <w:p w14:paraId="073896BE"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Reinforces IHG’s sustainabilit</w:t>
            </w:r>
            <w:r w:rsidRPr="00502468">
              <w:rPr>
                <w:rFonts w:ascii="Arial" w:eastAsia="Times New Roman" w:hAnsi="Arial" w:cs="Arial"/>
                <w:sz w:val="24"/>
                <w:szCs w:val="24"/>
                <w:lang w:eastAsia="en-IN"/>
              </w:rPr>
              <w:lastRenderedPageBreak/>
              <w:t>y leadership.</w:t>
            </w:r>
          </w:p>
        </w:tc>
        <w:tc>
          <w:tcPr>
            <w:tcW w:w="0" w:type="auto"/>
            <w:hideMark/>
          </w:tcPr>
          <w:p w14:paraId="20FBA52E"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lastRenderedPageBreak/>
              <w:t>By end of 2 years.</w:t>
            </w:r>
          </w:p>
        </w:tc>
      </w:tr>
    </w:tbl>
    <w:p w14:paraId="28468D23" w14:textId="77777777" w:rsidR="003930F5" w:rsidRPr="00502468" w:rsidRDefault="008231ED" w:rsidP="00502468">
      <w:pPr>
        <w:widowControl w:val="0"/>
        <w:spacing w:after="200" w:line="360" w:lineRule="auto"/>
        <w:jc w:val="both"/>
        <w:rPr>
          <w:rFonts w:ascii="Arial" w:hAnsi="Arial" w:cs="Arial"/>
          <w:b/>
          <w:bCs/>
        </w:rPr>
      </w:pPr>
      <w:r w:rsidRPr="00502468">
        <w:rPr>
          <w:rFonts w:ascii="Arial" w:hAnsi="Arial" w:cs="Arial"/>
          <w:b/>
          <w:bCs/>
        </w:rPr>
        <w:t>Table 1: SMART Objectives</w:t>
      </w:r>
    </w:p>
    <w:p w14:paraId="35A151DB" w14:textId="77777777" w:rsidR="003930F5" w:rsidRPr="00502468" w:rsidRDefault="00B72AA6" w:rsidP="00502468">
      <w:pPr>
        <w:pStyle w:val="Heading1"/>
        <w:widowControl w:val="0"/>
        <w:rPr>
          <w:rFonts w:ascii="Arial" w:hAnsi="Arial" w:cs="Arial"/>
          <w:sz w:val="24"/>
          <w:szCs w:val="24"/>
        </w:rPr>
      </w:pPr>
      <w:bookmarkStart w:id="3" w:name="_Toc228274077"/>
      <w:r w:rsidRPr="00502468">
        <w:rPr>
          <w:rFonts w:ascii="Arial" w:hAnsi="Arial" w:cs="Arial"/>
          <w:sz w:val="24"/>
          <w:szCs w:val="24"/>
        </w:rPr>
        <w:t>Key Internal and External Stakeholders</w:t>
      </w:r>
      <w:bookmarkEnd w:id="3"/>
    </w:p>
    <w:tbl>
      <w:tblPr>
        <w:tblStyle w:val="Table1"/>
        <w:tblW w:w="916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2340"/>
        <w:gridCol w:w="2175"/>
        <w:gridCol w:w="2790"/>
      </w:tblGrid>
      <w:tr w:rsidR="003930F5" w:rsidRPr="00502468" w14:paraId="19B5C918" w14:textId="77777777">
        <w:trPr>
          <w:trHeight w:val="785"/>
        </w:trPr>
        <w:tc>
          <w:tcPr>
            <w:tcW w:w="1860" w:type="dxa"/>
            <w:shd w:val="clear" w:color="auto" w:fill="EAD1DC"/>
            <w:tcMar>
              <w:top w:w="100" w:type="dxa"/>
              <w:left w:w="100" w:type="dxa"/>
              <w:bottom w:w="100" w:type="dxa"/>
              <w:right w:w="100" w:type="dxa"/>
            </w:tcMar>
          </w:tcPr>
          <w:p w14:paraId="08CE05B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Stakeholders</w:t>
            </w:r>
          </w:p>
        </w:tc>
        <w:tc>
          <w:tcPr>
            <w:tcW w:w="2340" w:type="dxa"/>
            <w:shd w:val="clear" w:color="auto" w:fill="EAD1DC"/>
            <w:tcMar>
              <w:top w:w="100" w:type="dxa"/>
              <w:left w:w="100" w:type="dxa"/>
              <w:bottom w:w="100" w:type="dxa"/>
              <w:right w:w="100" w:type="dxa"/>
            </w:tcMar>
          </w:tcPr>
          <w:p w14:paraId="62BF12ED"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Role and Responsibilities</w:t>
            </w:r>
          </w:p>
        </w:tc>
        <w:tc>
          <w:tcPr>
            <w:tcW w:w="2175" w:type="dxa"/>
            <w:shd w:val="clear" w:color="auto" w:fill="EAD1DC"/>
            <w:tcMar>
              <w:top w:w="100" w:type="dxa"/>
              <w:left w:w="100" w:type="dxa"/>
              <w:bottom w:w="100" w:type="dxa"/>
              <w:right w:w="100" w:type="dxa"/>
            </w:tcMar>
          </w:tcPr>
          <w:p w14:paraId="5746042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Benefits</w:t>
            </w:r>
          </w:p>
        </w:tc>
        <w:tc>
          <w:tcPr>
            <w:tcW w:w="2790" w:type="dxa"/>
            <w:shd w:val="clear" w:color="auto" w:fill="EAD1DC"/>
            <w:tcMar>
              <w:top w:w="100" w:type="dxa"/>
              <w:left w:w="100" w:type="dxa"/>
              <w:bottom w:w="100" w:type="dxa"/>
              <w:right w:w="100" w:type="dxa"/>
            </w:tcMar>
          </w:tcPr>
          <w:p w14:paraId="341B631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Challenges</w:t>
            </w:r>
          </w:p>
        </w:tc>
      </w:tr>
      <w:tr w:rsidR="003930F5" w:rsidRPr="00502468" w14:paraId="399563BF" w14:textId="77777777">
        <w:trPr>
          <w:trHeight w:val="785"/>
        </w:trPr>
        <w:tc>
          <w:tcPr>
            <w:tcW w:w="9165" w:type="dxa"/>
            <w:gridSpan w:val="4"/>
            <w:shd w:val="clear" w:color="auto" w:fill="CFE2F3"/>
            <w:tcMar>
              <w:top w:w="100" w:type="dxa"/>
              <w:left w:w="100" w:type="dxa"/>
              <w:bottom w:w="100" w:type="dxa"/>
              <w:right w:w="100" w:type="dxa"/>
            </w:tcMar>
          </w:tcPr>
          <w:p w14:paraId="6DF05FBA"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 xml:space="preserve">Internal </w:t>
            </w:r>
          </w:p>
        </w:tc>
      </w:tr>
      <w:tr w:rsidR="003930F5" w:rsidRPr="00502468" w14:paraId="76FA13F6" w14:textId="77777777">
        <w:trPr>
          <w:trHeight w:val="1340"/>
        </w:trPr>
        <w:tc>
          <w:tcPr>
            <w:tcW w:w="1860" w:type="dxa"/>
            <w:shd w:val="clear" w:color="auto" w:fill="EFEFEF"/>
            <w:tcMar>
              <w:top w:w="100" w:type="dxa"/>
              <w:left w:w="100" w:type="dxa"/>
              <w:bottom w:w="100" w:type="dxa"/>
              <w:right w:w="100" w:type="dxa"/>
            </w:tcMar>
          </w:tcPr>
          <w:p w14:paraId="332075EC"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Product Development Team</w:t>
            </w:r>
          </w:p>
        </w:tc>
        <w:tc>
          <w:tcPr>
            <w:tcW w:w="2340" w:type="dxa"/>
            <w:tcMar>
              <w:top w:w="100" w:type="dxa"/>
              <w:left w:w="100" w:type="dxa"/>
              <w:bottom w:w="100" w:type="dxa"/>
              <w:right w:w="100" w:type="dxa"/>
            </w:tcMar>
          </w:tcPr>
          <w:p w14:paraId="7F58A8E9"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Design and refine StaySmart+ service, integrate AI-driven tools.</w:t>
            </w:r>
          </w:p>
        </w:tc>
        <w:tc>
          <w:tcPr>
            <w:tcW w:w="2175" w:type="dxa"/>
            <w:tcMar>
              <w:top w:w="100" w:type="dxa"/>
              <w:left w:w="100" w:type="dxa"/>
              <w:bottom w:w="100" w:type="dxa"/>
              <w:right w:w="100" w:type="dxa"/>
            </w:tcMar>
          </w:tcPr>
          <w:p w14:paraId="0754EC1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Drives innovation and service excellence.</w:t>
            </w:r>
          </w:p>
        </w:tc>
        <w:tc>
          <w:tcPr>
            <w:tcW w:w="2790" w:type="dxa"/>
            <w:tcMar>
              <w:top w:w="100" w:type="dxa"/>
              <w:left w:w="100" w:type="dxa"/>
              <w:bottom w:w="100" w:type="dxa"/>
              <w:right w:w="100" w:type="dxa"/>
            </w:tcMar>
          </w:tcPr>
          <w:p w14:paraId="5FF28C37"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Coordination with other departments and deadlines.</w:t>
            </w:r>
          </w:p>
        </w:tc>
      </w:tr>
      <w:tr w:rsidR="003930F5" w:rsidRPr="00502468" w14:paraId="617DBF60" w14:textId="77777777">
        <w:trPr>
          <w:trHeight w:val="1340"/>
        </w:trPr>
        <w:tc>
          <w:tcPr>
            <w:tcW w:w="1860" w:type="dxa"/>
            <w:shd w:val="clear" w:color="auto" w:fill="EFEFEF"/>
            <w:tcMar>
              <w:top w:w="100" w:type="dxa"/>
              <w:left w:w="100" w:type="dxa"/>
              <w:bottom w:w="100" w:type="dxa"/>
              <w:right w:w="100" w:type="dxa"/>
            </w:tcMar>
          </w:tcPr>
          <w:p w14:paraId="72DCB97A"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Marketing Team</w:t>
            </w:r>
          </w:p>
        </w:tc>
        <w:tc>
          <w:tcPr>
            <w:tcW w:w="2340" w:type="dxa"/>
            <w:tcMar>
              <w:top w:w="100" w:type="dxa"/>
              <w:left w:w="100" w:type="dxa"/>
              <w:bottom w:w="100" w:type="dxa"/>
              <w:right w:w="100" w:type="dxa"/>
            </w:tcMar>
          </w:tcPr>
          <w:p w14:paraId="18C479EE"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Develop and execute marketing campaigns for StaySmart+.</w:t>
            </w:r>
          </w:p>
        </w:tc>
        <w:tc>
          <w:tcPr>
            <w:tcW w:w="2175" w:type="dxa"/>
            <w:tcMar>
              <w:top w:w="100" w:type="dxa"/>
              <w:left w:w="100" w:type="dxa"/>
              <w:bottom w:w="100" w:type="dxa"/>
              <w:right w:w="100" w:type="dxa"/>
            </w:tcMar>
          </w:tcPr>
          <w:p w14:paraId="448655A2"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Strong brand communication and customer engagement.</w:t>
            </w:r>
          </w:p>
        </w:tc>
        <w:tc>
          <w:tcPr>
            <w:tcW w:w="2790" w:type="dxa"/>
            <w:tcMar>
              <w:top w:w="100" w:type="dxa"/>
              <w:left w:w="100" w:type="dxa"/>
              <w:bottom w:w="100" w:type="dxa"/>
              <w:right w:w="100" w:type="dxa"/>
            </w:tcMar>
          </w:tcPr>
          <w:p w14:paraId="70900E3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Balancing marketing strategies across diverse markets.</w:t>
            </w:r>
          </w:p>
        </w:tc>
      </w:tr>
      <w:tr w:rsidR="003930F5" w:rsidRPr="00502468" w14:paraId="696233B1" w14:textId="77777777">
        <w:trPr>
          <w:trHeight w:val="1340"/>
        </w:trPr>
        <w:tc>
          <w:tcPr>
            <w:tcW w:w="1860" w:type="dxa"/>
            <w:shd w:val="clear" w:color="auto" w:fill="EFEFEF"/>
            <w:tcMar>
              <w:top w:w="100" w:type="dxa"/>
              <w:left w:w="100" w:type="dxa"/>
              <w:bottom w:w="100" w:type="dxa"/>
              <w:right w:w="100" w:type="dxa"/>
            </w:tcMar>
          </w:tcPr>
          <w:p w14:paraId="3023A1AA"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Operations Team</w:t>
            </w:r>
          </w:p>
        </w:tc>
        <w:tc>
          <w:tcPr>
            <w:tcW w:w="2340" w:type="dxa"/>
            <w:tcMar>
              <w:top w:w="100" w:type="dxa"/>
              <w:left w:w="100" w:type="dxa"/>
              <w:bottom w:w="100" w:type="dxa"/>
              <w:right w:w="100" w:type="dxa"/>
            </w:tcMar>
          </w:tcPr>
          <w:p w14:paraId="61FDBDCA"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Ensure operational feasibility and smooth service deployment.</w:t>
            </w:r>
          </w:p>
        </w:tc>
        <w:tc>
          <w:tcPr>
            <w:tcW w:w="2175" w:type="dxa"/>
            <w:tcMar>
              <w:top w:w="100" w:type="dxa"/>
              <w:left w:w="100" w:type="dxa"/>
              <w:bottom w:w="100" w:type="dxa"/>
              <w:right w:w="100" w:type="dxa"/>
            </w:tcMar>
          </w:tcPr>
          <w:p w14:paraId="5E66CFB7"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Ensures service quality and operational efficiency.</w:t>
            </w:r>
          </w:p>
        </w:tc>
        <w:tc>
          <w:tcPr>
            <w:tcW w:w="2790" w:type="dxa"/>
            <w:tcMar>
              <w:top w:w="100" w:type="dxa"/>
              <w:left w:w="100" w:type="dxa"/>
              <w:bottom w:w="100" w:type="dxa"/>
              <w:right w:w="100" w:type="dxa"/>
            </w:tcMar>
          </w:tcPr>
          <w:p w14:paraId="293B777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Managing resources and training requirements.</w:t>
            </w:r>
          </w:p>
        </w:tc>
      </w:tr>
      <w:tr w:rsidR="003930F5" w:rsidRPr="00502468" w14:paraId="4E0E2748" w14:textId="77777777">
        <w:trPr>
          <w:trHeight w:val="1055"/>
        </w:trPr>
        <w:tc>
          <w:tcPr>
            <w:tcW w:w="1860" w:type="dxa"/>
            <w:shd w:val="clear" w:color="auto" w:fill="EFEFEF"/>
            <w:tcMar>
              <w:top w:w="100" w:type="dxa"/>
              <w:left w:w="100" w:type="dxa"/>
              <w:bottom w:w="100" w:type="dxa"/>
              <w:right w:w="100" w:type="dxa"/>
            </w:tcMar>
          </w:tcPr>
          <w:p w14:paraId="776600FD"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Senior Management</w:t>
            </w:r>
          </w:p>
        </w:tc>
        <w:tc>
          <w:tcPr>
            <w:tcW w:w="2340" w:type="dxa"/>
            <w:tcMar>
              <w:top w:w="100" w:type="dxa"/>
              <w:left w:w="100" w:type="dxa"/>
              <w:bottom w:w="100" w:type="dxa"/>
              <w:right w:w="100" w:type="dxa"/>
            </w:tcMar>
          </w:tcPr>
          <w:p w14:paraId="1F40D52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Oversee the project, make key decisions, and ensure alignment.</w:t>
            </w:r>
          </w:p>
        </w:tc>
        <w:tc>
          <w:tcPr>
            <w:tcW w:w="2175" w:type="dxa"/>
            <w:tcMar>
              <w:top w:w="100" w:type="dxa"/>
              <w:left w:w="100" w:type="dxa"/>
              <w:bottom w:w="100" w:type="dxa"/>
              <w:right w:w="100" w:type="dxa"/>
            </w:tcMar>
          </w:tcPr>
          <w:p w14:paraId="153D507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Strategic guidance and project success oversight.</w:t>
            </w:r>
          </w:p>
        </w:tc>
        <w:tc>
          <w:tcPr>
            <w:tcW w:w="2790" w:type="dxa"/>
            <w:tcMar>
              <w:top w:w="100" w:type="dxa"/>
              <w:left w:w="100" w:type="dxa"/>
              <w:bottom w:w="100" w:type="dxa"/>
              <w:right w:w="100" w:type="dxa"/>
            </w:tcMar>
          </w:tcPr>
          <w:p w14:paraId="6C45D520"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Potential delays in decision-making.</w:t>
            </w:r>
          </w:p>
        </w:tc>
      </w:tr>
      <w:tr w:rsidR="003930F5" w:rsidRPr="00502468" w14:paraId="4BE2874A" w14:textId="77777777">
        <w:trPr>
          <w:trHeight w:val="1055"/>
        </w:trPr>
        <w:tc>
          <w:tcPr>
            <w:tcW w:w="9165" w:type="dxa"/>
            <w:gridSpan w:val="4"/>
            <w:shd w:val="clear" w:color="auto" w:fill="CFE2F3"/>
            <w:tcMar>
              <w:top w:w="100" w:type="dxa"/>
              <w:left w:w="100" w:type="dxa"/>
              <w:bottom w:w="100" w:type="dxa"/>
              <w:right w:w="100" w:type="dxa"/>
            </w:tcMar>
          </w:tcPr>
          <w:p w14:paraId="1005DC56"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lastRenderedPageBreak/>
              <w:t>External</w:t>
            </w:r>
          </w:p>
        </w:tc>
      </w:tr>
      <w:tr w:rsidR="003930F5" w:rsidRPr="00502468" w14:paraId="477C0AA4" w14:textId="77777777">
        <w:trPr>
          <w:trHeight w:val="1340"/>
        </w:trPr>
        <w:tc>
          <w:tcPr>
            <w:tcW w:w="1860" w:type="dxa"/>
            <w:shd w:val="clear" w:color="auto" w:fill="EFEFEF"/>
            <w:tcMar>
              <w:top w:w="100" w:type="dxa"/>
              <w:left w:w="100" w:type="dxa"/>
              <w:bottom w:w="100" w:type="dxa"/>
              <w:right w:w="100" w:type="dxa"/>
            </w:tcMar>
          </w:tcPr>
          <w:p w14:paraId="4C6CF6A0"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Customers</w:t>
            </w:r>
          </w:p>
        </w:tc>
        <w:tc>
          <w:tcPr>
            <w:tcW w:w="2340" w:type="dxa"/>
            <w:tcMar>
              <w:top w:w="100" w:type="dxa"/>
              <w:left w:w="100" w:type="dxa"/>
              <w:bottom w:w="100" w:type="dxa"/>
              <w:right w:w="100" w:type="dxa"/>
            </w:tcMar>
          </w:tcPr>
          <w:p w14:paraId="0B3E42AD"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End-users of StaySmart+ who provide feedback and engagement.</w:t>
            </w:r>
          </w:p>
        </w:tc>
        <w:tc>
          <w:tcPr>
            <w:tcW w:w="2175" w:type="dxa"/>
            <w:tcMar>
              <w:top w:w="100" w:type="dxa"/>
              <w:left w:w="100" w:type="dxa"/>
              <w:bottom w:w="100" w:type="dxa"/>
              <w:right w:w="100" w:type="dxa"/>
            </w:tcMar>
          </w:tcPr>
          <w:p w14:paraId="6E90A58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Direct influence on customer satisfaction and loyalty.</w:t>
            </w:r>
          </w:p>
        </w:tc>
        <w:tc>
          <w:tcPr>
            <w:tcW w:w="2790" w:type="dxa"/>
            <w:tcMar>
              <w:top w:w="100" w:type="dxa"/>
              <w:left w:w="100" w:type="dxa"/>
              <w:bottom w:w="100" w:type="dxa"/>
              <w:right w:w="100" w:type="dxa"/>
            </w:tcMar>
          </w:tcPr>
          <w:p w14:paraId="3E2C606D"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Shifting customer preferences and diverse expectations.</w:t>
            </w:r>
          </w:p>
        </w:tc>
      </w:tr>
      <w:tr w:rsidR="003930F5" w:rsidRPr="00502468" w14:paraId="69622F92" w14:textId="77777777">
        <w:trPr>
          <w:trHeight w:val="1340"/>
        </w:trPr>
        <w:tc>
          <w:tcPr>
            <w:tcW w:w="1860" w:type="dxa"/>
            <w:shd w:val="clear" w:color="auto" w:fill="EFEFEF"/>
            <w:tcMar>
              <w:top w:w="100" w:type="dxa"/>
              <w:left w:w="100" w:type="dxa"/>
              <w:bottom w:w="100" w:type="dxa"/>
              <w:right w:w="100" w:type="dxa"/>
            </w:tcMar>
          </w:tcPr>
          <w:p w14:paraId="7CB115A2"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Suppliers (Sustainability)</w:t>
            </w:r>
          </w:p>
        </w:tc>
        <w:tc>
          <w:tcPr>
            <w:tcW w:w="2340" w:type="dxa"/>
            <w:tcMar>
              <w:top w:w="100" w:type="dxa"/>
              <w:left w:w="100" w:type="dxa"/>
              <w:bottom w:w="100" w:type="dxa"/>
              <w:right w:w="100" w:type="dxa"/>
            </w:tcMar>
          </w:tcPr>
          <w:p w14:paraId="3097E2C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Provide eco-friendly and sustainable amenities for StaySmart+.</w:t>
            </w:r>
          </w:p>
        </w:tc>
        <w:tc>
          <w:tcPr>
            <w:tcW w:w="2175" w:type="dxa"/>
            <w:tcMar>
              <w:top w:w="100" w:type="dxa"/>
              <w:left w:w="100" w:type="dxa"/>
              <w:bottom w:w="100" w:type="dxa"/>
              <w:right w:w="100" w:type="dxa"/>
            </w:tcMar>
          </w:tcPr>
          <w:p w14:paraId="4DE4FBE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Supports IHG’s sustainability goals and brand image.</w:t>
            </w:r>
          </w:p>
        </w:tc>
        <w:tc>
          <w:tcPr>
            <w:tcW w:w="2790" w:type="dxa"/>
            <w:tcMar>
              <w:top w:w="100" w:type="dxa"/>
              <w:left w:w="100" w:type="dxa"/>
              <w:bottom w:w="100" w:type="dxa"/>
              <w:right w:w="100" w:type="dxa"/>
            </w:tcMar>
          </w:tcPr>
          <w:p w14:paraId="64A0016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Managing supply chain disruptions and regulations.</w:t>
            </w:r>
          </w:p>
        </w:tc>
      </w:tr>
      <w:tr w:rsidR="003930F5" w:rsidRPr="00502468" w14:paraId="182CC633" w14:textId="77777777">
        <w:trPr>
          <w:trHeight w:val="1340"/>
        </w:trPr>
        <w:tc>
          <w:tcPr>
            <w:tcW w:w="1860" w:type="dxa"/>
            <w:shd w:val="clear" w:color="auto" w:fill="EFEFEF"/>
            <w:tcMar>
              <w:top w:w="100" w:type="dxa"/>
              <w:left w:w="100" w:type="dxa"/>
              <w:bottom w:w="100" w:type="dxa"/>
              <w:right w:w="100" w:type="dxa"/>
            </w:tcMar>
          </w:tcPr>
          <w:p w14:paraId="76C7D07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Regulatory Bodies</w:t>
            </w:r>
          </w:p>
        </w:tc>
        <w:tc>
          <w:tcPr>
            <w:tcW w:w="2340" w:type="dxa"/>
            <w:tcMar>
              <w:top w:w="100" w:type="dxa"/>
              <w:left w:w="100" w:type="dxa"/>
              <w:bottom w:w="100" w:type="dxa"/>
              <w:right w:w="100" w:type="dxa"/>
            </w:tcMar>
          </w:tcPr>
          <w:p w14:paraId="6A969DE2"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Ensure compliance with environmental and business regulations.</w:t>
            </w:r>
          </w:p>
        </w:tc>
        <w:tc>
          <w:tcPr>
            <w:tcW w:w="2175" w:type="dxa"/>
            <w:tcMar>
              <w:top w:w="100" w:type="dxa"/>
              <w:left w:w="100" w:type="dxa"/>
              <w:bottom w:w="100" w:type="dxa"/>
              <w:right w:w="100" w:type="dxa"/>
            </w:tcMar>
          </w:tcPr>
          <w:p w14:paraId="2F33C9C9"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Helps maintain IHG’s legal and environmental compliance.</w:t>
            </w:r>
          </w:p>
        </w:tc>
        <w:tc>
          <w:tcPr>
            <w:tcW w:w="2790" w:type="dxa"/>
            <w:tcMar>
              <w:top w:w="100" w:type="dxa"/>
              <w:left w:w="100" w:type="dxa"/>
              <w:bottom w:w="100" w:type="dxa"/>
              <w:right w:w="100" w:type="dxa"/>
            </w:tcMar>
          </w:tcPr>
          <w:p w14:paraId="70D0DFF6"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Regulatory changes and compliance costs.</w:t>
            </w:r>
          </w:p>
        </w:tc>
      </w:tr>
      <w:tr w:rsidR="003930F5" w:rsidRPr="00502468" w14:paraId="6313EC78" w14:textId="77777777">
        <w:trPr>
          <w:trHeight w:val="1340"/>
        </w:trPr>
        <w:tc>
          <w:tcPr>
            <w:tcW w:w="1860" w:type="dxa"/>
            <w:shd w:val="clear" w:color="auto" w:fill="EFEFEF"/>
            <w:tcMar>
              <w:top w:w="100" w:type="dxa"/>
              <w:left w:w="100" w:type="dxa"/>
              <w:bottom w:w="100" w:type="dxa"/>
              <w:right w:w="100" w:type="dxa"/>
            </w:tcMar>
          </w:tcPr>
          <w:p w14:paraId="08BC4050"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Local Communities</w:t>
            </w:r>
          </w:p>
        </w:tc>
        <w:tc>
          <w:tcPr>
            <w:tcW w:w="2340" w:type="dxa"/>
            <w:tcMar>
              <w:top w:w="100" w:type="dxa"/>
              <w:left w:w="100" w:type="dxa"/>
              <w:bottom w:w="100" w:type="dxa"/>
              <w:right w:w="100" w:type="dxa"/>
            </w:tcMar>
          </w:tcPr>
          <w:p w14:paraId="38FBEFDD"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Engage in sustainability initiatives and local partnerships.</w:t>
            </w:r>
          </w:p>
        </w:tc>
        <w:tc>
          <w:tcPr>
            <w:tcW w:w="2175" w:type="dxa"/>
            <w:tcMar>
              <w:top w:w="100" w:type="dxa"/>
              <w:left w:w="100" w:type="dxa"/>
              <w:bottom w:w="100" w:type="dxa"/>
              <w:right w:w="100" w:type="dxa"/>
            </w:tcMar>
          </w:tcPr>
          <w:p w14:paraId="342DD0F8"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Enhances brand image and social responsibility.</w:t>
            </w:r>
          </w:p>
        </w:tc>
        <w:tc>
          <w:tcPr>
            <w:tcW w:w="2790" w:type="dxa"/>
            <w:tcMar>
              <w:top w:w="100" w:type="dxa"/>
              <w:left w:w="100" w:type="dxa"/>
              <w:bottom w:w="100" w:type="dxa"/>
              <w:right w:w="100" w:type="dxa"/>
            </w:tcMar>
          </w:tcPr>
          <w:p w14:paraId="5CB69235"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Resistance to new projects or initiatives.</w:t>
            </w:r>
          </w:p>
        </w:tc>
      </w:tr>
    </w:tbl>
    <w:p w14:paraId="0E63A30B" w14:textId="77777777" w:rsidR="003930F5" w:rsidRPr="00502468" w:rsidRDefault="008231ED" w:rsidP="00502468">
      <w:pPr>
        <w:widowControl w:val="0"/>
        <w:spacing w:after="200" w:line="360" w:lineRule="auto"/>
        <w:jc w:val="both"/>
        <w:rPr>
          <w:rFonts w:ascii="Arial" w:hAnsi="Arial" w:cs="Arial"/>
          <w:b/>
          <w:bCs/>
        </w:rPr>
      </w:pPr>
      <w:r w:rsidRPr="00502468">
        <w:rPr>
          <w:rFonts w:ascii="Arial" w:hAnsi="Arial" w:cs="Arial"/>
          <w:b/>
          <w:bCs/>
        </w:rPr>
        <w:t>Table 2</w:t>
      </w:r>
      <w:r w:rsidR="00B72AA6" w:rsidRPr="00502468">
        <w:rPr>
          <w:rFonts w:ascii="Arial" w:hAnsi="Arial" w:cs="Arial"/>
          <w:b/>
          <w:bCs/>
        </w:rPr>
        <w:t>: Key stakeholders</w:t>
      </w:r>
    </w:p>
    <w:p w14:paraId="1F72A29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 xml:space="preserve">The above table includes the major internal and external stakeholders for the launch of the StaySmart+ service at InterContinental Hotels Group (IHG). Internal stakeholders are the Product Development Team that designs and integrates AI-driven tools. The Marketing Team has a role in promoting the service. The Operations Team also makes sure that the service is implemented with efficiency. The Senior Management is in charge of monitoring that the project fits with the strategic objectives of IHG. External </w:t>
      </w:r>
      <w:r w:rsidRPr="00502468">
        <w:rPr>
          <w:rFonts w:ascii="Arial" w:hAnsi="Arial" w:cs="Arial"/>
        </w:rPr>
        <w:lastRenderedPageBreak/>
        <w:t>stakeholders are Customers, who can give valuable feedback that can help to improve the service. The suppliers will offer green amenities and contribute to the sustainability of IHG. Legal Compliance is provided by Regulatory Bodies. Further, Local Communities gain progress with sustainability projects, yet they may not approve new projects.</w:t>
      </w:r>
    </w:p>
    <w:p w14:paraId="0BD4E456"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 xml:space="preserve">The high power/interest stakeholders that should be prioritised by StaySmart+ as stakeholders include Senior Management and Regulatory Bodies, and thus should be addressed with the help of such tools as the Stakeholder Engagement Matrix and Salience Model. </w:t>
      </w:r>
    </w:p>
    <w:tbl>
      <w:tblPr>
        <w:tblStyle w:val="Table2"/>
        <w:tblW w:w="949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15"/>
        <w:gridCol w:w="1080"/>
        <w:gridCol w:w="930"/>
        <w:gridCol w:w="930"/>
        <w:gridCol w:w="1050"/>
        <w:gridCol w:w="930"/>
        <w:gridCol w:w="1200"/>
        <w:gridCol w:w="1035"/>
        <w:gridCol w:w="1125"/>
      </w:tblGrid>
      <w:tr w:rsidR="003930F5" w:rsidRPr="00502468" w14:paraId="65B7563F" w14:textId="77777777">
        <w:trPr>
          <w:trHeight w:val="1055"/>
        </w:trPr>
        <w:tc>
          <w:tcPr>
            <w:tcW w:w="1215" w:type="dxa"/>
            <w:shd w:val="clear" w:color="auto" w:fill="FFF2CC"/>
            <w:tcMar>
              <w:top w:w="100" w:type="dxa"/>
              <w:left w:w="100" w:type="dxa"/>
              <w:bottom w:w="100" w:type="dxa"/>
              <w:right w:w="100" w:type="dxa"/>
            </w:tcMar>
          </w:tcPr>
          <w:p w14:paraId="01486A6C" w14:textId="77777777" w:rsidR="003930F5" w:rsidRPr="00502468" w:rsidRDefault="003930F5" w:rsidP="00502468">
            <w:pPr>
              <w:widowControl w:val="0"/>
              <w:spacing w:after="200" w:line="360" w:lineRule="auto"/>
              <w:jc w:val="both"/>
              <w:rPr>
                <w:rFonts w:ascii="Arial" w:hAnsi="Arial" w:cs="Arial"/>
              </w:rPr>
            </w:pPr>
          </w:p>
        </w:tc>
        <w:tc>
          <w:tcPr>
            <w:tcW w:w="1080" w:type="dxa"/>
            <w:shd w:val="clear" w:color="auto" w:fill="FFF2CC"/>
            <w:tcMar>
              <w:top w:w="100" w:type="dxa"/>
              <w:left w:w="100" w:type="dxa"/>
              <w:bottom w:w="100" w:type="dxa"/>
              <w:right w:w="100" w:type="dxa"/>
            </w:tcMar>
          </w:tcPr>
          <w:p w14:paraId="52276708"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Product Development Team</w:t>
            </w:r>
          </w:p>
        </w:tc>
        <w:tc>
          <w:tcPr>
            <w:tcW w:w="930" w:type="dxa"/>
            <w:shd w:val="clear" w:color="auto" w:fill="FFF2CC"/>
            <w:tcMar>
              <w:top w:w="100" w:type="dxa"/>
              <w:left w:w="100" w:type="dxa"/>
              <w:bottom w:w="100" w:type="dxa"/>
              <w:right w:w="100" w:type="dxa"/>
            </w:tcMar>
          </w:tcPr>
          <w:p w14:paraId="4CA887C8"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Marketing Team</w:t>
            </w:r>
          </w:p>
        </w:tc>
        <w:tc>
          <w:tcPr>
            <w:tcW w:w="930" w:type="dxa"/>
            <w:shd w:val="clear" w:color="auto" w:fill="FFF2CC"/>
            <w:tcMar>
              <w:top w:w="100" w:type="dxa"/>
              <w:left w:w="100" w:type="dxa"/>
              <w:bottom w:w="100" w:type="dxa"/>
              <w:right w:w="100" w:type="dxa"/>
            </w:tcMar>
          </w:tcPr>
          <w:p w14:paraId="786DDBD8"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Operations Team</w:t>
            </w:r>
          </w:p>
        </w:tc>
        <w:tc>
          <w:tcPr>
            <w:tcW w:w="1050" w:type="dxa"/>
            <w:shd w:val="clear" w:color="auto" w:fill="FFF2CC"/>
            <w:tcMar>
              <w:top w:w="100" w:type="dxa"/>
              <w:left w:w="100" w:type="dxa"/>
              <w:bottom w:w="100" w:type="dxa"/>
              <w:right w:w="100" w:type="dxa"/>
            </w:tcMar>
          </w:tcPr>
          <w:p w14:paraId="2997E5A8"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Senior Management</w:t>
            </w:r>
          </w:p>
        </w:tc>
        <w:tc>
          <w:tcPr>
            <w:tcW w:w="930" w:type="dxa"/>
            <w:shd w:val="clear" w:color="auto" w:fill="FFF2CC"/>
            <w:tcMar>
              <w:top w:w="100" w:type="dxa"/>
              <w:left w:w="100" w:type="dxa"/>
              <w:bottom w:w="100" w:type="dxa"/>
              <w:right w:w="100" w:type="dxa"/>
            </w:tcMar>
          </w:tcPr>
          <w:p w14:paraId="43521EF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Customers</w:t>
            </w:r>
          </w:p>
        </w:tc>
        <w:tc>
          <w:tcPr>
            <w:tcW w:w="1200" w:type="dxa"/>
            <w:shd w:val="clear" w:color="auto" w:fill="FFF2CC"/>
            <w:tcMar>
              <w:top w:w="100" w:type="dxa"/>
              <w:left w:w="100" w:type="dxa"/>
              <w:bottom w:w="100" w:type="dxa"/>
              <w:right w:w="100" w:type="dxa"/>
            </w:tcMar>
          </w:tcPr>
          <w:p w14:paraId="407BE29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Suppliers (Sustainability)</w:t>
            </w:r>
          </w:p>
        </w:tc>
        <w:tc>
          <w:tcPr>
            <w:tcW w:w="1035" w:type="dxa"/>
            <w:shd w:val="clear" w:color="auto" w:fill="FFF2CC"/>
            <w:tcMar>
              <w:top w:w="100" w:type="dxa"/>
              <w:left w:w="100" w:type="dxa"/>
              <w:bottom w:w="100" w:type="dxa"/>
              <w:right w:w="100" w:type="dxa"/>
            </w:tcMar>
          </w:tcPr>
          <w:p w14:paraId="6BB1BA4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Regulatory Bodies</w:t>
            </w:r>
          </w:p>
        </w:tc>
        <w:tc>
          <w:tcPr>
            <w:tcW w:w="1125" w:type="dxa"/>
            <w:shd w:val="clear" w:color="auto" w:fill="FFF2CC"/>
            <w:tcMar>
              <w:top w:w="100" w:type="dxa"/>
              <w:left w:w="100" w:type="dxa"/>
              <w:bottom w:w="100" w:type="dxa"/>
              <w:right w:w="100" w:type="dxa"/>
            </w:tcMar>
          </w:tcPr>
          <w:p w14:paraId="1C4387A4"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Local Communities</w:t>
            </w:r>
          </w:p>
        </w:tc>
      </w:tr>
      <w:tr w:rsidR="003930F5" w:rsidRPr="00502468" w14:paraId="7287439A" w14:textId="77777777">
        <w:trPr>
          <w:trHeight w:val="500"/>
        </w:trPr>
        <w:tc>
          <w:tcPr>
            <w:tcW w:w="1215" w:type="dxa"/>
            <w:shd w:val="clear" w:color="auto" w:fill="FFF2CC"/>
            <w:tcMar>
              <w:top w:w="100" w:type="dxa"/>
              <w:left w:w="100" w:type="dxa"/>
              <w:bottom w:w="100" w:type="dxa"/>
              <w:right w:w="100" w:type="dxa"/>
            </w:tcMar>
          </w:tcPr>
          <w:p w14:paraId="4574AD84"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Service Design</w:t>
            </w:r>
          </w:p>
        </w:tc>
        <w:tc>
          <w:tcPr>
            <w:tcW w:w="1080" w:type="dxa"/>
            <w:shd w:val="clear" w:color="auto" w:fill="D9EAD3"/>
            <w:tcMar>
              <w:top w:w="100" w:type="dxa"/>
              <w:left w:w="100" w:type="dxa"/>
              <w:bottom w:w="100" w:type="dxa"/>
              <w:right w:w="100" w:type="dxa"/>
            </w:tcMar>
          </w:tcPr>
          <w:p w14:paraId="283179B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R</w:t>
            </w:r>
          </w:p>
        </w:tc>
        <w:tc>
          <w:tcPr>
            <w:tcW w:w="930" w:type="dxa"/>
            <w:shd w:val="clear" w:color="auto" w:fill="D9EAD3"/>
            <w:tcMar>
              <w:top w:w="100" w:type="dxa"/>
              <w:left w:w="100" w:type="dxa"/>
              <w:bottom w:w="100" w:type="dxa"/>
              <w:right w:w="100" w:type="dxa"/>
            </w:tcMar>
          </w:tcPr>
          <w:p w14:paraId="0D18513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930" w:type="dxa"/>
            <w:shd w:val="clear" w:color="auto" w:fill="D9EAD3"/>
            <w:tcMar>
              <w:top w:w="100" w:type="dxa"/>
              <w:left w:w="100" w:type="dxa"/>
              <w:bottom w:w="100" w:type="dxa"/>
              <w:right w:w="100" w:type="dxa"/>
            </w:tcMar>
          </w:tcPr>
          <w:p w14:paraId="78F10ACA"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1050" w:type="dxa"/>
            <w:shd w:val="clear" w:color="auto" w:fill="D9EAD3"/>
            <w:tcMar>
              <w:top w:w="100" w:type="dxa"/>
              <w:left w:w="100" w:type="dxa"/>
              <w:bottom w:w="100" w:type="dxa"/>
              <w:right w:w="100" w:type="dxa"/>
            </w:tcMar>
          </w:tcPr>
          <w:p w14:paraId="5237D6BA"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A</w:t>
            </w:r>
          </w:p>
        </w:tc>
        <w:tc>
          <w:tcPr>
            <w:tcW w:w="930" w:type="dxa"/>
            <w:shd w:val="clear" w:color="auto" w:fill="D9EAD3"/>
            <w:tcMar>
              <w:top w:w="100" w:type="dxa"/>
              <w:left w:w="100" w:type="dxa"/>
              <w:bottom w:w="100" w:type="dxa"/>
              <w:right w:w="100" w:type="dxa"/>
            </w:tcMar>
          </w:tcPr>
          <w:p w14:paraId="4335746A"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200" w:type="dxa"/>
            <w:shd w:val="clear" w:color="auto" w:fill="D9EAD3"/>
            <w:tcMar>
              <w:top w:w="100" w:type="dxa"/>
              <w:left w:w="100" w:type="dxa"/>
              <w:bottom w:w="100" w:type="dxa"/>
              <w:right w:w="100" w:type="dxa"/>
            </w:tcMar>
          </w:tcPr>
          <w:p w14:paraId="74BFCDFD"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035" w:type="dxa"/>
            <w:shd w:val="clear" w:color="auto" w:fill="D9EAD3"/>
            <w:tcMar>
              <w:top w:w="100" w:type="dxa"/>
              <w:left w:w="100" w:type="dxa"/>
              <w:bottom w:w="100" w:type="dxa"/>
              <w:right w:w="100" w:type="dxa"/>
            </w:tcMar>
          </w:tcPr>
          <w:p w14:paraId="7D4E47A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1125" w:type="dxa"/>
            <w:shd w:val="clear" w:color="auto" w:fill="D9EAD3"/>
            <w:tcMar>
              <w:top w:w="100" w:type="dxa"/>
              <w:left w:w="100" w:type="dxa"/>
              <w:bottom w:w="100" w:type="dxa"/>
              <w:right w:w="100" w:type="dxa"/>
            </w:tcMar>
          </w:tcPr>
          <w:p w14:paraId="3F21109E"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r>
      <w:tr w:rsidR="003930F5" w:rsidRPr="00502468" w14:paraId="19EC3287" w14:textId="77777777">
        <w:trPr>
          <w:trHeight w:val="785"/>
        </w:trPr>
        <w:tc>
          <w:tcPr>
            <w:tcW w:w="1215" w:type="dxa"/>
            <w:shd w:val="clear" w:color="auto" w:fill="FFF2CC"/>
            <w:tcMar>
              <w:top w:w="100" w:type="dxa"/>
              <w:left w:w="100" w:type="dxa"/>
              <w:bottom w:w="100" w:type="dxa"/>
              <w:right w:w="100" w:type="dxa"/>
            </w:tcMar>
          </w:tcPr>
          <w:p w14:paraId="4A3972B7"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Marketing Campaign</w:t>
            </w:r>
          </w:p>
        </w:tc>
        <w:tc>
          <w:tcPr>
            <w:tcW w:w="1080" w:type="dxa"/>
            <w:shd w:val="clear" w:color="auto" w:fill="D9EAD3"/>
            <w:tcMar>
              <w:top w:w="100" w:type="dxa"/>
              <w:left w:w="100" w:type="dxa"/>
              <w:bottom w:w="100" w:type="dxa"/>
              <w:right w:w="100" w:type="dxa"/>
            </w:tcMar>
          </w:tcPr>
          <w:p w14:paraId="18F2B56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930" w:type="dxa"/>
            <w:shd w:val="clear" w:color="auto" w:fill="D9EAD3"/>
            <w:tcMar>
              <w:top w:w="100" w:type="dxa"/>
              <w:left w:w="100" w:type="dxa"/>
              <w:bottom w:w="100" w:type="dxa"/>
              <w:right w:w="100" w:type="dxa"/>
            </w:tcMar>
          </w:tcPr>
          <w:p w14:paraId="322682A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R</w:t>
            </w:r>
          </w:p>
        </w:tc>
        <w:tc>
          <w:tcPr>
            <w:tcW w:w="930" w:type="dxa"/>
            <w:shd w:val="clear" w:color="auto" w:fill="D9EAD3"/>
            <w:tcMar>
              <w:top w:w="100" w:type="dxa"/>
              <w:left w:w="100" w:type="dxa"/>
              <w:bottom w:w="100" w:type="dxa"/>
              <w:right w:w="100" w:type="dxa"/>
            </w:tcMar>
          </w:tcPr>
          <w:p w14:paraId="0A6FA7D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1050" w:type="dxa"/>
            <w:shd w:val="clear" w:color="auto" w:fill="D9EAD3"/>
            <w:tcMar>
              <w:top w:w="100" w:type="dxa"/>
              <w:left w:w="100" w:type="dxa"/>
              <w:bottom w:w="100" w:type="dxa"/>
              <w:right w:w="100" w:type="dxa"/>
            </w:tcMar>
          </w:tcPr>
          <w:p w14:paraId="78860AFD"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A</w:t>
            </w:r>
          </w:p>
        </w:tc>
        <w:tc>
          <w:tcPr>
            <w:tcW w:w="930" w:type="dxa"/>
            <w:shd w:val="clear" w:color="auto" w:fill="D9EAD3"/>
            <w:tcMar>
              <w:top w:w="100" w:type="dxa"/>
              <w:left w:w="100" w:type="dxa"/>
              <w:bottom w:w="100" w:type="dxa"/>
              <w:right w:w="100" w:type="dxa"/>
            </w:tcMar>
          </w:tcPr>
          <w:p w14:paraId="496074BC"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200" w:type="dxa"/>
            <w:shd w:val="clear" w:color="auto" w:fill="D9EAD3"/>
            <w:tcMar>
              <w:top w:w="100" w:type="dxa"/>
              <w:left w:w="100" w:type="dxa"/>
              <w:bottom w:w="100" w:type="dxa"/>
              <w:right w:w="100" w:type="dxa"/>
            </w:tcMar>
          </w:tcPr>
          <w:p w14:paraId="146B2EA2"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035" w:type="dxa"/>
            <w:shd w:val="clear" w:color="auto" w:fill="D9EAD3"/>
            <w:tcMar>
              <w:top w:w="100" w:type="dxa"/>
              <w:left w:w="100" w:type="dxa"/>
              <w:bottom w:w="100" w:type="dxa"/>
              <w:right w:w="100" w:type="dxa"/>
            </w:tcMar>
          </w:tcPr>
          <w:p w14:paraId="6EE8CAA0"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125" w:type="dxa"/>
            <w:shd w:val="clear" w:color="auto" w:fill="D9EAD3"/>
            <w:tcMar>
              <w:top w:w="100" w:type="dxa"/>
              <w:left w:w="100" w:type="dxa"/>
              <w:bottom w:w="100" w:type="dxa"/>
              <w:right w:w="100" w:type="dxa"/>
            </w:tcMar>
          </w:tcPr>
          <w:p w14:paraId="73B24AC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r>
      <w:tr w:rsidR="003930F5" w:rsidRPr="00502468" w14:paraId="624D3879" w14:textId="77777777">
        <w:trPr>
          <w:trHeight w:val="785"/>
        </w:trPr>
        <w:tc>
          <w:tcPr>
            <w:tcW w:w="1215" w:type="dxa"/>
            <w:shd w:val="clear" w:color="auto" w:fill="FFF2CC"/>
            <w:tcMar>
              <w:top w:w="100" w:type="dxa"/>
              <w:left w:w="100" w:type="dxa"/>
              <w:bottom w:w="100" w:type="dxa"/>
              <w:right w:w="100" w:type="dxa"/>
            </w:tcMar>
          </w:tcPr>
          <w:p w14:paraId="155B245C"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Operational Feasibility</w:t>
            </w:r>
          </w:p>
        </w:tc>
        <w:tc>
          <w:tcPr>
            <w:tcW w:w="1080" w:type="dxa"/>
            <w:shd w:val="clear" w:color="auto" w:fill="D9EAD3"/>
            <w:tcMar>
              <w:top w:w="100" w:type="dxa"/>
              <w:left w:w="100" w:type="dxa"/>
              <w:bottom w:w="100" w:type="dxa"/>
              <w:right w:w="100" w:type="dxa"/>
            </w:tcMar>
          </w:tcPr>
          <w:p w14:paraId="648EA38E"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930" w:type="dxa"/>
            <w:shd w:val="clear" w:color="auto" w:fill="D9EAD3"/>
            <w:tcMar>
              <w:top w:w="100" w:type="dxa"/>
              <w:left w:w="100" w:type="dxa"/>
              <w:bottom w:w="100" w:type="dxa"/>
              <w:right w:w="100" w:type="dxa"/>
            </w:tcMar>
          </w:tcPr>
          <w:p w14:paraId="4F255906"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930" w:type="dxa"/>
            <w:shd w:val="clear" w:color="auto" w:fill="D9EAD3"/>
            <w:tcMar>
              <w:top w:w="100" w:type="dxa"/>
              <w:left w:w="100" w:type="dxa"/>
              <w:bottom w:w="100" w:type="dxa"/>
              <w:right w:w="100" w:type="dxa"/>
            </w:tcMar>
          </w:tcPr>
          <w:p w14:paraId="66D51E3C"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R</w:t>
            </w:r>
          </w:p>
        </w:tc>
        <w:tc>
          <w:tcPr>
            <w:tcW w:w="1050" w:type="dxa"/>
            <w:shd w:val="clear" w:color="auto" w:fill="D9EAD3"/>
            <w:tcMar>
              <w:top w:w="100" w:type="dxa"/>
              <w:left w:w="100" w:type="dxa"/>
              <w:bottom w:w="100" w:type="dxa"/>
              <w:right w:w="100" w:type="dxa"/>
            </w:tcMar>
          </w:tcPr>
          <w:p w14:paraId="18F5C295"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A</w:t>
            </w:r>
          </w:p>
        </w:tc>
        <w:tc>
          <w:tcPr>
            <w:tcW w:w="930" w:type="dxa"/>
            <w:shd w:val="clear" w:color="auto" w:fill="D9EAD3"/>
            <w:tcMar>
              <w:top w:w="100" w:type="dxa"/>
              <w:left w:w="100" w:type="dxa"/>
              <w:bottom w:w="100" w:type="dxa"/>
              <w:right w:w="100" w:type="dxa"/>
            </w:tcMar>
          </w:tcPr>
          <w:p w14:paraId="27369F5A"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200" w:type="dxa"/>
            <w:shd w:val="clear" w:color="auto" w:fill="D9EAD3"/>
            <w:tcMar>
              <w:top w:w="100" w:type="dxa"/>
              <w:left w:w="100" w:type="dxa"/>
              <w:bottom w:w="100" w:type="dxa"/>
              <w:right w:w="100" w:type="dxa"/>
            </w:tcMar>
          </w:tcPr>
          <w:p w14:paraId="758C15A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035" w:type="dxa"/>
            <w:shd w:val="clear" w:color="auto" w:fill="D9EAD3"/>
            <w:tcMar>
              <w:top w:w="100" w:type="dxa"/>
              <w:left w:w="100" w:type="dxa"/>
              <w:bottom w:w="100" w:type="dxa"/>
              <w:right w:w="100" w:type="dxa"/>
            </w:tcMar>
          </w:tcPr>
          <w:p w14:paraId="1A26F52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1125" w:type="dxa"/>
            <w:shd w:val="clear" w:color="auto" w:fill="D9EAD3"/>
            <w:tcMar>
              <w:top w:w="100" w:type="dxa"/>
              <w:left w:w="100" w:type="dxa"/>
              <w:bottom w:w="100" w:type="dxa"/>
              <w:right w:w="100" w:type="dxa"/>
            </w:tcMar>
          </w:tcPr>
          <w:p w14:paraId="63983C46"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r>
      <w:tr w:rsidR="003930F5" w:rsidRPr="00502468" w14:paraId="11492BB1" w14:textId="77777777">
        <w:trPr>
          <w:trHeight w:val="1055"/>
        </w:trPr>
        <w:tc>
          <w:tcPr>
            <w:tcW w:w="1215" w:type="dxa"/>
            <w:shd w:val="clear" w:color="auto" w:fill="FFF2CC"/>
            <w:tcMar>
              <w:top w:w="100" w:type="dxa"/>
              <w:left w:w="100" w:type="dxa"/>
              <w:bottom w:w="100" w:type="dxa"/>
              <w:right w:w="100" w:type="dxa"/>
            </w:tcMar>
          </w:tcPr>
          <w:p w14:paraId="477C5B24"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 xml:space="preserve">Staff Training </w:t>
            </w:r>
            <w:r w:rsidRPr="00502468">
              <w:rPr>
                <w:rFonts w:ascii="Arial" w:hAnsi="Arial" w:cs="Arial"/>
                <w:b/>
                <w:bCs/>
              </w:rPr>
              <w:lastRenderedPageBreak/>
              <w:t>&amp; Implementation</w:t>
            </w:r>
          </w:p>
        </w:tc>
        <w:tc>
          <w:tcPr>
            <w:tcW w:w="1080" w:type="dxa"/>
            <w:shd w:val="clear" w:color="auto" w:fill="D9EAD3"/>
            <w:tcMar>
              <w:top w:w="100" w:type="dxa"/>
              <w:left w:w="100" w:type="dxa"/>
              <w:bottom w:w="100" w:type="dxa"/>
              <w:right w:w="100" w:type="dxa"/>
            </w:tcMar>
          </w:tcPr>
          <w:p w14:paraId="08C13E1C"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lastRenderedPageBreak/>
              <w:t>C</w:t>
            </w:r>
          </w:p>
        </w:tc>
        <w:tc>
          <w:tcPr>
            <w:tcW w:w="930" w:type="dxa"/>
            <w:shd w:val="clear" w:color="auto" w:fill="D9EAD3"/>
            <w:tcMar>
              <w:top w:w="100" w:type="dxa"/>
              <w:left w:w="100" w:type="dxa"/>
              <w:bottom w:w="100" w:type="dxa"/>
              <w:right w:w="100" w:type="dxa"/>
            </w:tcMar>
          </w:tcPr>
          <w:p w14:paraId="78787D54"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930" w:type="dxa"/>
            <w:shd w:val="clear" w:color="auto" w:fill="D9EAD3"/>
            <w:tcMar>
              <w:top w:w="100" w:type="dxa"/>
              <w:left w:w="100" w:type="dxa"/>
              <w:bottom w:w="100" w:type="dxa"/>
              <w:right w:w="100" w:type="dxa"/>
            </w:tcMar>
          </w:tcPr>
          <w:p w14:paraId="416CF275"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R</w:t>
            </w:r>
          </w:p>
        </w:tc>
        <w:tc>
          <w:tcPr>
            <w:tcW w:w="1050" w:type="dxa"/>
            <w:shd w:val="clear" w:color="auto" w:fill="D9EAD3"/>
            <w:tcMar>
              <w:top w:w="100" w:type="dxa"/>
              <w:left w:w="100" w:type="dxa"/>
              <w:bottom w:w="100" w:type="dxa"/>
              <w:right w:w="100" w:type="dxa"/>
            </w:tcMar>
          </w:tcPr>
          <w:p w14:paraId="0B9E3E8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A</w:t>
            </w:r>
          </w:p>
        </w:tc>
        <w:tc>
          <w:tcPr>
            <w:tcW w:w="930" w:type="dxa"/>
            <w:shd w:val="clear" w:color="auto" w:fill="D9EAD3"/>
            <w:tcMar>
              <w:top w:w="100" w:type="dxa"/>
              <w:left w:w="100" w:type="dxa"/>
              <w:bottom w:w="100" w:type="dxa"/>
              <w:right w:w="100" w:type="dxa"/>
            </w:tcMar>
          </w:tcPr>
          <w:p w14:paraId="50D2B570"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200" w:type="dxa"/>
            <w:shd w:val="clear" w:color="auto" w:fill="D9EAD3"/>
            <w:tcMar>
              <w:top w:w="100" w:type="dxa"/>
              <w:left w:w="100" w:type="dxa"/>
              <w:bottom w:w="100" w:type="dxa"/>
              <w:right w:w="100" w:type="dxa"/>
            </w:tcMar>
          </w:tcPr>
          <w:p w14:paraId="3E875A16"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035" w:type="dxa"/>
            <w:shd w:val="clear" w:color="auto" w:fill="D9EAD3"/>
            <w:tcMar>
              <w:top w:w="100" w:type="dxa"/>
              <w:left w:w="100" w:type="dxa"/>
              <w:bottom w:w="100" w:type="dxa"/>
              <w:right w:w="100" w:type="dxa"/>
            </w:tcMar>
          </w:tcPr>
          <w:p w14:paraId="6997D402"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1125" w:type="dxa"/>
            <w:shd w:val="clear" w:color="auto" w:fill="D9EAD3"/>
            <w:tcMar>
              <w:top w:w="100" w:type="dxa"/>
              <w:left w:w="100" w:type="dxa"/>
              <w:bottom w:w="100" w:type="dxa"/>
              <w:right w:w="100" w:type="dxa"/>
            </w:tcMar>
          </w:tcPr>
          <w:p w14:paraId="00AD3EA7"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r>
      <w:tr w:rsidR="003930F5" w:rsidRPr="00502468" w14:paraId="358E9DC2" w14:textId="77777777">
        <w:trPr>
          <w:trHeight w:val="1055"/>
        </w:trPr>
        <w:tc>
          <w:tcPr>
            <w:tcW w:w="1215" w:type="dxa"/>
            <w:shd w:val="clear" w:color="auto" w:fill="FFF2CC"/>
            <w:tcMar>
              <w:top w:w="100" w:type="dxa"/>
              <w:left w:w="100" w:type="dxa"/>
              <w:bottom w:w="100" w:type="dxa"/>
              <w:right w:w="100" w:type="dxa"/>
            </w:tcMar>
          </w:tcPr>
          <w:p w14:paraId="3F1DE06C"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Customer Feedback &amp; Engagement</w:t>
            </w:r>
          </w:p>
        </w:tc>
        <w:tc>
          <w:tcPr>
            <w:tcW w:w="1080" w:type="dxa"/>
            <w:shd w:val="clear" w:color="auto" w:fill="D9EAD3"/>
            <w:tcMar>
              <w:top w:w="100" w:type="dxa"/>
              <w:left w:w="100" w:type="dxa"/>
              <w:bottom w:w="100" w:type="dxa"/>
              <w:right w:w="100" w:type="dxa"/>
            </w:tcMar>
          </w:tcPr>
          <w:p w14:paraId="78375A46"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930" w:type="dxa"/>
            <w:shd w:val="clear" w:color="auto" w:fill="D9EAD3"/>
            <w:tcMar>
              <w:top w:w="100" w:type="dxa"/>
              <w:left w:w="100" w:type="dxa"/>
              <w:bottom w:w="100" w:type="dxa"/>
              <w:right w:w="100" w:type="dxa"/>
            </w:tcMar>
          </w:tcPr>
          <w:p w14:paraId="7E8F191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R</w:t>
            </w:r>
          </w:p>
        </w:tc>
        <w:tc>
          <w:tcPr>
            <w:tcW w:w="930" w:type="dxa"/>
            <w:shd w:val="clear" w:color="auto" w:fill="D9EAD3"/>
            <w:tcMar>
              <w:top w:w="100" w:type="dxa"/>
              <w:left w:w="100" w:type="dxa"/>
              <w:bottom w:w="100" w:type="dxa"/>
              <w:right w:w="100" w:type="dxa"/>
            </w:tcMar>
          </w:tcPr>
          <w:p w14:paraId="52C1F299"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1050" w:type="dxa"/>
            <w:shd w:val="clear" w:color="auto" w:fill="D9EAD3"/>
            <w:tcMar>
              <w:top w:w="100" w:type="dxa"/>
              <w:left w:w="100" w:type="dxa"/>
              <w:bottom w:w="100" w:type="dxa"/>
              <w:right w:w="100" w:type="dxa"/>
            </w:tcMar>
          </w:tcPr>
          <w:p w14:paraId="7584CBC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930" w:type="dxa"/>
            <w:shd w:val="clear" w:color="auto" w:fill="D9EAD3"/>
            <w:tcMar>
              <w:top w:w="100" w:type="dxa"/>
              <w:left w:w="100" w:type="dxa"/>
              <w:bottom w:w="100" w:type="dxa"/>
              <w:right w:w="100" w:type="dxa"/>
            </w:tcMar>
          </w:tcPr>
          <w:p w14:paraId="028B206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R</w:t>
            </w:r>
          </w:p>
        </w:tc>
        <w:tc>
          <w:tcPr>
            <w:tcW w:w="1200" w:type="dxa"/>
            <w:shd w:val="clear" w:color="auto" w:fill="D9EAD3"/>
            <w:tcMar>
              <w:top w:w="100" w:type="dxa"/>
              <w:left w:w="100" w:type="dxa"/>
              <w:bottom w:w="100" w:type="dxa"/>
              <w:right w:w="100" w:type="dxa"/>
            </w:tcMar>
          </w:tcPr>
          <w:p w14:paraId="2E663056"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035" w:type="dxa"/>
            <w:shd w:val="clear" w:color="auto" w:fill="D9EAD3"/>
            <w:tcMar>
              <w:top w:w="100" w:type="dxa"/>
              <w:left w:w="100" w:type="dxa"/>
              <w:bottom w:w="100" w:type="dxa"/>
              <w:right w:w="100" w:type="dxa"/>
            </w:tcMar>
          </w:tcPr>
          <w:p w14:paraId="215919D4"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125" w:type="dxa"/>
            <w:shd w:val="clear" w:color="auto" w:fill="D9EAD3"/>
            <w:tcMar>
              <w:top w:w="100" w:type="dxa"/>
              <w:left w:w="100" w:type="dxa"/>
              <w:bottom w:w="100" w:type="dxa"/>
              <w:right w:w="100" w:type="dxa"/>
            </w:tcMar>
          </w:tcPr>
          <w:p w14:paraId="7240A88A"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r>
      <w:tr w:rsidR="003930F5" w:rsidRPr="00502468" w14:paraId="72617891" w14:textId="77777777">
        <w:trPr>
          <w:trHeight w:val="785"/>
        </w:trPr>
        <w:tc>
          <w:tcPr>
            <w:tcW w:w="1215" w:type="dxa"/>
            <w:shd w:val="clear" w:color="auto" w:fill="FFF2CC"/>
            <w:tcMar>
              <w:top w:w="100" w:type="dxa"/>
              <w:left w:w="100" w:type="dxa"/>
              <w:bottom w:w="100" w:type="dxa"/>
              <w:right w:w="100" w:type="dxa"/>
            </w:tcMar>
          </w:tcPr>
          <w:p w14:paraId="3B46FD69"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Supply Chain Management</w:t>
            </w:r>
          </w:p>
        </w:tc>
        <w:tc>
          <w:tcPr>
            <w:tcW w:w="1080" w:type="dxa"/>
            <w:shd w:val="clear" w:color="auto" w:fill="D9EAD3"/>
            <w:tcMar>
              <w:top w:w="100" w:type="dxa"/>
              <w:left w:w="100" w:type="dxa"/>
              <w:bottom w:w="100" w:type="dxa"/>
              <w:right w:w="100" w:type="dxa"/>
            </w:tcMar>
          </w:tcPr>
          <w:p w14:paraId="2D746822"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930" w:type="dxa"/>
            <w:shd w:val="clear" w:color="auto" w:fill="D9EAD3"/>
            <w:tcMar>
              <w:top w:w="100" w:type="dxa"/>
              <w:left w:w="100" w:type="dxa"/>
              <w:bottom w:w="100" w:type="dxa"/>
              <w:right w:w="100" w:type="dxa"/>
            </w:tcMar>
          </w:tcPr>
          <w:p w14:paraId="65CBA2A9"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930" w:type="dxa"/>
            <w:shd w:val="clear" w:color="auto" w:fill="D9EAD3"/>
            <w:tcMar>
              <w:top w:w="100" w:type="dxa"/>
              <w:left w:w="100" w:type="dxa"/>
              <w:bottom w:w="100" w:type="dxa"/>
              <w:right w:w="100" w:type="dxa"/>
            </w:tcMar>
          </w:tcPr>
          <w:p w14:paraId="502C2415"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1050" w:type="dxa"/>
            <w:shd w:val="clear" w:color="auto" w:fill="D9EAD3"/>
            <w:tcMar>
              <w:top w:w="100" w:type="dxa"/>
              <w:left w:w="100" w:type="dxa"/>
              <w:bottom w:w="100" w:type="dxa"/>
              <w:right w:w="100" w:type="dxa"/>
            </w:tcMar>
          </w:tcPr>
          <w:p w14:paraId="487108AE"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930" w:type="dxa"/>
            <w:shd w:val="clear" w:color="auto" w:fill="D9EAD3"/>
            <w:tcMar>
              <w:top w:w="100" w:type="dxa"/>
              <w:left w:w="100" w:type="dxa"/>
              <w:bottom w:w="100" w:type="dxa"/>
              <w:right w:w="100" w:type="dxa"/>
            </w:tcMar>
          </w:tcPr>
          <w:p w14:paraId="3366C6E4"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200" w:type="dxa"/>
            <w:shd w:val="clear" w:color="auto" w:fill="D9EAD3"/>
            <w:tcMar>
              <w:top w:w="100" w:type="dxa"/>
              <w:left w:w="100" w:type="dxa"/>
              <w:bottom w:w="100" w:type="dxa"/>
              <w:right w:w="100" w:type="dxa"/>
            </w:tcMar>
          </w:tcPr>
          <w:p w14:paraId="08E8DDD7"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R</w:t>
            </w:r>
          </w:p>
        </w:tc>
        <w:tc>
          <w:tcPr>
            <w:tcW w:w="1035" w:type="dxa"/>
            <w:shd w:val="clear" w:color="auto" w:fill="D9EAD3"/>
            <w:tcMar>
              <w:top w:w="100" w:type="dxa"/>
              <w:left w:w="100" w:type="dxa"/>
              <w:bottom w:w="100" w:type="dxa"/>
              <w:right w:w="100" w:type="dxa"/>
            </w:tcMar>
          </w:tcPr>
          <w:p w14:paraId="68933FBE"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125" w:type="dxa"/>
            <w:shd w:val="clear" w:color="auto" w:fill="D9EAD3"/>
            <w:tcMar>
              <w:top w:w="100" w:type="dxa"/>
              <w:left w:w="100" w:type="dxa"/>
              <w:bottom w:w="100" w:type="dxa"/>
              <w:right w:w="100" w:type="dxa"/>
            </w:tcMar>
          </w:tcPr>
          <w:p w14:paraId="74015687"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r>
      <w:tr w:rsidR="003930F5" w:rsidRPr="00502468" w14:paraId="488CB0AE" w14:textId="77777777">
        <w:trPr>
          <w:trHeight w:val="785"/>
        </w:trPr>
        <w:tc>
          <w:tcPr>
            <w:tcW w:w="1215" w:type="dxa"/>
            <w:shd w:val="clear" w:color="auto" w:fill="FFF2CC"/>
            <w:tcMar>
              <w:top w:w="100" w:type="dxa"/>
              <w:left w:w="100" w:type="dxa"/>
              <w:bottom w:w="100" w:type="dxa"/>
              <w:right w:w="100" w:type="dxa"/>
            </w:tcMar>
          </w:tcPr>
          <w:p w14:paraId="205B58E0"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Regulatory Compliance</w:t>
            </w:r>
          </w:p>
        </w:tc>
        <w:tc>
          <w:tcPr>
            <w:tcW w:w="1080" w:type="dxa"/>
            <w:shd w:val="clear" w:color="auto" w:fill="D9EAD3"/>
            <w:tcMar>
              <w:top w:w="100" w:type="dxa"/>
              <w:left w:w="100" w:type="dxa"/>
              <w:bottom w:w="100" w:type="dxa"/>
              <w:right w:w="100" w:type="dxa"/>
            </w:tcMar>
          </w:tcPr>
          <w:p w14:paraId="6B6D492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930" w:type="dxa"/>
            <w:shd w:val="clear" w:color="auto" w:fill="D9EAD3"/>
            <w:tcMar>
              <w:top w:w="100" w:type="dxa"/>
              <w:left w:w="100" w:type="dxa"/>
              <w:bottom w:w="100" w:type="dxa"/>
              <w:right w:w="100" w:type="dxa"/>
            </w:tcMar>
          </w:tcPr>
          <w:p w14:paraId="5A9BB3A8"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930" w:type="dxa"/>
            <w:shd w:val="clear" w:color="auto" w:fill="D9EAD3"/>
            <w:tcMar>
              <w:top w:w="100" w:type="dxa"/>
              <w:left w:w="100" w:type="dxa"/>
              <w:bottom w:w="100" w:type="dxa"/>
              <w:right w:w="100" w:type="dxa"/>
            </w:tcMar>
          </w:tcPr>
          <w:p w14:paraId="22481C42"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1050" w:type="dxa"/>
            <w:shd w:val="clear" w:color="auto" w:fill="D9EAD3"/>
            <w:tcMar>
              <w:top w:w="100" w:type="dxa"/>
              <w:left w:w="100" w:type="dxa"/>
              <w:bottom w:w="100" w:type="dxa"/>
              <w:right w:w="100" w:type="dxa"/>
            </w:tcMar>
          </w:tcPr>
          <w:p w14:paraId="4370DCDA"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930" w:type="dxa"/>
            <w:shd w:val="clear" w:color="auto" w:fill="D9EAD3"/>
            <w:tcMar>
              <w:top w:w="100" w:type="dxa"/>
              <w:left w:w="100" w:type="dxa"/>
              <w:bottom w:w="100" w:type="dxa"/>
              <w:right w:w="100" w:type="dxa"/>
            </w:tcMar>
          </w:tcPr>
          <w:p w14:paraId="5BD57EF8"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200" w:type="dxa"/>
            <w:shd w:val="clear" w:color="auto" w:fill="D9EAD3"/>
            <w:tcMar>
              <w:top w:w="100" w:type="dxa"/>
              <w:left w:w="100" w:type="dxa"/>
              <w:bottom w:w="100" w:type="dxa"/>
              <w:right w:w="100" w:type="dxa"/>
            </w:tcMar>
          </w:tcPr>
          <w:p w14:paraId="2874DFE3"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1035" w:type="dxa"/>
            <w:shd w:val="clear" w:color="auto" w:fill="D9EAD3"/>
            <w:tcMar>
              <w:top w:w="100" w:type="dxa"/>
              <w:left w:w="100" w:type="dxa"/>
              <w:bottom w:w="100" w:type="dxa"/>
              <w:right w:w="100" w:type="dxa"/>
            </w:tcMar>
          </w:tcPr>
          <w:p w14:paraId="26BDE19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R</w:t>
            </w:r>
          </w:p>
        </w:tc>
        <w:tc>
          <w:tcPr>
            <w:tcW w:w="1125" w:type="dxa"/>
            <w:shd w:val="clear" w:color="auto" w:fill="D9EAD3"/>
            <w:tcMar>
              <w:top w:w="100" w:type="dxa"/>
              <w:left w:w="100" w:type="dxa"/>
              <w:bottom w:w="100" w:type="dxa"/>
              <w:right w:w="100" w:type="dxa"/>
            </w:tcMar>
          </w:tcPr>
          <w:p w14:paraId="5D84BE7D"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r>
      <w:tr w:rsidR="003930F5" w:rsidRPr="00502468" w14:paraId="525C37C9" w14:textId="77777777">
        <w:trPr>
          <w:trHeight w:val="785"/>
        </w:trPr>
        <w:tc>
          <w:tcPr>
            <w:tcW w:w="1215" w:type="dxa"/>
            <w:shd w:val="clear" w:color="auto" w:fill="FFF2CC"/>
            <w:tcMar>
              <w:top w:w="100" w:type="dxa"/>
              <w:left w:w="100" w:type="dxa"/>
              <w:bottom w:w="100" w:type="dxa"/>
              <w:right w:w="100" w:type="dxa"/>
            </w:tcMar>
          </w:tcPr>
          <w:p w14:paraId="5862D2EF"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Sustainability Initiatives</w:t>
            </w:r>
          </w:p>
        </w:tc>
        <w:tc>
          <w:tcPr>
            <w:tcW w:w="1080" w:type="dxa"/>
            <w:shd w:val="clear" w:color="auto" w:fill="D9EAD3"/>
            <w:tcMar>
              <w:top w:w="100" w:type="dxa"/>
              <w:left w:w="100" w:type="dxa"/>
              <w:bottom w:w="100" w:type="dxa"/>
              <w:right w:w="100" w:type="dxa"/>
            </w:tcMar>
          </w:tcPr>
          <w:p w14:paraId="6242FEDA"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930" w:type="dxa"/>
            <w:shd w:val="clear" w:color="auto" w:fill="D9EAD3"/>
            <w:tcMar>
              <w:top w:w="100" w:type="dxa"/>
              <w:left w:w="100" w:type="dxa"/>
              <w:bottom w:w="100" w:type="dxa"/>
              <w:right w:w="100" w:type="dxa"/>
            </w:tcMar>
          </w:tcPr>
          <w:p w14:paraId="3F37DDD7"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930" w:type="dxa"/>
            <w:shd w:val="clear" w:color="auto" w:fill="D9EAD3"/>
            <w:tcMar>
              <w:top w:w="100" w:type="dxa"/>
              <w:left w:w="100" w:type="dxa"/>
              <w:bottom w:w="100" w:type="dxa"/>
              <w:right w:w="100" w:type="dxa"/>
            </w:tcMar>
          </w:tcPr>
          <w:p w14:paraId="5D46697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1050" w:type="dxa"/>
            <w:shd w:val="clear" w:color="auto" w:fill="D9EAD3"/>
            <w:tcMar>
              <w:top w:w="100" w:type="dxa"/>
              <w:left w:w="100" w:type="dxa"/>
              <w:bottom w:w="100" w:type="dxa"/>
              <w:right w:w="100" w:type="dxa"/>
            </w:tcMar>
          </w:tcPr>
          <w:p w14:paraId="71496E7E"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930" w:type="dxa"/>
            <w:shd w:val="clear" w:color="auto" w:fill="D9EAD3"/>
            <w:tcMar>
              <w:top w:w="100" w:type="dxa"/>
              <w:left w:w="100" w:type="dxa"/>
              <w:bottom w:w="100" w:type="dxa"/>
              <w:right w:w="100" w:type="dxa"/>
            </w:tcMar>
          </w:tcPr>
          <w:p w14:paraId="2920DDAC"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I</w:t>
            </w:r>
          </w:p>
        </w:tc>
        <w:tc>
          <w:tcPr>
            <w:tcW w:w="1200" w:type="dxa"/>
            <w:shd w:val="clear" w:color="auto" w:fill="D9EAD3"/>
            <w:tcMar>
              <w:top w:w="100" w:type="dxa"/>
              <w:left w:w="100" w:type="dxa"/>
              <w:bottom w:w="100" w:type="dxa"/>
              <w:right w:w="100" w:type="dxa"/>
            </w:tcMar>
          </w:tcPr>
          <w:p w14:paraId="6CE4D9BC"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R</w:t>
            </w:r>
          </w:p>
        </w:tc>
        <w:tc>
          <w:tcPr>
            <w:tcW w:w="1035" w:type="dxa"/>
            <w:shd w:val="clear" w:color="auto" w:fill="D9EAD3"/>
            <w:tcMar>
              <w:top w:w="100" w:type="dxa"/>
              <w:left w:w="100" w:type="dxa"/>
              <w:bottom w:w="100" w:type="dxa"/>
              <w:right w:w="100" w:type="dxa"/>
            </w:tcMar>
          </w:tcPr>
          <w:p w14:paraId="228201BA"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C</w:t>
            </w:r>
          </w:p>
        </w:tc>
        <w:tc>
          <w:tcPr>
            <w:tcW w:w="1125" w:type="dxa"/>
            <w:shd w:val="clear" w:color="auto" w:fill="D9EAD3"/>
            <w:tcMar>
              <w:top w:w="100" w:type="dxa"/>
              <w:left w:w="100" w:type="dxa"/>
              <w:bottom w:w="100" w:type="dxa"/>
              <w:right w:w="100" w:type="dxa"/>
            </w:tcMar>
          </w:tcPr>
          <w:p w14:paraId="7088FCEE"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R</w:t>
            </w:r>
          </w:p>
        </w:tc>
      </w:tr>
    </w:tbl>
    <w:p w14:paraId="36D507A4" w14:textId="77777777" w:rsidR="003930F5" w:rsidRPr="00502468" w:rsidRDefault="008231ED" w:rsidP="00502468">
      <w:pPr>
        <w:widowControl w:val="0"/>
        <w:spacing w:after="200" w:line="360" w:lineRule="auto"/>
        <w:jc w:val="both"/>
        <w:rPr>
          <w:rFonts w:ascii="Arial" w:hAnsi="Arial" w:cs="Arial"/>
          <w:b/>
          <w:bCs/>
        </w:rPr>
      </w:pPr>
      <w:r w:rsidRPr="00502468">
        <w:rPr>
          <w:rFonts w:ascii="Arial" w:hAnsi="Arial" w:cs="Arial"/>
          <w:b/>
          <w:bCs/>
        </w:rPr>
        <w:t>Table 3</w:t>
      </w:r>
      <w:r w:rsidR="00B72AA6" w:rsidRPr="00502468">
        <w:rPr>
          <w:rFonts w:ascii="Arial" w:hAnsi="Arial" w:cs="Arial"/>
          <w:b/>
          <w:bCs/>
        </w:rPr>
        <w:t>: RACI matrix</w:t>
      </w:r>
    </w:p>
    <w:p w14:paraId="2592EE74" w14:textId="77777777" w:rsidR="003930F5" w:rsidRPr="00502468" w:rsidRDefault="00B72AA6" w:rsidP="00502468">
      <w:pPr>
        <w:pStyle w:val="Heading1"/>
        <w:widowControl w:val="0"/>
        <w:rPr>
          <w:rFonts w:ascii="Arial" w:hAnsi="Arial" w:cs="Arial"/>
          <w:sz w:val="24"/>
          <w:szCs w:val="24"/>
        </w:rPr>
      </w:pPr>
      <w:bookmarkStart w:id="4" w:name="_Toc228274078"/>
      <w:r w:rsidRPr="00502468">
        <w:rPr>
          <w:rFonts w:ascii="Arial" w:hAnsi="Arial" w:cs="Arial"/>
          <w:sz w:val="24"/>
          <w:szCs w:val="24"/>
        </w:rPr>
        <w:t>Roles and responsibilities of the key stakeholders</w:t>
      </w:r>
      <w:bookmarkEnd w:id="4"/>
    </w:p>
    <w:p w14:paraId="10D2A3BF"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Internal Stakeholders</w:t>
      </w:r>
    </w:p>
    <w:p w14:paraId="7BE0946D"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 xml:space="preserve">The Product Development Team will design the StaySmart+ service, including AI-based </w:t>
      </w:r>
      <w:r w:rsidRPr="00502468">
        <w:rPr>
          <w:rFonts w:ascii="Arial" w:hAnsi="Arial" w:cs="Arial"/>
        </w:rPr>
        <w:lastRenderedPageBreak/>
        <w:t xml:space="preserve">guest interaction solutions and amenities that will be focused on sustainability. Their main role involves the incorporation of advanced technologies to address customer needs and improve the quality of service delivery (Iheanachor et al., 2021). The team also makes the product scalable at varying locations in hotels. The promotional campaigns of the StaySmart+ service are carried out by the Marketing Team, before and after the launch of the service. Their roles will involve designing targeted communications to convey the value offer of the service, and interacting with customers using digital platforms. It is their responsibility to determine the demographics of customers and modify marketing in response. The Operations Team will ensure a smooth implementation and daily operations of the StaySmart+ services. These involve managing the training of employees, accommodating the service into the existing operational procedures and ensuring there is sufficient resource allocation. Another aspect of operational duties includes checking the execution of the services and the need to solve arising problems when providing services (Jenkins, 2025). The project has strategic leadership and oversight by the Senior Management. Their roles include authorising the objectives of the project, tracking the project and making decisive decisions. They also make sure that StaySmart+ is consistent with the overall goals of IHG, such as sustainability goals, as well as market positioning. </w:t>
      </w:r>
    </w:p>
    <w:p w14:paraId="71AB02B8"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External Stakeholders</w:t>
      </w:r>
    </w:p>
    <w:p w14:paraId="4894470D"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 xml:space="preserve">The key element of the stay smart + service is the customers who will offer feedback on vital issues that will be utilised in subsequent versioning. They are tasked with responding to the service and providing information on their satisfaction and what can be improved. The customers also play a key role in the success of the service since their loyalty and the positive word of mouth will result in new bookings (Singh et al., 2023). The suppliers are those who will offer environmentally friendly facilities that are significant in the provision of the sustainability element of StaySmart+. They will have the duty to deliver quality products that are eco-friendly, like sustainable toiletries and low-energy products, to the market on time. Regulators guarantee that StaySmart + acts in line with local and international laws, especially the laws that pertain to sustainability, privacy of data, and health quality. It is their responsibility to monitor the environmental sustainability efforts </w:t>
      </w:r>
      <w:r w:rsidRPr="00502468">
        <w:rPr>
          <w:rFonts w:ascii="Arial" w:hAnsi="Arial" w:cs="Arial"/>
        </w:rPr>
        <w:lastRenderedPageBreak/>
        <w:t>and ensure that all legal provisions are fulfilled. The external stakeholders are extremely important, including the local communities, which benefit from the sustainability programs and social responsibility at IHG. They have the role to assist in the undertakings of IHG, especially in local development initiatives o</w:t>
      </w:r>
      <w:r w:rsidR="008231ED" w:rsidRPr="00502468">
        <w:rPr>
          <w:rFonts w:ascii="Arial" w:hAnsi="Arial" w:cs="Arial"/>
        </w:rPr>
        <w:t>r green environment initiatives</w:t>
      </w:r>
      <w:r w:rsidRPr="00502468">
        <w:rPr>
          <w:rFonts w:ascii="Arial" w:hAnsi="Arial" w:cs="Arial"/>
        </w:rPr>
        <w:t>.</w:t>
      </w:r>
    </w:p>
    <w:p w14:paraId="7B76A173" w14:textId="77777777" w:rsidR="003930F5" w:rsidRPr="00502468" w:rsidRDefault="003930F5" w:rsidP="00502468">
      <w:pPr>
        <w:widowControl w:val="0"/>
        <w:spacing w:after="200" w:line="360" w:lineRule="auto"/>
        <w:jc w:val="both"/>
        <w:rPr>
          <w:rFonts w:ascii="Arial" w:hAnsi="Arial" w:cs="Arial"/>
        </w:rPr>
      </w:pPr>
    </w:p>
    <w:p w14:paraId="111CAFEB"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noProof/>
          <w:lang w:val="en-IN" w:eastAsia="en-IN"/>
        </w:rPr>
        <w:drawing>
          <wp:inline distT="114300" distB="114300" distL="114300" distR="114300" wp14:anchorId="2DB1D533" wp14:editId="1A4CC6A5">
            <wp:extent cx="4395788" cy="4474848"/>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3"/>
                    <a:stretch>
                      <a:fillRect/>
                    </a:stretch>
                  </pic:blipFill>
                  <pic:spPr>
                    <a:xfrm>
                      <a:off x="0" y="0"/>
                      <a:ext cx="4395788" cy="4474848"/>
                    </a:xfrm>
                    <a:prstGeom prst="rect">
                      <a:avLst/>
                    </a:prstGeom>
                  </pic:spPr>
                </pic:pic>
              </a:graphicData>
            </a:graphic>
          </wp:inline>
        </w:drawing>
      </w:r>
    </w:p>
    <w:p w14:paraId="149576A8" w14:textId="1AB854DE"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Figure 6: Stakeholder power-interest matrix</w:t>
      </w:r>
    </w:p>
    <w:p w14:paraId="687B841A" w14:textId="77777777" w:rsidR="008D6540" w:rsidRPr="00502468" w:rsidRDefault="008D6540" w:rsidP="00502468">
      <w:pPr>
        <w:widowControl w:val="0"/>
        <w:spacing w:after="200" w:line="360" w:lineRule="auto"/>
        <w:jc w:val="both"/>
        <w:rPr>
          <w:rFonts w:ascii="Arial" w:hAnsi="Arial" w:cs="Arial"/>
          <w:b/>
        </w:rPr>
      </w:pPr>
      <w:r w:rsidRPr="00502468">
        <w:rPr>
          <w:rFonts w:ascii="Arial" w:hAnsi="Arial" w:cs="Arial"/>
          <w:b/>
        </w:rPr>
        <w:t>Stakeholder Communication Plan</w:t>
      </w:r>
    </w:p>
    <w:tbl>
      <w:tblPr>
        <w:tblStyle w:val="TableGrid"/>
        <w:tblW w:w="0" w:type="auto"/>
        <w:tblLook w:val="04A0" w:firstRow="1" w:lastRow="0" w:firstColumn="1" w:lastColumn="0" w:noHBand="0" w:noVBand="1"/>
      </w:tblPr>
      <w:tblGrid>
        <w:gridCol w:w="2327"/>
        <w:gridCol w:w="3757"/>
        <w:gridCol w:w="3266"/>
      </w:tblGrid>
      <w:tr w:rsidR="00502468" w:rsidRPr="00502468" w14:paraId="367C96AE" w14:textId="77777777" w:rsidTr="00E20744">
        <w:tc>
          <w:tcPr>
            <w:tcW w:w="0" w:type="auto"/>
            <w:hideMark/>
          </w:tcPr>
          <w:p w14:paraId="6587BA2D" w14:textId="77777777" w:rsidR="008D6540" w:rsidRPr="00502468" w:rsidRDefault="008D6540" w:rsidP="00502468">
            <w:pPr>
              <w:spacing w:line="360" w:lineRule="auto"/>
              <w:jc w:val="both"/>
              <w:rPr>
                <w:rFonts w:ascii="Arial" w:hAnsi="Arial" w:cs="Arial"/>
                <w:b/>
                <w:bCs/>
                <w:sz w:val="24"/>
                <w:szCs w:val="24"/>
                <w:lang w:eastAsia="en-IN"/>
              </w:rPr>
            </w:pPr>
            <w:r w:rsidRPr="00502468">
              <w:rPr>
                <w:rFonts w:ascii="Arial" w:hAnsi="Arial" w:cs="Arial"/>
                <w:b/>
                <w:bCs/>
                <w:sz w:val="24"/>
                <w:szCs w:val="24"/>
                <w:lang w:eastAsia="en-IN"/>
              </w:rPr>
              <w:t>Stakeholder</w:t>
            </w:r>
          </w:p>
        </w:tc>
        <w:tc>
          <w:tcPr>
            <w:tcW w:w="0" w:type="auto"/>
            <w:hideMark/>
          </w:tcPr>
          <w:p w14:paraId="22FE3D4C" w14:textId="77777777" w:rsidR="008D6540" w:rsidRPr="00502468" w:rsidRDefault="008D6540" w:rsidP="00502468">
            <w:pPr>
              <w:spacing w:line="360" w:lineRule="auto"/>
              <w:jc w:val="both"/>
              <w:rPr>
                <w:rFonts w:ascii="Arial" w:hAnsi="Arial" w:cs="Arial"/>
                <w:b/>
                <w:bCs/>
                <w:sz w:val="24"/>
                <w:szCs w:val="24"/>
                <w:lang w:eastAsia="en-IN"/>
              </w:rPr>
            </w:pPr>
            <w:r w:rsidRPr="00502468">
              <w:rPr>
                <w:rFonts w:ascii="Arial" w:hAnsi="Arial" w:cs="Arial"/>
                <w:b/>
                <w:bCs/>
                <w:sz w:val="24"/>
                <w:szCs w:val="24"/>
                <w:lang w:eastAsia="en-IN"/>
              </w:rPr>
              <w:t>Meetings (Frequency)</w:t>
            </w:r>
          </w:p>
        </w:tc>
        <w:tc>
          <w:tcPr>
            <w:tcW w:w="0" w:type="auto"/>
            <w:hideMark/>
          </w:tcPr>
          <w:p w14:paraId="0E824422" w14:textId="77777777" w:rsidR="008D6540" w:rsidRPr="00502468" w:rsidRDefault="008D6540" w:rsidP="00502468">
            <w:pPr>
              <w:spacing w:line="360" w:lineRule="auto"/>
              <w:jc w:val="both"/>
              <w:rPr>
                <w:rFonts w:ascii="Arial" w:hAnsi="Arial" w:cs="Arial"/>
                <w:b/>
                <w:bCs/>
                <w:sz w:val="24"/>
                <w:szCs w:val="24"/>
                <w:lang w:eastAsia="en-IN"/>
              </w:rPr>
            </w:pPr>
            <w:r w:rsidRPr="00502468">
              <w:rPr>
                <w:rFonts w:ascii="Arial" w:hAnsi="Arial" w:cs="Arial"/>
                <w:b/>
                <w:bCs/>
                <w:sz w:val="24"/>
                <w:szCs w:val="24"/>
                <w:lang w:eastAsia="en-IN"/>
              </w:rPr>
              <w:t>Reports</w:t>
            </w:r>
          </w:p>
        </w:tc>
      </w:tr>
      <w:tr w:rsidR="00502468" w:rsidRPr="00502468" w14:paraId="5D878E65" w14:textId="77777777" w:rsidTr="00E20744">
        <w:tc>
          <w:tcPr>
            <w:tcW w:w="0" w:type="auto"/>
            <w:hideMark/>
          </w:tcPr>
          <w:p w14:paraId="64AD723E"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b/>
                <w:bCs/>
                <w:sz w:val="24"/>
                <w:szCs w:val="24"/>
                <w:lang w:eastAsia="en-IN"/>
              </w:rPr>
              <w:t>Internal to Project</w:t>
            </w:r>
          </w:p>
        </w:tc>
        <w:tc>
          <w:tcPr>
            <w:tcW w:w="0" w:type="auto"/>
            <w:hideMark/>
          </w:tcPr>
          <w:p w14:paraId="6D0496FA"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Weekly Meeting, Monthly Meeting, Stage Gate Meeting</w:t>
            </w:r>
          </w:p>
        </w:tc>
        <w:tc>
          <w:tcPr>
            <w:tcW w:w="0" w:type="auto"/>
            <w:hideMark/>
          </w:tcPr>
          <w:p w14:paraId="6420E895"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Weekly Project Status, Monthly Highlight Report</w:t>
            </w:r>
          </w:p>
        </w:tc>
      </w:tr>
      <w:tr w:rsidR="00502468" w:rsidRPr="00502468" w14:paraId="6834A875" w14:textId="77777777" w:rsidTr="00E20744">
        <w:tc>
          <w:tcPr>
            <w:tcW w:w="0" w:type="auto"/>
            <w:hideMark/>
          </w:tcPr>
          <w:p w14:paraId="346E929B"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b/>
                <w:bCs/>
                <w:sz w:val="24"/>
                <w:szCs w:val="24"/>
                <w:lang w:eastAsia="en-IN"/>
              </w:rPr>
              <w:lastRenderedPageBreak/>
              <w:t>Internal to Organisation</w:t>
            </w:r>
          </w:p>
        </w:tc>
        <w:tc>
          <w:tcPr>
            <w:tcW w:w="0" w:type="auto"/>
            <w:hideMark/>
          </w:tcPr>
          <w:p w14:paraId="10FB1CF4"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Weekly Project Status, Monthly Meeting</w:t>
            </w:r>
          </w:p>
        </w:tc>
        <w:tc>
          <w:tcPr>
            <w:tcW w:w="0" w:type="auto"/>
            <w:hideMark/>
          </w:tcPr>
          <w:p w14:paraId="0C926B8D"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Monthly Newsletter</w:t>
            </w:r>
          </w:p>
        </w:tc>
      </w:tr>
      <w:tr w:rsidR="00502468" w:rsidRPr="00502468" w14:paraId="1D49D77D" w14:textId="77777777" w:rsidTr="00E20744">
        <w:tc>
          <w:tcPr>
            <w:tcW w:w="0" w:type="auto"/>
            <w:hideMark/>
          </w:tcPr>
          <w:p w14:paraId="472F7F19"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b/>
                <w:bCs/>
                <w:sz w:val="24"/>
                <w:szCs w:val="24"/>
                <w:lang w:eastAsia="en-IN"/>
              </w:rPr>
              <w:t>External to Organisation</w:t>
            </w:r>
          </w:p>
        </w:tc>
        <w:tc>
          <w:tcPr>
            <w:tcW w:w="0" w:type="auto"/>
            <w:hideMark/>
          </w:tcPr>
          <w:p w14:paraId="042BBFD2"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Weekly Project Status, Stage Gate Meeting</w:t>
            </w:r>
          </w:p>
        </w:tc>
        <w:tc>
          <w:tcPr>
            <w:tcW w:w="0" w:type="auto"/>
            <w:hideMark/>
          </w:tcPr>
          <w:p w14:paraId="1D6A97AF"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Exception Reports, Monthly Newsletter</w:t>
            </w:r>
          </w:p>
        </w:tc>
      </w:tr>
    </w:tbl>
    <w:p w14:paraId="2C9C7861" w14:textId="79DAFA1B" w:rsidR="008D6540" w:rsidRPr="00502468" w:rsidRDefault="008D6540" w:rsidP="00502468">
      <w:pPr>
        <w:widowControl w:val="0"/>
        <w:spacing w:after="200" w:line="360" w:lineRule="auto"/>
        <w:jc w:val="both"/>
        <w:rPr>
          <w:rFonts w:ascii="Arial" w:hAnsi="Arial" w:cs="Arial"/>
          <w:b/>
        </w:rPr>
      </w:pPr>
      <w:r w:rsidRPr="00502468">
        <w:rPr>
          <w:rFonts w:ascii="Arial" w:hAnsi="Arial" w:cs="Arial"/>
          <w:b/>
        </w:rPr>
        <w:t>Table 4: Stakeholder Communication Plan</w:t>
      </w:r>
    </w:p>
    <w:p w14:paraId="44F5CBEB" w14:textId="77777777" w:rsidR="003930F5" w:rsidRPr="00502468" w:rsidRDefault="00B72AA6" w:rsidP="00502468">
      <w:pPr>
        <w:pStyle w:val="Heading1"/>
        <w:widowControl w:val="0"/>
        <w:rPr>
          <w:rFonts w:ascii="Arial" w:hAnsi="Arial" w:cs="Arial"/>
          <w:sz w:val="24"/>
          <w:szCs w:val="24"/>
        </w:rPr>
      </w:pPr>
      <w:bookmarkStart w:id="5" w:name="_Toc228274079"/>
      <w:r w:rsidRPr="00502468">
        <w:rPr>
          <w:rFonts w:ascii="Arial" w:hAnsi="Arial" w:cs="Arial"/>
          <w:sz w:val="24"/>
          <w:szCs w:val="24"/>
        </w:rPr>
        <w:t>Engagement Frameworks, Models, and Theories</w:t>
      </w:r>
      <w:bookmarkEnd w:id="5"/>
    </w:p>
    <w:p w14:paraId="249CDBC0" w14:textId="77777777" w:rsidR="008231ED" w:rsidRPr="00502468" w:rsidRDefault="00B72AA6" w:rsidP="00502468">
      <w:pPr>
        <w:widowControl w:val="0"/>
        <w:spacing w:after="200" w:line="360" w:lineRule="auto"/>
        <w:jc w:val="both"/>
        <w:rPr>
          <w:rFonts w:ascii="Arial" w:hAnsi="Arial" w:cs="Arial"/>
        </w:rPr>
      </w:pPr>
      <w:r w:rsidRPr="00502468">
        <w:rPr>
          <w:rFonts w:ascii="Arial" w:hAnsi="Arial" w:cs="Arial"/>
        </w:rPr>
        <w:t xml:space="preserve">Successful stakeholder involvement will be important to the success of the launch of the StaySmart + in InterContinental Hotels Group (IHG). It is possible to employ different frameworks and theories to ensure that the collaboration, its communication, and objectives alignment between the internal and external stakeholders is smooth. The </w:t>
      </w:r>
      <w:r w:rsidRPr="00502468">
        <w:rPr>
          <w:rFonts w:ascii="Arial" w:hAnsi="Arial" w:cs="Arial"/>
          <w:b/>
          <w:bCs/>
          <w:i/>
          <w:iCs/>
        </w:rPr>
        <w:t>Stakeholder Engagement Matrix</w:t>
      </w:r>
      <w:r w:rsidRPr="00502468">
        <w:rPr>
          <w:rFonts w:ascii="Arial" w:hAnsi="Arial" w:cs="Arial"/>
        </w:rPr>
        <w:t xml:space="preserve"> is a vital means of prioritising stakeholder interactions and managing interactions depending on the level of power and interest of a stakeholder (Zhu et al., 2024). This matrix defines four groups of stakeholders, including "Keep Satisfied", "Manage Closely", Monitor, and Keep Informed (Zhu et al., 2024). Using these dimensions to categorise stakeholders will help IHG to pay the appropriate level of attention to every group. For example, the senior management or regulatory agencies are high-power and high-interest stakeholders who need close management to make sure that they reflect the strategic objectives of a project. Conversely, low power and low interest stakeholders can be observed to make sure that they have been well informed, but need limited participation. Another important factor in the management of stakeholder engagement is the </w:t>
      </w:r>
      <w:r w:rsidRPr="00502468">
        <w:rPr>
          <w:rFonts w:ascii="Arial" w:hAnsi="Arial" w:cs="Arial"/>
          <w:b/>
          <w:bCs/>
          <w:i/>
          <w:iCs/>
        </w:rPr>
        <w:t>Communication Plan</w:t>
      </w:r>
      <w:r w:rsidRPr="00502468">
        <w:rPr>
          <w:rFonts w:ascii="Arial" w:hAnsi="Arial" w:cs="Arial"/>
        </w:rPr>
        <w:t xml:space="preserve">. It outlines the methods of communication of information to various stakeholders, the frequency, format and channels of communication. In the case of StaySmart+, IHG can combine such approaches as email communications, face-to-face project meetings, and web platforms. The internal stakeholders, including the operations and product development squads, need regular communication in their daily operations to make the implementation process run smoothly. </w:t>
      </w:r>
    </w:p>
    <w:p w14:paraId="66327276" w14:textId="63A5AD96" w:rsidR="002B1039" w:rsidRPr="00502468" w:rsidRDefault="00B72AA6" w:rsidP="00502468">
      <w:pPr>
        <w:widowControl w:val="0"/>
        <w:spacing w:after="200" w:line="360" w:lineRule="auto"/>
        <w:jc w:val="both"/>
        <w:rPr>
          <w:rFonts w:ascii="Arial" w:hAnsi="Arial" w:cs="Arial"/>
        </w:rPr>
      </w:pPr>
      <w:r w:rsidRPr="00502468">
        <w:rPr>
          <w:rFonts w:ascii="Arial" w:hAnsi="Arial" w:cs="Arial"/>
          <w:b/>
          <w:bCs/>
          <w:i/>
          <w:iCs/>
        </w:rPr>
        <w:t>The Salience Model</w:t>
      </w:r>
      <w:r w:rsidRPr="00502468">
        <w:rPr>
          <w:rFonts w:ascii="Arial" w:hAnsi="Arial" w:cs="Arial"/>
        </w:rPr>
        <w:t xml:space="preserve"> focuses the stakeholders further by evaluating three essential aspects, which include: power, legitimacy and urgency (del Águila and del Sagrado, 2023). This model can be used to identify the level of attention each of the stakeholders </w:t>
      </w:r>
      <w:r w:rsidRPr="00502468">
        <w:rPr>
          <w:rFonts w:ascii="Arial" w:hAnsi="Arial" w:cs="Arial"/>
        </w:rPr>
        <w:lastRenderedPageBreak/>
        <w:t>needs in accordance with their impact on the project and their needs. As an example, regulatory organisations can be very legitimate and urgent but only have a moderate power and hence are significant though not necessarily central to making daily life choices. Senior management has a lot of power and legitimacy and should be engaged continually. Using the Salience Model, IHG will be able to prioritise the resources and communication activities to meet the needs of the stakeholders that hold the highest salience. Further, the Social Exchange Theory lays stress on reciprocity of relationships between the stakeholders. This theory suggests that the stakeholders participate in the projects when they feel that there is an equal amount of benefits and contribution (Ahmad et al., 2023). In building a sense of trust and fostering stakeholders to perceive tangible benefits, IHG will be able to develop long-term relations, resulting in long-term engagement and loyalty.</w:t>
      </w:r>
    </w:p>
    <w:p w14:paraId="66013C77" w14:textId="782E67EE" w:rsidR="008D6540" w:rsidRPr="00502468" w:rsidRDefault="008D6540" w:rsidP="00502468">
      <w:pPr>
        <w:widowControl w:val="0"/>
        <w:spacing w:after="200" w:line="360" w:lineRule="auto"/>
        <w:jc w:val="both"/>
        <w:rPr>
          <w:rFonts w:ascii="Arial" w:hAnsi="Arial" w:cs="Arial"/>
          <w:b/>
        </w:rPr>
      </w:pPr>
      <w:r w:rsidRPr="00502468">
        <w:rPr>
          <w:rStyle w:val="Strong"/>
          <w:rFonts w:ascii="Arial" w:hAnsi="Arial" w:cs="Arial"/>
        </w:rPr>
        <w:t>Management of Stakeholders</w:t>
      </w:r>
      <w:r w:rsidRPr="00502468">
        <w:rPr>
          <w:rFonts w:ascii="Arial" w:hAnsi="Arial" w:cs="Arial"/>
          <w:b/>
        </w:rPr>
        <w:t xml:space="preserve"> (Mapping based on Influence and Interest)</w:t>
      </w:r>
    </w:p>
    <w:tbl>
      <w:tblPr>
        <w:tblStyle w:val="TableGrid"/>
        <w:tblW w:w="0" w:type="auto"/>
        <w:tblLook w:val="04A0" w:firstRow="1" w:lastRow="0" w:firstColumn="1" w:lastColumn="0" w:noHBand="0" w:noVBand="1"/>
      </w:tblPr>
      <w:tblGrid>
        <w:gridCol w:w="2057"/>
        <w:gridCol w:w="1767"/>
        <w:gridCol w:w="1933"/>
        <w:gridCol w:w="1783"/>
        <w:gridCol w:w="1810"/>
      </w:tblGrid>
      <w:tr w:rsidR="00502468" w:rsidRPr="00502468" w14:paraId="508A63EB" w14:textId="77777777" w:rsidTr="008D6540">
        <w:tc>
          <w:tcPr>
            <w:tcW w:w="0" w:type="auto"/>
            <w:hideMark/>
          </w:tcPr>
          <w:p w14:paraId="239DE827" w14:textId="77777777" w:rsidR="008D6540" w:rsidRPr="00502468" w:rsidRDefault="008D6540" w:rsidP="00502468">
            <w:pPr>
              <w:spacing w:line="360" w:lineRule="auto"/>
              <w:jc w:val="both"/>
              <w:rPr>
                <w:rFonts w:ascii="Arial" w:hAnsi="Arial" w:cs="Arial"/>
                <w:b/>
                <w:bCs/>
                <w:sz w:val="24"/>
                <w:szCs w:val="24"/>
                <w:lang w:eastAsia="en-IN"/>
              </w:rPr>
            </w:pPr>
            <w:r w:rsidRPr="00502468">
              <w:rPr>
                <w:rFonts w:ascii="Arial" w:hAnsi="Arial" w:cs="Arial"/>
                <w:b/>
                <w:bCs/>
                <w:sz w:val="24"/>
                <w:szCs w:val="24"/>
                <w:lang w:eastAsia="en-IN"/>
              </w:rPr>
              <w:t>Power/Influence</w:t>
            </w:r>
          </w:p>
        </w:tc>
        <w:tc>
          <w:tcPr>
            <w:tcW w:w="0" w:type="auto"/>
            <w:hideMark/>
          </w:tcPr>
          <w:p w14:paraId="7BDFE027" w14:textId="77777777" w:rsidR="008D6540" w:rsidRPr="00502468" w:rsidRDefault="008D6540" w:rsidP="00502468">
            <w:pPr>
              <w:spacing w:line="360" w:lineRule="auto"/>
              <w:jc w:val="both"/>
              <w:rPr>
                <w:rFonts w:ascii="Arial" w:hAnsi="Arial" w:cs="Arial"/>
                <w:b/>
                <w:bCs/>
                <w:sz w:val="24"/>
                <w:szCs w:val="24"/>
                <w:lang w:eastAsia="en-IN"/>
              </w:rPr>
            </w:pPr>
            <w:r w:rsidRPr="00502468">
              <w:rPr>
                <w:rFonts w:ascii="Arial" w:hAnsi="Arial" w:cs="Arial"/>
                <w:b/>
                <w:bCs/>
                <w:sz w:val="24"/>
                <w:szCs w:val="24"/>
                <w:lang w:eastAsia="en-IN"/>
              </w:rPr>
              <w:t>Low Influence (Power) &amp; Low Interest</w:t>
            </w:r>
          </w:p>
        </w:tc>
        <w:tc>
          <w:tcPr>
            <w:tcW w:w="0" w:type="auto"/>
            <w:hideMark/>
          </w:tcPr>
          <w:p w14:paraId="56A73D04" w14:textId="77777777" w:rsidR="008D6540" w:rsidRPr="00502468" w:rsidRDefault="008D6540" w:rsidP="00502468">
            <w:pPr>
              <w:spacing w:line="360" w:lineRule="auto"/>
              <w:jc w:val="both"/>
              <w:rPr>
                <w:rFonts w:ascii="Arial" w:hAnsi="Arial" w:cs="Arial"/>
                <w:b/>
                <w:bCs/>
                <w:sz w:val="24"/>
                <w:szCs w:val="24"/>
                <w:lang w:eastAsia="en-IN"/>
              </w:rPr>
            </w:pPr>
            <w:r w:rsidRPr="00502468">
              <w:rPr>
                <w:rFonts w:ascii="Arial" w:hAnsi="Arial" w:cs="Arial"/>
                <w:b/>
                <w:bCs/>
                <w:sz w:val="24"/>
                <w:szCs w:val="24"/>
                <w:lang w:eastAsia="en-IN"/>
              </w:rPr>
              <w:t>Low Influence (Power) &amp; High Interest</w:t>
            </w:r>
          </w:p>
        </w:tc>
        <w:tc>
          <w:tcPr>
            <w:tcW w:w="0" w:type="auto"/>
            <w:hideMark/>
          </w:tcPr>
          <w:p w14:paraId="68DC9E3D" w14:textId="77777777" w:rsidR="008D6540" w:rsidRPr="00502468" w:rsidRDefault="008D6540" w:rsidP="00502468">
            <w:pPr>
              <w:spacing w:line="360" w:lineRule="auto"/>
              <w:jc w:val="both"/>
              <w:rPr>
                <w:rFonts w:ascii="Arial" w:hAnsi="Arial" w:cs="Arial"/>
                <w:b/>
                <w:bCs/>
                <w:sz w:val="24"/>
                <w:szCs w:val="24"/>
                <w:lang w:eastAsia="en-IN"/>
              </w:rPr>
            </w:pPr>
            <w:r w:rsidRPr="00502468">
              <w:rPr>
                <w:rFonts w:ascii="Arial" w:hAnsi="Arial" w:cs="Arial"/>
                <w:b/>
                <w:bCs/>
                <w:sz w:val="24"/>
                <w:szCs w:val="24"/>
                <w:lang w:eastAsia="en-IN"/>
              </w:rPr>
              <w:t>High Influence (Power) &amp; Low Interest</w:t>
            </w:r>
          </w:p>
        </w:tc>
        <w:tc>
          <w:tcPr>
            <w:tcW w:w="0" w:type="auto"/>
            <w:hideMark/>
          </w:tcPr>
          <w:p w14:paraId="72AF778D" w14:textId="77777777" w:rsidR="008D6540" w:rsidRPr="00502468" w:rsidRDefault="008D6540" w:rsidP="00502468">
            <w:pPr>
              <w:spacing w:line="360" w:lineRule="auto"/>
              <w:jc w:val="both"/>
              <w:rPr>
                <w:rFonts w:ascii="Arial" w:hAnsi="Arial" w:cs="Arial"/>
                <w:b/>
                <w:bCs/>
                <w:sz w:val="24"/>
                <w:szCs w:val="24"/>
                <w:lang w:eastAsia="en-IN"/>
              </w:rPr>
            </w:pPr>
            <w:r w:rsidRPr="00502468">
              <w:rPr>
                <w:rFonts w:ascii="Arial" w:hAnsi="Arial" w:cs="Arial"/>
                <w:b/>
                <w:bCs/>
                <w:sz w:val="24"/>
                <w:szCs w:val="24"/>
                <w:lang w:eastAsia="en-IN"/>
              </w:rPr>
              <w:t>High Influence (Power) &amp; High Interest</w:t>
            </w:r>
          </w:p>
        </w:tc>
      </w:tr>
      <w:tr w:rsidR="00502468" w:rsidRPr="00502468" w14:paraId="3191083F" w14:textId="77777777" w:rsidTr="008D6540">
        <w:tc>
          <w:tcPr>
            <w:tcW w:w="0" w:type="auto"/>
            <w:hideMark/>
          </w:tcPr>
          <w:p w14:paraId="68280669"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b/>
                <w:bCs/>
                <w:sz w:val="24"/>
                <w:szCs w:val="24"/>
                <w:lang w:eastAsia="en-IN"/>
              </w:rPr>
              <w:t>Action</w:t>
            </w:r>
          </w:p>
        </w:tc>
        <w:tc>
          <w:tcPr>
            <w:tcW w:w="0" w:type="auto"/>
            <w:hideMark/>
          </w:tcPr>
          <w:p w14:paraId="628AD464"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Keep Informed (Minimal Effort)</w:t>
            </w:r>
          </w:p>
        </w:tc>
        <w:tc>
          <w:tcPr>
            <w:tcW w:w="0" w:type="auto"/>
            <w:hideMark/>
          </w:tcPr>
          <w:p w14:paraId="0302EFE7"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Keep Satisfied (Consult)</w:t>
            </w:r>
          </w:p>
        </w:tc>
        <w:tc>
          <w:tcPr>
            <w:tcW w:w="0" w:type="auto"/>
            <w:hideMark/>
          </w:tcPr>
          <w:p w14:paraId="22BA0FCA"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Work Together (Collaborate)</w:t>
            </w:r>
          </w:p>
        </w:tc>
        <w:tc>
          <w:tcPr>
            <w:tcW w:w="0" w:type="auto"/>
            <w:hideMark/>
          </w:tcPr>
          <w:p w14:paraId="56FC8BEE"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Key Players (Work Together)</w:t>
            </w:r>
          </w:p>
        </w:tc>
      </w:tr>
      <w:tr w:rsidR="00502468" w:rsidRPr="00502468" w14:paraId="240574F6" w14:textId="77777777" w:rsidTr="008D6540">
        <w:tc>
          <w:tcPr>
            <w:tcW w:w="0" w:type="auto"/>
            <w:hideMark/>
          </w:tcPr>
          <w:p w14:paraId="23F62A1C"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b/>
                <w:bCs/>
                <w:sz w:val="24"/>
                <w:szCs w:val="24"/>
                <w:lang w:eastAsia="en-IN"/>
              </w:rPr>
              <w:t>Examples</w:t>
            </w:r>
          </w:p>
        </w:tc>
        <w:tc>
          <w:tcPr>
            <w:tcW w:w="0" w:type="auto"/>
            <w:hideMark/>
          </w:tcPr>
          <w:p w14:paraId="35BA4A1E"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 Media</w:t>
            </w:r>
          </w:p>
        </w:tc>
        <w:tc>
          <w:tcPr>
            <w:tcW w:w="0" w:type="auto"/>
            <w:hideMark/>
          </w:tcPr>
          <w:p w14:paraId="46BA217D"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 Suppliers (Sustainability)</w:t>
            </w:r>
          </w:p>
        </w:tc>
        <w:tc>
          <w:tcPr>
            <w:tcW w:w="0" w:type="auto"/>
            <w:hideMark/>
          </w:tcPr>
          <w:p w14:paraId="6DA381EA"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 Customers (Feedback)</w:t>
            </w:r>
          </w:p>
        </w:tc>
        <w:tc>
          <w:tcPr>
            <w:tcW w:w="0" w:type="auto"/>
            <w:hideMark/>
          </w:tcPr>
          <w:p w14:paraId="34BBCF1E"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 Senior Management (Decision-Makers)</w:t>
            </w:r>
          </w:p>
        </w:tc>
      </w:tr>
      <w:tr w:rsidR="00502468" w:rsidRPr="00502468" w14:paraId="734659B3" w14:textId="77777777" w:rsidTr="008D6540">
        <w:tc>
          <w:tcPr>
            <w:tcW w:w="0" w:type="auto"/>
            <w:hideMark/>
          </w:tcPr>
          <w:p w14:paraId="0064CAA7" w14:textId="77777777" w:rsidR="008D6540" w:rsidRPr="00502468" w:rsidRDefault="008D6540" w:rsidP="00502468">
            <w:pPr>
              <w:spacing w:line="360" w:lineRule="auto"/>
              <w:jc w:val="both"/>
              <w:rPr>
                <w:rFonts w:ascii="Arial" w:hAnsi="Arial" w:cs="Arial"/>
                <w:sz w:val="24"/>
                <w:szCs w:val="24"/>
                <w:lang w:eastAsia="en-IN"/>
              </w:rPr>
            </w:pPr>
          </w:p>
        </w:tc>
        <w:tc>
          <w:tcPr>
            <w:tcW w:w="0" w:type="auto"/>
            <w:hideMark/>
          </w:tcPr>
          <w:p w14:paraId="35BF0E82"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 Local Communities</w:t>
            </w:r>
          </w:p>
        </w:tc>
        <w:tc>
          <w:tcPr>
            <w:tcW w:w="0" w:type="auto"/>
            <w:hideMark/>
          </w:tcPr>
          <w:p w14:paraId="7D9C60A6"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 Regulatory Bodies</w:t>
            </w:r>
          </w:p>
        </w:tc>
        <w:tc>
          <w:tcPr>
            <w:tcW w:w="0" w:type="auto"/>
            <w:hideMark/>
          </w:tcPr>
          <w:p w14:paraId="7334BD35"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 Product Development Team</w:t>
            </w:r>
          </w:p>
        </w:tc>
        <w:tc>
          <w:tcPr>
            <w:tcW w:w="0" w:type="auto"/>
            <w:hideMark/>
          </w:tcPr>
          <w:p w14:paraId="494B92AA"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 Investors, Key Partners</w:t>
            </w:r>
          </w:p>
        </w:tc>
      </w:tr>
      <w:tr w:rsidR="00502468" w:rsidRPr="00502468" w14:paraId="36927319" w14:textId="77777777" w:rsidTr="008D6540">
        <w:tc>
          <w:tcPr>
            <w:tcW w:w="0" w:type="auto"/>
            <w:hideMark/>
          </w:tcPr>
          <w:p w14:paraId="6CEC0EFA" w14:textId="77777777" w:rsidR="008D6540" w:rsidRPr="00502468" w:rsidRDefault="008D6540" w:rsidP="00502468">
            <w:pPr>
              <w:spacing w:line="360" w:lineRule="auto"/>
              <w:jc w:val="both"/>
              <w:rPr>
                <w:rFonts w:ascii="Arial" w:hAnsi="Arial" w:cs="Arial"/>
                <w:sz w:val="24"/>
                <w:szCs w:val="24"/>
                <w:lang w:eastAsia="en-IN"/>
              </w:rPr>
            </w:pPr>
          </w:p>
        </w:tc>
        <w:tc>
          <w:tcPr>
            <w:tcW w:w="0" w:type="auto"/>
            <w:hideMark/>
          </w:tcPr>
          <w:p w14:paraId="37077CD7"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 Marketing Teams (Low priority tasks)</w:t>
            </w:r>
          </w:p>
        </w:tc>
        <w:tc>
          <w:tcPr>
            <w:tcW w:w="0" w:type="auto"/>
            <w:hideMark/>
          </w:tcPr>
          <w:p w14:paraId="354D0CDD"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 Staff (Training)</w:t>
            </w:r>
          </w:p>
        </w:tc>
        <w:tc>
          <w:tcPr>
            <w:tcW w:w="0" w:type="auto"/>
            <w:hideMark/>
          </w:tcPr>
          <w:p w14:paraId="67F33C12"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 Operations Team (Consult)</w:t>
            </w:r>
          </w:p>
        </w:tc>
        <w:tc>
          <w:tcPr>
            <w:tcW w:w="0" w:type="auto"/>
            <w:hideMark/>
          </w:tcPr>
          <w:p w14:paraId="79546ACF" w14:textId="77777777" w:rsidR="008D6540" w:rsidRPr="00502468" w:rsidRDefault="008D6540" w:rsidP="00502468">
            <w:pPr>
              <w:spacing w:line="360" w:lineRule="auto"/>
              <w:jc w:val="both"/>
              <w:rPr>
                <w:rFonts w:ascii="Arial" w:hAnsi="Arial" w:cs="Arial"/>
                <w:sz w:val="24"/>
                <w:szCs w:val="24"/>
                <w:lang w:eastAsia="en-IN"/>
              </w:rPr>
            </w:pPr>
            <w:r w:rsidRPr="00502468">
              <w:rPr>
                <w:rFonts w:ascii="Arial" w:hAnsi="Arial" w:cs="Arial"/>
                <w:sz w:val="24"/>
                <w:szCs w:val="24"/>
                <w:lang w:eastAsia="en-IN"/>
              </w:rPr>
              <w:t>- Project Sponsors (Close collaboration)</w:t>
            </w:r>
          </w:p>
        </w:tc>
      </w:tr>
    </w:tbl>
    <w:p w14:paraId="275611D8" w14:textId="3598A74C" w:rsidR="008D6540" w:rsidRPr="00502468" w:rsidRDefault="008D6540" w:rsidP="00502468">
      <w:pPr>
        <w:widowControl w:val="0"/>
        <w:spacing w:after="200" w:line="360" w:lineRule="auto"/>
        <w:jc w:val="both"/>
        <w:rPr>
          <w:rFonts w:ascii="Arial" w:hAnsi="Arial" w:cs="Arial"/>
          <w:b/>
        </w:rPr>
      </w:pPr>
      <w:r w:rsidRPr="00502468">
        <w:rPr>
          <w:rFonts w:ascii="Arial" w:hAnsi="Arial" w:cs="Arial"/>
          <w:b/>
        </w:rPr>
        <w:t>Table 5: Management of Stakeholders</w:t>
      </w:r>
    </w:p>
    <w:p w14:paraId="17519870" w14:textId="77777777" w:rsidR="003930F5" w:rsidRPr="00502468" w:rsidRDefault="00B72AA6" w:rsidP="00502468">
      <w:pPr>
        <w:pStyle w:val="Heading1"/>
        <w:widowControl w:val="0"/>
        <w:rPr>
          <w:rFonts w:ascii="Arial" w:hAnsi="Arial" w:cs="Arial"/>
          <w:sz w:val="24"/>
          <w:szCs w:val="24"/>
        </w:rPr>
      </w:pPr>
      <w:bookmarkStart w:id="6" w:name="_Toc228274080"/>
      <w:r w:rsidRPr="00502468">
        <w:rPr>
          <w:rFonts w:ascii="Arial" w:hAnsi="Arial" w:cs="Arial"/>
          <w:sz w:val="24"/>
          <w:szCs w:val="24"/>
        </w:rPr>
        <w:t>Stakeholder Engagement Process and Conflict Management</w:t>
      </w:r>
      <w:bookmarkEnd w:id="6"/>
    </w:p>
    <w:p w14:paraId="3051BBE2"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Stakeholder Engagement Process</w:t>
      </w:r>
    </w:p>
    <w:tbl>
      <w:tblPr>
        <w:tblStyle w:val="TableGrid"/>
        <w:tblW w:w="0" w:type="auto"/>
        <w:tblLook w:val="04A0" w:firstRow="1" w:lastRow="0" w:firstColumn="1" w:lastColumn="0" w:noHBand="0" w:noVBand="1"/>
      </w:tblPr>
      <w:tblGrid>
        <w:gridCol w:w="2113"/>
        <w:gridCol w:w="1352"/>
        <w:gridCol w:w="2120"/>
        <w:gridCol w:w="2288"/>
        <w:gridCol w:w="1477"/>
      </w:tblGrid>
      <w:tr w:rsidR="008231ED" w:rsidRPr="00502468" w14:paraId="5D5B1041" w14:textId="77777777" w:rsidTr="008231ED">
        <w:tc>
          <w:tcPr>
            <w:tcW w:w="0" w:type="auto"/>
            <w:shd w:val="clear" w:color="auto" w:fill="CCC0D9" w:themeFill="accent4" w:themeFillTint="66"/>
            <w:hideMark/>
          </w:tcPr>
          <w:p w14:paraId="4AA1939C" w14:textId="77777777" w:rsidR="008231ED" w:rsidRPr="00502468" w:rsidRDefault="008231ED" w:rsidP="00502468">
            <w:pPr>
              <w:spacing w:line="360" w:lineRule="auto"/>
              <w:jc w:val="both"/>
              <w:rPr>
                <w:rFonts w:ascii="Arial" w:eastAsia="Times New Roman" w:hAnsi="Arial" w:cs="Arial"/>
                <w:b/>
                <w:bCs/>
                <w:sz w:val="24"/>
                <w:szCs w:val="24"/>
                <w:lang w:eastAsia="en-IN"/>
              </w:rPr>
            </w:pPr>
            <w:r w:rsidRPr="00502468">
              <w:rPr>
                <w:rFonts w:ascii="Arial" w:eastAsia="Times New Roman" w:hAnsi="Arial" w:cs="Arial"/>
                <w:b/>
                <w:bCs/>
                <w:sz w:val="24"/>
                <w:szCs w:val="24"/>
                <w:lang w:eastAsia="en-IN"/>
              </w:rPr>
              <w:t>Stakeholder</w:t>
            </w:r>
          </w:p>
        </w:tc>
        <w:tc>
          <w:tcPr>
            <w:tcW w:w="0" w:type="auto"/>
            <w:shd w:val="clear" w:color="auto" w:fill="CCC0D9" w:themeFill="accent4" w:themeFillTint="66"/>
            <w:hideMark/>
          </w:tcPr>
          <w:p w14:paraId="33A89E97" w14:textId="77777777" w:rsidR="008231ED" w:rsidRPr="00502468" w:rsidRDefault="008231ED" w:rsidP="00502468">
            <w:pPr>
              <w:spacing w:line="360" w:lineRule="auto"/>
              <w:jc w:val="both"/>
              <w:rPr>
                <w:rFonts w:ascii="Arial" w:eastAsia="Times New Roman" w:hAnsi="Arial" w:cs="Arial"/>
                <w:b/>
                <w:bCs/>
                <w:sz w:val="24"/>
                <w:szCs w:val="24"/>
                <w:lang w:eastAsia="en-IN"/>
              </w:rPr>
            </w:pPr>
            <w:r w:rsidRPr="00502468">
              <w:rPr>
                <w:rFonts w:ascii="Arial" w:eastAsia="Times New Roman" w:hAnsi="Arial" w:cs="Arial"/>
                <w:b/>
                <w:bCs/>
                <w:sz w:val="24"/>
                <w:szCs w:val="24"/>
                <w:lang w:eastAsia="en-IN"/>
              </w:rPr>
              <w:t>Impact &amp; Interest</w:t>
            </w:r>
          </w:p>
        </w:tc>
        <w:tc>
          <w:tcPr>
            <w:tcW w:w="0" w:type="auto"/>
            <w:shd w:val="clear" w:color="auto" w:fill="CCC0D9" w:themeFill="accent4" w:themeFillTint="66"/>
            <w:hideMark/>
          </w:tcPr>
          <w:p w14:paraId="66D8D54E" w14:textId="77777777" w:rsidR="008231ED" w:rsidRPr="00502468" w:rsidRDefault="008231ED" w:rsidP="00502468">
            <w:pPr>
              <w:spacing w:line="360" w:lineRule="auto"/>
              <w:jc w:val="both"/>
              <w:rPr>
                <w:rFonts w:ascii="Arial" w:eastAsia="Times New Roman" w:hAnsi="Arial" w:cs="Arial"/>
                <w:b/>
                <w:bCs/>
                <w:sz w:val="24"/>
                <w:szCs w:val="24"/>
                <w:lang w:eastAsia="en-IN"/>
              </w:rPr>
            </w:pPr>
            <w:r w:rsidRPr="00502468">
              <w:rPr>
                <w:rFonts w:ascii="Arial" w:eastAsia="Times New Roman" w:hAnsi="Arial" w:cs="Arial"/>
                <w:b/>
                <w:bCs/>
                <w:sz w:val="24"/>
                <w:szCs w:val="24"/>
                <w:lang w:eastAsia="en-IN"/>
              </w:rPr>
              <w:t>Action</w:t>
            </w:r>
          </w:p>
        </w:tc>
        <w:tc>
          <w:tcPr>
            <w:tcW w:w="0" w:type="auto"/>
            <w:shd w:val="clear" w:color="auto" w:fill="CCC0D9" w:themeFill="accent4" w:themeFillTint="66"/>
            <w:hideMark/>
          </w:tcPr>
          <w:p w14:paraId="277BF1FF" w14:textId="77777777" w:rsidR="008231ED" w:rsidRPr="00502468" w:rsidRDefault="008231ED" w:rsidP="00502468">
            <w:pPr>
              <w:spacing w:line="360" w:lineRule="auto"/>
              <w:jc w:val="both"/>
              <w:rPr>
                <w:rFonts w:ascii="Arial" w:eastAsia="Times New Roman" w:hAnsi="Arial" w:cs="Arial"/>
                <w:b/>
                <w:bCs/>
                <w:sz w:val="24"/>
                <w:szCs w:val="24"/>
                <w:lang w:eastAsia="en-IN"/>
              </w:rPr>
            </w:pPr>
            <w:r w:rsidRPr="00502468">
              <w:rPr>
                <w:rFonts w:ascii="Arial" w:eastAsia="Times New Roman" w:hAnsi="Arial" w:cs="Arial"/>
                <w:b/>
                <w:bCs/>
                <w:sz w:val="24"/>
                <w:szCs w:val="24"/>
                <w:lang w:eastAsia="en-IN"/>
              </w:rPr>
              <w:t>Engagement Strategy</w:t>
            </w:r>
          </w:p>
        </w:tc>
        <w:tc>
          <w:tcPr>
            <w:tcW w:w="0" w:type="auto"/>
            <w:shd w:val="clear" w:color="auto" w:fill="CCC0D9" w:themeFill="accent4" w:themeFillTint="66"/>
            <w:hideMark/>
          </w:tcPr>
          <w:p w14:paraId="58FF8340" w14:textId="77777777" w:rsidR="008231ED" w:rsidRPr="00502468" w:rsidRDefault="008231ED" w:rsidP="00502468">
            <w:pPr>
              <w:spacing w:line="360" w:lineRule="auto"/>
              <w:jc w:val="both"/>
              <w:rPr>
                <w:rFonts w:ascii="Arial" w:eastAsia="Times New Roman" w:hAnsi="Arial" w:cs="Arial"/>
                <w:b/>
                <w:bCs/>
                <w:sz w:val="24"/>
                <w:szCs w:val="24"/>
                <w:lang w:eastAsia="en-IN"/>
              </w:rPr>
            </w:pPr>
            <w:r w:rsidRPr="00502468">
              <w:rPr>
                <w:rFonts w:ascii="Arial" w:eastAsia="Times New Roman" w:hAnsi="Arial" w:cs="Arial"/>
                <w:b/>
                <w:bCs/>
                <w:sz w:val="24"/>
                <w:szCs w:val="24"/>
                <w:lang w:eastAsia="en-IN"/>
              </w:rPr>
              <w:t>Frequency</w:t>
            </w:r>
          </w:p>
        </w:tc>
      </w:tr>
      <w:tr w:rsidR="008231ED" w:rsidRPr="00502468" w14:paraId="30125354" w14:textId="77777777" w:rsidTr="0067025F">
        <w:tc>
          <w:tcPr>
            <w:tcW w:w="0" w:type="auto"/>
            <w:hideMark/>
          </w:tcPr>
          <w:p w14:paraId="098B7DEF"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b/>
                <w:bCs/>
                <w:sz w:val="24"/>
                <w:szCs w:val="24"/>
                <w:lang w:eastAsia="en-IN"/>
              </w:rPr>
              <w:t>Senior Management</w:t>
            </w:r>
          </w:p>
        </w:tc>
        <w:tc>
          <w:tcPr>
            <w:tcW w:w="0" w:type="auto"/>
            <w:hideMark/>
          </w:tcPr>
          <w:p w14:paraId="476AF804"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High Power, High Interest</w:t>
            </w:r>
          </w:p>
        </w:tc>
        <w:tc>
          <w:tcPr>
            <w:tcW w:w="0" w:type="auto"/>
            <w:hideMark/>
          </w:tcPr>
          <w:p w14:paraId="6DB98226"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Active participation in decision-making</w:t>
            </w:r>
          </w:p>
        </w:tc>
        <w:tc>
          <w:tcPr>
            <w:tcW w:w="0" w:type="auto"/>
            <w:hideMark/>
          </w:tcPr>
          <w:p w14:paraId="00C2DDB3"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Detailed reports, presentations, meetings, regular updates</w:t>
            </w:r>
          </w:p>
        </w:tc>
        <w:tc>
          <w:tcPr>
            <w:tcW w:w="0" w:type="auto"/>
            <w:hideMark/>
          </w:tcPr>
          <w:p w14:paraId="4EBFD319"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Monthly</w:t>
            </w:r>
          </w:p>
        </w:tc>
      </w:tr>
      <w:tr w:rsidR="008231ED" w:rsidRPr="00502468" w14:paraId="42436B22" w14:textId="77777777" w:rsidTr="0067025F">
        <w:tc>
          <w:tcPr>
            <w:tcW w:w="0" w:type="auto"/>
            <w:hideMark/>
          </w:tcPr>
          <w:p w14:paraId="4A139C60"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b/>
                <w:bCs/>
                <w:sz w:val="24"/>
                <w:szCs w:val="24"/>
                <w:lang w:eastAsia="en-IN"/>
              </w:rPr>
              <w:t>Regulatory Bodies</w:t>
            </w:r>
          </w:p>
        </w:tc>
        <w:tc>
          <w:tcPr>
            <w:tcW w:w="0" w:type="auto"/>
            <w:hideMark/>
          </w:tcPr>
          <w:p w14:paraId="6D62E710"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High Power, High Interest</w:t>
            </w:r>
          </w:p>
        </w:tc>
        <w:tc>
          <w:tcPr>
            <w:tcW w:w="0" w:type="auto"/>
            <w:hideMark/>
          </w:tcPr>
          <w:p w14:paraId="06474900"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Ensure compliance and legal alignment</w:t>
            </w:r>
          </w:p>
        </w:tc>
        <w:tc>
          <w:tcPr>
            <w:tcW w:w="0" w:type="auto"/>
            <w:hideMark/>
          </w:tcPr>
          <w:p w14:paraId="77C845F6"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Formal reports, meetings, presentations</w:t>
            </w:r>
          </w:p>
        </w:tc>
        <w:tc>
          <w:tcPr>
            <w:tcW w:w="0" w:type="auto"/>
            <w:hideMark/>
          </w:tcPr>
          <w:p w14:paraId="5930DAB6"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Quarterly</w:t>
            </w:r>
          </w:p>
        </w:tc>
      </w:tr>
      <w:tr w:rsidR="008231ED" w:rsidRPr="00502468" w14:paraId="32824D12" w14:textId="77777777" w:rsidTr="0067025F">
        <w:tc>
          <w:tcPr>
            <w:tcW w:w="0" w:type="auto"/>
            <w:hideMark/>
          </w:tcPr>
          <w:p w14:paraId="2F71CA39"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b/>
                <w:bCs/>
                <w:sz w:val="24"/>
                <w:szCs w:val="24"/>
                <w:lang w:eastAsia="en-IN"/>
              </w:rPr>
              <w:t>Product Development Team</w:t>
            </w:r>
          </w:p>
        </w:tc>
        <w:tc>
          <w:tcPr>
            <w:tcW w:w="0" w:type="auto"/>
            <w:hideMark/>
          </w:tcPr>
          <w:p w14:paraId="3B67C280"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Medium Power, High Interest</w:t>
            </w:r>
          </w:p>
        </w:tc>
        <w:tc>
          <w:tcPr>
            <w:tcW w:w="0" w:type="auto"/>
            <w:hideMark/>
          </w:tcPr>
          <w:p w14:paraId="169D8185"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Responsible for designing the service</w:t>
            </w:r>
          </w:p>
        </w:tc>
        <w:tc>
          <w:tcPr>
            <w:tcW w:w="0" w:type="auto"/>
            <w:hideMark/>
          </w:tcPr>
          <w:p w14:paraId="337E76B3"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Regular meetings, emails, project collaboration tools</w:t>
            </w:r>
          </w:p>
        </w:tc>
        <w:tc>
          <w:tcPr>
            <w:tcW w:w="0" w:type="auto"/>
            <w:hideMark/>
          </w:tcPr>
          <w:p w14:paraId="159C9163"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Weekly</w:t>
            </w:r>
          </w:p>
        </w:tc>
      </w:tr>
      <w:tr w:rsidR="008231ED" w:rsidRPr="00502468" w14:paraId="6DF5D7ED" w14:textId="77777777" w:rsidTr="0067025F">
        <w:tc>
          <w:tcPr>
            <w:tcW w:w="0" w:type="auto"/>
            <w:hideMark/>
          </w:tcPr>
          <w:p w14:paraId="4BD377AA"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b/>
                <w:bCs/>
                <w:sz w:val="24"/>
                <w:szCs w:val="24"/>
                <w:lang w:eastAsia="en-IN"/>
              </w:rPr>
              <w:t>Marketing Team</w:t>
            </w:r>
          </w:p>
        </w:tc>
        <w:tc>
          <w:tcPr>
            <w:tcW w:w="0" w:type="auto"/>
            <w:hideMark/>
          </w:tcPr>
          <w:p w14:paraId="0AA2A395"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Medium Power, High Interest</w:t>
            </w:r>
          </w:p>
        </w:tc>
        <w:tc>
          <w:tcPr>
            <w:tcW w:w="0" w:type="auto"/>
            <w:hideMark/>
          </w:tcPr>
          <w:p w14:paraId="1C6A310C"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Responsible for promoting the service</w:t>
            </w:r>
          </w:p>
        </w:tc>
        <w:tc>
          <w:tcPr>
            <w:tcW w:w="0" w:type="auto"/>
            <w:hideMark/>
          </w:tcPr>
          <w:p w14:paraId="30E84964"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Campaign planning, regular email updates</w:t>
            </w:r>
          </w:p>
        </w:tc>
        <w:tc>
          <w:tcPr>
            <w:tcW w:w="0" w:type="auto"/>
            <w:hideMark/>
          </w:tcPr>
          <w:p w14:paraId="5A54455D"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Bi-weekly</w:t>
            </w:r>
          </w:p>
        </w:tc>
      </w:tr>
      <w:tr w:rsidR="008231ED" w:rsidRPr="00502468" w14:paraId="7DEE0B0B" w14:textId="77777777" w:rsidTr="0067025F">
        <w:tc>
          <w:tcPr>
            <w:tcW w:w="0" w:type="auto"/>
            <w:hideMark/>
          </w:tcPr>
          <w:p w14:paraId="0B698275"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b/>
                <w:bCs/>
                <w:sz w:val="24"/>
                <w:szCs w:val="24"/>
                <w:lang w:eastAsia="en-IN"/>
              </w:rPr>
              <w:t>Operations Team</w:t>
            </w:r>
          </w:p>
        </w:tc>
        <w:tc>
          <w:tcPr>
            <w:tcW w:w="0" w:type="auto"/>
            <w:hideMark/>
          </w:tcPr>
          <w:p w14:paraId="69BE7095"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Medium Power, High Interest</w:t>
            </w:r>
          </w:p>
        </w:tc>
        <w:tc>
          <w:tcPr>
            <w:tcW w:w="0" w:type="auto"/>
            <w:hideMark/>
          </w:tcPr>
          <w:p w14:paraId="49F1F92B"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Responsible for operational feasibility and deployment</w:t>
            </w:r>
          </w:p>
        </w:tc>
        <w:tc>
          <w:tcPr>
            <w:tcW w:w="0" w:type="auto"/>
            <w:hideMark/>
          </w:tcPr>
          <w:p w14:paraId="62F0B5D2"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Team meetings, operational briefings, email updates</w:t>
            </w:r>
          </w:p>
        </w:tc>
        <w:tc>
          <w:tcPr>
            <w:tcW w:w="0" w:type="auto"/>
            <w:hideMark/>
          </w:tcPr>
          <w:p w14:paraId="477C12E7"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Weekly</w:t>
            </w:r>
          </w:p>
        </w:tc>
      </w:tr>
      <w:tr w:rsidR="008231ED" w:rsidRPr="00502468" w14:paraId="632469DC" w14:textId="77777777" w:rsidTr="0067025F">
        <w:tc>
          <w:tcPr>
            <w:tcW w:w="0" w:type="auto"/>
            <w:hideMark/>
          </w:tcPr>
          <w:p w14:paraId="302AB11D"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b/>
                <w:bCs/>
                <w:sz w:val="24"/>
                <w:szCs w:val="24"/>
                <w:lang w:eastAsia="en-IN"/>
              </w:rPr>
              <w:lastRenderedPageBreak/>
              <w:t>Suppliers (Sustainability)</w:t>
            </w:r>
          </w:p>
        </w:tc>
        <w:tc>
          <w:tcPr>
            <w:tcW w:w="0" w:type="auto"/>
            <w:hideMark/>
          </w:tcPr>
          <w:p w14:paraId="70D972C9"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Low Power, High Interest</w:t>
            </w:r>
          </w:p>
        </w:tc>
        <w:tc>
          <w:tcPr>
            <w:tcW w:w="0" w:type="auto"/>
            <w:hideMark/>
          </w:tcPr>
          <w:p w14:paraId="61156D46"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Supply eco-friendly amenities</w:t>
            </w:r>
          </w:p>
        </w:tc>
        <w:tc>
          <w:tcPr>
            <w:tcW w:w="0" w:type="auto"/>
            <w:hideMark/>
          </w:tcPr>
          <w:p w14:paraId="0E0DF1C5"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Regular collaboration, supply chain meetings, emails</w:t>
            </w:r>
          </w:p>
        </w:tc>
        <w:tc>
          <w:tcPr>
            <w:tcW w:w="0" w:type="auto"/>
            <w:hideMark/>
          </w:tcPr>
          <w:p w14:paraId="4800D627"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Monthly</w:t>
            </w:r>
          </w:p>
        </w:tc>
      </w:tr>
      <w:tr w:rsidR="008231ED" w:rsidRPr="00502468" w14:paraId="51C80BC6" w14:textId="77777777" w:rsidTr="0067025F">
        <w:tc>
          <w:tcPr>
            <w:tcW w:w="0" w:type="auto"/>
            <w:hideMark/>
          </w:tcPr>
          <w:p w14:paraId="06FE1902"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b/>
                <w:bCs/>
                <w:sz w:val="24"/>
                <w:szCs w:val="24"/>
                <w:lang w:eastAsia="en-IN"/>
              </w:rPr>
              <w:t>Customers</w:t>
            </w:r>
          </w:p>
        </w:tc>
        <w:tc>
          <w:tcPr>
            <w:tcW w:w="0" w:type="auto"/>
            <w:hideMark/>
          </w:tcPr>
          <w:p w14:paraId="5D120D69"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Low Power, High Interest</w:t>
            </w:r>
          </w:p>
        </w:tc>
        <w:tc>
          <w:tcPr>
            <w:tcW w:w="0" w:type="auto"/>
            <w:hideMark/>
          </w:tcPr>
          <w:p w14:paraId="18994B04"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Provide feedback and engagement</w:t>
            </w:r>
          </w:p>
        </w:tc>
        <w:tc>
          <w:tcPr>
            <w:tcW w:w="0" w:type="auto"/>
            <w:hideMark/>
          </w:tcPr>
          <w:p w14:paraId="4BDF9213"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Surveys, feedback forms, focus groups</w:t>
            </w:r>
          </w:p>
        </w:tc>
        <w:tc>
          <w:tcPr>
            <w:tcW w:w="0" w:type="auto"/>
            <w:hideMark/>
          </w:tcPr>
          <w:p w14:paraId="5AF3B087"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After each stay</w:t>
            </w:r>
          </w:p>
        </w:tc>
      </w:tr>
      <w:tr w:rsidR="008231ED" w:rsidRPr="00502468" w14:paraId="47A33893" w14:textId="77777777" w:rsidTr="0067025F">
        <w:tc>
          <w:tcPr>
            <w:tcW w:w="0" w:type="auto"/>
            <w:hideMark/>
          </w:tcPr>
          <w:p w14:paraId="027897E1"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b/>
                <w:bCs/>
                <w:sz w:val="24"/>
                <w:szCs w:val="24"/>
                <w:lang w:eastAsia="en-IN"/>
              </w:rPr>
              <w:t>Local Communities</w:t>
            </w:r>
          </w:p>
        </w:tc>
        <w:tc>
          <w:tcPr>
            <w:tcW w:w="0" w:type="auto"/>
            <w:hideMark/>
          </w:tcPr>
          <w:p w14:paraId="67674A42"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Low Power, Low Interest</w:t>
            </w:r>
          </w:p>
        </w:tc>
        <w:tc>
          <w:tcPr>
            <w:tcW w:w="0" w:type="auto"/>
            <w:hideMark/>
          </w:tcPr>
          <w:p w14:paraId="0098B6AD"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Engage in sustainability initiatives</w:t>
            </w:r>
          </w:p>
        </w:tc>
        <w:tc>
          <w:tcPr>
            <w:tcW w:w="0" w:type="auto"/>
            <w:hideMark/>
          </w:tcPr>
          <w:p w14:paraId="7DA4B627"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Community meetings, emails, newsletters</w:t>
            </w:r>
          </w:p>
        </w:tc>
        <w:tc>
          <w:tcPr>
            <w:tcW w:w="0" w:type="auto"/>
            <w:hideMark/>
          </w:tcPr>
          <w:p w14:paraId="32ECF5EC" w14:textId="77777777" w:rsidR="008231ED" w:rsidRPr="00502468" w:rsidRDefault="008231ED" w:rsidP="00502468">
            <w:pPr>
              <w:spacing w:line="360" w:lineRule="auto"/>
              <w:jc w:val="both"/>
              <w:rPr>
                <w:rFonts w:ascii="Arial" w:eastAsia="Times New Roman" w:hAnsi="Arial" w:cs="Arial"/>
                <w:sz w:val="24"/>
                <w:szCs w:val="24"/>
                <w:lang w:eastAsia="en-IN"/>
              </w:rPr>
            </w:pPr>
            <w:r w:rsidRPr="00502468">
              <w:rPr>
                <w:rFonts w:ascii="Arial" w:eastAsia="Times New Roman" w:hAnsi="Arial" w:cs="Arial"/>
                <w:sz w:val="24"/>
                <w:szCs w:val="24"/>
                <w:lang w:eastAsia="en-IN"/>
              </w:rPr>
              <w:t>Quarterly</w:t>
            </w:r>
          </w:p>
        </w:tc>
      </w:tr>
    </w:tbl>
    <w:p w14:paraId="5BBE3113" w14:textId="009D4238" w:rsidR="008231ED" w:rsidRPr="00502468" w:rsidRDefault="008D6540" w:rsidP="00502468">
      <w:pPr>
        <w:widowControl w:val="0"/>
        <w:spacing w:after="200" w:line="360" w:lineRule="auto"/>
        <w:jc w:val="both"/>
        <w:rPr>
          <w:rFonts w:ascii="Arial" w:hAnsi="Arial" w:cs="Arial"/>
          <w:b/>
          <w:bCs/>
        </w:rPr>
      </w:pPr>
      <w:r w:rsidRPr="00502468">
        <w:rPr>
          <w:rFonts w:ascii="Arial" w:hAnsi="Arial" w:cs="Arial"/>
          <w:b/>
        </w:rPr>
        <w:t>Table 6</w:t>
      </w:r>
      <w:r w:rsidR="008231ED" w:rsidRPr="00502468">
        <w:rPr>
          <w:rFonts w:ascii="Arial" w:hAnsi="Arial" w:cs="Arial"/>
          <w:b/>
        </w:rPr>
        <w:t xml:space="preserve">: </w:t>
      </w:r>
      <w:r w:rsidR="008231ED" w:rsidRPr="00502468">
        <w:rPr>
          <w:rFonts w:ascii="Arial" w:hAnsi="Arial" w:cs="Arial"/>
          <w:b/>
          <w:bCs/>
        </w:rPr>
        <w:t>Stakeholder Engagement Process</w:t>
      </w:r>
    </w:p>
    <w:p w14:paraId="2A6D7F4B" w14:textId="77777777" w:rsidR="008231ED" w:rsidRPr="00502468" w:rsidRDefault="00B72AA6" w:rsidP="00502468">
      <w:pPr>
        <w:widowControl w:val="0"/>
        <w:spacing w:after="200" w:line="360" w:lineRule="auto"/>
        <w:jc w:val="both"/>
        <w:rPr>
          <w:rFonts w:ascii="Arial" w:hAnsi="Arial" w:cs="Arial"/>
        </w:rPr>
      </w:pPr>
      <w:r w:rsidRPr="00502468">
        <w:rPr>
          <w:rFonts w:ascii="Arial" w:hAnsi="Arial" w:cs="Arial"/>
        </w:rPr>
        <w:t xml:space="preserve">Stakeholder engagement is a key factor in the success of the project. The project manager should manage the relationships between stakeholders through proper planning and communication (Daniel and Inim, 2020). It is to ensure co-operation and to solve any issues that might have come up. The stakeholder engagement process involves decision-making, requiring the active participation of all the stakeholders. The initial measure of stakeholder engagement procedure is to classify the stakeholders in terms of their impact and interest in the project. As already mentioned in the RACI Matrix and Stakeholder Map, they have been categorised into various groups according to the level of their power and interest. Stakeholders with high power and high interest, including the senior management and strategic partners, need to be managed and kept well-informed. In contrast, the less powerful and less interested parties do not need to participate much, but must also be informed regularly. </w:t>
      </w:r>
    </w:p>
    <w:p w14:paraId="45B92E79"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rPr>
        <w:t>After classifying the stakeholders, emphasis is going to be on organising communication channels that are specific to the needs of the separate groups. To illustrate, high-power stakeholders, like senior management and regulatory bodies, will need detailed communication through repor</w:t>
      </w:r>
      <w:r w:rsidR="008231ED" w:rsidRPr="00502468">
        <w:rPr>
          <w:rFonts w:ascii="Arial" w:hAnsi="Arial" w:cs="Arial"/>
        </w:rPr>
        <w:t>ts, meetings, and presentations</w:t>
      </w:r>
      <w:r w:rsidRPr="00502468">
        <w:rPr>
          <w:rFonts w:ascii="Arial" w:hAnsi="Arial" w:cs="Arial"/>
        </w:rPr>
        <w:t xml:space="preserve">. One important aspect of stakeholder engagement is to establish a sense of ownership by the stakeholders </w:t>
      </w:r>
      <w:r w:rsidRPr="00502468">
        <w:rPr>
          <w:rFonts w:ascii="Arial" w:hAnsi="Arial" w:cs="Arial"/>
        </w:rPr>
        <w:lastRenderedPageBreak/>
        <w:t>(Zikargae et al., 2022). This can be achieved by engaging them in the decision-making process at a young age and constantly communicating the performances. Consistent feedback meetings will make sure that any issues or proposals will be considered on time, instilling trust and dedication as the project goes on.</w:t>
      </w:r>
    </w:p>
    <w:p w14:paraId="6C38A3B5" w14:textId="77777777" w:rsidR="003930F5" w:rsidRPr="00502468" w:rsidRDefault="00B72AA6" w:rsidP="00502468">
      <w:pPr>
        <w:widowControl w:val="0"/>
        <w:spacing w:after="200" w:line="360" w:lineRule="auto"/>
        <w:jc w:val="both"/>
        <w:rPr>
          <w:rFonts w:ascii="Arial" w:hAnsi="Arial" w:cs="Arial"/>
          <w:b/>
          <w:bCs/>
        </w:rPr>
      </w:pPr>
      <w:r w:rsidRPr="00502468">
        <w:rPr>
          <w:rFonts w:ascii="Arial" w:hAnsi="Arial" w:cs="Arial"/>
          <w:b/>
          <w:bCs/>
        </w:rPr>
        <w:t>Conflict Management through the 4Cs Model</w:t>
      </w:r>
    </w:p>
    <w:p w14:paraId="53ED4918" w14:textId="4DEB893F"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Communication:</w:t>
      </w:r>
      <w:r w:rsidRPr="00502468">
        <w:rPr>
          <w:rFonts w:ascii="Arial" w:hAnsi="Arial" w:cs="Arial"/>
        </w:rPr>
        <w:t xml:space="preserve"> Effective conflict management is based upon clear and transparent communication. Maintaining a similar line of thinking among the diverse stakeholders is one of the major challenges involved in the management of stakeholders. There might be differences in opinions among stakeholders regarding the project direction, priorities and possible outcomes. Effective communication is important to help clarify expectations, eliminate misunderstandings and avoid escalation of conflicts (Fatih et al., 2025). To achieve effective communication, it is vital to be able to communicate openly and honestly, where special focus should be on listening to the concerns of stakeholders. In addition, a setting in which everyone feels free to share opinions, be it in a formal meeting or even a casual discussion, will be the centre of interest. In addition, it is crucial to be able to individualise the communication within each group. For example, the top-level management can demand more detailed financial and planning reports, and suppliers may need more helpful informati</w:t>
      </w:r>
      <w:r w:rsidR="00373DCB" w:rsidRPr="00502468">
        <w:rPr>
          <w:rFonts w:ascii="Arial" w:hAnsi="Arial" w:cs="Arial"/>
        </w:rPr>
        <w:t>on about the supply chain needs</w:t>
      </w:r>
      <w:r w:rsidRPr="00502468">
        <w:rPr>
          <w:rFonts w:ascii="Arial" w:hAnsi="Arial" w:cs="Arial"/>
        </w:rPr>
        <w:t>.</w:t>
      </w:r>
    </w:p>
    <w:p w14:paraId="5119FEC0" w14:textId="43B9E57C"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Collaboration:</w:t>
      </w:r>
      <w:r w:rsidRPr="00502468">
        <w:rPr>
          <w:rFonts w:ascii="Arial" w:hAnsi="Arial" w:cs="Arial"/>
        </w:rPr>
        <w:t xml:space="preserve"> Conflict resolution and agreement of stakeholders towards the common goal are only possible through collaboration. Within the framework of StaySmart+, the objectives of different stakeholders could vary. Therefore, cross-departmental teamwork should be embraced to collaborate. The development of cross-functional teams with members of the main stakeholder groups helps in getting diverse input during the process of decision-making (Yin et al., 2023). This strategy will enable all the stakeholders to believe that their issues will be considered early on throughout the process. Both the marketing team and the operations team will work together in making decisions, reducing possible conflicts and striking a balance between creativity and viability. </w:t>
      </w:r>
    </w:p>
    <w:p w14:paraId="6D4EEE34" w14:textId="0F9D4195"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Consultation:</w:t>
      </w:r>
      <w:r w:rsidRPr="00502468">
        <w:rPr>
          <w:rFonts w:ascii="Arial" w:hAnsi="Arial" w:cs="Arial"/>
        </w:rPr>
        <w:t xml:space="preserve"> Stakeholder management requires consultation, which makes them feel that their views are taken into account during the decision-making process. The </w:t>
      </w:r>
      <w:r w:rsidRPr="00502468">
        <w:rPr>
          <w:rFonts w:ascii="Arial" w:hAnsi="Arial" w:cs="Arial"/>
        </w:rPr>
        <w:lastRenderedPageBreak/>
        <w:t>stakeholders, like suppliers, customers and the local communities in a project like the StaySmart+, give helpful information to make the service more effective. Consultations every few months can provide stakeholders with an opportunity to express concerns, ensuring that conflicts can occur in the future (Saka-Helmhout et al., 2024). An example is involving customers by conducting surveys or focus groups so that the service delivered is in line with their expectations. The viability of the sustainability requirements can be checked by consulting suppliers to make the eco-friendl</w:t>
      </w:r>
      <w:r w:rsidR="00373DCB" w:rsidRPr="00502468">
        <w:rPr>
          <w:rFonts w:ascii="Arial" w:hAnsi="Arial" w:cs="Arial"/>
        </w:rPr>
        <w:t>y sides of the service feasible</w:t>
      </w:r>
      <w:r w:rsidRPr="00502468">
        <w:rPr>
          <w:rFonts w:ascii="Arial" w:hAnsi="Arial" w:cs="Arial"/>
        </w:rPr>
        <w:t>.</w:t>
      </w:r>
    </w:p>
    <w:p w14:paraId="081534A9" w14:textId="77777777" w:rsidR="003930F5" w:rsidRPr="00502468" w:rsidRDefault="00B72AA6" w:rsidP="00502468">
      <w:pPr>
        <w:widowControl w:val="0"/>
        <w:spacing w:after="200" w:line="360" w:lineRule="auto"/>
        <w:jc w:val="both"/>
        <w:rPr>
          <w:rFonts w:ascii="Arial" w:hAnsi="Arial" w:cs="Arial"/>
        </w:rPr>
      </w:pPr>
      <w:r w:rsidRPr="00502468">
        <w:rPr>
          <w:rFonts w:ascii="Arial" w:hAnsi="Arial" w:cs="Arial"/>
          <w:b/>
          <w:bCs/>
        </w:rPr>
        <w:t xml:space="preserve">Commitment: </w:t>
      </w:r>
      <w:r w:rsidRPr="00502468">
        <w:rPr>
          <w:rFonts w:ascii="Arial" w:hAnsi="Arial" w:cs="Arial"/>
        </w:rPr>
        <w:t>The commitment of the stakeholders is the key to the success of the project. When the stakeholders do not feel that their contributions are important, conflicts will be frequent (Saka-Helmhout et al., 2024). To build commitment, it is imperative to appreciate their input and commemorate milestones. Frequent recognition in the form of updates can strengthen interest and their feeling of ownership over their role with the project, minimising the threat of conflict and helping the project succeed.</w:t>
      </w:r>
    </w:p>
    <w:p w14:paraId="3091DCEF" w14:textId="77777777" w:rsidR="003930F5" w:rsidRPr="00502468" w:rsidRDefault="00B72AA6" w:rsidP="00502468">
      <w:pPr>
        <w:pStyle w:val="Heading1"/>
        <w:widowControl w:val="0"/>
        <w:rPr>
          <w:rFonts w:ascii="Arial" w:hAnsi="Arial" w:cs="Arial"/>
          <w:sz w:val="24"/>
          <w:szCs w:val="24"/>
        </w:rPr>
      </w:pPr>
      <w:bookmarkStart w:id="7" w:name="_Toc228274081"/>
      <w:r w:rsidRPr="00502468">
        <w:rPr>
          <w:rFonts w:ascii="Arial" w:hAnsi="Arial" w:cs="Arial"/>
          <w:sz w:val="24"/>
          <w:szCs w:val="24"/>
        </w:rPr>
        <w:t>Impact of Stakeholder Engagement on Business Performance and Recommendations</w:t>
      </w:r>
      <w:bookmarkEnd w:id="7"/>
      <w:r w:rsidRPr="00502468">
        <w:rPr>
          <w:rFonts w:ascii="Arial" w:hAnsi="Arial" w:cs="Arial"/>
          <w:sz w:val="24"/>
          <w:szCs w:val="24"/>
        </w:rPr>
        <w:t xml:space="preserve"> </w:t>
      </w:r>
    </w:p>
    <w:p w14:paraId="66D596BC" w14:textId="77777777" w:rsidR="003930F5" w:rsidRPr="00502468" w:rsidRDefault="00B72AA6" w:rsidP="00502468">
      <w:pPr>
        <w:spacing w:after="200" w:line="360" w:lineRule="auto"/>
        <w:jc w:val="both"/>
        <w:rPr>
          <w:rFonts w:ascii="Arial" w:hAnsi="Arial" w:cs="Arial"/>
          <w:b/>
          <w:bCs/>
        </w:rPr>
      </w:pPr>
      <w:r w:rsidRPr="00502468">
        <w:rPr>
          <w:rFonts w:ascii="Arial" w:hAnsi="Arial" w:cs="Arial"/>
          <w:b/>
          <w:bCs/>
        </w:rPr>
        <w:t xml:space="preserve">Stakeholder engagement impact </w:t>
      </w:r>
    </w:p>
    <w:p w14:paraId="2B04A94D" w14:textId="411C61A0" w:rsidR="003930F5" w:rsidRDefault="00B72AA6" w:rsidP="00502468">
      <w:pPr>
        <w:widowControl w:val="0"/>
        <w:spacing w:line="360" w:lineRule="auto"/>
        <w:jc w:val="both"/>
        <w:rPr>
          <w:rFonts w:ascii="Arial" w:hAnsi="Arial" w:cs="Arial"/>
        </w:rPr>
      </w:pPr>
      <w:r w:rsidRPr="00502468">
        <w:rPr>
          <w:rFonts w:ascii="Arial" w:hAnsi="Arial" w:cs="Arial"/>
        </w:rPr>
        <w:t xml:space="preserve">Stakeholder involvement plays a great role in determining the success of any business initiative, especially in the hospitality industry. In the case of InterContinental Hotels Group (IHG), the introduction of the services associated with the launch of StaySmart+ can be viewed as the potential to optimise the brand value, customer loyalty, and operational efficiency. The interaction with critical stakeholders, including internal teams, consumers, suppliers, regulatory agencies, and the local communities, has a diverse impact on IHG on the overall business performance. To begin with, it is essential to have internal stakeholder involvement to have smooth operations and alignment of projects. Team coordination leads to an easier implementation process, minimising delays and non-utilisation of resources (Yin et al., 2023). Through the active participation of the senior management in decision-making processes, IHG can be assured that the strategic goals are achieved and that the service is aligned with the long-term objectives of the business. Consequently, the service StaySmart+ has higher chances of success, leading to an </w:t>
      </w:r>
      <w:r w:rsidRPr="00502468">
        <w:rPr>
          <w:rFonts w:ascii="Arial" w:hAnsi="Arial" w:cs="Arial"/>
        </w:rPr>
        <w:lastRenderedPageBreak/>
        <w:t>increase in its revenue basis and aiding its role in the market share of premium services. Interaction with external stakeholders directly affects the performance of the business (Christopher et al., 2013). Through continuous feedback from customers, collected via surveys and focus groups, IHG will be able to make the StaySmart+ service a perfect match to consumer needs and maximise customer satisfaction. The loyal customers would be more engaged, giving them repeat business by promoting favourable word-of-mouth. This would further boost brand awareness and draw new customers. In addition, good relationships with suppliers guarantee the supply of quality and sustainable products (J.P Morgan, 2025). As a result, the service can retain its competitive advantage in the market. Regulatory authorities can ensure that the service is compliant with all the legal and environmental requirements, thereby keeping IHG safe and out of expensive legal suits. The involvement of the local communities would ensure that IHG services would add value to the development in the region. By engaging in sustainable business activity and localised efforts, IHG will be able to build a stronger brand image and appeal to the customers who care about sustainability.</w:t>
      </w:r>
    </w:p>
    <w:p w14:paraId="16092CD7" w14:textId="77777777" w:rsidR="003D3095" w:rsidRPr="00502468" w:rsidRDefault="003D3095" w:rsidP="00502468">
      <w:pPr>
        <w:widowControl w:val="0"/>
        <w:spacing w:line="360" w:lineRule="auto"/>
        <w:jc w:val="both"/>
        <w:rPr>
          <w:rFonts w:ascii="Arial" w:hAnsi="Arial" w:cs="Arial"/>
        </w:rPr>
      </w:pPr>
    </w:p>
    <w:p w14:paraId="6CDFC43D" w14:textId="77777777" w:rsidR="003930F5" w:rsidRPr="00502468" w:rsidRDefault="00B72AA6" w:rsidP="00502468">
      <w:pPr>
        <w:widowControl w:val="0"/>
        <w:spacing w:line="360" w:lineRule="auto"/>
        <w:jc w:val="both"/>
        <w:rPr>
          <w:rFonts w:ascii="Arial" w:hAnsi="Arial" w:cs="Arial"/>
          <w:b/>
          <w:bCs/>
        </w:rPr>
      </w:pPr>
      <w:r w:rsidRPr="00502468">
        <w:rPr>
          <w:rFonts w:ascii="Arial" w:hAnsi="Arial" w:cs="Arial"/>
          <w:b/>
          <w:bCs/>
        </w:rPr>
        <w:t>Recommendations</w:t>
      </w:r>
    </w:p>
    <w:p w14:paraId="5F784D1F" w14:textId="689E3725" w:rsidR="003930F5" w:rsidRDefault="00B72AA6" w:rsidP="00502468">
      <w:pPr>
        <w:widowControl w:val="0"/>
        <w:spacing w:after="200" w:line="360" w:lineRule="auto"/>
        <w:jc w:val="both"/>
        <w:rPr>
          <w:rFonts w:ascii="Arial" w:hAnsi="Arial" w:cs="Arial"/>
        </w:rPr>
      </w:pPr>
      <w:r w:rsidRPr="00502468">
        <w:rPr>
          <w:rFonts w:ascii="Arial" w:hAnsi="Arial" w:cs="Arial"/>
        </w:rPr>
        <w:t xml:space="preserve">Long-term success of future projects also requires that IHG concentrate on improving the stakeholder engagement strategies at different levels. Internal communication can be enhanced by guaranteeing that cross-departmental teams are routinely informed about progress and challenges of the project (Yin et al., 2023). This can be done by holding monthly project review meetings and open information sharing platforms where the stakeholders can give inputs, air their concerns and also change their strategies. IHG also has to keep focusing on customer interaction via personalised experiences and improvements based on feedback. With the increasing trend of personalised services, data analytics and AI technologies have become essential (Stein et al., 2025). They can assist IHG in forecasting consumer tastes and preferences and provide customised services to its consumers. Customer feedback will allow IHG to keep up with the current trends and address any service failures swiftly. Moreover, the adoption of sustainability initiatives will go a long way in boosting customer loyalty, particularly among the environmentally conscious travellers (Ogunmola and Kumar, 2024). Concerning supplier </w:t>
      </w:r>
      <w:r w:rsidRPr="00502468">
        <w:rPr>
          <w:rFonts w:ascii="Arial" w:hAnsi="Arial" w:cs="Arial"/>
        </w:rPr>
        <w:lastRenderedPageBreak/>
        <w:t>relationships, the brand should think about continuing to enter into long-term, collaborative relationships beyond transactional relationships. Involving suppliers in the innovation process will enable them to obtain superior prices, guaranteeing products of high quality within the supply chain (Flankegård et al., 2021). The development of structured supplier engagement initiatives that can be consistent with the sustainability objectives of IHG will enable both to take advantage of cost savings and new service propositions. Moreover, the compliance of the suppliers with sustainability standards is checked regularly and guarantees the sustainability control and reduction of possible risks. The regulatory organisations have a significant role in adhering to changes in legal and environmental requirements. IHG ought to seek the input of the regulatory bodies at the initial stages of the design of any service, which will help predict the possible issues and remain ahead of the legislative changes. Consistent workshops or debate tables could establish a collaborative dialogue with regulators so that the IHG could influence future regulations and be able to comply smoothly. Moreover, the local community engagement may be enhanced by ensuring that the benefits of the StaySmart+ service are translated to the local environment and economy. Community-based areas where IHG should engage in investments would include job training, environmental conservation efforts and integration of local businesses..</w:t>
      </w:r>
    </w:p>
    <w:p w14:paraId="102190BB" w14:textId="77777777" w:rsidR="003D3095" w:rsidRDefault="003D3095" w:rsidP="00502468">
      <w:pPr>
        <w:widowControl w:val="0"/>
        <w:spacing w:after="200" w:line="360" w:lineRule="auto"/>
        <w:jc w:val="both"/>
        <w:rPr>
          <w:rFonts w:ascii="Arial" w:hAnsi="Arial" w:cs="Arial"/>
        </w:rPr>
      </w:pPr>
    </w:p>
    <w:p w14:paraId="670D670C" w14:textId="77777777" w:rsidR="003D3095" w:rsidRDefault="003D3095" w:rsidP="00502468">
      <w:pPr>
        <w:widowControl w:val="0"/>
        <w:spacing w:after="200" w:line="360" w:lineRule="auto"/>
        <w:jc w:val="both"/>
        <w:rPr>
          <w:rFonts w:ascii="Arial" w:hAnsi="Arial" w:cs="Arial"/>
        </w:rPr>
      </w:pPr>
    </w:p>
    <w:p w14:paraId="44D7D4F9" w14:textId="77777777" w:rsidR="003D3095" w:rsidRDefault="003D3095" w:rsidP="00502468">
      <w:pPr>
        <w:widowControl w:val="0"/>
        <w:spacing w:after="200" w:line="360" w:lineRule="auto"/>
        <w:jc w:val="both"/>
        <w:rPr>
          <w:rFonts w:ascii="Arial" w:hAnsi="Arial" w:cs="Arial"/>
        </w:rPr>
      </w:pPr>
    </w:p>
    <w:p w14:paraId="0083DFE8" w14:textId="77777777" w:rsidR="003D3095" w:rsidRDefault="003D3095" w:rsidP="00502468">
      <w:pPr>
        <w:widowControl w:val="0"/>
        <w:spacing w:after="200" w:line="360" w:lineRule="auto"/>
        <w:jc w:val="both"/>
        <w:rPr>
          <w:rFonts w:ascii="Arial" w:hAnsi="Arial" w:cs="Arial"/>
        </w:rPr>
      </w:pPr>
    </w:p>
    <w:p w14:paraId="289314EE" w14:textId="77777777" w:rsidR="003D3095" w:rsidRDefault="003D3095" w:rsidP="00502468">
      <w:pPr>
        <w:widowControl w:val="0"/>
        <w:spacing w:after="200" w:line="360" w:lineRule="auto"/>
        <w:jc w:val="both"/>
        <w:rPr>
          <w:rFonts w:ascii="Arial" w:hAnsi="Arial" w:cs="Arial"/>
        </w:rPr>
      </w:pPr>
    </w:p>
    <w:p w14:paraId="0BB76D59" w14:textId="77777777" w:rsidR="003D3095" w:rsidRDefault="003D3095" w:rsidP="00502468">
      <w:pPr>
        <w:widowControl w:val="0"/>
        <w:spacing w:after="200" w:line="360" w:lineRule="auto"/>
        <w:jc w:val="both"/>
        <w:rPr>
          <w:rFonts w:ascii="Arial" w:hAnsi="Arial" w:cs="Arial"/>
        </w:rPr>
      </w:pPr>
    </w:p>
    <w:p w14:paraId="42B6CDE6" w14:textId="77777777" w:rsidR="003D3095" w:rsidRDefault="003D3095" w:rsidP="00502468">
      <w:pPr>
        <w:widowControl w:val="0"/>
        <w:spacing w:after="200" w:line="360" w:lineRule="auto"/>
        <w:jc w:val="both"/>
        <w:rPr>
          <w:rFonts w:ascii="Arial" w:hAnsi="Arial" w:cs="Arial"/>
        </w:rPr>
      </w:pPr>
    </w:p>
    <w:p w14:paraId="486C564E" w14:textId="77777777" w:rsidR="003D3095" w:rsidRPr="00502468" w:rsidRDefault="003D3095" w:rsidP="00502468">
      <w:pPr>
        <w:widowControl w:val="0"/>
        <w:spacing w:after="200" w:line="360" w:lineRule="auto"/>
        <w:jc w:val="both"/>
        <w:rPr>
          <w:rFonts w:ascii="Arial" w:hAnsi="Arial" w:cs="Arial"/>
        </w:rPr>
      </w:pPr>
    </w:p>
    <w:p w14:paraId="25338CEF" w14:textId="77777777" w:rsidR="003930F5" w:rsidRPr="00502468" w:rsidRDefault="00B72AA6" w:rsidP="00502468">
      <w:pPr>
        <w:pStyle w:val="Heading1"/>
        <w:widowControl w:val="0"/>
        <w:rPr>
          <w:rFonts w:ascii="Arial" w:hAnsi="Arial" w:cs="Arial"/>
          <w:sz w:val="24"/>
          <w:szCs w:val="24"/>
        </w:rPr>
      </w:pPr>
      <w:bookmarkStart w:id="8" w:name="_Toc228274082"/>
      <w:r w:rsidRPr="00502468">
        <w:rPr>
          <w:rFonts w:ascii="Arial" w:hAnsi="Arial" w:cs="Arial"/>
          <w:sz w:val="24"/>
          <w:szCs w:val="24"/>
        </w:rPr>
        <w:lastRenderedPageBreak/>
        <w:t>Conclusion</w:t>
      </w:r>
      <w:bookmarkEnd w:id="8"/>
    </w:p>
    <w:p w14:paraId="45B26B2A" w14:textId="6B62DCC7" w:rsidR="003930F5" w:rsidRPr="00502468" w:rsidRDefault="00B72AA6" w:rsidP="00502468">
      <w:pPr>
        <w:spacing w:line="360" w:lineRule="auto"/>
        <w:jc w:val="both"/>
        <w:rPr>
          <w:rFonts w:ascii="Arial" w:hAnsi="Arial" w:cs="Arial"/>
        </w:rPr>
      </w:pPr>
      <w:r w:rsidRPr="00502468">
        <w:rPr>
          <w:rFonts w:ascii="Arial" w:hAnsi="Arial" w:cs="Arial"/>
        </w:rPr>
        <w:t>The key to the success of the launch of the StaySmart+ service at the InterContinental Hotels Group (IHG) is effective stakeholder engagement. The project manager, through proactive identification and involvement of key stakeholders, both internal and external, will be able to achieve coordination across the different departments. They are also able to increase operational efficiency and teamwork. The RACI Matrix, Stakeholder Engagement Matrix, and Salience Model make sure that stakeholders are appropriately handled based on their influence and interest to maximise communication and decision-making processes across the project lifecycle. Conflict management can be achieved through the use of the 4C's Model, which includes communication, collaboration, consultation, and commitment. Effective communication reduces the chances of misunderstanding, and teamwork provides a variety of ideas with the support of all stakeholders, resulting in new solutions. This consultation represents a regular engagement with customers, suppliers, and other external parties and their needs are addressed, but the stakeholders also develop a feeling of ownership and commitment. This will not only help to reduce conflicts but also enhance relationships, which are essential towards maintaining long-term interaction and loyalty. A constant engagement with the stakeholders in the process and aligning their goals with the project objective, IHG will be able to achieve a successful service, increase customer satisfaction, and develop a strong foundation for further development. The key to the success of the StaySmart+ service will be the possibility of maintaining the right balance between the different stakeholder interests. In the future, enhancing stakeholder interest measures will remain critical to the capacity of IHG to ensure its operations sustain a competitive advantage and the sustainability of business performance in a fast-changing hospitality business environment.</w:t>
      </w:r>
    </w:p>
    <w:p w14:paraId="68C608E4" w14:textId="77777777" w:rsidR="003930F5" w:rsidRPr="00502468" w:rsidRDefault="00B72AA6" w:rsidP="00502468">
      <w:pPr>
        <w:pStyle w:val="Heading1"/>
        <w:rPr>
          <w:rFonts w:ascii="Arial" w:hAnsi="Arial" w:cs="Arial"/>
          <w:sz w:val="24"/>
          <w:szCs w:val="24"/>
        </w:rPr>
      </w:pPr>
      <w:bookmarkStart w:id="9" w:name="_heading=h.3e2d41uvj0r9" w:colFirst="0" w:colLast="0"/>
      <w:bookmarkEnd w:id="9"/>
      <w:r w:rsidRPr="00502468">
        <w:rPr>
          <w:rFonts w:ascii="Arial" w:hAnsi="Arial" w:cs="Arial"/>
          <w:sz w:val="24"/>
          <w:szCs w:val="24"/>
        </w:rPr>
        <w:br w:type="page"/>
      </w:r>
    </w:p>
    <w:p w14:paraId="104FFC7B" w14:textId="77777777" w:rsidR="003930F5" w:rsidRPr="00502468" w:rsidRDefault="00B72AA6" w:rsidP="00502468">
      <w:pPr>
        <w:pStyle w:val="Heading1"/>
        <w:rPr>
          <w:rFonts w:ascii="Arial" w:hAnsi="Arial" w:cs="Arial"/>
          <w:sz w:val="24"/>
          <w:szCs w:val="24"/>
        </w:rPr>
      </w:pPr>
      <w:bookmarkStart w:id="10" w:name="_Toc228274083"/>
      <w:r w:rsidRPr="00502468">
        <w:rPr>
          <w:rFonts w:ascii="Arial" w:hAnsi="Arial" w:cs="Arial"/>
          <w:sz w:val="24"/>
          <w:szCs w:val="24"/>
        </w:rPr>
        <w:lastRenderedPageBreak/>
        <w:t>References</w:t>
      </w:r>
      <w:bookmarkEnd w:id="10"/>
    </w:p>
    <w:p w14:paraId="6795B281"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Ahmad, R., Nawaz, M.R., Ishaq, M.I., Khan, M.M. and Ashraf, H.A., (2023). Social exchange theory: Systematic review and future directions. </w:t>
      </w:r>
      <w:r w:rsidRPr="00502468">
        <w:rPr>
          <w:rFonts w:ascii="Arial" w:hAnsi="Arial" w:cs="Arial"/>
          <w:i/>
          <w:iCs/>
        </w:rPr>
        <w:t>Frontiers in Psychology</w:t>
      </w:r>
      <w:r w:rsidRPr="00502468">
        <w:rPr>
          <w:rFonts w:ascii="Arial" w:hAnsi="Arial" w:cs="Arial"/>
        </w:rPr>
        <w:t>, 13, pp.1015921.</w:t>
      </w:r>
    </w:p>
    <w:p w14:paraId="74EDE510"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Almeida, L. (2026). UK competition watchdog investigates hotel groups over alleged data sharing. [online] </w:t>
      </w:r>
      <w:r w:rsidRPr="00502468">
        <w:rPr>
          <w:rFonts w:ascii="Arial" w:hAnsi="Arial" w:cs="Arial"/>
          <w:i/>
          <w:iCs/>
        </w:rPr>
        <w:t>The Guardian</w:t>
      </w:r>
      <w:r w:rsidRPr="00502468">
        <w:rPr>
          <w:rFonts w:ascii="Arial" w:hAnsi="Arial" w:cs="Arial"/>
        </w:rPr>
        <w:t>. Available at:</w:t>
      </w:r>
      <w:hyperlink r:id="rId14">
        <w:r w:rsidRPr="00502468">
          <w:rPr>
            <w:rFonts w:ascii="Arial" w:hAnsi="Arial" w:cs="Arial"/>
          </w:rPr>
          <w:t xml:space="preserve"> </w:t>
        </w:r>
      </w:hyperlink>
      <w:hyperlink r:id="rId15">
        <w:r w:rsidRPr="00502468">
          <w:rPr>
            <w:rFonts w:ascii="Arial" w:hAnsi="Arial" w:cs="Arial"/>
            <w:color w:val="1155CC"/>
            <w:u w:val="single"/>
          </w:rPr>
          <w:t>https://www.theguardian.com/business/2026/mar/02/uk-competition-watchdog-investigates-hilton-marriott-intercontinental-hotel-groups-alleged-data-sharing</w:t>
        </w:r>
      </w:hyperlink>
      <w:r w:rsidRPr="00502468">
        <w:rPr>
          <w:rFonts w:ascii="Arial" w:hAnsi="Arial" w:cs="Arial"/>
        </w:rPr>
        <w:t xml:space="preserve"> [Accessed 20 April 2026].</w:t>
      </w:r>
    </w:p>
    <w:p w14:paraId="65798DB9"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Christopher, M., Payne, A., and Ballantyne, D. (2013). </w:t>
      </w:r>
      <w:r w:rsidRPr="00502468">
        <w:rPr>
          <w:rFonts w:ascii="Arial" w:hAnsi="Arial" w:cs="Arial"/>
          <w:i/>
          <w:iCs/>
        </w:rPr>
        <w:t>Relationship Marketing: Creating Stakeholder Value.</w:t>
      </w:r>
      <w:r w:rsidRPr="00502468">
        <w:rPr>
          <w:rFonts w:ascii="Arial" w:hAnsi="Arial" w:cs="Arial"/>
        </w:rPr>
        <w:t xml:space="preserve"> Saint Louis: Taylor and Francis</w:t>
      </w:r>
    </w:p>
    <w:p w14:paraId="033ED63E"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Daniel, C.O. and Inim, V., (2020). Role of Project Managers in the Stakeholder Management. </w:t>
      </w:r>
      <w:r w:rsidRPr="00502468">
        <w:rPr>
          <w:rFonts w:ascii="Arial" w:hAnsi="Arial" w:cs="Arial"/>
          <w:i/>
          <w:iCs/>
        </w:rPr>
        <w:t>International Journal of Scientific and Research Publications (IJSRP)</w:t>
      </w:r>
      <w:r w:rsidRPr="00502468">
        <w:rPr>
          <w:rFonts w:ascii="Arial" w:hAnsi="Arial" w:cs="Arial"/>
        </w:rPr>
        <w:t>, 10(1), pp.p9741.</w:t>
      </w:r>
    </w:p>
    <w:p w14:paraId="1CADA872"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del Águila, I.M. and del Sagrado, J., (2023). Salience-based stakeholder selection to maintain stakeholder coverage in solving the next release problem. </w:t>
      </w:r>
      <w:r w:rsidRPr="00502468">
        <w:rPr>
          <w:rFonts w:ascii="Arial" w:hAnsi="Arial" w:cs="Arial"/>
          <w:i/>
          <w:iCs/>
        </w:rPr>
        <w:t>Information and Software Technology</w:t>
      </w:r>
      <w:r w:rsidRPr="00502468">
        <w:rPr>
          <w:rFonts w:ascii="Arial" w:hAnsi="Arial" w:cs="Arial"/>
        </w:rPr>
        <w:t>, 160, pp.107231.</w:t>
      </w:r>
    </w:p>
    <w:p w14:paraId="4D23DF6E"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Fatih, M., Fauzi, N. and Norman, E., (2025). Effective communication in building healthy and productive relationships. </w:t>
      </w:r>
      <w:r w:rsidRPr="00502468">
        <w:rPr>
          <w:rFonts w:ascii="Arial" w:hAnsi="Arial" w:cs="Arial"/>
          <w:i/>
          <w:iCs/>
        </w:rPr>
        <w:t>MES Management Journal</w:t>
      </w:r>
      <w:r w:rsidRPr="00502468">
        <w:rPr>
          <w:rFonts w:ascii="Arial" w:hAnsi="Arial" w:cs="Arial"/>
        </w:rPr>
        <w:t>, 4(1), pp.662-671.</w:t>
      </w:r>
    </w:p>
    <w:p w14:paraId="743F4A69"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Flankegård, F., Granlund, A. and Johansson, G., (2021). Supplier involvement in product development: Challenges and mitigating mechanisms from a supplier perspective. </w:t>
      </w:r>
      <w:r w:rsidRPr="00502468">
        <w:rPr>
          <w:rFonts w:ascii="Arial" w:hAnsi="Arial" w:cs="Arial"/>
          <w:i/>
          <w:iCs/>
        </w:rPr>
        <w:t>Journal of Engineering and Technology Management</w:t>
      </w:r>
      <w:r w:rsidRPr="00502468">
        <w:rPr>
          <w:rFonts w:ascii="Arial" w:hAnsi="Arial" w:cs="Arial"/>
        </w:rPr>
        <w:t>, 60, pp.101628.</w:t>
      </w:r>
    </w:p>
    <w:p w14:paraId="3B169AFA"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Gomes, N. and Paramasivam, P. (2026). Holiday Inn-owner IHG sees India as a top-five market as global chains scale up. </w:t>
      </w:r>
      <w:r w:rsidRPr="00502468">
        <w:rPr>
          <w:rFonts w:ascii="Arial" w:hAnsi="Arial" w:cs="Arial"/>
          <w:i/>
          <w:iCs/>
        </w:rPr>
        <w:t>Reuters</w:t>
      </w:r>
      <w:r w:rsidRPr="00502468">
        <w:rPr>
          <w:rFonts w:ascii="Arial" w:hAnsi="Arial" w:cs="Arial"/>
        </w:rPr>
        <w:t>. [online] 27 Feb. Available at:</w:t>
      </w:r>
      <w:hyperlink r:id="rId16">
        <w:r w:rsidRPr="00502468">
          <w:rPr>
            <w:rFonts w:ascii="Arial" w:hAnsi="Arial" w:cs="Arial"/>
          </w:rPr>
          <w:t xml:space="preserve"> </w:t>
        </w:r>
      </w:hyperlink>
      <w:hyperlink r:id="rId17">
        <w:r w:rsidRPr="00502468">
          <w:rPr>
            <w:rFonts w:ascii="Arial" w:hAnsi="Arial" w:cs="Arial"/>
            <w:color w:val="1155CC"/>
            <w:u w:val="single"/>
          </w:rPr>
          <w:t>https://www.reuters.com/world/india/holiday-inn-owner-ihg-sees-india-top-five-market-global-chains-scale-up-2026-02-27/</w:t>
        </w:r>
      </w:hyperlink>
      <w:r w:rsidRPr="00502468">
        <w:rPr>
          <w:rFonts w:ascii="Arial" w:hAnsi="Arial" w:cs="Arial"/>
        </w:rPr>
        <w:t xml:space="preserve"> [Accessed 21 Apr. 2026].</w:t>
      </w:r>
    </w:p>
    <w:p w14:paraId="6D4433F9"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Iheanachor, N., Umukoro, I.O. and David-West, O., (2021). The role of product </w:t>
      </w:r>
      <w:r w:rsidRPr="00502468">
        <w:rPr>
          <w:rFonts w:ascii="Arial" w:hAnsi="Arial" w:cs="Arial"/>
        </w:rPr>
        <w:lastRenderedPageBreak/>
        <w:t xml:space="preserve">development practices on new product performance: Evidence from Nigeria's financial services providers. </w:t>
      </w:r>
      <w:r w:rsidRPr="00502468">
        <w:rPr>
          <w:rFonts w:ascii="Arial" w:hAnsi="Arial" w:cs="Arial"/>
          <w:i/>
          <w:iCs/>
        </w:rPr>
        <w:t>Technological Forecasting and Social Change</w:t>
      </w:r>
      <w:r w:rsidRPr="00502468">
        <w:rPr>
          <w:rFonts w:ascii="Arial" w:hAnsi="Arial" w:cs="Arial"/>
        </w:rPr>
        <w:t>, 164, pp.120470.</w:t>
      </w:r>
    </w:p>
    <w:p w14:paraId="6C8AB869"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IHG (2025). Our global presence. [online] </w:t>
      </w:r>
      <w:r w:rsidRPr="00502468">
        <w:rPr>
          <w:rFonts w:ascii="Arial" w:hAnsi="Arial" w:cs="Arial"/>
          <w:i/>
          <w:iCs/>
        </w:rPr>
        <w:t>InterContinental Hotels Group PLC</w:t>
      </w:r>
      <w:r w:rsidRPr="00502468">
        <w:rPr>
          <w:rFonts w:ascii="Arial" w:hAnsi="Arial" w:cs="Arial"/>
        </w:rPr>
        <w:t>. Available at:</w:t>
      </w:r>
      <w:hyperlink r:id="rId18">
        <w:r w:rsidRPr="00502468">
          <w:rPr>
            <w:rFonts w:ascii="Arial" w:hAnsi="Arial" w:cs="Arial"/>
          </w:rPr>
          <w:t xml:space="preserve"> </w:t>
        </w:r>
      </w:hyperlink>
      <w:hyperlink r:id="rId19">
        <w:r w:rsidRPr="00502468">
          <w:rPr>
            <w:rFonts w:ascii="Arial" w:hAnsi="Arial" w:cs="Arial"/>
            <w:color w:val="1155CC"/>
            <w:u w:val="single"/>
          </w:rPr>
          <w:t>https://www.ihgplc.com/about-us/our-global-presence</w:t>
        </w:r>
      </w:hyperlink>
      <w:r w:rsidRPr="00502468">
        <w:rPr>
          <w:rFonts w:ascii="Arial" w:hAnsi="Arial" w:cs="Arial"/>
        </w:rPr>
        <w:t xml:space="preserve"> [Accessed 23 April 2026].</w:t>
      </w:r>
    </w:p>
    <w:p w14:paraId="20D19626"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IHG (2025a). Annual Report. [online] </w:t>
      </w:r>
      <w:r w:rsidRPr="00502468">
        <w:rPr>
          <w:rFonts w:ascii="Arial" w:hAnsi="Arial" w:cs="Arial"/>
          <w:i/>
          <w:iCs/>
        </w:rPr>
        <w:t>InterContinental Hotels Group PLC</w:t>
      </w:r>
      <w:r w:rsidRPr="00502468">
        <w:rPr>
          <w:rFonts w:ascii="Arial" w:hAnsi="Arial" w:cs="Arial"/>
        </w:rPr>
        <w:t>. Available at:</w:t>
      </w:r>
      <w:hyperlink r:id="rId20">
        <w:r w:rsidRPr="00502468">
          <w:rPr>
            <w:rFonts w:ascii="Arial" w:hAnsi="Arial" w:cs="Arial"/>
          </w:rPr>
          <w:t xml:space="preserve"> </w:t>
        </w:r>
      </w:hyperlink>
      <w:hyperlink r:id="rId21">
        <w:r w:rsidRPr="00502468">
          <w:rPr>
            <w:rFonts w:ascii="Arial" w:hAnsi="Arial" w:cs="Arial"/>
            <w:color w:val="1155CC"/>
            <w:u w:val="single"/>
          </w:rPr>
          <w:t>https://www.ihgplc.com/en/investors/annual-report</w:t>
        </w:r>
      </w:hyperlink>
      <w:r w:rsidRPr="00502468">
        <w:rPr>
          <w:rFonts w:ascii="Arial" w:hAnsi="Arial" w:cs="Arial"/>
        </w:rPr>
        <w:t xml:space="preserve"> [Accessed 23 April 2026].</w:t>
      </w:r>
    </w:p>
    <w:p w14:paraId="2379E8FA"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IHG (2026). About us. [online] </w:t>
      </w:r>
      <w:r w:rsidRPr="00502468">
        <w:rPr>
          <w:rFonts w:ascii="Arial" w:hAnsi="Arial" w:cs="Arial"/>
          <w:i/>
          <w:iCs/>
        </w:rPr>
        <w:t>IHG Development</w:t>
      </w:r>
      <w:r w:rsidRPr="00502468">
        <w:rPr>
          <w:rFonts w:ascii="Arial" w:hAnsi="Arial" w:cs="Arial"/>
        </w:rPr>
        <w:t>. Available at:</w:t>
      </w:r>
      <w:hyperlink r:id="rId22">
        <w:r w:rsidRPr="00502468">
          <w:rPr>
            <w:rFonts w:ascii="Arial" w:hAnsi="Arial" w:cs="Arial"/>
          </w:rPr>
          <w:t xml:space="preserve"> </w:t>
        </w:r>
      </w:hyperlink>
      <w:hyperlink r:id="rId23">
        <w:r w:rsidRPr="00502468">
          <w:rPr>
            <w:rFonts w:ascii="Arial" w:hAnsi="Arial" w:cs="Arial"/>
            <w:color w:val="1155CC"/>
            <w:u w:val="single"/>
          </w:rPr>
          <w:t>https://development.ihg.com/about-us?tab=all</w:t>
        </w:r>
      </w:hyperlink>
      <w:r w:rsidRPr="00502468">
        <w:rPr>
          <w:rFonts w:ascii="Arial" w:hAnsi="Arial" w:cs="Arial"/>
        </w:rPr>
        <w:t xml:space="preserve"> [Accessed 22 Apr. 2026].</w:t>
      </w:r>
    </w:p>
    <w:p w14:paraId="16EB8901"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IHG (n.d.). A Powerful loyalty programme. [online] </w:t>
      </w:r>
      <w:r w:rsidRPr="00502468">
        <w:rPr>
          <w:rFonts w:ascii="Arial" w:hAnsi="Arial" w:cs="Arial"/>
          <w:i/>
          <w:iCs/>
        </w:rPr>
        <w:t>IHG Development</w:t>
      </w:r>
      <w:r w:rsidRPr="00502468">
        <w:rPr>
          <w:rFonts w:ascii="Arial" w:hAnsi="Arial" w:cs="Arial"/>
        </w:rPr>
        <w:t>. Available at:</w:t>
      </w:r>
      <w:hyperlink r:id="rId24">
        <w:r w:rsidRPr="00502468">
          <w:rPr>
            <w:rFonts w:ascii="Arial" w:hAnsi="Arial" w:cs="Arial"/>
          </w:rPr>
          <w:t xml:space="preserve"> </w:t>
        </w:r>
      </w:hyperlink>
      <w:hyperlink r:id="rId25">
        <w:r w:rsidRPr="00502468">
          <w:rPr>
            <w:rFonts w:ascii="Arial" w:hAnsi="Arial" w:cs="Arial"/>
            <w:color w:val="1155CC"/>
            <w:u w:val="single"/>
          </w:rPr>
          <w:t>https://development.ihg.com/hotel-development/owner-value/powerful-loyalty-programme</w:t>
        </w:r>
      </w:hyperlink>
      <w:r w:rsidRPr="00502468">
        <w:rPr>
          <w:rFonts w:ascii="Arial" w:hAnsi="Arial" w:cs="Arial"/>
        </w:rPr>
        <w:t xml:space="preserve"> [Accessed 20 April 2026].</w:t>
      </w:r>
    </w:p>
    <w:p w14:paraId="64F39818"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IHG PLC (2025). IHG Hotels &amp; Resorts Named to Fortune 100 Best Companies to Work For®. [online] </w:t>
      </w:r>
      <w:r w:rsidRPr="00502468">
        <w:rPr>
          <w:rFonts w:ascii="Arial" w:hAnsi="Arial" w:cs="Arial"/>
          <w:i/>
          <w:iCs/>
        </w:rPr>
        <w:t>InterContinental Hotels Group PLC</w:t>
      </w:r>
      <w:r w:rsidRPr="00502468">
        <w:rPr>
          <w:rFonts w:ascii="Arial" w:hAnsi="Arial" w:cs="Arial"/>
        </w:rPr>
        <w:t>. Available at:</w:t>
      </w:r>
      <w:hyperlink r:id="rId26">
        <w:r w:rsidRPr="00502468">
          <w:rPr>
            <w:rFonts w:ascii="Arial" w:hAnsi="Arial" w:cs="Arial"/>
          </w:rPr>
          <w:t xml:space="preserve"> </w:t>
        </w:r>
      </w:hyperlink>
      <w:hyperlink r:id="rId27">
        <w:r w:rsidRPr="00502468">
          <w:rPr>
            <w:rFonts w:ascii="Arial" w:hAnsi="Arial" w:cs="Arial"/>
            <w:color w:val="1155CC"/>
            <w:u w:val="single"/>
          </w:rPr>
          <w:t>https://www.ihgplc.com/en/news-and-media/news-releases/2025/ihg-hotels-and-resorts-named-to-fortune-100-best-companies-to-work-for</w:t>
        </w:r>
      </w:hyperlink>
      <w:r w:rsidRPr="00502468">
        <w:rPr>
          <w:rFonts w:ascii="Arial" w:hAnsi="Arial" w:cs="Arial"/>
        </w:rPr>
        <w:t xml:space="preserve"> [Accessed 19 April 2026].</w:t>
      </w:r>
    </w:p>
    <w:p w14:paraId="701EBB6A"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IHG PLC (n.d.). Carbon and Energy. [online] </w:t>
      </w:r>
      <w:r w:rsidRPr="00502468">
        <w:rPr>
          <w:rFonts w:ascii="Arial" w:hAnsi="Arial" w:cs="Arial"/>
          <w:i/>
          <w:iCs/>
        </w:rPr>
        <w:t>InterContinental Hotels Group PLC</w:t>
      </w:r>
      <w:r w:rsidRPr="00502468">
        <w:rPr>
          <w:rFonts w:ascii="Arial" w:hAnsi="Arial" w:cs="Arial"/>
        </w:rPr>
        <w:t>. Available at:</w:t>
      </w:r>
      <w:hyperlink r:id="rId28">
        <w:r w:rsidRPr="00502468">
          <w:rPr>
            <w:rFonts w:ascii="Arial" w:hAnsi="Arial" w:cs="Arial"/>
          </w:rPr>
          <w:t xml:space="preserve"> </w:t>
        </w:r>
      </w:hyperlink>
      <w:hyperlink r:id="rId29">
        <w:r w:rsidRPr="00502468">
          <w:rPr>
            <w:rFonts w:ascii="Arial" w:hAnsi="Arial" w:cs="Arial"/>
            <w:color w:val="1155CC"/>
            <w:u w:val="single"/>
          </w:rPr>
          <w:t>https://www.ihgplc.com/en/responsible-business/carbon-and-energy</w:t>
        </w:r>
      </w:hyperlink>
      <w:r w:rsidRPr="00502468">
        <w:rPr>
          <w:rFonts w:ascii="Arial" w:hAnsi="Arial" w:cs="Arial"/>
        </w:rPr>
        <w:t xml:space="preserve"> [Accessed 20 Apr. 2026].</w:t>
      </w:r>
    </w:p>
    <w:p w14:paraId="6608C485"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J.P Morgan (2025). Supplier Relationship Management: Strategies &amp; Best Practices. [online] </w:t>
      </w:r>
      <w:r w:rsidRPr="00502468">
        <w:rPr>
          <w:rFonts w:ascii="Arial" w:hAnsi="Arial" w:cs="Arial"/>
          <w:i/>
          <w:iCs/>
        </w:rPr>
        <w:t>JPMorgan.com</w:t>
      </w:r>
      <w:r w:rsidRPr="00502468">
        <w:rPr>
          <w:rFonts w:ascii="Arial" w:hAnsi="Arial" w:cs="Arial"/>
        </w:rPr>
        <w:t>. Available at:</w:t>
      </w:r>
      <w:hyperlink r:id="rId30">
        <w:r w:rsidRPr="00502468">
          <w:rPr>
            <w:rFonts w:ascii="Arial" w:hAnsi="Arial" w:cs="Arial"/>
          </w:rPr>
          <w:t xml:space="preserve"> </w:t>
        </w:r>
      </w:hyperlink>
      <w:hyperlink r:id="rId31">
        <w:r w:rsidRPr="00502468">
          <w:rPr>
            <w:rFonts w:ascii="Arial" w:hAnsi="Arial" w:cs="Arial"/>
            <w:color w:val="1155CC"/>
            <w:u w:val="single"/>
          </w:rPr>
          <w:t>https://www.jpmorgan.com/insights/business-planning/supplier-relationship-management-strategies-and-best-practices</w:t>
        </w:r>
      </w:hyperlink>
      <w:r w:rsidRPr="00502468">
        <w:rPr>
          <w:rFonts w:ascii="Arial" w:hAnsi="Arial" w:cs="Arial"/>
        </w:rPr>
        <w:t xml:space="preserve"> [Accessed 16 April 2026].</w:t>
      </w:r>
    </w:p>
    <w:p w14:paraId="79681B9F"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Jenkins, A. (2025). What Is Operations Management? Definition, Types, and Importance. [online] </w:t>
      </w:r>
      <w:r w:rsidRPr="00502468">
        <w:rPr>
          <w:rFonts w:ascii="Arial" w:hAnsi="Arial" w:cs="Arial"/>
          <w:i/>
          <w:iCs/>
        </w:rPr>
        <w:t>Oracle NetSuite</w:t>
      </w:r>
      <w:r w:rsidRPr="00502468">
        <w:rPr>
          <w:rFonts w:ascii="Arial" w:hAnsi="Arial" w:cs="Arial"/>
        </w:rPr>
        <w:t>. Available at:</w:t>
      </w:r>
      <w:hyperlink r:id="rId32">
        <w:r w:rsidRPr="00502468">
          <w:rPr>
            <w:rFonts w:ascii="Arial" w:hAnsi="Arial" w:cs="Arial"/>
          </w:rPr>
          <w:t xml:space="preserve"> </w:t>
        </w:r>
      </w:hyperlink>
      <w:hyperlink r:id="rId33">
        <w:r w:rsidRPr="00502468">
          <w:rPr>
            <w:rFonts w:ascii="Arial" w:hAnsi="Arial" w:cs="Arial"/>
            <w:color w:val="1155CC"/>
            <w:u w:val="single"/>
          </w:rPr>
          <w:t>https://www.netsuite.com/portal/resource/articles/erp/operations-management.shtml</w:t>
        </w:r>
      </w:hyperlink>
      <w:r w:rsidRPr="00502468">
        <w:rPr>
          <w:rFonts w:ascii="Arial" w:hAnsi="Arial" w:cs="Arial"/>
        </w:rPr>
        <w:t xml:space="preserve"> [Accessed 17 April 2026].</w:t>
      </w:r>
    </w:p>
    <w:p w14:paraId="29F8A5E3"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Mordor Intelligence (2026). Hospitality Industry in the United Kingdom - Growth, Trends, </w:t>
      </w:r>
      <w:r w:rsidRPr="00502468">
        <w:rPr>
          <w:rFonts w:ascii="Arial" w:hAnsi="Arial" w:cs="Arial"/>
        </w:rPr>
        <w:lastRenderedPageBreak/>
        <w:t>and Forecasts (2020 - 2025). [online]</w:t>
      </w:r>
      <w:hyperlink r:id="rId34">
        <w:r w:rsidRPr="00502468">
          <w:rPr>
            <w:rFonts w:ascii="Arial" w:hAnsi="Arial" w:cs="Arial"/>
          </w:rPr>
          <w:t xml:space="preserve"> </w:t>
        </w:r>
      </w:hyperlink>
      <w:hyperlink r:id="rId35">
        <w:r w:rsidRPr="00502468">
          <w:rPr>
            <w:rFonts w:ascii="Arial" w:hAnsi="Arial" w:cs="Arial"/>
            <w:i/>
            <w:iCs/>
            <w:color w:val="1155CC"/>
            <w:u w:val="single"/>
          </w:rPr>
          <w:t>www.mordorintelligence.com</w:t>
        </w:r>
      </w:hyperlink>
      <w:r w:rsidRPr="00502468">
        <w:rPr>
          <w:rFonts w:ascii="Arial" w:hAnsi="Arial" w:cs="Arial"/>
        </w:rPr>
        <w:t>. Available at:</w:t>
      </w:r>
      <w:hyperlink r:id="rId36">
        <w:r w:rsidRPr="00502468">
          <w:rPr>
            <w:rFonts w:ascii="Arial" w:hAnsi="Arial" w:cs="Arial"/>
          </w:rPr>
          <w:t xml:space="preserve"> </w:t>
        </w:r>
      </w:hyperlink>
      <w:hyperlink r:id="rId37">
        <w:r w:rsidRPr="00502468">
          <w:rPr>
            <w:rFonts w:ascii="Arial" w:hAnsi="Arial" w:cs="Arial"/>
            <w:color w:val="1155CC"/>
            <w:u w:val="single"/>
          </w:rPr>
          <w:t>https://www.mordorintelligence.com/industry-reports/hospitality-industry-in-the-united-kingdom</w:t>
        </w:r>
      </w:hyperlink>
      <w:r w:rsidRPr="00502468">
        <w:rPr>
          <w:rFonts w:ascii="Arial" w:hAnsi="Arial" w:cs="Arial"/>
        </w:rPr>
        <w:t xml:space="preserve"> [Accessed 19 April 2026].</w:t>
      </w:r>
    </w:p>
    <w:p w14:paraId="4300CA82"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Murray, A. (2026). Hospitality: statistics and policy. [online] </w:t>
      </w:r>
      <w:r w:rsidRPr="00502468">
        <w:rPr>
          <w:rFonts w:ascii="Arial" w:hAnsi="Arial" w:cs="Arial"/>
          <w:i/>
          <w:iCs/>
        </w:rPr>
        <w:t>House of Commons Library</w:t>
      </w:r>
      <w:r w:rsidRPr="00502468">
        <w:rPr>
          <w:rFonts w:ascii="Arial" w:hAnsi="Arial" w:cs="Arial"/>
        </w:rPr>
        <w:t>. Available at:</w:t>
      </w:r>
      <w:hyperlink r:id="rId38">
        <w:r w:rsidRPr="00502468">
          <w:rPr>
            <w:rFonts w:ascii="Arial" w:hAnsi="Arial" w:cs="Arial"/>
          </w:rPr>
          <w:t xml:space="preserve"> </w:t>
        </w:r>
      </w:hyperlink>
      <w:hyperlink r:id="rId39">
        <w:r w:rsidRPr="00502468">
          <w:rPr>
            <w:rFonts w:ascii="Arial" w:hAnsi="Arial" w:cs="Arial"/>
            <w:color w:val="1155CC"/>
            <w:u w:val="single"/>
          </w:rPr>
          <w:t>https://commonslibrary.parliament.uk/research-briefings/cbp-10333/</w:t>
        </w:r>
      </w:hyperlink>
      <w:r w:rsidRPr="00502468">
        <w:rPr>
          <w:rFonts w:ascii="Arial" w:hAnsi="Arial" w:cs="Arial"/>
        </w:rPr>
        <w:t xml:space="preserve"> [Accessed 17 April 2026].</w:t>
      </w:r>
    </w:p>
    <w:p w14:paraId="1065BD4A"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Ogunmola, G.A. and Kumar, V., (2024). A strategic model for attracting and retaining environmentally conscious customers in E-retail. </w:t>
      </w:r>
      <w:r w:rsidRPr="00502468">
        <w:rPr>
          <w:rFonts w:ascii="Arial" w:hAnsi="Arial" w:cs="Arial"/>
          <w:i/>
          <w:iCs/>
        </w:rPr>
        <w:t>International Journal of Information Management Data Insights</w:t>
      </w:r>
      <w:r w:rsidRPr="00502468">
        <w:rPr>
          <w:rFonts w:ascii="Arial" w:hAnsi="Arial" w:cs="Arial"/>
        </w:rPr>
        <w:t>, 4(2), pp.100274.</w:t>
      </w:r>
    </w:p>
    <w:p w14:paraId="2A1B6E1E"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Saka-Helmhout, A., Álamos-Concha, P., López, M.M., Hagan, J., Murray, G., Edwards, T., Kern, P., Martin, I. and Zhang, L.E., (2024). Stakeholder engagement strategies for impactful corporate social innovation initiatives by multinational enterprises. </w:t>
      </w:r>
      <w:r w:rsidRPr="00502468">
        <w:rPr>
          <w:rFonts w:ascii="Arial" w:hAnsi="Arial" w:cs="Arial"/>
          <w:i/>
          <w:iCs/>
        </w:rPr>
        <w:t>Journal of International Management</w:t>
      </w:r>
      <w:r w:rsidRPr="00502468">
        <w:rPr>
          <w:rFonts w:ascii="Arial" w:hAnsi="Arial" w:cs="Arial"/>
        </w:rPr>
        <w:t>, 30(4), pp.101159.</w:t>
      </w:r>
    </w:p>
    <w:p w14:paraId="795C2B25"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Singh, V., Sharma, M.P., Jayapriya, K., Kumar, B.K., Chander, M.A.R.N. and Kumar, B.R., (2023). Service quality, customer satisfaction and customer loyalty: A comprehensive literature review. </w:t>
      </w:r>
      <w:r w:rsidRPr="00502468">
        <w:rPr>
          <w:rFonts w:ascii="Arial" w:hAnsi="Arial" w:cs="Arial"/>
          <w:i/>
          <w:iCs/>
        </w:rPr>
        <w:t>Journal of Survey in Fisheries Sciences</w:t>
      </w:r>
      <w:r w:rsidRPr="00502468">
        <w:rPr>
          <w:rFonts w:ascii="Arial" w:hAnsi="Arial" w:cs="Arial"/>
        </w:rPr>
        <w:t>, 10(4S), pp.3457-3464.</w:t>
      </w:r>
    </w:p>
    <w:p w14:paraId="5FF017C3"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Stein, E., Robinson, K., Wolfer, A., Almeida, G. and Huang, W. (2025). Unlocking the next frontier of personalized marketing. [online] </w:t>
      </w:r>
      <w:r w:rsidRPr="00502468">
        <w:rPr>
          <w:rFonts w:ascii="Arial" w:hAnsi="Arial" w:cs="Arial"/>
          <w:i/>
          <w:iCs/>
        </w:rPr>
        <w:t>McKinsey &amp; Company</w:t>
      </w:r>
      <w:r w:rsidRPr="00502468">
        <w:rPr>
          <w:rFonts w:ascii="Arial" w:hAnsi="Arial" w:cs="Arial"/>
        </w:rPr>
        <w:t>. Available at:</w:t>
      </w:r>
      <w:hyperlink r:id="rId40">
        <w:r w:rsidRPr="00502468">
          <w:rPr>
            <w:rFonts w:ascii="Arial" w:hAnsi="Arial" w:cs="Arial"/>
          </w:rPr>
          <w:t xml:space="preserve"> </w:t>
        </w:r>
      </w:hyperlink>
      <w:hyperlink r:id="rId41">
        <w:r w:rsidRPr="00502468">
          <w:rPr>
            <w:rFonts w:ascii="Arial" w:hAnsi="Arial" w:cs="Arial"/>
            <w:color w:val="1155CC"/>
            <w:u w:val="single"/>
          </w:rPr>
          <w:t>https://www.mckinsey.com/capabilities/growth-marketing-and-sales/our-insights/unlocking-the-next-frontier-of-personalized-marketing</w:t>
        </w:r>
      </w:hyperlink>
      <w:r w:rsidRPr="00502468">
        <w:rPr>
          <w:rFonts w:ascii="Arial" w:hAnsi="Arial" w:cs="Arial"/>
        </w:rPr>
        <w:t xml:space="preserve"> [Accessed 22 Apr. 2026].</w:t>
      </w:r>
    </w:p>
    <w:p w14:paraId="18CC6E48"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Yin, Z., Caldas, C., de Oliveira, D., Kermanshachi, S. and Pamidimukkala, A., (2023). Cross-functional collaboration in the early phases of capital projects: Barriers and contributing factors. </w:t>
      </w:r>
      <w:r w:rsidRPr="00502468">
        <w:rPr>
          <w:rFonts w:ascii="Arial" w:hAnsi="Arial" w:cs="Arial"/>
          <w:i/>
          <w:iCs/>
        </w:rPr>
        <w:t>Project Leadership and Society</w:t>
      </w:r>
      <w:r w:rsidRPr="00502468">
        <w:rPr>
          <w:rFonts w:ascii="Arial" w:hAnsi="Arial" w:cs="Arial"/>
        </w:rPr>
        <w:t>, 4, pp.100092.</w:t>
      </w:r>
    </w:p>
    <w:p w14:paraId="75AF7CD8"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t xml:space="preserve">Zhu, Q., Xi, J., Hu, X., Chong, H.Y., Zhou, Y. and Lyu, S., (2024). Stakeholder mapping and analysis of off-site construction projects: utilizing a power–interest matrix and the fuzzy logic theory. </w:t>
      </w:r>
      <w:r w:rsidRPr="00502468">
        <w:rPr>
          <w:rFonts w:ascii="Arial" w:hAnsi="Arial" w:cs="Arial"/>
          <w:i/>
          <w:iCs/>
        </w:rPr>
        <w:t>Buildings</w:t>
      </w:r>
      <w:r w:rsidRPr="00502468">
        <w:rPr>
          <w:rFonts w:ascii="Arial" w:hAnsi="Arial" w:cs="Arial"/>
        </w:rPr>
        <w:t>, 14(9), pp.2865.</w:t>
      </w:r>
    </w:p>
    <w:p w14:paraId="68556F9D" w14:textId="77777777" w:rsidR="008231ED" w:rsidRPr="00502468" w:rsidRDefault="008231ED" w:rsidP="00502468">
      <w:pPr>
        <w:widowControl w:val="0"/>
        <w:spacing w:after="200" w:line="360" w:lineRule="auto"/>
        <w:jc w:val="both"/>
        <w:rPr>
          <w:rFonts w:ascii="Arial" w:hAnsi="Arial" w:cs="Arial"/>
        </w:rPr>
      </w:pPr>
      <w:r w:rsidRPr="00502468">
        <w:rPr>
          <w:rFonts w:ascii="Arial" w:hAnsi="Arial" w:cs="Arial"/>
        </w:rPr>
        <w:lastRenderedPageBreak/>
        <w:t xml:space="preserve">Zikargae, M.H., Woldearegay, A.G. and Skjerdal, T., (2022). Assessing the roles of stakeholders in community projects on environmental security and livelihood of impoverished rural society: A nongovernmental organization implementation strategy in focus. </w:t>
      </w:r>
      <w:r w:rsidRPr="00502468">
        <w:rPr>
          <w:rFonts w:ascii="Arial" w:hAnsi="Arial" w:cs="Arial"/>
          <w:i/>
          <w:iCs/>
        </w:rPr>
        <w:t>Heliyon</w:t>
      </w:r>
      <w:r w:rsidRPr="00502468">
        <w:rPr>
          <w:rFonts w:ascii="Arial" w:hAnsi="Arial" w:cs="Arial"/>
        </w:rPr>
        <w:t>, 8(10).</w:t>
      </w:r>
    </w:p>
    <w:p w14:paraId="30A7D1B2" w14:textId="77777777" w:rsidR="003930F5" w:rsidRPr="00502468" w:rsidRDefault="003930F5" w:rsidP="00502468">
      <w:pPr>
        <w:widowControl w:val="0"/>
        <w:spacing w:after="200" w:line="360" w:lineRule="auto"/>
        <w:jc w:val="both"/>
        <w:rPr>
          <w:rFonts w:ascii="Arial" w:hAnsi="Arial" w:cs="Arial"/>
        </w:rPr>
      </w:pPr>
    </w:p>
    <w:sectPr w:rsidR="003930F5" w:rsidRPr="00502468" w:rsidSect="00502468">
      <w:footerReference w:type="default" r:id="rId42"/>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0D113" w14:textId="77777777" w:rsidR="00047519" w:rsidRDefault="00047519">
      <w:pPr>
        <w:spacing w:line="240" w:lineRule="auto"/>
      </w:pPr>
      <w:r>
        <w:separator/>
      </w:r>
    </w:p>
  </w:endnote>
  <w:endnote w:type="continuationSeparator" w:id="0">
    <w:p w14:paraId="16A6C827" w14:textId="77777777" w:rsidR="00047519" w:rsidRDefault="000475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910A0DE7-5C4C-4A4A-87A7-F6E7EE74089E}"/>
    <w:embedBold r:id="rId2" w:fontKey="{A08269CF-DB1B-4F97-AB85-08B3535A17E0}"/>
  </w:font>
  <w:font w:name="Calibri">
    <w:panose1 w:val="020F0502020204030204"/>
    <w:charset w:val="00"/>
    <w:family w:val="swiss"/>
    <w:pitch w:val="variable"/>
    <w:sig w:usb0="E4002EFF" w:usb1="C000247B" w:usb2="00000009" w:usb3="00000000" w:csb0="000001FF" w:csb1="00000000"/>
    <w:embedRegular r:id="rId3" w:fontKey="{9E2CDD98-D565-407A-9B3D-7FB2646B75E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5D3A4C" w14:textId="48258448" w:rsidR="003930F5" w:rsidRDefault="00B72AA6">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73DCB">
      <w:rPr>
        <w:noProof/>
        <w:color w:val="000000"/>
      </w:rPr>
      <w:t>25</w:t>
    </w:r>
    <w:r>
      <w:rPr>
        <w:color w:val="000000"/>
      </w:rPr>
      <w:fldChar w:fldCharType="end"/>
    </w:r>
  </w:p>
  <w:p w14:paraId="47924376" w14:textId="77777777" w:rsidR="003930F5" w:rsidRDefault="003930F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E198A" w14:textId="77777777" w:rsidR="00047519" w:rsidRDefault="00047519">
      <w:pPr>
        <w:spacing w:line="240" w:lineRule="auto"/>
      </w:pPr>
      <w:r>
        <w:separator/>
      </w:r>
    </w:p>
  </w:footnote>
  <w:footnote w:type="continuationSeparator" w:id="0">
    <w:p w14:paraId="59FA21EE" w14:textId="77777777" w:rsidR="00047519" w:rsidRDefault="0004751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30F5"/>
    <w:rsid w:val="00047519"/>
    <w:rsid w:val="00083476"/>
    <w:rsid w:val="002B1039"/>
    <w:rsid w:val="002D4897"/>
    <w:rsid w:val="00373DCB"/>
    <w:rsid w:val="003930F5"/>
    <w:rsid w:val="003D3095"/>
    <w:rsid w:val="00502468"/>
    <w:rsid w:val="00535877"/>
    <w:rsid w:val="005B2709"/>
    <w:rsid w:val="005C7DCA"/>
    <w:rsid w:val="007F309A"/>
    <w:rsid w:val="008231ED"/>
    <w:rsid w:val="008B1F7B"/>
    <w:rsid w:val="008D29E2"/>
    <w:rsid w:val="008D6540"/>
    <w:rsid w:val="009B2E53"/>
    <w:rsid w:val="00B72AA6"/>
    <w:rsid w:val="00CA4858"/>
    <w:rsid w:val="00E45E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7D58C"/>
  <w15:docId w15:val="{B704DE4D-0252-42C3-8760-A80B33F8F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231ED"/>
  </w:style>
  <w:style w:type="paragraph" w:styleId="Heading1">
    <w:name w:val="heading 1"/>
    <w:basedOn w:val="Normal"/>
    <w:next w:val="Normal"/>
    <w:pPr>
      <w:keepNext/>
      <w:keepLines/>
      <w:spacing w:after="200" w:line="360" w:lineRule="auto"/>
      <w:jc w:val="both"/>
      <w:outlineLvl w:val="0"/>
    </w:pPr>
    <w:rPr>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styleId="TableGrid">
    <w:name w:val="Table Grid"/>
    <w:basedOn w:val="TableNormal"/>
    <w:uiPriority w:val="39"/>
    <w:rsid w:val="008231ED"/>
    <w:pPr>
      <w:spacing w:line="240" w:lineRule="auto"/>
    </w:pPr>
    <w:rPr>
      <w:rFonts w:asciiTheme="minorHAnsi" w:eastAsiaTheme="minorHAnsi" w:hAnsiTheme="minorHAnsi" w:cstheme="minorBidi"/>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B1039"/>
    <w:rPr>
      <w:b/>
      <w:bCs/>
    </w:rPr>
  </w:style>
  <w:style w:type="paragraph" w:styleId="NoSpacing">
    <w:name w:val="No Spacing"/>
    <w:link w:val="NoSpacingChar"/>
    <w:uiPriority w:val="1"/>
    <w:qFormat/>
    <w:rsid w:val="00502468"/>
    <w:pPr>
      <w:spacing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502468"/>
    <w:rPr>
      <w:rFonts w:asciiTheme="minorHAnsi" w:eastAsiaTheme="minorEastAsia" w:hAnsiTheme="minorHAnsi" w:cstheme="minorBidi"/>
      <w:sz w:val="22"/>
      <w:szCs w:val="22"/>
      <w:lang w:val="en-US"/>
    </w:rPr>
  </w:style>
  <w:style w:type="paragraph" w:styleId="TOC1">
    <w:name w:val="toc 1"/>
    <w:basedOn w:val="Normal"/>
    <w:next w:val="Normal"/>
    <w:autoRedefine/>
    <w:uiPriority w:val="39"/>
    <w:unhideWhenUsed/>
    <w:rsid w:val="002D4897"/>
    <w:pPr>
      <w:spacing w:after="100"/>
    </w:pPr>
  </w:style>
  <w:style w:type="character" w:styleId="Hyperlink">
    <w:name w:val="Hyperlink"/>
    <w:basedOn w:val="DefaultParagraphFont"/>
    <w:uiPriority w:val="99"/>
    <w:unhideWhenUsed/>
    <w:rsid w:val="002D489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5112885">
      <w:bodyDiv w:val="1"/>
      <w:marLeft w:val="0"/>
      <w:marRight w:val="0"/>
      <w:marTop w:val="0"/>
      <w:marBottom w:val="0"/>
      <w:divBdr>
        <w:top w:val="none" w:sz="0" w:space="0" w:color="auto"/>
        <w:left w:val="none" w:sz="0" w:space="0" w:color="auto"/>
        <w:bottom w:val="none" w:sz="0" w:space="0" w:color="auto"/>
        <w:right w:val="none" w:sz="0" w:space="0" w:color="auto"/>
      </w:divBdr>
    </w:div>
    <w:div w:id="7847354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ihgplc.com/about-us/our-global-presence" TargetMode="External"/><Relationship Id="rId26" Type="http://schemas.openxmlformats.org/officeDocument/2006/relationships/hyperlink" Target="https://www.ihgplc.com/en/news-and-media/news-releases/2025/ihg-hotels-and-resorts-named-to-fortune-100-best-companies-to-work-for" TargetMode="External"/><Relationship Id="rId39" Type="http://schemas.openxmlformats.org/officeDocument/2006/relationships/hyperlink" Target="https://commonslibrary.parliament.uk/research-briefings/cbp-10333/" TargetMode="External"/><Relationship Id="rId21" Type="http://schemas.openxmlformats.org/officeDocument/2006/relationships/hyperlink" Target="https://www.ihgplc.com/en/investors/annual-report" TargetMode="External"/><Relationship Id="rId34" Type="http://schemas.openxmlformats.org/officeDocument/2006/relationships/hyperlink" Target="http://www.mordorintelligence.com"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uters.com/world/india/holiday-inn-owner-ihg-sees-india-top-five-market-global-chains-scale-up-2026-02-27/" TargetMode="External"/><Relationship Id="rId20" Type="http://schemas.openxmlformats.org/officeDocument/2006/relationships/hyperlink" Target="https://www.ihgplc.com/en/investors/annual-report" TargetMode="External"/><Relationship Id="rId29" Type="http://schemas.openxmlformats.org/officeDocument/2006/relationships/hyperlink" Target="https://www.ihgplc.com/en/responsible-business/carbon-and-energy" TargetMode="External"/><Relationship Id="rId41" Type="http://schemas.openxmlformats.org/officeDocument/2006/relationships/hyperlink" Target="https://www.mckinsey.com/capabilities/growth-marketing-and-sales/our-insights/unlocking-the-next-frontier-of-personalized-marketin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evelopment.ihg.com/hotel-development/owner-value/powerful-loyalty-programme" TargetMode="External"/><Relationship Id="rId32" Type="http://schemas.openxmlformats.org/officeDocument/2006/relationships/hyperlink" Target="https://www.netsuite.com/portal/resource/articles/erp/operations-management.shtml" TargetMode="External"/><Relationship Id="rId37" Type="http://schemas.openxmlformats.org/officeDocument/2006/relationships/hyperlink" Target="https://www.mordorintelligence.com/industry-reports/hospitality-industry-in-the-united-kingdom" TargetMode="External"/><Relationship Id="rId40" Type="http://schemas.openxmlformats.org/officeDocument/2006/relationships/hyperlink" Target="https://www.mckinsey.com/capabilities/growth-marketing-and-sales/our-insights/unlocking-the-next-frontier-of-personalized-marketing" TargetMode="External"/><Relationship Id="rId5" Type="http://schemas.openxmlformats.org/officeDocument/2006/relationships/footnotes" Target="footnotes.xml"/><Relationship Id="rId15" Type="http://schemas.openxmlformats.org/officeDocument/2006/relationships/hyperlink" Target="https://www.theguardian.com/business/2026/mar/02/uk-competition-watchdog-investigates-hilton-marriott-intercontinental-hotel-groups-alleged-data-sharing" TargetMode="External"/><Relationship Id="rId23" Type="http://schemas.openxmlformats.org/officeDocument/2006/relationships/hyperlink" Target="https://development.ihg.com/about-us?tab=all" TargetMode="External"/><Relationship Id="rId28" Type="http://schemas.openxmlformats.org/officeDocument/2006/relationships/hyperlink" Target="https://www.ihgplc.com/en/responsible-business/carbon-and-energy" TargetMode="External"/><Relationship Id="rId36" Type="http://schemas.openxmlformats.org/officeDocument/2006/relationships/hyperlink" Target="https://www.mordorintelligence.com/industry-reports/hospitality-industry-in-the-united-kingdom" TargetMode="External"/><Relationship Id="rId10" Type="http://schemas.openxmlformats.org/officeDocument/2006/relationships/image" Target="media/image4.png"/><Relationship Id="rId19" Type="http://schemas.openxmlformats.org/officeDocument/2006/relationships/hyperlink" Target="https://www.ihgplc.com/about-us/our-global-presence" TargetMode="External"/><Relationship Id="rId31" Type="http://schemas.openxmlformats.org/officeDocument/2006/relationships/hyperlink" Target="https://www.jpmorgan.com/insights/business-planning/supplier-relationship-management-strategies-and-best-practice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eguardian.com/business/2026/mar/02/uk-competition-watchdog-investigates-hilton-marriott-intercontinental-hotel-groups-alleged-data-sharing" TargetMode="External"/><Relationship Id="rId22" Type="http://schemas.openxmlformats.org/officeDocument/2006/relationships/hyperlink" Target="https://development.ihg.com/about-us?tab=all" TargetMode="External"/><Relationship Id="rId27" Type="http://schemas.openxmlformats.org/officeDocument/2006/relationships/hyperlink" Target="https://www.ihgplc.com/en/news-and-media/news-releases/2025/ihg-hotels-and-resorts-named-to-fortune-100-best-companies-to-work-for" TargetMode="External"/><Relationship Id="rId30" Type="http://schemas.openxmlformats.org/officeDocument/2006/relationships/hyperlink" Target="https://www.jpmorgan.com/insights/business-planning/supplier-relationship-management-strategies-and-best-practices" TargetMode="External"/><Relationship Id="rId35" Type="http://schemas.openxmlformats.org/officeDocument/2006/relationships/hyperlink" Target="http://www.mordorintelligence.com"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reuters.com/world/india/holiday-inn-owner-ihg-sees-india-top-five-market-global-chains-scale-up-2026-02-27/" TargetMode="External"/><Relationship Id="rId25" Type="http://schemas.openxmlformats.org/officeDocument/2006/relationships/hyperlink" Target="https://development.ihg.com/hotel-development/owner-value/powerful-loyalty-programme" TargetMode="External"/><Relationship Id="rId33" Type="http://schemas.openxmlformats.org/officeDocument/2006/relationships/hyperlink" Target="https://www.netsuite.com/portal/resource/articles/erp/operations-management.shtml" TargetMode="External"/><Relationship Id="rId38" Type="http://schemas.openxmlformats.org/officeDocument/2006/relationships/hyperlink" Target="https://commonslibrary.parliament.uk/research-briefings/cbp-10333/"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wwktIW+Zig4sFU8qPi1CpGmGAg==">CgMxLjAyDmguMzR3MnN6Nm5xNWNzMg5oLmt5a3RjMXFlYmM4czIOaC5nZGxmb2ZwOGdxNHcyDmgubTN0d2ZmeHc4ZnlyMg5oLjJ3dzRoYTdiYWphMjINaC5laHNxMm14dzZscDIOaC40Njh3eHB3NHRqN3gyDmgudmQ3Zm5rNjNrb21xMg5oLndtdHFwanFyYmZmMDIOaC4zZTJkNDF1dmowcjkyDmgucnAzZHR4d3R2YnNlOAByITFSLThhVzBNX1JlQ0l5ekZqbzc1QTJEM1VpNldNWjI5S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28</Pages>
  <Words>6152</Words>
  <Characters>35071</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Understanding and Engaging Stakeholders</dc:title>
  <dc:creator>MARIO IS THE BEST</dc:creator>
  <cp:lastModifiedBy>Mario Daniel Gramon (2416241)</cp:lastModifiedBy>
  <cp:revision>4</cp:revision>
  <dcterms:created xsi:type="dcterms:W3CDTF">2026-04-28T12:07:00Z</dcterms:created>
  <dcterms:modified xsi:type="dcterms:W3CDTF">2026-04-28T12:18:00Z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b3b07be1-431a-45c8-b435-bd78ba674ac5</vt:lpwstr>
  </property>
</Properties>
</file>