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6F81850" w14:textId="77777777" w:rsidR="00401A6D" w:rsidRDefault="00401A6D" w:rsidP="00401A6D"/>
    <w:p w14:paraId="2A8527BC" w14:textId="77777777" w:rsidR="00401A6D" w:rsidRDefault="00401A6D" w:rsidP="00401A6D"/>
    <w:p w14:paraId="55798852" w14:textId="77777777" w:rsidR="00401A6D" w:rsidRDefault="00401A6D" w:rsidP="00401A6D">
      <w:pPr>
        <w:jc w:val="center"/>
      </w:pPr>
    </w:p>
    <w:p w14:paraId="4A02EDF0" w14:textId="77777777" w:rsidR="00401A6D" w:rsidRDefault="00401A6D" w:rsidP="00401A6D">
      <w:pPr>
        <w:jc w:val="center"/>
      </w:pPr>
    </w:p>
    <w:p w14:paraId="514BD4C7" w14:textId="77777777" w:rsidR="00401A6D" w:rsidRDefault="00401A6D" w:rsidP="00401A6D">
      <w:pPr>
        <w:jc w:val="center"/>
      </w:pPr>
    </w:p>
    <w:p w14:paraId="000C85F8" w14:textId="77777777" w:rsidR="00401A6D" w:rsidRDefault="00401A6D" w:rsidP="00401A6D">
      <w:pPr>
        <w:jc w:val="center"/>
      </w:pPr>
    </w:p>
    <w:p w14:paraId="7DCD5527" w14:textId="326FA4A8" w:rsidR="00A521B9" w:rsidRPr="00401A6D" w:rsidRDefault="00401A6D" w:rsidP="00401A6D">
      <w:pPr>
        <w:jc w:val="center"/>
        <w:rPr>
          <w:b/>
          <w:bCs/>
          <w:sz w:val="36"/>
          <w:szCs w:val="32"/>
        </w:rPr>
      </w:pPr>
      <w:r w:rsidRPr="00401A6D">
        <w:rPr>
          <w:b/>
          <w:bCs/>
          <w:sz w:val="36"/>
          <w:szCs w:val="32"/>
        </w:rPr>
        <w:t>CRITICAL EXAMINATION OF SDG 3 AND SDG 10 IN ENGLAND AND BIRMINGHAM</w:t>
      </w:r>
    </w:p>
    <w:p w14:paraId="248DD1AC" w14:textId="77777777" w:rsidR="00401A6D" w:rsidRDefault="00401A6D" w:rsidP="00401A6D">
      <w:pPr>
        <w:jc w:val="center"/>
      </w:pPr>
    </w:p>
    <w:p w14:paraId="79BD4C0F" w14:textId="063B7ED8" w:rsidR="00401A6D" w:rsidRDefault="00CB0125" w:rsidP="00401A6D">
      <w:pPr>
        <w:jc w:val="center"/>
      </w:pPr>
      <w:r>
        <w:t xml:space="preserve">Nabila Haider </w:t>
      </w:r>
    </w:p>
    <w:p w14:paraId="7EB5465E" w14:textId="135DA592" w:rsidR="00CB0125" w:rsidRDefault="00CB0125" w:rsidP="00401A6D">
      <w:pPr>
        <w:jc w:val="center"/>
      </w:pPr>
      <w:r>
        <w:t>Student ID 2236700</w:t>
      </w:r>
    </w:p>
    <w:p w14:paraId="74E0A220" w14:textId="3FFFA001" w:rsidR="00401A6D" w:rsidRDefault="00401A6D" w:rsidP="00401A6D">
      <w:pPr>
        <w:jc w:val="center"/>
      </w:pPr>
    </w:p>
    <w:p w14:paraId="2656D5F4" w14:textId="368430E5" w:rsidR="00401A6D" w:rsidRDefault="00401A6D" w:rsidP="00401A6D">
      <w:pPr>
        <w:jc w:val="center"/>
      </w:pPr>
    </w:p>
    <w:p w14:paraId="66B46178" w14:textId="310C1F2C" w:rsidR="00401A6D" w:rsidRDefault="00401A6D" w:rsidP="00401A6D">
      <w:pPr>
        <w:jc w:val="center"/>
      </w:pPr>
      <w:r>
        <w:br w:type="page"/>
      </w:r>
    </w:p>
    <w:sdt>
      <w:sdtPr>
        <w:rPr>
          <w:rFonts w:ascii="Arial" w:eastAsiaTheme="minorHAnsi" w:hAnsi="Arial" w:cs="Arial"/>
          <w:color w:val="auto"/>
          <w:kern w:val="2"/>
          <w:sz w:val="22"/>
          <w:szCs w:val="20"/>
          <w14:ligatures w14:val="standardContextual"/>
        </w:rPr>
        <w:id w:val="-1932960901"/>
        <w:docPartObj>
          <w:docPartGallery w:val="Table of Contents"/>
          <w:docPartUnique/>
        </w:docPartObj>
      </w:sdtPr>
      <w:sdtEndPr>
        <w:rPr>
          <w:noProof/>
        </w:rPr>
      </w:sdtEndPr>
      <w:sdtContent>
        <w:p w14:paraId="766558ED" w14:textId="035A5F23" w:rsidR="00401A6D" w:rsidRPr="00401A6D" w:rsidRDefault="00401A6D" w:rsidP="00401A6D">
          <w:pPr>
            <w:pStyle w:val="TOCHeading"/>
            <w:jc w:val="center"/>
            <w:rPr>
              <w:rFonts w:ascii="Arial" w:hAnsi="Arial" w:cs="Arial"/>
              <w:b/>
              <w:bCs/>
              <w:color w:val="auto"/>
            </w:rPr>
          </w:pPr>
          <w:r w:rsidRPr="00401A6D">
            <w:rPr>
              <w:rFonts w:ascii="Arial" w:hAnsi="Arial" w:cs="Arial"/>
              <w:b/>
              <w:bCs/>
              <w:color w:val="auto"/>
            </w:rPr>
            <w:t>Table of Contents</w:t>
          </w:r>
        </w:p>
        <w:p w14:paraId="70F9D83B" w14:textId="77777777" w:rsidR="00401A6D" w:rsidRPr="00401A6D" w:rsidRDefault="00401A6D" w:rsidP="00401A6D"/>
        <w:p w14:paraId="0FF16932" w14:textId="78A08573" w:rsidR="00274751" w:rsidRDefault="00401A6D">
          <w:pPr>
            <w:pStyle w:val="TOC1"/>
            <w:tabs>
              <w:tab w:val="right" w:leader="dot" w:pos="9350"/>
            </w:tabs>
            <w:rPr>
              <w:rFonts w:asciiTheme="minorHAnsi" w:eastAsiaTheme="minorEastAsia" w:hAnsiTheme="minorHAnsi" w:cstheme="minorBidi"/>
              <w:noProof/>
              <w:sz w:val="24"/>
              <w:szCs w:val="24"/>
            </w:rPr>
          </w:pPr>
          <w:r>
            <w:fldChar w:fldCharType="begin"/>
          </w:r>
          <w:r>
            <w:instrText xml:space="preserve"> TOC \o "1-3" \h \z \u </w:instrText>
          </w:r>
          <w:r>
            <w:fldChar w:fldCharType="separate"/>
          </w:r>
          <w:hyperlink w:anchor="_Toc234250228" w:history="1">
            <w:r w:rsidR="00274751" w:rsidRPr="00641FDC">
              <w:rPr>
                <w:rStyle w:val="Hyperlink"/>
                <w:noProof/>
              </w:rPr>
              <w:t>Introduction</w:t>
            </w:r>
            <w:r w:rsidR="00274751">
              <w:rPr>
                <w:noProof/>
                <w:webHidden/>
              </w:rPr>
              <w:tab/>
            </w:r>
            <w:r w:rsidR="00274751">
              <w:rPr>
                <w:noProof/>
                <w:webHidden/>
              </w:rPr>
              <w:fldChar w:fldCharType="begin"/>
            </w:r>
            <w:r w:rsidR="00274751">
              <w:rPr>
                <w:noProof/>
                <w:webHidden/>
              </w:rPr>
              <w:instrText xml:space="preserve"> PAGEREF _Toc234250228 \h </w:instrText>
            </w:r>
            <w:r w:rsidR="00274751">
              <w:rPr>
                <w:noProof/>
                <w:webHidden/>
              </w:rPr>
            </w:r>
            <w:r w:rsidR="00274751">
              <w:rPr>
                <w:noProof/>
                <w:webHidden/>
              </w:rPr>
              <w:fldChar w:fldCharType="separate"/>
            </w:r>
            <w:r w:rsidR="00274751">
              <w:rPr>
                <w:noProof/>
                <w:webHidden/>
              </w:rPr>
              <w:t>3</w:t>
            </w:r>
            <w:r w:rsidR="00274751">
              <w:rPr>
                <w:noProof/>
                <w:webHidden/>
              </w:rPr>
              <w:fldChar w:fldCharType="end"/>
            </w:r>
          </w:hyperlink>
        </w:p>
        <w:p w14:paraId="3B5D651A" w14:textId="61E1F0B1" w:rsidR="00274751" w:rsidRDefault="00274751">
          <w:pPr>
            <w:pStyle w:val="TOC1"/>
            <w:tabs>
              <w:tab w:val="right" w:leader="dot" w:pos="9350"/>
            </w:tabs>
            <w:rPr>
              <w:rFonts w:asciiTheme="minorHAnsi" w:eastAsiaTheme="minorEastAsia" w:hAnsiTheme="minorHAnsi" w:cstheme="minorBidi"/>
              <w:noProof/>
              <w:sz w:val="24"/>
              <w:szCs w:val="24"/>
            </w:rPr>
          </w:pPr>
          <w:hyperlink w:anchor="_Toc234250229" w:history="1">
            <w:r w:rsidRPr="00641FDC">
              <w:rPr>
                <w:rStyle w:val="Hyperlink"/>
                <w:noProof/>
              </w:rPr>
              <w:t>SDG 3 Good Health and Wellbeing</w:t>
            </w:r>
            <w:r>
              <w:rPr>
                <w:noProof/>
                <w:webHidden/>
              </w:rPr>
              <w:tab/>
            </w:r>
            <w:r>
              <w:rPr>
                <w:noProof/>
                <w:webHidden/>
              </w:rPr>
              <w:fldChar w:fldCharType="begin"/>
            </w:r>
            <w:r>
              <w:rPr>
                <w:noProof/>
                <w:webHidden/>
              </w:rPr>
              <w:instrText xml:space="preserve"> PAGEREF _Toc234250229 \h </w:instrText>
            </w:r>
            <w:r>
              <w:rPr>
                <w:noProof/>
                <w:webHidden/>
              </w:rPr>
            </w:r>
            <w:r>
              <w:rPr>
                <w:noProof/>
                <w:webHidden/>
              </w:rPr>
              <w:fldChar w:fldCharType="separate"/>
            </w:r>
            <w:r>
              <w:rPr>
                <w:noProof/>
                <w:webHidden/>
              </w:rPr>
              <w:t>3</w:t>
            </w:r>
            <w:r>
              <w:rPr>
                <w:noProof/>
                <w:webHidden/>
              </w:rPr>
              <w:fldChar w:fldCharType="end"/>
            </w:r>
          </w:hyperlink>
        </w:p>
        <w:p w14:paraId="08FC6A4B" w14:textId="0C4C0330" w:rsidR="00274751" w:rsidRDefault="00274751">
          <w:pPr>
            <w:pStyle w:val="TOC2"/>
            <w:tabs>
              <w:tab w:val="right" w:leader="dot" w:pos="9350"/>
            </w:tabs>
            <w:rPr>
              <w:rFonts w:asciiTheme="minorHAnsi" w:eastAsiaTheme="minorEastAsia" w:hAnsiTheme="minorHAnsi" w:cstheme="minorBidi"/>
              <w:noProof/>
              <w:sz w:val="24"/>
              <w:szCs w:val="24"/>
            </w:rPr>
          </w:pPr>
          <w:hyperlink w:anchor="_Toc234250230" w:history="1">
            <w:r w:rsidRPr="00641FDC">
              <w:rPr>
                <w:rStyle w:val="Hyperlink"/>
                <w:noProof/>
              </w:rPr>
              <w:t>Global impact of SDG 3</w:t>
            </w:r>
            <w:r>
              <w:rPr>
                <w:noProof/>
                <w:webHidden/>
              </w:rPr>
              <w:tab/>
            </w:r>
            <w:r>
              <w:rPr>
                <w:noProof/>
                <w:webHidden/>
              </w:rPr>
              <w:fldChar w:fldCharType="begin"/>
            </w:r>
            <w:r>
              <w:rPr>
                <w:noProof/>
                <w:webHidden/>
              </w:rPr>
              <w:instrText xml:space="preserve"> PAGEREF _Toc234250230 \h </w:instrText>
            </w:r>
            <w:r>
              <w:rPr>
                <w:noProof/>
                <w:webHidden/>
              </w:rPr>
            </w:r>
            <w:r>
              <w:rPr>
                <w:noProof/>
                <w:webHidden/>
              </w:rPr>
              <w:fldChar w:fldCharType="separate"/>
            </w:r>
            <w:r>
              <w:rPr>
                <w:noProof/>
                <w:webHidden/>
              </w:rPr>
              <w:t>3</w:t>
            </w:r>
            <w:r>
              <w:rPr>
                <w:noProof/>
                <w:webHidden/>
              </w:rPr>
              <w:fldChar w:fldCharType="end"/>
            </w:r>
          </w:hyperlink>
        </w:p>
        <w:p w14:paraId="56867C89" w14:textId="6AB95410" w:rsidR="00274751" w:rsidRDefault="00274751">
          <w:pPr>
            <w:pStyle w:val="TOC2"/>
            <w:tabs>
              <w:tab w:val="right" w:leader="dot" w:pos="9350"/>
            </w:tabs>
            <w:rPr>
              <w:rFonts w:asciiTheme="minorHAnsi" w:eastAsiaTheme="minorEastAsia" w:hAnsiTheme="minorHAnsi" w:cstheme="minorBidi"/>
              <w:noProof/>
              <w:sz w:val="24"/>
              <w:szCs w:val="24"/>
            </w:rPr>
          </w:pPr>
          <w:hyperlink w:anchor="_Toc234250231" w:history="1">
            <w:r w:rsidRPr="00641FDC">
              <w:rPr>
                <w:rStyle w:val="Hyperlink"/>
                <w:noProof/>
              </w:rPr>
              <w:t>National Initiatives and Effectiveness</w:t>
            </w:r>
            <w:r>
              <w:rPr>
                <w:noProof/>
                <w:webHidden/>
              </w:rPr>
              <w:tab/>
            </w:r>
            <w:r>
              <w:rPr>
                <w:noProof/>
                <w:webHidden/>
              </w:rPr>
              <w:fldChar w:fldCharType="begin"/>
            </w:r>
            <w:r>
              <w:rPr>
                <w:noProof/>
                <w:webHidden/>
              </w:rPr>
              <w:instrText xml:space="preserve"> PAGEREF _Toc234250231 \h </w:instrText>
            </w:r>
            <w:r>
              <w:rPr>
                <w:noProof/>
                <w:webHidden/>
              </w:rPr>
            </w:r>
            <w:r>
              <w:rPr>
                <w:noProof/>
                <w:webHidden/>
              </w:rPr>
              <w:fldChar w:fldCharType="separate"/>
            </w:r>
            <w:r>
              <w:rPr>
                <w:noProof/>
                <w:webHidden/>
              </w:rPr>
              <w:t>4</w:t>
            </w:r>
            <w:r>
              <w:rPr>
                <w:noProof/>
                <w:webHidden/>
              </w:rPr>
              <w:fldChar w:fldCharType="end"/>
            </w:r>
          </w:hyperlink>
        </w:p>
        <w:p w14:paraId="006483F1" w14:textId="7FCCB59A" w:rsidR="00274751" w:rsidRDefault="00274751">
          <w:pPr>
            <w:pStyle w:val="TOC2"/>
            <w:tabs>
              <w:tab w:val="right" w:leader="dot" w:pos="9350"/>
            </w:tabs>
            <w:rPr>
              <w:rFonts w:asciiTheme="minorHAnsi" w:eastAsiaTheme="minorEastAsia" w:hAnsiTheme="minorHAnsi" w:cstheme="minorBidi"/>
              <w:noProof/>
              <w:sz w:val="24"/>
              <w:szCs w:val="24"/>
            </w:rPr>
          </w:pPr>
          <w:hyperlink w:anchor="_Toc234250232" w:history="1">
            <w:r w:rsidRPr="00641FDC">
              <w:rPr>
                <w:rStyle w:val="Hyperlink"/>
                <w:noProof/>
              </w:rPr>
              <w:t>Local Birmingham Initiatives and Effectiveness</w:t>
            </w:r>
            <w:r>
              <w:rPr>
                <w:noProof/>
                <w:webHidden/>
              </w:rPr>
              <w:tab/>
            </w:r>
            <w:r>
              <w:rPr>
                <w:noProof/>
                <w:webHidden/>
              </w:rPr>
              <w:fldChar w:fldCharType="begin"/>
            </w:r>
            <w:r>
              <w:rPr>
                <w:noProof/>
                <w:webHidden/>
              </w:rPr>
              <w:instrText xml:space="preserve"> PAGEREF _Toc234250232 \h </w:instrText>
            </w:r>
            <w:r>
              <w:rPr>
                <w:noProof/>
                <w:webHidden/>
              </w:rPr>
            </w:r>
            <w:r>
              <w:rPr>
                <w:noProof/>
                <w:webHidden/>
              </w:rPr>
              <w:fldChar w:fldCharType="separate"/>
            </w:r>
            <w:r>
              <w:rPr>
                <w:noProof/>
                <w:webHidden/>
              </w:rPr>
              <w:t>4</w:t>
            </w:r>
            <w:r>
              <w:rPr>
                <w:noProof/>
                <w:webHidden/>
              </w:rPr>
              <w:fldChar w:fldCharType="end"/>
            </w:r>
          </w:hyperlink>
        </w:p>
        <w:p w14:paraId="2B2664CE" w14:textId="5444DE36" w:rsidR="00274751" w:rsidRDefault="00274751">
          <w:pPr>
            <w:pStyle w:val="TOC2"/>
            <w:tabs>
              <w:tab w:val="right" w:leader="dot" w:pos="9350"/>
            </w:tabs>
            <w:rPr>
              <w:rFonts w:asciiTheme="minorHAnsi" w:eastAsiaTheme="minorEastAsia" w:hAnsiTheme="minorHAnsi" w:cstheme="minorBidi"/>
              <w:noProof/>
              <w:sz w:val="24"/>
              <w:szCs w:val="24"/>
            </w:rPr>
          </w:pPr>
          <w:hyperlink w:anchor="_Toc234250233" w:history="1">
            <w:r w:rsidRPr="00641FDC">
              <w:rPr>
                <w:rStyle w:val="Hyperlink"/>
                <w:noProof/>
              </w:rPr>
              <w:t>Recommendations for Improving SDG 3 Implementation</w:t>
            </w:r>
            <w:r>
              <w:rPr>
                <w:noProof/>
                <w:webHidden/>
              </w:rPr>
              <w:tab/>
            </w:r>
            <w:r>
              <w:rPr>
                <w:noProof/>
                <w:webHidden/>
              </w:rPr>
              <w:fldChar w:fldCharType="begin"/>
            </w:r>
            <w:r>
              <w:rPr>
                <w:noProof/>
                <w:webHidden/>
              </w:rPr>
              <w:instrText xml:space="preserve"> PAGEREF _Toc234250233 \h </w:instrText>
            </w:r>
            <w:r>
              <w:rPr>
                <w:noProof/>
                <w:webHidden/>
              </w:rPr>
            </w:r>
            <w:r>
              <w:rPr>
                <w:noProof/>
                <w:webHidden/>
              </w:rPr>
              <w:fldChar w:fldCharType="separate"/>
            </w:r>
            <w:r>
              <w:rPr>
                <w:noProof/>
                <w:webHidden/>
              </w:rPr>
              <w:t>5</w:t>
            </w:r>
            <w:r>
              <w:rPr>
                <w:noProof/>
                <w:webHidden/>
              </w:rPr>
              <w:fldChar w:fldCharType="end"/>
            </w:r>
          </w:hyperlink>
        </w:p>
        <w:p w14:paraId="7AF60BC6" w14:textId="33949CDD" w:rsidR="00274751" w:rsidRDefault="00274751">
          <w:pPr>
            <w:pStyle w:val="TOC1"/>
            <w:tabs>
              <w:tab w:val="right" w:leader="dot" w:pos="9350"/>
            </w:tabs>
            <w:rPr>
              <w:rFonts w:asciiTheme="minorHAnsi" w:eastAsiaTheme="minorEastAsia" w:hAnsiTheme="minorHAnsi" w:cstheme="minorBidi"/>
              <w:noProof/>
              <w:sz w:val="24"/>
              <w:szCs w:val="24"/>
            </w:rPr>
          </w:pPr>
          <w:hyperlink w:anchor="_Toc234250234" w:history="1">
            <w:r w:rsidRPr="00641FDC">
              <w:rPr>
                <w:rStyle w:val="Hyperlink"/>
                <w:noProof/>
              </w:rPr>
              <w:t>SDG 10 Reduced Inequalities</w:t>
            </w:r>
            <w:r>
              <w:rPr>
                <w:noProof/>
                <w:webHidden/>
              </w:rPr>
              <w:tab/>
            </w:r>
            <w:r>
              <w:rPr>
                <w:noProof/>
                <w:webHidden/>
              </w:rPr>
              <w:fldChar w:fldCharType="begin"/>
            </w:r>
            <w:r>
              <w:rPr>
                <w:noProof/>
                <w:webHidden/>
              </w:rPr>
              <w:instrText xml:space="preserve"> PAGEREF _Toc234250234 \h </w:instrText>
            </w:r>
            <w:r>
              <w:rPr>
                <w:noProof/>
                <w:webHidden/>
              </w:rPr>
            </w:r>
            <w:r>
              <w:rPr>
                <w:noProof/>
                <w:webHidden/>
              </w:rPr>
              <w:fldChar w:fldCharType="separate"/>
            </w:r>
            <w:r>
              <w:rPr>
                <w:noProof/>
                <w:webHidden/>
              </w:rPr>
              <w:t>5</w:t>
            </w:r>
            <w:r>
              <w:rPr>
                <w:noProof/>
                <w:webHidden/>
              </w:rPr>
              <w:fldChar w:fldCharType="end"/>
            </w:r>
          </w:hyperlink>
        </w:p>
        <w:p w14:paraId="4C2EAA75" w14:textId="67443EBF" w:rsidR="00274751" w:rsidRDefault="00274751">
          <w:pPr>
            <w:pStyle w:val="TOC2"/>
            <w:tabs>
              <w:tab w:val="right" w:leader="dot" w:pos="9350"/>
            </w:tabs>
            <w:rPr>
              <w:rFonts w:asciiTheme="minorHAnsi" w:eastAsiaTheme="minorEastAsia" w:hAnsiTheme="minorHAnsi" w:cstheme="minorBidi"/>
              <w:noProof/>
              <w:sz w:val="24"/>
              <w:szCs w:val="24"/>
            </w:rPr>
          </w:pPr>
          <w:hyperlink w:anchor="_Toc234250235" w:history="1">
            <w:r w:rsidRPr="00641FDC">
              <w:rPr>
                <w:rStyle w:val="Hyperlink"/>
                <w:noProof/>
              </w:rPr>
              <w:t>Global Impact of SDG 10</w:t>
            </w:r>
            <w:r>
              <w:rPr>
                <w:noProof/>
                <w:webHidden/>
              </w:rPr>
              <w:tab/>
            </w:r>
            <w:r>
              <w:rPr>
                <w:noProof/>
                <w:webHidden/>
              </w:rPr>
              <w:fldChar w:fldCharType="begin"/>
            </w:r>
            <w:r>
              <w:rPr>
                <w:noProof/>
                <w:webHidden/>
              </w:rPr>
              <w:instrText xml:space="preserve"> PAGEREF _Toc234250235 \h </w:instrText>
            </w:r>
            <w:r>
              <w:rPr>
                <w:noProof/>
                <w:webHidden/>
              </w:rPr>
            </w:r>
            <w:r>
              <w:rPr>
                <w:noProof/>
                <w:webHidden/>
              </w:rPr>
              <w:fldChar w:fldCharType="separate"/>
            </w:r>
            <w:r>
              <w:rPr>
                <w:noProof/>
                <w:webHidden/>
              </w:rPr>
              <w:t>5</w:t>
            </w:r>
            <w:r>
              <w:rPr>
                <w:noProof/>
                <w:webHidden/>
              </w:rPr>
              <w:fldChar w:fldCharType="end"/>
            </w:r>
          </w:hyperlink>
        </w:p>
        <w:p w14:paraId="354E2A57" w14:textId="5A62DB23" w:rsidR="00274751" w:rsidRDefault="00274751">
          <w:pPr>
            <w:pStyle w:val="TOC2"/>
            <w:tabs>
              <w:tab w:val="right" w:leader="dot" w:pos="9350"/>
            </w:tabs>
            <w:rPr>
              <w:rFonts w:asciiTheme="minorHAnsi" w:eastAsiaTheme="minorEastAsia" w:hAnsiTheme="minorHAnsi" w:cstheme="minorBidi"/>
              <w:noProof/>
              <w:sz w:val="24"/>
              <w:szCs w:val="24"/>
            </w:rPr>
          </w:pPr>
          <w:hyperlink w:anchor="_Toc234250236" w:history="1">
            <w:r w:rsidRPr="00641FDC">
              <w:rPr>
                <w:rStyle w:val="Hyperlink"/>
                <w:noProof/>
              </w:rPr>
              <w:t>National Initiatives and Effectiveness</w:t>
            </w:r>
            <w:r>
              <w:rPr>
                <w:noProof/>
                <w:webHidden/>
              </w:rPr>
              <w:tab/>
            </w:r>
            <w:r>
              <w:rPr>
                <w:noProof/>
                <w:webHidden/>
              </w:rPr>
              <w:fldChar w:fldCharType="begin"/>
            </w:r>
            <w:r>
              <w:rPr>
                <w:noProof/>
                <w:webHidden/>
              </w:rPr>
              <w:instrText xml:space="preserve"> PAGEREF _Toc234250236 \h </w:instrText>
            </w:r>
            <w:r>
              <w:rPr>
                <w:noProof/>
                <w:webHidden/>
              </w:rPr>
            </w:r>
            <w:r>
              <w:rPr>
                <w:noProof/>
                <w:webHidden/>
              </w:rPr>
              <w:fldChar w:fldCharType="separate"/>
            </w:r>
            <w:r>
              <w:rPr>
                <w:noProof/>
                <w:webHidden/>
              </w:rPr>
              <w:t>6</w:t>
            </w:r>
            <w:r>
              <w:rPr>
                <w:noProof/>
                <w:webHidden/>
              </w:rPr>
              <w:fldChar w:fldCharType="end"/>
            </w:r>
          </w:hyperlink>
        </w:p>
        <w:p w14:paraId="12BB0B4C" w14:textId="799A385B" w:rsidR="00274751" w:rsidRDefault="00274751">
          <w:pPr>
            <w:pStyle w:val="TOC2"/>
            <w:tabs>
              <w:tab w:val="right" w:leader="dot" w:pos="9350"/>
            </w:tabs>
            <w:rPr>
              <w:rFonts w:asciiTheme="minorHAnsi" w:eastAsiaTheme="minorEastAsia" w:hAnsiTheme="minorHAnsi" w:cstheme="minorBidi"/>
              <w:noProof/>
              <w:sz w:val="24"/>
              <w:szCs w:val="24"/>
            </w:rPr>
          </w:pPr>
          <w:hyperlink w:anchor="_Toc234250237" w:history="1">
            <w:r w:rsidRPr="00641FDC">
              <w:rPr>
                <w:rStyle w:val="Hyperlink"/>
                <w:noProof/>
              </w:rPr>
              <w:t>Local Birmingham Initiatives and Effectiveness</w:t>
            </w:r>
            <w:r>
              <w:rPr>
                <w:noProof/>
                <w:webHidden/>
              </w:rPr>
              <w:tab/>
            </w:r>
            <w:r>
              <w:rPr>
                <w:noProof/>
                <w:webHidden/>
              </w:rPr>
              <w:fldChar w:fldCharType="begin"/>
            </w:r>
            <w:r>
              <w:rPr>
                <w:noProof/>
                <w:webHidden/>
              </w:rPr>
              <w:instrText xml:space="preserve"> PAGEREF _Toc234250237 \h </w:instrText>
            </w:r>
            <w:r>
              <w:rPr>
                <w:noProof/>
                <w:webHidden/>
              </w:rPr>
            </w:r>
            <w:r>
              <w:rPr>
                <w:noProof/>
                <w:webHidden/>
              </w:rPr>
              <w:fldChar w:fldCharType="separate"/>
            </w:r>
            <w:r>
              <w:rPr>
                <w:noProof/>
                <w:webHidden/>
              </w:rPr>
              <w:t>6</w:t>
            </w:r>
            <w:r>
              <w:rPr>
                <w:noProof/>
                <w:webHidden/>
              </w:rPr>
              <w:fldChar w:fldCharType="end"/>
            </w:r>
          </w:hyperlink>
        </w:p>
        <w:p w14:paraId="2CAD2539" w14:textId="05FF441B" w:rsidR="00274751" w:rsidRDefault="00274751">
          <w:pPr>
            <w:pStyle w:val="TOC2"/>
            <w:tabs>
              <w:tab w:val="right" w:leader="dot" w:pos="9350"/>
            </w:tabs>
            <w:rPr>
              <w:rFonts w:asciiTheme="minorHAnsi" w:eastAsiaTheme="minorEastAsia" w:hAnsiTheme="minorHAnsi" w:cstheme="minorBidi"/>
              <w:noProof/>
              <w:sz w:val="24"/>
              <w:szCs w:val="24"/>
            </w:rPr>
          </w:pPr>
          <w:hyperlink w:anchor="_Toc234250238" w:history="1">
            <w:r w:rsidRPr="00641FDC">
              <w:rPr>
                <w:rStyle w:val="Hyperlink"/>
                <w:noProof/>
              </w:rPr>
              <w:t>Recommendations for Improving SDG 10 Implementation</w:t>
            </w:r>
            <w:r>
              <w:rPr>
                <w:noProof/>
                <w:webHidden/>
              </w:rPr>
              <w:tab/>
            </w:r>
            <w:r>
              <w:rPr>
                <w:noProof/>
                <w:webHidden/>
              </w:rPr>
              <w:fldChar w:fldCharType="begin"/>
            </w:r>
            <w:r>
              <w:rPr>
                <w:noProof/>
                <w:webHidden/>
              </w:rPr>
              <w:instrText xml:space="preserve"> PAGEREF _Toc234250238 \h </w:instrText>
            </w:r>
            <w:r>
              <w:rPr>
                <w:noProof/>
                <w:webHidden/>
              </w:rPr>
            </w:r>
            <w:r>
              <w:rPr>
                <w:noProof/>
                <w:webHidden/>
              </w:rPr>
              <w:fldChar w:fldCharType="separate"/>
            </w:r>
            <w:r>
              <w:rPr>
                <w:noProof/>
                <w:webHidden/>
              </w:rPr>
              <w:t>7</w:t>
            </w:r>
            <w:r>
              <w:rPr>
                <w:noProof/>
                <w:webHidden/>
              </w:rPr>
              <w:fldChar w:fldCharType="end"/>
            </w:r>
          </w:hyperlink>
        </w:p>
        <w:p w14:paraId="0979C18B" w14:textId="5546D0BF" w:rsidR="00274751" w:rsidRDefault="00274751">
          <w:pPr>
            <w:pStyle w:val="TOC1"/>
            <w:tabs>
              <w:tab w:val="right" w:leader="dot" w:pos="9350"/>
            </w:tabs>
            <w:rPr>
              <w:rFonts w:asciiTheme="minorHAnsi" w:eastAsiaTheme="minorEastAsia" w:hAnsiTheme="minorHAnsi" w:cstheme="minorBidi"/>
              <w:noProof/>
              <w:sz w:val="24"/>
              <w:szCs w:val="24"/>
            </w:rPr>
          </w:pPr>
          <w:hyperlink w:anchor="_Toc234250239" w:history="1">
            <w:r w:rsidRPr="00641FDC">
              <w:rPr>
                <w:rStyle w:val="Hyperlink"/>
                <w:noProof/>
              </w:rPr>
              <w:t>Conclusion</w:t>
            </w:r>
            <w:r>
              <w:rPr>
                <w:noProof/>
                <w:webHidden/>
              </w:rPr>
              <w:tab/>
            </w:r>
            <w:r>
              <w:rPr>
                <w:noProof/>
                <w:webHidden/>
              </w:rPr>
              <w:fldChar w:fldCharType="begin"/>
            </w:r>
            <w:r>
              <w:rPr>
                <w:noProof/>
                <w:webHidden/>
              </w:rPr>
              <w:instrText xml:space="preserve"> PAGEREF _Toc234250239 \h </w:instrText>
            </w:r>
            <w:r>
              <w:rPr>
                <w:noProof/>
                <w:webHidden/>
              </w:rPr>
            </w:r>
            <w:r>
              <w:rPr>
                <w:noProof/>
                <w:webHidden/>
              </w:rPr>
              <w:fldChar w:fldCharType="separate"/>
            </w:r>
            <w:r>
              <w:rPr>
                <w:noProof/>
                <w:webHidden/>
              </w:rPr>
              <w:t>7</w:t>
            </w:r>
            <w:r>
              <w:rPr>
                <w:noProof/>
                <w:webHidden/>
              </w:rPr>
              <w:fldChar w:fldCharType="end"/>
            </w:r>
          </w:hyperlink>
        </w:p>
        <w:p w14:paraId="1F02B010" w14:textId="1136BA5A" w:rsidR="00274751" w:rsidRDefault="00274751">
          <w:pPr>
            <w:pStyle w:val="TOC1"/>
            <w:tabs>
              <w:tab w:val="right" w:leader="dot" w:pos="9350"/>
            </w:tabs>
            <w:rPr>
              <w:rFonts w:asciiTheme="minorHAnsi" w:eastAsiaTheme="minorEastAsia" w:hAnsiTheme="minorHAnsi" w:cstheme="minorBidi"/>
              <w:noProof/>
              <w:sz w:val="24"/>
              <w:szCs w:val="24"/>
            </w:rPr>
          </w:pPr>
          <w:hyperlink w:anchor="_Toc234250240" w:history="1">
            <w:r w:rsidRPr="00641FDC">
              <w:rPr>
                <w:rStyle w:val="Hyperlink"/>
                <w:noProof/>
              </w:rPr>
              <w:t>Reference List</w:t>
            </w:r>
            <w:r>
              <w:rPr>
                <w:noProof/>
                <w:webHidden/>
              </w:rPr>
              <w:tab/>
            </w:r>
            <w:r>
              <w:rPr>
                <w:noProof/>
                <w:webHidden/>
              </w:rPr>
              <w:fldChar w:fldCharType="begin"/>
            </w:r>
            <w:r>
              <w:rPr>
                <w:noProof/>
                <w:webHidden/>
              </w:rPr>
              <w:instrText xml:space="preserve"> PAGEREF _Toc234250240 \h </w:instrText>
            </w:r>
            <w:r>
              <w:rPr>
                <w:noProof/>
                <w:webHidden/>
              </w:rPr>
            </w:r>
            <w:r>
              <w:rPr>
                <w:noProof/>
                <w:webHidden/>
              </w:rPr>
              <w:fldChar w:fldCharType="separate"/>
            </w:r>
            <w:r>
              <w:rPr>
                <w:noProof/>
                <w:webHidden/>
              </w:rPr>
              <w:t>9</w:t>
            </w:r>
            <w:r>
              <w:rPr>
                <w:noProof/>
                <w:webHidden/>
              </w:rPr>
              <w:fldChar w:fldCharType="end"/>
            </w:r>
          </w:hyperlink>
        </w:p>
        <w:p w14:paraId="29116CF1" w14:textId="452922FD" w:rsidR="00401A6D" w:rsidRDefault="00401A6D" w:rsidP="00401A6D">
          <w:r>
            <w:rPr>
              <w:noProof/>
            </w:rPr>
            <w:fldChar w:fldCharType="end"/>
          </w:r>
        </w:p>
      </w:sdtContent>
    </w:sdt>
    <w:p w14:paraId="3914A803" w14:textId="77777777" w:rsidR="00401A6D" w:rsidRPr="00A521B9" w:rsidRDefault="00401A6D" w:rsidP="00401A6D"/>
    <w:p w14:paraId="4948A643" w14:textId="652EB2D4" w:rsidR="00A521B9" w:rsidRPr="00401A6D" w:rsidRDefault="00542FF8" w:rsidP="00401A6D">
      <w:pPr>
        <w:pStyle w:val="Heading1"/>
      </w:pPr>
      <w:r>
        <w:br w:type="page"/>
      </w:r>
      <w:bookmarkStart w:id="0" w:name="_Toc234250228"/>
      <w:r w:rsidR="00A521B9" w:rsidRPr="00A521B9">
        <w:t>Introduction</w:t>
      </w:r>
      <w:bookmarkEnd w:id="0"/>
    </w:p>
    <w:p w14:paraId="1F278E1B" w14:textId="23DDBCE0" w:rsidR="00542FF8" w:rsidRDefault="00542FF8" w:rsidP="00401A6D">
      <w:r>
        <w:t>Healthcare access, income, housing, education, employment, discrimination, environment and community support are the factors that determine health and wellbeing</w:t>
      </w:r>
      <w:r w:rsidR="00274751">
        <w:t xml:space="preserve"> </w:t>
      </w:r>
      <w:r w:rsidR="00274751" w:rsidRPr="00274751">
        <w:t>(World Health Organization, 2025)</w:t>
      </w:r>
      <w:r>
        <w:t>. In this report, it is shown how Sustainable Development Goal 3, Good Health and Wellbeing, and Sustainable Development Goal 10, Reduced Inequalities, is critically analyzed and used on the national level (England) and on the local level (Birmingham). Healthy lives and prevention, treatment, mental health and universal health coverage are directly related to SDG 3. SDG 10 is also significant since broader social and economic inequalities cause health inequalities</w:t>
      </w:r>
      <w:r w:rsidR="00274751">
        <w:t xml:space="preserve"> </w:t>
      </w:r>
      <w:r w:rsidR="00274751" w:rsidRPr="00274751">
        <w:t>(Owusu et al., 2024)</w:t>
      </w:r>
      <w:r>
        <w:t>.</w:t>
      </w:r>
    </w:p>
    <w:p w14:paraId="16FB05C5" w14:textId="5CFD75EE" w:rsidR="00542FF8" w:rsidRPr="00542FF8" w:rsidRDefault="00542FF8" w:rsidP="00401A6D">
      <w:r>
        <w:t xml:space="preserve">The report applies the social determinants of health and the Health Belief Model to demonstrate how health </w:t>
      </w:r>
      <w:proofErr w:type="spellStart"/>
      <w:r>
        <w:t>behaviour</w:t>
      </w:r>
      <w:proofErr w:type="spellEnd"/>
      <w:r>
        <w:t xml:space="preserve"> is not necessarily an individual decision. The individuals might learn about the virtues of </w:t>
      </w:r>
      <w:r w:rsidRPr="00401A6D">
        <w:t>screening</w:t>
      </w:r>
      <w:r>
        <w:t>, dieting or physical activity, yet poverty, unstable employment, absences of internet access, language obstacle, substandard housing/mistrust of services can restrain their actions. The SDG 3 is under pressure globally, since universal health coverage is not on target: WHO estimated that in 2023 approximately 4.6 billion people were not fully covered by essential health services as well as due to out-of-pocket health payments, 2.1 billion people were financially strained in 2022</w:t>
      </w:r>
      <w:r w:rsidR="004E3F63">
        <w:t xml:space="preserve"> </w:t>
      </w:r>
      <w:r w:rsidR="004E3F63" w:rsidRPr="004E3F63">
        <w:t>(Office for Health Improvement and Disparities, 2025)</w:t>
      </w:r>
      <w:r>
        <w:t xml:space="preserve">. Healthy life expectancy, preventive measures, and access to care have significant disparities in England even under universal NHS. The local instance that suits well is Birmingham since it is highly deprived and in ethnic groups with apparent disparities across </w:t>
      </w:r>
      <w:proofErr w:type="spellStart"/>
      <w:r>
        <w:t>neighbourhoods</w:t>
      </w:r>
      <w:proofErr w:type="spellEnd"/>
      <w:r>
        <w:t>.</w:t>
      </w:r>
    </w:p>
    <w:p w14:paraId="26933C11" w14:textId="3A2B0F1E" w:rsidR="00A521B9" w:rsidRPr="00A521B9" w:rsidRDefault="00A521B9" w:rsidP="00401A6D">
      <w:pPr>
        <w:pStyle w:val="Heading1"/>
      </w:pPr>
      <w:bookmarkStart w:id="1" w:name="_Toc234250229"/>
      <w:r w:rsidRPr="00A521B9">
        <w:t>SDG 3 Good Health and Wellbeing</w:t>
      </w:r>
      <w:bookmarkEnd w:id="1"/>
    </w:p>
    <w:p w14:paraId="797429EB" w14:textId="77777777" w:rsidR="00A521B9" w:rsidRDefault="00A521B9" w:rsidP="00401A6D">
      <w:pPr>
        <w:pStyle w:val="Heading2"/>
      </w:pPr>
      <w:bookmarkStart w:id="2" w:name="_Toc234250230"/>
      <w:r w:rsidRPr="00A521B9">
        <w:t>Global impact of SDG 3</w:t>
      </w:r>
      <w:bookmarkEnd w:id="2"/>
    </w:p>
    <w:p w14:paraId="2ED00DC0" w14:textId="60FBF236" w:rsidR="00542FF8" w:rsidRPr="00542FF8" w:rsidRDefault="00542FF8" w:rsidP="00401A6D">
      <w:r w:rsidRPr="00542FF8">
        <w:t>SDG 3 is to provide healthy living and wellbeing to everyone and of all ages. It discusses maternal and child health, infectious diseases, non-communicable diseases, mental health, substance misuse, road safety, universal health coverage and environmental health. This is more expanded than the treatment in healthcare. It promotes prevention and early intervention, health protection, as well as health systems, in governments</w:t>
      </w:r>
      <w:r w:rsidR="004E3F63">
        <w:t xml:space="preserve"> </w:t>
      </w:r>
      <w:r w:rsidR="004E3F63" w:rsidRPr="004E3F63">
        <w:t>(McCracken et al., 2024)</w:t>
      </w:r>
      <w:r w:rsidRPr="00542FF8">
        <w:t xml:space="preserve">. The WHO World Health Statistics 2025 track the SDG indicators of health-related issues and discusses the persistent challenges related to health in the areas of healthy life expectancy, premature mortality, </w:t>
      </w:r>
      <w:proofErr w:type="spellStart"/>
      <w:r w:rsidRPr="00542FF8">
        <w:t>immunisation</w:t>
      </w:r>
      <w:proofErr w:type="spellEnd"/>
      <w:r w:rsidRPr="00542FF8">
        <w:t xml:space="preserve"> disparities and universal health coverage. The international benefit of SDG 3 is the establishment of a shared platform by governments, the WHO, NGOs and funders. Nonetheless, the development is not even. COVID-19 demonstrated the flimsiness of health systems and poorer outcomes and exposure of the disadvantaged groups. According to Bambra et al. (2020) and </w:t>
      </w:r>
      <w:proofErr w:type="spellStart"/>
      <w:r w:rsidRPr="00542FF8">
        <w:t>Paremoer</w:t>
      </w:r>
      <w:proofErr w:type="spellEnd"/>
      <w:r w:rsidRPr="00542FF8">
        <w:t xml:space="preserve"> et al. (2021), the pandemic has not emerged in the vacuum but has depicted and highlighted the social disparities that were there before it. Thus, hospitals cannot help in attaining SDG 3. It involves addressing poverty, shelter, education, job and civic confidence.</w:t>
      </w:r>
    </w:p>
    <w:p w14:paraId="01A53F9A" w14:textId="64F7064A" w:rsidR="00A521B9" w:rsidRDefault="00A521B9" w:rsidP="00401A6D">
      <w:pPr>
        <w:pStyle w:val="Heading2"/>
      </w:pPr>
      <w:bookmarkStart w:id="3" w:name="_Toc234250231"/>
      <w:r w:rsidRPr="00A521B9">
        <w:t xml:space="preserve">National </w:t>
      </w:r>
      <w:r w:rsidR="00542FF8" w:rsidRPr="00A521B9">
        <w:t xml:space="preserve">Initiatives </w:t>
      </w:r>
      <w:r w:rsidRPr="00A521B9">
        <w:t>and Effectiveness</w:t>
      </w:r>
      <w:bookmarkEnd w:id="3"/>
    </w:p>
    <w:p w14:paraId="30883BCD" w14:textId="6560AC36" w:rsidR="00542FF8" w:rsidRPr="00542FF8" w:rsidRDefault="00542FF8" w:rsidP="00401A6D">
      <w:r w:rsidRPr="00542FF8">
        <w:t xml:space="preserve">One important national program associated with SDG 3 is the NHS Diabetes Prevention </w:t>
      </w:r>
      <w:proofErr w:type="spellStart"/>
      <w:r w:rsidRPr="00542FF8">
        <w:t>Programme</w:t>
      </w:r>
      <w:proofErr w:type="spellEnd"/>
      <w:r w:rsidRPr="00542FF8">
        <w:t xml:space="preserve">, which partners with the non-diabetic </w:t>
      </w:r>
      <w:proofErr w:type="spellStart"/>
      <w:r w:rsidRPr="00542FF8">
        <w:t>hyperglycaemia</w:t>
      </w:r>
      <w:proofErr w:type="spellEnd"/>
      <w:r w:rsidRPr="00542FF8">
        <w:t xml:space="preserve"> population to lessen their risk of developing type 2 diabetes through a series of suggestions about diet, weight and physical activity</w:t>
      </w:r>
      <w:r w:rsidR="004E3F63">
        <w:t xml:space="preserve"> </w:t>
      </w:r>
      <w:r w:rsidR="004E3F63" w:rsidRPr="004E3F63">
        <w:t>(</w:t>
      </w:r>
      <w:proofErr w:type="spellStart"/>
      <w:r w:rsidR="004E3F63" w:rsidRPr="004E3F63">
        <w:t>Ravindrarajah</w:t>
      </w:r>
      <w:proofErr w:type="spellEnd"/>
      <w:r w:rsidR="004E3F63" w:rsidRPr="004E3F63">
        <w:t xml:space="preserve"> et al., 2023)</w:t>
      </w:r>
      <w:r w:rsidRPr="00542FF8">
        <w:t xml:space="preserve">. It is a mirror of the Health Belief Model since the participants must identify their own risk, comprehend the severity of diabetes, believe life style change is helpful, and address the barriers and build self-confidence to finish the </w:t>
      </w:r>
      <w:proofErr w:type="spellStart"/>
      <w:r w:rsidRPr="00542FF8">
        <w:t>programme</w:t>
      </w:r>
      <w:proofErr w:type="spellEnd"/>
      <w:r w:rsidRPr="00542FF8">
        <w:t xml:space="preserve">. There are indications that there is an overall positive preventive impact of the </w:t>
      </w:r>
      <w:proofErr w:type="spellStart"/>
      <w:r w:rsidRPr="00542FF8">
        <w:t>programme</w:t>
      </w:r>
      <w:proofErr w:type="spellEnd"/>
      <w:r w:rsidRPr="00542FF8">
        <w:t xml:space="preserve">. McManus et al. (2022) demonstrated association with the low incidence of type 2 diabetes and </w:t>
      </w:r>
      <w:proofErr w:type="spellStart"/>
      <w:r w:rsidRPr="00542FF8">
        <w:t>Ravindrarajah</w:t>
      </w:r>
      <w:proofErr w:type="spellEnd"/>
      <w:r w:rsidRPr="00542FF8">
        <w:t xml:space="preserve"> et al. (2023) demonstrated that referral decreases the incidence of non-diabetic </w:t>
      </w:r>
      <w:proofErr w:type="spellStart"/>
      <w:r w:rsidRPr="00542FF8">
        <w:t>hyperglycaemia</w:t>
      </w:r>
      <w:proofErr w:type="spellEnd"/>
      <w:r w:rsidRPr="00542FF8">
        <w:t xml:space="preserve"> progressing to type 2 diabetes, yet referral is not an indicator of attendance or completion. SDG 3 is also facilitated by the NHS Health Check </w:t>
      </w:r>
      <w:proofErr w:type="spellStart"/>
      <w:r w:rsidRPr="00542FF8">
        <w:t>programme</w:t>
      </w:r>
      <w:proofErr w:type="spellEnd"/>
      <w:r w:rsidRPr="00542FF8">
        <w:t xml:space="preserve"> by detecting cardiovascular risk in adults aged between 40 and 74 years old but Patel et al. (2020) discovered that many of the individuals in the target population have not been reached due to non-attendance. The Soft Drinks Industry Levy is more impactful structural intervention as it modifies the food environment. According to Rogers et al. (2023) and </w:t>
      </w:r>
      <w:proofErr w:type="spellStart"/>
      <w:r w:rsidRPr="00542FF8">
        <w:t>Cobiac</w:t>
      </w:r>
      <w:proofErr w:type="spellEnd"/>
      <w:r w:rsidRPr="00542FF8">
        <w:t xml:space="preserve"> et al. (2024)</w:t>
      </w:r>
      <w:r w:rsidR="00285AAB">
        <w:t>,</w:t>
      </w:r>
      <w:r w:rsidRPr="00542FF8">
        <w:t xml:space="preserve"> there are improvements in obesity and dental health, particularly in deprived children however broader food insecurity has not been found consistent.</w:t>
      </w:r>
    </w:p>
    <w:p w14:paraId="1929B344" w14:textId="0E701FAB" w:rsidR="00A521B9" w:rsidRDefault="00A521B9" w:rsidP="00401A6D">
      <w:pPr>
        <w:pStyle w:val="Heading2"/>
      </w:pPr>
      <w:bookmarkStart w:id="4" w:name="_Toc234250232"/>
      <w:r w:rsidRPr="00A521B9">
        <w:t xml:space="preserve">Local Birmingham </w:t>
      </w:r>
      <w:r w:rsidR="00542FF8" w:rsidRPr="00A521B9">
        <w:t xml:space="preserve">Initiatives </w:t>
      </w:r>
      <w:r w:rsidRPr="00A521B9">
        <w:t xml:space="preserve">and </w:t>
      </w:r>
      <w:r w:rsidR="00542FF8" w:rsidRPr="00A521B9">
        <w:t>Effectiveness</w:t>
      </w:r>
      <w:bookmarkEnd w:id="4"/>
    </w:p>
    <w:p w14:paraId="24A5712B" w14:textId="53642047" w:rsidR="00542FF8" w:rsidRPr="00542FF8" w:rsidRDefault="00542FF8" w:rsidP="00401A6D">
      <w:r w:rsidRPr="00542FF8">
        <w:t xml:space="preserve">The significant plan at local level is Creating a </w:t>
      </w:r>
      <w:r w:rsidR="00285AAB" w:rsidRPr="00542FF8">
        <w:t>Boulder</w:t>
      </w:r>
      <w:r w:rsidRPr="00542FF8">
        <w:t>, Healthier City 2022</w:t>
      </w:r>
      <w:r w:rsidR="00285AAB">
        <w:t>-</w:t>
      </w:r>
      <w:r w:rsidRPr="00542FF8">
        <w:t xml:space="preserve">30 by the Birmingham City Council. It is targeted at decreasing health disparities and enhancing health and wellbeing within the city. This is quite compatible with SDG 3 since local governments shape habitats and homes, transportation, diet, parks and community security, and health communications. All these are significant determinants of health. But there are major problems in Birmingham. The report by Aston University on health inequalities revealed that 350 of the 639 </w:t>
      </w:r>
      <w:proofErr w:type="spellStart"/>
      <w:r w:rsidRPr="00542FF8">
        <w:t>neighbourhoods</w:t>
      </w:r>
      <w:proofErr w:type="spellEnd"/>
      <w:r w:rsidRPr="00542FF8">
        <w:t xml:space="preserve"> in Birmingham were in the 20% poorest </w:t>
      </w:r>
      <w:proofErr w:type="spellStart"/>
      <w:r w:rsidRPr="00542FF8">
        <w:t>neighbourhoods</w:t>
      </w:r>
      <w:proofErr w:type="spellEnd"/>
      <w:r w:rsidRPr="00542FF8">
        <w:t xml:space="preserve"> in England, 2021</w:t>
      </w:r>
      <w:r w:rsidR="004E3F63">
        <w:t xml:space="preserve"> </w:t>
      </w:r>
      <w:r w:rsidR="004E3F63" w:rsidRPr="004E3F63">
        <w:t>(NHS England, 2026)</w:t>
      </w:r>
      <w:r w:rsidRPr="00542FF8">
        <w:t xml:space="preserve">. Such a degree of deprivation covers the diet, mental health, housing, fuel poverty, physical activity and access to preventive services. The local prevention strategies can thus be problematic when they purely concentrate on information and </w:t>
      </w:r>
      <w:proofErr w:type="spellStart"/>
      <w:r w:rsidRPr="00542FF8">
        <w:t>behaviour</w:t>
      </w:r>
      <w:proofErr w:type="spellEnd"/>
      <w:r w:rsidRPr="00542FF8">
        <w:t xml:space="preserve"> change. Indicatively, it is not as effective as telling individuals to eat healthily when they cannot afford healthy food or where there is limited access to affordable fresh food in their localities. There is also local evidence supporting that when it comes to multi-ethnic urban areas, there may be differences in NHS Health Checks participation between groups. An investigation of the Birmingham area discovered disparity in NHS health check attendance and did not come to the same conclusion as the national averages would tend to obscure the disparity within ethnicity groups. This is significant since the effectiveness of screening </w:t>
      </w:r>
      <w:proofErr w:type="spellStart"/>
      <w:r w:rsidRPr="00542FF8">
        <w:t>programmes</w:t>
      </w:r>
      <w:proofErr w:type="spellEnd"/>
      <w:r w:rsidRPr="00542FF8">
        <w:t xml:space="preserve"> to reduce disease is only achieved when the most at risk are targeted</w:t>
      </w:r>
      <w:r w:rsidR="004E3F63">
        <w:t xml:space="preserve"> </w:t>
      </w:r>
      <w:r w:rsidR="004E3F63" w:rsidRPr="004E3F63">
        <w:t>(Patel et al., 2020)</w:t>
      </w:r>
      <w:r w:rsidRPr="00542FF8">
        <w:t>.</w:t>
      </w:r>
    </w:p>
    <w:p w14:paraId="55804643" w14:textId="2F253AAE" w:rsidR="00A521B9" w:rsidRDefault="00A521B9" w:rsidP="00401A6D">
      <w:pPr>
        <w:pStyle w:val="Heading2"/>
      </w:pPr>
      <w:bookmarkStart w:id="5" w:name="_Toc234250233"/>
      <w:r w:rsidRPr="00A521B9">
        <w:t xml:space="preserve">Recommendations for </w:t>
      </w:r>
      <w:r w:rsidR="00542FF8" w:rsidRPr="00A521B9">
        <w:t xml:space="preserve">Improving </w:t>
      </w:r>
      <w:r w:rsidRPr="00A521B9">
        <w:t xml:space="preserve">SDG 3 </w:t>
      </w:r>
      <w:r w:rsidR="00542FF8" w:rsidRPr="00A521B9">
        <w:t>Implementation</w:t>
      </w:r>
      <w:bookmarkEnd w:id="5"/>
    </w:p>
    <w:p w14:paraId="04B599A7" w14:textId="62A0DD77" w:rsidR="00542FF8" w:rsidRPr="00542FF8" w:rsidRDefault="00542FF8" w:rsidP="00401A6D">
      <w:r w:rsidRPr="00542FF8">
        <w:t xml:space="preserve">To begin with, proportionate universalism should be employed in the national prevention </w:t>
      </w:r>
      <w:proofErr w:type="spellStart"/>
      <w:r w:rsidRPr="00542FF8">
        <w:t>programmes</w:t>
      </w:r>
      <w:proofErr w:type="spellEnd"/>
      <w:r w:rsidRPr="00542FF8">
        <w:t xml:space="preserve">. This entails maintaining services accessible to all with additional support to those communities that are most in need. Second, NHS Health Checks and prevention of diabetes ought to be provided in community facilities of trust like faith centres, libraries and schools that are as well voluntary </w:t>
      </w:r>
      <w:proofErr w:type="spellStart"/>
      <w:r w:rsidRPr="00542FF8">
        <w:t>organisations</w:t>
      </w:r>
      <w:proofErr w:type="spellEnd"/>
      <w:r w:rsidR="004E3F63">
        <w:t xml:space="preserve"> </w:t>
      </w:r>
      <w:r w:rsidR="004E3F63" w:rsidRPr="004E3F63">
        <w:t>(</w:t>
      </w:r>
      <w:proofErr w:type="spellStart"/>
      <w:r w:rsidR="004E3F63" w:rsidRPr="004E3F63">
        <w:t>Ravindrarajah</w:t>
      </w:r>
      <w:proofErr w:type="spellEnd"/>
      <w:r w:rsidR="004E3F63" w:rsidRPr="004E3F63">
        <w:t xml:space="preserve"> et al., 2023)</w:t>
      </w:r>
      <w:r w:rsidRPr="00542FF8">
        <w:t xml:space="preserve">. Third, outreach, culturally tailored outreach, translated materials, flexible appointments and face-to-face support should be expanded throughout all parts of the city to digitally-excluded people. Fourth, to measure the attendance, completion, </w:t>
      </w:r>
      <w:proofErr w:type="spellStart"/>
      <w:r w:rsidRPr="00542FF8">
        <w:t>behaviour</w:t>
      </w:r>
      <w:proofErr w:type="spellEnd"/>
      <w:r w:rsidRPr="00542FF8">
        <w:t xml:space="preserve"> change, patient experience, ethnicity, deprivation, disability, and long-term outcomes, local initiatives were supposed to employ logic models</w:t>
      </w:r>
      <w:r w:rsidR="004E3F63">
        <w:t xml:space="preserve"> </w:t>
      </w:r>
      <w:r w:rsidR="004E3F63" w:rsidRPr="004E3F63">
        <w:t>(Rogers et al., 2023)</w:t>
      </w:r>
      <w:r w:rsidRPr="00542FF8">
        <w:t>.</w:t>
      </w:r>
    </w:p>
    <w:p w14:paraId="6B8133C3" w14:textId="77777777" w:rsidR="00A521B9" w:rsidRPr="00A521B9" w:rsidRDefault="00A521B9" w:rsidP="00401A6D">
      <w:pPr>
        <w:pStyle w:val="Heading1"/>
      </w:pPr>
      <w:bookmarkStart w:id="6" w:name="_Toc234250234"/>
      <w:r w:rsidRPr="00A521B9">
        <w:t>SDG 10 Reduced Inequalities</w:t>
      </w:r>
      <w:bookmarkEnd w:id="6"/>
    </w:p>
    <w:p w14:paraId="56ABBD45" w14:textId="4FE69D61" w:rsidR="00A521B9" w:rsidRDefault="00A521B9" w:rsidP="00401A6D">
      <w:pPr>
        <w:pStyle w:val="Heading2"/>
      </w:pPr>
      <w:bookmarkStart w:id="7" w:name="_Toc234250235"/>
      <w:r w:rsidRPr="00A521B9">
        <w:t xml:space="preserve">Global </w:t>
      </w:r>
      <w:r w:rsidR="00542FF8" w:rsidRPr="00A521B9">
        <w:t xml:space="preserve">Impact </w:t>
      </w:r>
      <w:r w:rsidRPr="00A521B9">
        <w:t>of SDG 10</w:t>
      </w:r>
      <w:bookmarkEnd w:id="7"/>
    </w:p>
    <w:p w14:paraId="30EED5E7" w14:textId="28403050" w:rsidR="00542FF8" w:rsidRPr="00542FF8" w:rsidRDefault="00542FF8" w:rsidP="00401A6D">
      <w:r w:rsidRPr="00542FF8">
        <w:t>The SDG 10 is targeted at minimizing inequality both within and across nations. It is directly related to health since the inequalities in living create inequalities in health risks. Physical and mental health could be harmed by income inequality, social exclusion, discrimination, bad housing, not having firm work or basic education and so on. The SDGs are interconnected</w:t>
      </w:r>
      <w:r w:rsidR="004E3F63">
        <w:t xml:space="preserve"> that is </w:t>
      </w:r>
      <w:r w:rsidRPr="00542FF8">
        <w:t xml:space="preserve">SDG 3 cannot be fulfilled neglecting SDG 10. According to the explanation by UNDP, the SDGs are tailored in such a way that those who are the most behind come first and this is the way in which inequalities in health are </w:t>
      </w:r>
      <w:r w:rsidR="004E3F63">
        <w:t xml:space="preserve">minimized </w:t>
      </w:r>
      <w:r w:rsidR="004E3F63" w:rsidRPr="004E3F63">
        <w:t>(United Nations, 2025)</w:t>
      </w:r>
      <w:r w:rsidRPr="00542FF8">
        <w:t xml:space="preserve">. The social determinants of health approach can be applied in this case since it shifts the focus of the discussion out of individual </w:t>
      </w:r>
      <w:proofErr w:type="spellStart"/>
      <w:r w:rsidRPr="00542FF8">
        <w:t>behaviour</w:t>
      </w:r>
      <w:proofErr w:type="spellEnd"/>
      <w:r w:rsidRPr="00542FF8">
        <w:t>. According to Chelak and Chakole (2024), health equality is focused on such social determinants as income, education, employment and living conditions. This entails that healthcare policy has to deal both access to healthcare and the broad social redistribution of resources.</w:t>
      </w:r>
    </w:p>
    <w:p w14:paraId="6526D018" w14:textId="45A6CA4E" w:rsidR="00A521B9" w:rsidRDefault="00A521B9" w:rsidP="00401A6D">
      <w:pPr>
        <w:pStyle w:val="Heading2"/>
      </w:pPr>
      <w:bookmarkStart w:id="8" w:name="_Toc234250236"/>
      <w:r w:rsidRPr="00A521B9">
        <w:t xml:space="preserve">National </w:t>
      </w:r>
      <w:r w:rsidR="00542FF8" w:rsidRPr="00A521B9">
        <w:t xml:space="preserve">Initiatives </w:t>
      </w:r>
      <w:r w:rsidRPr="00A521B9">
        <w:t xml:space="preserve">and </w:t>
      </w:r>
      <w:r w:rsidR="00542FF8" w:rsidRPr="00A521B9">
        <w:t>Effectiveness</w:t>
      </w:r>
      <w:bookmarkEnd w:id="8"/>
    </w:p>
    <w:p w14:paraId="111218B6" w14:textId="1849959E" w:rsidR="00542FF8" w:rsidRPr="00542FF8" w:rsidRDefault="00542FF8" w:rsidP="00401A6D">
      <w:r w:rsidRPr="00542FF8">
        <w:t>In England, the principal NHS structure to cut inequalities in healthcare is Core20PLUS5. It concentrates on the 20% of the population that is most deprived, locally identified inclusion groups and five clinical priority areas that are maternity, severe mental illness physical health checks, chronic respiratory disease, early cancer diagnosis and detection of hypertension cases. It is strong in that it provides a practical clinical priority and target population to health systems</w:t>
      </w:r>
      <w:r w:rsidR="004E3F63">
        <w:t xml:space="preserve"> </w:t>
      </w:r>
      <w:r w:rsidRPr="00542FF8">
        <w:t xml:space="preserve">. It also promotes more detailed data as this can assist the local services to tell who is being missed. Nevertheless, Core20PLUS5 has its disadvantages. It is predominantly concerned with inequalities in healthcare, and a great deal of determinants of poor health resides outside of the NHS. According to the Office for Health Improvement and Disparities, the proportion of adults in the most deprived regions of England who were physically inactive in 2023-2024 was 35% as compared to 15% in the least deprived regions. Clinical services do not likely solve this difference since safety, time, income, green space, transport and local culture are physical activities of Green Space. So, Core20PLUS5 is needed but not enough. The ICS is also likely to help decrease inequalities because of the collaboration between the NHS, local authorities and voluntary </w:t>
      </w:r>
      <w:proofErr w:type="spellStart"/>
      <w:r w:rsidRPr="00542FF8">
        <w:t>organisations</w:t>
      </w:r>
      <w:proofErr w:type="spellEnd"/>
      <w:r w:rsidRPr="00542FF8">
        <w:t xml:space="preserve">. </w:t>
      </w:r>
      <w:proofErr w:type="spellStart"/>
      <w:r w:rsidRPr="00542FF8">
        <w:t>Alderwick</w:t>
      </w:r>
      <w:proofErr w:type="spellEnd"/>
      <w:r w:rsidRPr="00542FF8">
        <w:t xml:space="preserve">, </w:t>
      </w:r>
      <w:proofErr w:type="spellStart"/>
      <w:r w:rsidRPr="00542FF8">
        <w:t>Hutchings</w:t>
      </w:r>
      <w:proofErr w:type="spellEnd"/>
      <w:r w:rsidRPr="00542FF8">
        <w:t xml:space="preserve"> and Mays (2024) reported cross-sector collaboration to be significant yet challenging due to questions with </w:t>
      </w:r>
      <w:proofErr w:type="spellStart"/>
      <w:r w:rsidRPr="00542FF8">
        <w:t>organisations</w:t>
      </w:r>
      <w:proofErr w:type="spellEnd"/>
      <w:r w:rsidRPr="00542FF8">
        <w:t xml:space="preserve"> having various priorities, funds management and accountability frameworks. Similar claims are made by </w:t>
      </w:r>
      <w:proofErr w:type="spellStart"/>
      <w:r w:rsidRPr="00542FF8">
        <w:t>Parbery-Clark</w:t>
      </w:r>
      <w:proofErr w:type="spellEnd"/>
      <w:r w:rsidRPr="00542FF8">
        <w:t xml:space="preserve"> et al. (2024): the authors insist that the decrease in inequalities cannot be achieved without understanding the issue on a system level, and intricate interventions on a local scale. This indicates that the idea of partnership working is prospective, however, it requires consistent funding, the </w:t>
      </w:r>
      <w:proofErr w:type="spellStart"/>
      <w:r w:rsidRPr="00542FF8">
        <w:t>commonation</w:t>
      </w:r>
      <w:proofErr w:type="spellEnd"/>
      <w:r w:rsidRPr="00542FF8">
        <w:t xml:space="preserve"> of data and robust leadership in the area.</w:t>
      </w:r>
    </w:p>
    <w:p w14:paraId="5BAFD576" w14:textId="627A603E" w:rsidR="00A521B9" w:rsidRDefault="00A521B9" w:rsidP="00401A6D">
      <w:pPr>
        <w:pStyle w:val="Heading2"/>
      </w:pPr>
      <w:bookmarkStart w:id="9" w:name="_Toc234250237"/>
      <w:r w:rsidRPr="00A521B9">
        <w:t xml:space="preserve">Local Birmingham </w:t>
      </w:r>
      <w:r w:rsidR="00542FF8" w:rsidRPr="00A521B9">
        <w:t xml:space="preserve">Initiatives </w:t>
      </w:r>
      <w:r w:rsidRPr="00A521B9">
        <w:t xml:space="preserve">and </w:t>
      </w:r>
      <w:r w:rsidR="00542FF8" w:rsidRPr="00A521B9">
        <w:t>Effectiveness</w:t>
      </w:r>
      <w:bookmarkEnd w:id="9"/>
    </w:p>
    <w:p w14:paraId="73E3B23B" w14:textId="1546377B" w:rsidR="00542FF8" w:rsidRPr="00542FF8" w:rsidRDefault="00542FF8" w:rsidP="00401A6D">
      <w:r w:rsidRPr="00542FF8">
        <w:t>The local strategy of the city of Birmingham helps achieve SDG 10 as it must decrease health inequities by acknowledging the fact that health is as social as medical care, not the other way around. The project on health inequalities, Birmingham, Aston University, employed community involvement and jointly produced activities to learn more about the barriers in under-served regions in East and west Birmingham</w:t>
      </w:r>
      <w:r w:rsidR="004E3F63">
        <w:t xml:space="preserve"> </w:t>
      </w:r>
      <w:r w:rsidR="004E3F63" w:rsidRPr="004E3F63">
        <w:t>(</w:t>
      </w:r>
      <w:proofErr w:type="spellStart"/>
      <w:r w:rsidR="004E3F63" w:rsidRPr="004E3F63">
        <w:t>Cobiac</w:t>
      </w:r>
      <w:proofErr w:type="spellEnd"/>
      <w:r w:rsidR="004E3F63" w:rsidRPr="004E3F63">
        <w:t xml:space="preserve"> et al., 2024)</w:t>
      </w:r>
      <w:r w:rsidRPr="00542FF8">
        <w:t>. This is a strength since the local residents would be able to recognize those barriers that could be ignored by professionals like stigma, language problems, transport expenses, digital inequalities, discrimination and mistrust towards services. Co-production is conducive to social sustainability because it guarantees a representation of citizens in choices they make about their wellbeing and incorporation of groups otherwise not reached out to during service design. Nevertheless, it can only be effective with long-term funding and evaluation. The short-term projects can create awareness but not enhance the long-term results in case funding ceases. Digital healthcare has the potential to enhance convenience, although in low income and heterogenous regions it can increase disparities when face to face and community-based services are not present</w:t>
      </w:r>
      <w:r w:rsidR="004E3F63">
        <w:t xml:space="preserve"> </w:t>
      </w:r>
      <w:r w:rsidR="004E3F63" w:rsidRPr="004E3F63">
        <w:t>(Bambra et al., 2020)</w:t>
      </w:r>
      <w:r w:rsidRPr="00542FF8">
        <w:t>.</w:t>
      </w:r>
    </w:p>
    <w:p w14:paraId="58E0B76A" w14:textId="33A670A6" w:rsidR="00A521B9" w:rsidRDefault="00A521B9" w:rsidP="00401A6D">
      <w:pPr>
        <w:pStyle w:val="Heading2"/>
      </w:pPr>
      <w:bookmarkStart w:id="10" w:name="_Toc234250238"/>
      <w:r w:rsidRPr="00A521B9">
        <w:t xml:space="preserve">Recommendations for </w:t>
      </w:r>
      <w:r w:rsidR="00542FF8" w:rsidRPr="00A521B9">
        <w:t xml:space="preserve">Improving </w:t>
      </w:r>
      <w:r w:rsidRPr="00A521B9">
        <w:t xml:space="preserve">SDG 10 </w:t>
      </w:r>
      <w:r w:rsidR="00542FF8" w:rsidRPr="00A521B9">
        <w:t>Implementation</w:t>
      </w:r>
      <w:bookmarkEnd w:id="10"/>
    </w:p>
    <w:p w14:paraId="257B892B" w14:textId="566FB647" w:rsidR="00542FF8" w:rsidRPr="00542FF8" w:rsidRDefault="00542FF8" w:rsidP="00401A6D">
      <w:r w:rsidRPr="00542FF8">
        <w:t xml:space="preserve">To begin with, Health Equity in All Policies should be implemented in Baltimore. All big choices about housing, transport, planning, employment, education and digital access ought to consider probable effects on inequality in health. Second, funding must be needs based, rather than population based. More powerful prevention and outreach and community support are needed in areas which are more deprived. Third, NHS/Birmingham City Council needs to establish long-term relationships with voluntary, community and faith </w:t>
      </w:r>
      <w:proofErr w:type="spellStart"/>
      <w:r w:rsidRPr="00542FF8">
        <w:t>organisations</w:t>
      </w:r>
      <w:proofErr w:type="spellEnd"/>
      <w:r w:rsidRPr="00542FF8">
        <w:t xml:space="preserve"> and those </w:t>
      </w:r>
      <w:proofErr w:type="spellStart"/>
      <w:r w:rsidRPr="00542FF8">
        <w:t>organisations</w:t>
      </w:r>
      <w:proofErr w:type="spellEnd"/>
      <w:r w:rsidRPr="00542FF8">
        <w:t xml:space="preserve"> particularly believed in by the </w:t>
      </w:r>
      <w:proofErr w:type="spellStart"/>
      <w:r w:rsidRPr="00542FF8">
        <w:t>minoritised</w:t>
      </w:r>
      <w:proofErr w:type="spellEnd"/>
      <w:r w:rsidRPr="00542FF8">
        <w:t xml:space="preserve"> ethnic groups, migrants, disabled populations, low-income families and individuals with mental health</w:t>
      </w:r>
      <w:r w:rsidR="004E3F63">
        <w:t xml:space="preserve"> </w:t>
      </w:r>
      <w:r w:rsidR="004E3F63" w:rsidRPr="004E3F63">
        <w:t>(</w:t>
      </w:r>
      <w:proofErr w:type="spellStart"/>
      <w:r w:rsidR="004E3F63" w:rsidRPr="004E3F63">
        <w:t>Ganju</w:t>
      </w:r>
      <w:proofErr w:type="spellEnd"/>
      <w:r w:rsidR="004E3F63" w:rsidRPr="004E3F63">
        <w:t xml:space="preserve"> et al., 2020)</w:t>
      </w:r>
      <w:r w:rsidRPr="00542FF8">
        <w:t>. Fourth, non-digital paths must always be present to digital, such as telephone, walk-in and community-based support. Lastly, disaggregated data based on ethnicity, deprivation, disability, age and gender should be used in evaluation in a way that inequalities that go unnoticed can be seen.</w:t>
      </w:r>
    </w:p>
    <w:p w14:paraId="74C8B74A" w14:textId="77777777" w:rsidR="00A521B9" w:rsidRDefault="00A521B9" w:rsidP="00401A6D">
      <w:pPr>
        <w:pStyle w:val="Heading1"/>
      </w:pPr>
      <w:bookmarkStart w:id="11" w:name="_Toc234250239"/>
      <w:r w:rsidRPr="00A521B9">
        <w:t>Conclusion</w:t>
      </w:r>
      <w:bookmarkEnd w:id="11"/>
    </w:p>
    <w:p w14:paraId="36F058B0" w14:textId="135FEB9F" w:rsidR="00401A6D" w:rsidRPr="00401A6D" w:rsidRDefault="00401A6D" w:rsidP="00401A6D">
      <w:r w:rsidRPr="00401A6D">
        <w:t xml:space="preserve">SDG 10 and SDG 3 are interconnected. SDG 3 aims to enhance health and wellbeing by preventing, curing, supporting mental health and improving health systems. SDG 10 deals with the poor social and economic status quo which contributes to poor health. In England there is the NHS Diabetes Prevention </w:t>
      </w:r>
      <w:proofErr w:type="spellStart"/>
      <w:r w:rsidRPr="00401A6D">
        <w:t>Programme</w:t>
      </w:r>
      <w:proofErr w:type="spellEnd"/>
      <w:r w:rsidRPr="00401A6D">
        <w:t xml:space="preserve">, NHS Health Check </w:t>
      </w:r>
      <w:proofErr w:type="spellStart"/>
      <w:r w:rsidRPr="00401A6D">
        <w:t>programme</w:t>
      </w:r>
      <w:proofErr w:type="spellEnd"/>
      <w:r w:rsidRPr="00401A6D">
        <w:t>, Soft Drinks Industry Levy and Core20PLUS5 which demonstrate a definite interest in prevention and reduction of inequality. There is evidence that there are working programs such as programs that are structural like the Soft Drinks Industry Levy. But not all the programs are universal and guarantee the same results. Birmingham tells you why it is important to pay attention to the local context. Nationwide policy needs to take local forms, as is evidenced by high deprivation, mixed communities, and digital exclusion and disparities in access to prevention. A comprehensive system model that integrates access to healthcare with action in regards to housing, food, income, transport, education and discrimination is the most potent system model. Further enhancements must take the form of culturally-sensitive outreach, enhanced community collaboration, sustainable funding, enhanced data and effective evaluation. On the whole, SDG 3 is impossible to be attained without taking SDG 10 seriously.</w:t>
      </w:r>
    </w:p>
    <w:p w14:paraId="02DAD317" w14:textId="77777777" w:rsidR="002836ED" w:rsidRDefault="002836ED" w:rsidP="00401A6D">
      <w:r>
        <w:br w:type="page"/>
      </w:r>
    </w:p>
    <w:p w14:paraId="28A9B793" w14:textId="741FCBD0" w:rsidR="002836ED" w:rsidRPr="002836ED" w:rsidRDefault="002836ED" w:rsidP="00401A6D">
      <w:pPr>
        <w:pStyle w:val="Heading1"/>
      </w:pPr>
      <w:bookmarkStart w:id="12" w:name="_Toc234250240"/>
      <w:r w:rsidRPr="002836ED">
        <w:t>Reference List</w:t>
      </w:r>
      <w:bookmarkEnd w:id="12"/>
    </w:p>
    <w:p w14:paraId="06B287E7" w14:textId="775FAAB4" w:rsidR="00A521B9" w:rsidRPr="002836ED" w:rsidRDefault="00A521B9" w:rsidP="00C83C0F">
      <w:pPr>
        <w:ind w:left="720" w:hanging="720"/>
      </w:pPr>
      <w:r w:rsidRPr="002836ED">
        <w:t xml:space="preserve">Ahad, A.A., Gonzalez, M.S. and Junquera, P. (2023) ‘Understanding and addressing mental health stigma across cultures for improving psychiatric care: a narrative review’, </w:t>
      </w:r>
      <w:proofErr w:type="spellStart"/>
      <w:r w:rsidRPr="002836ED">
        <w:rPr>
          <w:i/>
          <w:iCs/>
        </w:rPr>
        <w:t>Cureus</w:t>
      </w:r>
      <w:proofErr w:type="spellEnd"/>
      <w:r w:rsidRPr="002836ED">
        <w:t xml:space="preserve">, 15(5), e39549. </w:t>
      </w:r>
      <w:proofErr w:type="spellStart"/>
      <w:r w:rsidRPr="002836ED">
        <w:t>doi</w:t>
      </w:r>
      <w:proofErr w:type="spellEnd"/>
      <w:r w:rsidRPr="002836ED">
        <w:t>:</w:t>
      </w:r>
      <w:r w:rsidR="00401A6D">
        <w:t xml:space="preserve"> </w:t>
      </w:r>
      <w:hyperlink r:id="rId6" w:history="1">
        <w:r w:rsidR="00401A6D" w:rsidRPr="00E32B70">
          <w:rPr>
            <w:rStyle w:val="Hyperlink"/>
          </w:rPr>
          <w:t>https://doi.org/10.7759/cureus.39549</w:t>
        </w:r>
      </w:hyperlink>
      <w:r w:rsidRPr="002836ED">
        <w:t>.</w:t>
      </w:r>
      <w:r w:rsidR="00401A6D">
        <w:t xml:space="preserve"> </w:t>
      </w:r>
    </w:p>
    <w:p w14:paraId="0A145175" w14:textId="6C195E28" w:rsidR="00A521B9" w:rsidRPr="002836ED" w:rsidRDefault="00A521B9" w:rsidP="00C83C0F">
      <w:pPr>
        <w:ind w:left="720" w:hanging="720"/>
      </w:pPr>
      <w:proofErr w:type="spellStart"/>
      <w:r w:rsidRPr="002836ED">
        <w:t>Alderwick</w:t>
      </w:r>
      <w:proofErr w:type="spellEnd"/>
      <w:r w:rsidRPr="002836ED">
        <w:t xml:space="preserve">, H., Hutchings, A. and Mays, N. (2024) ‘Cross-sector collaboration to reduce health inequalities: a qualitative study of local collaboration between health care, social services and other sectors under health system reforms in England’, </w:t>
      </w:r>
      <w:r w:rsidRPr="002836ED">
        <w:rPr>
          <w:i/>
          <w:iCs/>
        </w:rPr>
        <w:t>BMC Public Health</w:t>
      </w:r>
      <w:r w:rsidRPr="002836ED">
        <w:t xml:space="preserve">, 24, 2613. </w:t>
      </w:r>
      <w:proofErr w:type="spellStart"/>
      <w:r w:rsidRPr="002836ED">
        <w:t>doi</w:t>
      </w:r>
      <w:proofErr w:type="spellEnd"/>
      <w:r w:rsidRPr="002836ED">
        <w:t>:</w:t>
      </w:r>
      <w:r w:rsidR="00401A6D">
        <w:t xml:space="preserve"> </w:t>
      </w:r>
      <w:hyperlink r:id="rId7" w:history="1">
        <w:r w:rsidR="00401A6D" w:rsidRPr="00E32B70">
          <w:rPr>
            <w:rStyle w:val="Hyperlink"/>
          </w:rPr>
          <w:t>https://doi.org/10.1186/s12889-024-20089-5</w:t>
        </w:r>
      </w:hyperlink>
      <w:r w:rsidR="00401A6D">
        <w:t xml:space="preserve"> </w:t>
      </w:r>
    </w:p>
    <w:p w14:paraId="4885B33F" w14:textId="48B3A22D" w:rsidR="00A521B9" w:rsidRPr="002836ED" w:rsidRDefault="00A521B9" w:rsidP="00C83C0F">
      <w:pPr>
        <w:ind w:left="720" w:hanging="720"/>
      </w:pPr>
      <w:r w:rsidRPr="002836ED">
        <w:t xml:space="preserve">Bambra, C., Riordan, R., Ford, J. and Matthews, F. (2020) ‘The COVID-19 pandemic and health inequalities’, </w:t>
      </w:r>
      <w:r w:rsidRPr="002836ED">
        <w:rPr>
          <w:i/>
          <w:iCs/>
        </w:rPr>
        <w:t>Journal of Epidemiology and Community Health</w:t>
      </w:r>
      <w:r w:rsidRPr="002836ED">
        <w:t xml:space="preserve">, 74(11), pp. 964–968. </w:t>
      </w:r>
      <w:proofErr w:type="spellStart"/>
      <w:r w:rsidRPr="002836ED">
        <w:t>doi</w:t>
      </w:r>
      <w:proofErr w:type="spellEnd"/>
      <w:r w:rsidRPr="002836ED">
        <w:t>:</w:t>
      </w:r>
      <w:r w:rsidR="00401A6D">
        <w:t xml:space="preserve"> </w:t>
      </w:r>
      <w:hyperlink r:id="rId8" w:history="1">
        <w:r w:rsidR="00401A6D" w:rsidRPr="00E32B70">
          <w:rPr>
            <w:rStyle w:val="Hyperlink"/>
          </w:rPr>
          <w:t>https://doi.org/10.1136/jech-2020-214401</w:t>
        </w:r>
      </w:hyperlink>
      <w:r w:rsidRPr="002836ED">
        <w:t>.</w:t>
      </w:r>
      <w:r w:rsidR="00401A6D">
        <w:t xml:space="preserve"> </w:t>
      </w:r>
    </w:p>
    <w:p w14:paraId="4C3A4523" w14:textId="75E2DA58" w:rsidR="00A521B9" w:rsidRPr="002836ED" w:rsidRDefault="00A521B9" w:rsidP="00C83C0F">
      <w:pPr>
        <w:ind w:left="720" w:hanging="720"/>
      </w:pPr>
      <w:r w:rsidRPr="002836ED">
        <w:t xml:space="preserve">Bansal, N. et al. (2022) ‘Understanding ethnic inequalities in mental healthcare in the UK: a meta-ethnography’, </w:t>
      </w:r>
      <w:r w:rsidRPr="002836ED">
        <w:rPr>
          <w:i/>
          <w:iCs/>
        </w:rPr>
        <w:t>PLOS Medicine</w:t>
      </w:r>
      <w:r w:rsidRPr="002836ED">
        <w:t xml:space="preserve">, 19(12), e1004139. </w:t>
      </w:r>
      <w:proofErr w:type="spellStart"/>
      <w:r w:rsidRPr="002836ED">
        <w:t>doi</w:t>
      </w:r>
      <w:proofErr w:type="spellEnd"/>
      <w:r w:rsidRPr="002836ED">
        <w:t>:</w:t>
      </w:r>
      <w:r w:rsidR="00401A6D">
        <w:t xml:space="preserve"> </w:t>
      </w:r>
      <w:hyperlink r:id="rId9" w:history="1">
        <w:r w:rsidR="00401A6D" w:rsidRPr="00E32B70">
          <w:rPr>
            <w:rStyle w:val="Hyperlink"/>
          </w:rPr>
          <w:t>https://doi.org/10.1371/journal.pmed.1004139</w:t>
        </w:r>
      </w:hyperlink>
      <w:r w:rsidRPr="002836ED">
        <w:t>.</w:t>
      </w:r>
      <w:r w:rsidR="00401A6D">
        <w:t xml:space="preserve"> </w:t>
      </w:r>
    </w:p>
    <w:p w14:paraId="727B33F7" w14:textId="14A393AD" w:rsidR="00A521B9" w:rsidRPr="002836ED" w:rsidRDefault="00A521B9" w:rsidP="00C83C0F">
      <w:pPr>
        <w:ind w:left="720" w:hanging="720"/>
      </w:pPr>
      <w:r w:rsidRPr="002836ED">
        <w:t xml:space="preserve">Barron, E. et al. (2025) ‘Association between the English National Health Service Diabetes Prevention </w:t>
      </w:r>
      <w:proofErr w:type="spellStart"/>
      <w:r w:rsidRPr="002836ED">
        <w:t>Programme</w:t>
      </w:r>
      <w:proofErr w:type="spellEnd"/>
      <w:r w:rsidRPr="002836ED">
        <w:t xml:space="preserve"> and incident multiple long-term conditions’, </w:t>
      </w:r>
      <w:r w:rsidRPr="002836ED">
        <w:rPr>
          <w:i/>
          <w:iCs/>
        </w:rPr>
        <w:t>Nature Medicine</w:t>
      </w:r>
      <w:r w:rsidRPr="002836ED">
        <w:t xml:space="preserve">. </w:t>
      </w:r>
      <w:proofErr w:type="spellStart"/>
      <w:r w:rsidRPr="002836ED">
        <w:t>doi</w:t>
      </w:r>
      <w:proofErr w:type="spellEnd"/>
      <w:r w:rsidRPr="002836ED">
        <w:t>:</w:t>
      </w:r>
      <w:r w:rsidR="00401A6D">
        <w:t xml:space="preserve"> </w:t>
      </w:r>
      <w:hyperlink r:id="rId10" w:history="1">
        <w:r w:rsidR="00401A6D" w:rsidRPr="00E32B70">
          <w:rPr>
            <w:rStyle w:val="Hyperlink"/>
          </w:rPr>
          <w:t>https://doi.org/10.1038/s41591-025-03922-1</w:t>
        </w:r>
      </w:hyperlink>
      <w:r w:rsidRPr="002836ED">
        <w:t>.</w:t>
      </w:r>
      <w:r w:rsidR="00401A6D">
        <w:t xml:space="preserve"> </w:t>
      </w:r>
    </w:p>
    <w:p w14:paraId="7B858C47" w14:textId="77777777" w:rsidR="00A521B9" w:rsidRPr="002836ED" w:rsidRDefault="00A521B9" w:rsidP="00C83C0F">
      <w:pPr>
        <w:ind w:left="720" w:hanging="720"/>
      </w:pPr>
      <w:r w:rsidRPr="002836ED">
        <w:t xml:space="preserve">Birmingham City Council (2022) </w:t>
      </w:r>
      <w:r w:rsidRPr="002836ED">
        <w:rPr>
          <w:i/>
          <w:iCs/>
        </w:rPr>
        <w:t>Creating a Bolder, Healthier City 2022–2030</w:t>
      </w:r>
      <w:r w:rsidRPr="002836ED">
        <w:t xml:space="preserve">. Birmingham: Birmingham City Council. </w:t>
      </w:r>
      <w:hyperlink r:id="rId11" w:history="1">
        <w:r w:rsidRPr="00E32B70">
          <w:rPr>
            <w:rStyle w:val="Hyperlink"/>
          </w:rPr>
          <w:t>https://www.birmingham.gov.uk/downloads/file/23756/creating_a_bolder_healthier_city_2022_to_2030</w:t>
        </w:r>
      </w:hyperlink>
      <w:r>
        <w:t xml:space="preserve"> </w:t>
      </w:r>
    </w:p>
    <w:p w14:paraId="4D63823E" w14:textId="44B33E0F" w:rsidR="00A521B9" w:rsidRPr="002836ED" w:rsidRDefault="00A521B9" w:rsidP="00C83C0F">
      <w:pPr>
        <w:ind w:left="720" w:hanging="720"/>
      </w:pPr>
      <w:r w:rsidRPr="002836ED">
        <w:t xml:space="preserve">Brunton, L. et al. (2023) ‘A qualitative evaluation of the national rollout of a diabetes prevention </w:t>
      </w:r>
      <w:proofErr w:type="spellStart"/>
      <w:r w:rsidRPr="002836ED">
        <w:t>programme</w:t>
      </w:r>
      <w:proofErr w:type="spellEnd"/>
      <w:r w:rsidRPr="002836ED">
        <w:t xml:space="preserve"> in England’, </w:t>
      </w:r>
      <w:r w:rsidRPr="002836ED">
        <w:rPr>
          <w:i/>
          <w:iCs/>
        </w:rPr>
        <w:t>BMC Health Services Research</w:t>
      </w:r>
      <w:r w:rsidRPr="002836ED">
        <w:t xml:space="preserve">, 23, 1002. </w:t>
      </w:r>
      <w:proofErr w:type="spellStart"/>
      <w:r w:rsidRPr="002836ED">
        <w:t>doi</w:t>
      </w:r>
      <w:proofErr w:type="spellEnd"/>
      <w:r w:rsidRPr="002836ED">
        <w:t>:</w:t>
      </w:r>
      <w:r w:rsidR="00401A6D">
        <w:t xml:space="preserve"> </w:t>
      </w:r>
      <w:hyperlink r:id="rId12" w:history="1">
        <w:r w:rsidR="00401A6D" w:rsidRPr="00E32B70">
          <w:rPr>
            <w:rStyle w:val="Hyperlink"/>
          </w:rPr>
          <w:t>https://doi.org/10.1186/s12913-023-10002-y</w:t>
        </w:r>
      </w:hyperlink>
      <w:r w:rsidRPr="002836ED">
        <w:t>.</w:t>
      </w:r>
      <w:r w:rsidR="00401A6D">
        <w:t xml:space="preserve"> </w:t>
      </w:r>
    </w:p>
    <w:p w14:paraId="7D886780" w14:textId="31C51D12" w:rsidR="00A521B9" w:rsidRPr="002836ED" w:rsidRDefault="00A521B9" w:rsidP="00C83C0F">
      <w:pPr>
        <w:ind w:left="720" w:hanging="720"/>
      </w:pPr>
      <w:proofErr w:type="spellStart"/>
      <w:r w:rsidRPr="002836ED">
        <w:t>Cobiac</w:t>
      </w:r>
      <w:proofErr w:type="spellEnd"/>
      <w:r w:rsidRPr="002836ED">
        <w:t xml:space="preserve">, L.J. et al. (2024) ‘Impact of the UK soft drinks industry levy on health and health inequalities in children and adolescents in England’, </w:t>
      </w:r>
      <w:r w:rsidRPr="002836ED">
        <w:rPr>
          <w:i/>
          <w:iCs/>
        </w:rPr>
        <w:t>PLOS Medicine</w:t>
      </w:r>
      <w:r w:rsidRPr="002836ED">
        <w:t xml:space="preserve">, 21(3), e1004371. </w:t>
      </w:r>
      <w:proofErr w:type="spellStart"/>
      <w:r w:rsidRPr="002836ED">
        <w:t>doi</w:t>
      </w:r>
      <w:proofErr w:type="spellEnd"/>
      <w:r w:rsidRPr="002836ED">
        <w:t>:</w:t>
      </w:r>
      <w:r w:rsidR="00401A6D">
        <w:t xml:space="preserve"> </w:t>
      </w:r>
      <w:hyperlink r:id="rId13" w:history="1">
        <w:r w:rsidR="00401A6D" w:rsidRPr="00E32B70">
          <w:rPr>
            <w:rStyle w:val="Hyperlink"/>
          </w:rPr>
          <w:t>https://doi.org/10.1371/journal.pmed.1004371</w:t>
        </w:r>
      </w:hyperlink>
      <w:r w:rsidRPr="002836ED">
        <w:t>.</w:t>
      </w:r>
      <w:r w:rsidR="00401A6D">
        <w:t xml:space="preserve"> </w:t>
      </w:r>
    </w:p>
    <w:p w14:paraId="74F797AD" w14:textId="627FFE56" w:rsidR="00A521B9" w:rsidRPr="002836ED" w:rsidRDefault="00A521B9" w:rsidP="00C83C0F">
      <w:pPr>
        <w:ind w:left="720" w:hanging="720"/>
      </w:pPr>
      <w:r w:rsidRPr="002836ED">
        <w:t xml:space="preserve">Douglas, M. et al. (2020) ‘Mitigating the wider health effects of covid-19 pandemic response’, </w:t>
      </w:r>
      <w:r w:rsidRPr="002836ED">
        <w:rPr>
          <w:i/>
          <w:iCs/>
        </w:rPr>
        <w:t>BMJ</w:t>
      </w:r>
      <w:r w:rsidRPr="002836ED">
        <w:t xml:space="preserve">, 369, m1557. </w:t>
      </w:r>
      <w:proofErr w:type="spellStart"/>
      <w:r w:rsidRPr="002836ED">
        <w:t>doi</w:t>
      </w:r>
      <w:proofErr w:type="spellEnd"/>
      <w:r w:rsidRPr="002836ED">
        <w:t>:</w:t>
      </w:r>
      <w:r w:rsidR="00401A6D">
        <w:t xml:space="preserve"> </w:t>
      </w:r>
      <w:hyperlink r:id="rId14" w:history="1">
        <w:r w:rsidR="00401A6D" w:rsidRPr="00E32B70">
          <w:rPr>
            <w:rStyle w:val="Hyperlink"/>
          </w:rPr>
          <w:t>https://doi.org/10.1136/bmj.m1557</w:t>
        </w:r>
      </w:hyperlink>
      <w:r w:rsidRPr="002836ED">
        <w:t>.</w:t>
      </w:r>
      <w:r w:rsidR="00401A6D">
        <w:t xml:space="preserve"> </w:t>
      </w:r>
    </w:p>
    <w:p w14:paraId="5982C38E" w14:textId="07BE4EBB" w:rsidR="00A521B9" w:rsidRPr="002836ED" w:rsidRDefault="00A521B9" w:rsidP="00C83C0F">
      <w:pPr>
        <w:ind w:left="720" w:hanging="720"/>
      </w:pPr>
      <w:r w:rsidRPr="002836ED">
        <w:t xml:space="preserve">Elliott, H. et al. (2025) ‘From policy to action: a document content analysis reviewing the adoption of the healthcare inequalities </w:t>
      </w:r>
      <w:proofErr w:type="spellStart"/>
      <w:r w:rsidRPr="002836ED">
        <w:t>programme</w:t>
      </w:r>
      <w:proofErr w:type="spellEnd"/>
      <w:r w:rsidRPr="002836ED">
        <w:t xml:space="preserve"> in local health system plans in England’, </w:t>
      </w:r>
      <w:r w:rsidRPr="002836ED">
        <w:rPr>
          <w:i/>
          <w:iCs/>
        </w:rPr>
        <w:t>BMJ Open</w:t>
      </w:r>
      <w:r w:rsidRPr="002836ED">
        <w:t xml:space="preserve">, 15(10), e102163. </w:t>
      </w:r>
      <w:proofErr w:type="spellStart"/>
      <w:r w:rsidRPr="002836ED">
        <w:t>doi</w:t>
      </w:r>
      <w:proofErr w:type="spellEnd"/>
      <w:r w:rsidRPr="002836ED">
        <w:t>:</w:t>
      </w:r>
      <w:r w:rsidR="00401A6D">
        <w:t xml:space="preserve"> </w:t>
      </w:r>
      <w:hyperlink r:id="rId15" w:history="1">
        <w:r w:rsidR="00401A6D" w:rsidRPr="00E32B70">
          <w:rPr>
            <w:rStyle w:val="Hyperlink"/>
          </w:rPr>
          <w:t>https://doi.org/10.1136/bmjopen-2025-102163</w:t>
        </w:r>
      </w:hyperlink>
      <w:r w:rsidRPr="002836ED">
        <w:t>.</w:t>
      </w:r>
      <w:r w:rsidR="00401A6D">
        <w:t xml:space="preserve"> </w:t>
      </w:r>
    </w:p>
    <w:p w14:paraId="0894F43C" w14:textId="7342952A" w:rsidR="00A521B9" w:rsidRPr="002836ED" w:rsidRDefault="00A521B9" w:rsidP="00C83C0F">
      <w:pPr>
        <w:ind w:left="720" w:hanging="720"/>
      </w:pPr>
      <w:proofErr w:type="spellStart"/>
      <w:r w:rsidRPr="002836ED">
        <w:t>Ferozkhan</w:t>
      </w:r>
      <w:proofErr w:type="spellEnd"/>
      <w:r w:rsidRPr="002836ED">
        <w:t xml:space="preserve">, J. et al. (2026) ‘Inequalities in NHS Health Check participation in a multiethnic city’, </w:t>
      </w:r>
      <w:r w:rsidRPr="002836ED">
        <w:rPr>
          <w:i/>
          <w:iCs/>
        </w:rPr>
        <w:t>Discover Public Health</w:t>
      </w:r>
      <w:r w:rsidRPr="002836ED">
        <w:t xml:space="preserve">. </w:t>
      </w:r>
      <w:proofErr w:type="spellStart"/>
      <w:r w:rsidRPr="002836ED">
        <w:t>doi</w:t>
      </w:r>
      <w:proofErr w:type="spellEnd"/>
      <w:r w:rsidRPr="002836ED">
        <w:t>:</w:t>
      </w:r>
      <w:r w:rsidR="00401A6D">
        <w:t xml:space="preserve"> </w:t>
      </w:r>
      <w:hyperlink r:id="rId16" w:history="1">
        <w:r w:rsidR="00401A6D" w:rsidRPr="00E32B70">
          <w:rPr>
            <w:rStyle w:val="Hyperlink"/>
          </w:rPr>
          <w:t>https://doi.org/10.1186/s12982-026-01931-0</w:t>
        </w:r>
      </w:hyperlink>
      <w:r w:rsidRPr="002836ED">
        <w:t>.</w:t>
      </w:r>
      <w:r w:rsidR="00401A6D">
        <w:t xml:space="preserve"> </w:t>
      </w:r>
    </w:p>
    <w:p w14:paraId="556A4683" w14:textId="063C9AF3" w:rsidR="00A521B9" w:rsidRPr="002836ED" w:rsidRDefault="00A521B9" w:rsidP="00C83C0F">
      <w:pPr>
        <w:ind w:left="720" w:hanging="720"/>
      </w:pPr>
      <w:proofErr w:type="spellStart"/>
      <w:r w:rsidRPr="002836ED">
        <w:t>Ganju</w:t>
      </w:r>
      <w:proofErr w:type="spellEnd"/>
      <w:r w:rsidRPr="002836ED">
        <w:t xml:space="preserve">, A. et al. (2020) ‘Systemic solutions for addressing non-communicable diseases in low- and middle-income countries’, </w:t>
      </w:r>
      <w:r w:rsidRPr="002836ED">
        <w:rPr>
          <w:i/>
          <w:iCs/>
        </w:rPr>
        <w:t>Journal of Multidisciplinary Healthcare</w:t>
      </w:r>
      <w:r w:rsidRPr="002836ED">
        <w:t xml:space="preserve">, 13, pp. 693–707. </w:t>
      </w:r>
      <w:proofErr w:type="spellStart"/>
      <w:r w:rsidRPr="002836ED">
        <w:t>doi</w:t>
      </w:r>
      <w:proofErr w:type="spellEnd"/>
      <w:r w:rsidRPr="002836ED">
        <w:t>:</w:t>
      </w:r>
      <w:r w:rsidR="00401A6D">
        <w:t xml:space="preserve"> </w:t>
      </w:r>
      <w:hyperlink r:id="rId17" w:history="1">
        <w:r w:rsidR="00401A6D" w:rsidRPr="00E32B70">
          <w:rPr>
            <w:rStyle w:val="Hyperlink"/>
          </w:rPr>
          <w:t>https://doi.org/10.2147/JMDH.S252300</w:t>
        </w:r>
      </w:hyperlink>
      <w:r w:rsidRPr="002836ED">
        <w:t>.</w:t>
      </w:r>
      <w:r w:rsidR="00401A6D">
        <w:t xml:space="preserve"> </w:t>
      </w:r>
    </w:p>
    <w:p w14:paraId="691FE994" w14:textId="6E1E6FC2" w:rsidR="00A521B9" w:rsidRPr="002836ED" w:rsidRDefault="00A521B9" w:rsidP="00C83C0F">
      <w:pPr>
        <w:ind w:left="720" w:hanging="720"/>
      </w:pPr>
      <w:r w:rsidRPr="002836ED">
        <w:t xml:space="preserve">Marmot, M. and Allen, J. (2020) ‘COVID-19: exposing and amplifying inequalities’, </w:t>
      </w:r>
      <w:r w:rsidRPr="002836ED">
        <w:rPr>
          <w:i/>
          <w:iCs/>
        </w:rPr>
        <w:t>Journal of Epidemiology and Community Health</w:t>
      </w:r>
      <w:r w:rsidRPr="002836ED">
        <w:t xml:space="preserve">, 74(9), pp. 681–682. </w:t>
      </w:r>
      <w:proofErr w:type="spellStart"/>
      <w:r w:rsidRPr="002836ED">
        <w:t>doi</w:t>
      </w:r>
      <w:proofErr w:type="spellEnd"/>
      <w:r w:rsidRPr="002836ED">
        <w:t>:</w:t>
      </w:r>
      <w:r w:rsidR="00401A6D">
        <w:t xml:space="preserve"> </w:t>
      </w:r>
      <w:hyperlink r:id="rId18" w:history="1">
        <w:r w:rsidR="00401A6D" w:rsidRPr="00E32B70">
          <w:rPr>
            <w:rStyle w:val="Hyperlink"/>
          </w:rPr>
          <w:t>https://doi.org/10.1136/jech-2020-214720</w:t>
        </w:r>
      </w:hyperlink>
      <w:r w:rsidRPr="002836ED">
        <w:t>.</w:t>
      </w:r>
      <w:r w:rsidR="00401A6D">
        <w:t xml:space="preserve"> </w:t>
      </w:r>
    </w:p>
    <w:p w14:paraId="0850B261" w14:textId="1777AFBF" w:rsidR="00A521B9" w:rsidRPr="002836ED" w:rsidRDefault="00A521B9" w:rsidP="00C83C0F">
      <w:pPr>
        <w:ind w:left="720" w:hanging="720"/>
      </w:pPr>
      <w:r w:rsidRPr="002836ED">
        <w:t xml:space="preserve">McCracken, C. et al. (2024) ‘The NHS Health Check </w:t>
      </w:r>
      <w:proofErr w:type="spellStart"/>
      <w:r w:rsidRPr="002836ED">
        <w:t>programme</w:t>
      </w:r>
      <w:proofErr w:type="spellEnd"/>
      <w:r w:rsidRPr="002836ED">
        <w:t xml:space="preserve"> and prevention of cardiovascular disease and other conditions: a matched cohort study in the UK Biobank’, </w:t>
      </w:r>
      <w:r w:rsidRPr="002836ED">
        <w:rPr>
          <w:i/>
          <w:iCs/>
        </w:rPr>
        <w:t>BMC Medicine</w:t>
      </w:r>
      <w:r w:rsidRPr="002836ED">
        <w:t xml:space="preserve">, 22, 1. </w:t>
      </w:r>
      <w:proofErr w:type="spellStart"/>
      <w:r w:rsidRPr="002836ED">
        <w:t>doi</w:t>
      </w:r>
      <w:proofErr w:type="spellEnd"/>
      <w:r w:rsidRPr="002836ED">
        <w:t>:</w:t>
      </w:r>
      <w:r w:rsidR="00401A6D">
        <w:t xml:space="preserve"> </w:t>
      </w:r>
      <w:hyperlink r:id="rId19" w:history="1">
        <w:r w:rsidR="00401A6D" w:rsidRPr="00E32B70">
          <w:rPr>
            <w:rStyle w:val="Hyperlink"/>
          </w:rPr>
          <w:t>https://doi.org/10.1186/s12916-023-03187-w</w:t>
        </w:r>
      </w:hyperlink>
      <w:r w:rsidRPr="002836ED">
        <w:t>.</w:t>
      </w:r>
      <w:r w:rsidR="00401A6D">
        <w:t xml:space="preserve"> </w:t>
      </w:r>
    </w:p>
    <w:p w14:paraId="1AD7DE06" w14:textId="62DAC6B0" w:rsidR="00A521B9" w:rsidRPr="002836ED" w:rsidRDefault="00A521B9" w:rsidP="00C83C0F">
      <w:pPr>
        <w:ind w:left="720" w:hanging="720"/>
      </w:pPr>
      <w:r w:rsidRPr="002836ED">
        <w:t xml:space="preserve">McMahon, N.E. (2023) ‘What shapes local health system actors’ thinking and action on social inequalities in health? A meta-ethnography’, </w:t>
      </w:r>
      <w:r w:rsidRPr="002836ED">
        <w:rPr>
          <w:i/>
          <w:iCs/>
        </w:rPr>
        <w:t>Social Theory &amp; Health</w:t>
      </w:r>
      <w:r w:rsidRPr="002836ED">
        <w:t xml:space="preserve">, 21, pp. 119–139. </w:t>
      </w:r>
      <w:proofErr w:type="spellStart"/>
      <w:r w:rsidRPr="002836ED">
        <w:t>doi</w:t>
      </w:r>
      <w:proofErr w:type="spellEnd"/>
      <w:r w:rsidRPr="002836ED">
        <w:t>:</w:t>
      </w:r>
      <w:r w:rsidR="00401A6D">
        <w:t xml:space="preserve"> </w:t>
      </w:r>
      <w:hyperlink r:id="rId20" w:history="1">
        <w:r w:rsidR="00401A6D" w:rsidRPr="00E32B70">
          <w:rPr>
            <w:rStyle w:val="Hyperlink"/>
          </w:rPr>
          <w:t>https://doi.org/10.1057/s41285-022-00176-6</w:t>
        </w:r>
      </w:hyperlink>
      <w:r w:rsidRPr="002836ED">
        <w:t>.</w:t>
      </w:r>
      <w:r w:rsidR="00401A6D">
        <w:t xml:space="preserve"> </w:t>
      </w:r>
    </w:p>
    <w:p w14:paraId="666D5B27" w14:textId="77777777" w:rsidR="00A521B9" w:rsidRPr="002836ED" w:rsidRDefault="00A521B9" w:rsidP="00C83C0F">
      <w:pPr>
        <w:ind w:left="720" w:hanging="720"/>
      </w:pPr>
      <w:r w:rsidRPr="002836ED">
        <w:t xml:space="preserve">NHS England (2026) </w:t>
      </w:r>
      <w:r w:rsidRPr="002836ED">
        <w:rPr>
          <w:i/>
          <w:iCs/>
        </w:rPr>
        <w:t>Core20PLUS5: An approach to reducing healthcare inequalities</w:t>
      </w:r>
      <w:r w:rsidRPr="002836ED">
        <w:t xml:space="preserve">. London: NHS England. </w:t>
      </w:r>
      <w:hyperlink r:id="rId21" w:history="1">
        <w:r w:rsidRPr="00E32B70">
          <w:rPr>
            <w:rStyle w:val="Hyperlink"/>
          </w:rPr>
          <w:t>https://www.england.nhs.uk/about/equality/equality-hub/national-healthcare-inequalities-improvement-programme/core20plus5/core20plus5-cyp/</w:t>
        </w:r>
      </w:hyperlink>
      <w:r>
        <w:t xml:space="preserve"> </w:t>
      </w:r>
    </w:p>
    <w:p w14:paraId="0C4ED23E" w14:textId="77777777" w:rsidR="00A521B9" w:rsidRPr="002836ED" w:rsidRDefault="00A521B9" w:rsidP="00C83C0F">
      <w:pPr>
        <w:ind w:left="720" w:hanging="720"/>
      </w:pPr>
      <w:r w:rsidRPr="002836ED">
        <w:t xml:space="preserve">Office for Health Improvement and Disparities (2025) </w:t>
      </w:r>
      <w:r w:rsidRPr="002836ED">
        <w:rPr>
          <w:i/>
          <w:iCs/>
        </w:rPr>
        <w:t>Health Inequalities Dashboard: statistical commentary</w:t>
      </w:r>
      <w:r w:rsidRPr="002836ED">
        <w:t xml:space="preserve">. London: OHID. </w:t>
      </w:r>
      <w:hyperlink r:id="rId22" w:history="1">
        <w:r w:rsidRPr="00E32B70">
          <w:rPr>
            <w:rStyle w:val="Hyperlink"/>
          </w:rPr>
          <w:t>https://www.gov.uk/government/statistics/health-inequalities-dashboard-may-2025-data-update/health-inequalities-dashboard-statistical-commentary-may-2025</w:t>
        </w:r>
      </w:hyperlink>
      <w:r>
        <w:t xml:space="preserve"> </w:t>
      </w:r>
    </w:p>
    <w:p w14:paraId="46E45DA7" w14:textId="70493940" w:rsidR="00A521B9" w:rsidRPr="002836ED" w:rsidRDefault="00A521B9" w:rsidP="00C83C0F">
      <w:pPr>
        <w:ind w:left="720" w:hanging="720"/>
      </w:pPr>
      <w:r w:rsidRPr="002836ED">
        <w:t xml:space="preserve">Owusu, M.F. et al. (2024) ‘Tackling the non-communicable disease epidemic: a framework for policy action in low- and middle-income countries’, </w:t>
      </w:r>
      <w:r w:rsidRPr="002836ED">
        <w:rPr>
          <w:i/>
          <w:iCs/>
        </w:rPr>
        <w:t>Pan African Medical Journal</w:t>
      </w:r>
      <w:r w:rsidRPr="002836ED">
        <w:t xml:space="preserve">, 47, 82. </w:t>
      </w:r>
      <w:proofErr w:type="spellStart"/>
      <w:r w:rsidRPr="002836ED">
        <w:t>doi</w:t>
      </w:r>
      <w:proofErr w:type="spellEnd"/>
      <w:r w:rsidRPr="002836ED">
        <w:t>:</w:t>
      </w:r>
      <w:r w:rsidR="00401A6D">
        <w:t xml:space="preserve"> </w:t>
      </w:r>
      <w:hyperlink r:id="rId23" w:history="1">
        <w:r w:rsidR="00401A6D" w:rsidRPr="00E32B70">
          <w:rPr>
            <w:rStyle w:val="Hyperlink"/>
          </w:rPr>
          <w:t>https://doi.org/10.11604/pamj.2024.47.82.41089</w:t>
        </w:r>
      </w:hyperlink>
      <w:r w:rsidRPr="002836ED">
        <w:t>.</w:t>
      </w:r>
      <w:r w:rsidR="00401A6D">
        <w:t xml:space="preserve"> </w:t>
      </w:r>
    </w:p>
    <w:p w14:paraId="41E9B44C" w14:textId="133ACDD0" w:rsidR="00A521B9" w:rsidRPr="002836ED" w:rsidRDefault="00A521B9" w:rsidP="00C83C0F">
      <w:pPr>
        <w:ind w:left="720" w:hanging="720"/>
      </w:pPr>
      <w:proofErr w:type="spellStart"/>
      <w:r w:rsidRPr="002836ED">
        <w:t>Parbery-Clark</w:t>
      </w:r>
      <w:proofErr w:type="spellEnd"/>
      <w:r w:rsidRPr="002836ED">
        <w:t xml:space="preserve">, C. et al. (2024) ‘How can health systems approach reducing health inequalities? An in-depth qualitative case study in the UK’, </w:t>
      </w:r>
      <w:r w:rsidRPr="002836ED">
        <w:rPr>
          <w:i/>
          <w:iCs/>
        </w:rPr>
        <w:t>BMC Public Health</w:t>
      </w:r>
      <w:r w:rsidRPr="002836ED">
        <w:t xml:space="preserve">, 24, 2168. </w:t>
      </w:r>
      <w:proofErr w:type="spellStart"/>
      <w:r w:rsidRPr="002836ED">
        <w:t>doi</w:t>
      </w:r>
      <w:proofErr w:type="spellEnd"/>
      <w:r w:rsidRPr="002836ED">
        <w:t>:</w:t>
      </w:r>
      <w:r w:rsidR="00401A6D">
        <w:t xml:space="preserve"> </w:t>
      </w:r>
      <w:hyperlink r:id="rId24" w:history="1">
        <w:r w:rsidR="00401A6D" w:rsidRPr="00E32B70">
          <w:rPr>
            <w:rStyle w:val="Hyperlink"/>
          </w:rPr>
          <w:t>https://doi.org/10.1186/s12889-024-19531-5</w:t>
        </w:r>
      </w:hyperlink>
      <w:r w:rsidRPr="002836ED">
        <w:t>.</w:t>
      </w:r>
      <w:r w:rsidR="00401A6D">
        <w:t xml:space="preserve"> </w:t>
      </w:r>
    </w:p>
    <w:p w14:paraId="3DB69F47" w14:textId="5B631278" w:rsidR="00A521B9" w:rsidRPr="002836ED" w:rsidRDefault="00A521B9" w:rsidP="00C83C0F">
      <w:pPr>
        <w:ind w:left="720" w:hanging="720"/>
      </w:pPr>
      <w:proofErr w:type="spellStart"/>
      <w:r w:rsidRPr="002836ED">
        <w:t>Paremoer</w:t>
      </w:r>
      <w:proofErr w:type="spellEnd"/>
      <w:r w:rsidRPr="002836ED">
        <w:t xml:space="preserve">, L., Nandi, S., Serag, H. and Baum, F. (2021) ‘Covid-19 pandemic and the social determinants of health’, </w:t>
      </w:r>
      <w:r w:rsidRPr="002836ED">
        <w:rPr>
          <w:i/>
          <w:iCs/>
        </w:rPr>
        <w:t>BMJ</w:t>
      </w:r>
      <w:r w:rsidRPr="002836ED">
        <w:t xml:space="preserve">, 372, n129. </w:t>
      </w:r>
      <w:proofErr w:type="spellStart"/>
      <w:r w:rsidRPr="002836ED">
        <w:t>doi</w:t>
      </w:r>
      <w:proofErr w:type="spellEnd"/>
      <w:r w:rsidRPr="002836ED">
        <w:t>:</w:t>
      </w:r>
      <w:r w:rsidR="00401A6D">
        <w:t xml:space="preserve"> </w:t>
      </w:r>
      <w:hyperlink r:id="rId25" w:history="1">
        <w:r w:rsidR="00401A6D" w:rsidRPr="00E32B70">
          <w:rPr>
            <w:rStyle w:val="Hyperlink"/>
          </w:rPr>
          <w:t>https://doi.org/10.1136/bmj.n129</w:t>
        </w:r>
      </w:hyperlink>
      <w:r w:rsidRPr="002836ED">
        <w:t>.</w:t>
      </w:r>
      <w:r w:rsidR="00401A6D">
        <w:t xml:space="preserve"> </w:t>
      </w:r>
    </w:p>
    <w:p w14:paraId="22092E34" w14:textId="03C1336D" w:rsidR="00A521B9" w:rsidRPr="002836ED" w:rsidRDefault="00A521B9" w:rsidP="00C83C0F">
      <w:pPr>
        <w:ind w:left="720" w:hanging="720"/>
      </w:pPr>
      <w:r w:rsidRPr="002836ED">
        <w:t xml:space="preserve">Patel, R. et al. (2020) ‘Evaluation of the uptake and delivery of the NHS Health Check </w:t>
      </w:r>
      <w:proofErr w:type="spellStart"/>
      <w:r w:rsidRPr="002836ED">
        <w:t>programme</w:t>
      </w:r>
      <w:proofErr w:type="spellEnd"/>
      <w:r w:rsidRPr="002836ED">
        <w:t xml:space="preserve"> in England, using primary care data from 9.5 million people: a cross-sectional study’, </w:t>
      </w:r>
      <w:r w:rsidRPr="002836ED">
        <w:rPr>
          <w:i/>
          <w:iCs/>
        </w:rPr>
        <w:t>BMJ Open</w:t>
      </w:r>
      <w:r w:rsidRPr="002836ED">
        <w:t xml:space="preserve">, 10(11), e042963. </w:t>
      </w:r>
      <w:proofErr w:type="spellStart"/>
      <w:r w:rsidRPr="002836ED">
        <w:t>doi</w:t>
      </w:r>
      <w:proofErr w:type="spellEnd"/>
      <w:r w:rsidRPr="002836ED">
        <w:t>:</w:t>
      </w:r>
      <w:r w:rsidR="00401A6D">
        <w:t xml:space="preserve"> </w:t>
      </w:r>
      <w:hyperlink r:id="rId26" w:history="1">
        <w:r w:rsidR="00401A6D" w:rsidRPr="00E32B70">
          <w:rPr>
            <w:rStyle w:val="Hyperlink"/>
          </w:rPr>
          <w:t>https://doi.org/10.1136/bmjopen-2020-042963</w:t>
        </w:r>
      </w:hyperlink>
      <w:r w:rsidRPr="002836ED">
        <w:t>.</w:t>
      </w:r>
      <w:r w:rsidR="00401A6D">
        <w:t xml:space="preserve"> </w:t>
      </w:r>
    </w:p>
    <w:p w14:paraId="553E3856" w14:textId="451BD260" w:rsidR="00A521B9" w:rsidRPr="002836ED" w:rsidRDefault="00A521B9" w:rsidP="00C83C0F">
      <w:pPr>
        <w:ind w:left="720" w:hanging="720"/>
      </w:pPr>
      <w:proofErr w:type="spellStart"/>
      <w:r w:rsidRPr="002836ED">
        <w:t>Ravindrarajah</w:t>
      </w:r>
      <w:proofErr w:type="spellEnd"/>
      <w:r w:rsidRPr="002836ED">
        <w:t xml:space="preserve">, R. et al. (2023) ‘Referral to the NHS Diabetes Prevention </w:t>
      </w:r>
      <w:proofErr w:type="spellStart"/>
      <w:r w:rsidRPr="002836ED">
        <w:t>Programme</w:t>
      </w:r>
      <w:proofErr w:type="spellEnd"/>
      <w:r w:rsidRPr="002836ED">
        <w:t xml:space="preserve"> and conversion from </w:t>
      </w:r>
      <w:proofErr w:type="spellStart"/>
      <w:r w:rsidRPr="002836ED">
        <w:t>nondiabetic</w:t>
      </w:r>
      <w:proofErr w:type="spellEnd"/>
      <w:r w:rsidRPr="002836ED">
        <w:t xml:space="preserve"> </w:t>
      </w:r>
      <w:proofErr w:type="spellStart"/>
      <w:r w:rsidRPr="002836ED">
        <w:t>hyperglycaemia</w:t>
      </w:r>
      <w:proofErr w:type="spellEnd"/>
      <w:r w:rsidRPr="002836ED">
        <w:t xml:space="preserve"> to type 2 diabetes mellitus in England: a matched cohort analysis’, </w:t>
      </w:r>
      <w:r w:rsidRPr="002836ED">
        <w:rPr>
          <w:i/>
          <w:iCs/>
        </w:rPr>
        <w:t>PLOS Medicine</w:t>
      </w:r>
      <w:r w:rsidRPr="002836ED">
        <w:t xml:space="preserve">, 20(2), e1004177. </w:t>
      </w:r>
      <w:proofErr w:type="spellStart"/>
      <w:r w:rsidRPr="002836ED">
        <w:t>doi</w:t>
      </w:r>
      <w:proofErr w:type="spellEnd"/>
      <w:r w:rsidRPr="002836ED">
        <w:t>:</w:t>
      </w:r>
      <w:r w:rsidR="00401A6D">
        <w:t xml:space="preserve"> </w:t>
      </w:r>
      <w:hyperlink r:id="rId27" w:history="1">
        <w:r w:rsidR="00401A6D" w:rsidRPr="00E32B70">
          <w:rPr>
            <w:rStyle w:val="Hyperlink"/>
          </w:rPr>
          <w:t>https://doi.org/10.1371/journal.pmed.1004177</w:t>
        </w:r>
      </w:hyperlink>
      <w:r w:rsidRPr="002836ED">
        <w:t>.</w:t>
      </w:r>
      <w:r w:rsidR="00401A6D">
        <w:t xml:space="preserve"> </w:t>
      </w:r>
    </w:p>
    <w:p w14:paraId="4F0424F7" w14:textId="1EC5ABCE" w:rsidR="00A521B9" w:rsidRPr="002836ED" w:rsidRDefault="00A521B9" w:rsidP="00C83C0F">
      <w:pPr>
        <w:ind w:left="720" w:hanging="720"/>
      </w:pPr>
      <w:r w:rsidRPr="002836ED">
        <w:t xml:space="preserve">Rogers, N.T. et al. (2023) ‘Associations between trajectories of obesity prevalence in English primary school children and the UK soft drinks industry levy’, </w:t>
      </w:r>
      <w:r w:rsidRPr="002836ED">
        <w:rPr>
          <w:i/>
          <w:iCs/>
        </w:rPr>
        <w:t>PLOS Medicine</w:t>
      </w:r>
      <w:r w:rsidRPr="002836ED">
        <w:t xml:space="preserve">, 20(1), e1004160. </w:t>
      </w:r>
      <w:proofErr w:type="spellStart"/>
      <w:r w:rsidRPr="002836ED">
        <w:t>doi</w:t>
      </w:r>
      <w:proofErr w:type="spellEnd"/>
      <w:r w:rsidRPr="002836ED">
        <w:t>:</w:t>
      </w:r>
      <w:r>
        <w:t xml:space="preserve"> </w:t>
      </w:r>
      <w:hyperlink r:id="rId28" w:history="1">
        <w:r w:rsidR="00401A6D" w:rsidRPr="00E32B70">
          <w:rPr>
            <w:rStyle w:val="Hyperlink"/>
          </w:rPr>
          <w:t>https://doi.org/10.1371/journal.pmed.1004160</w:t>
        </w:r>
      </w:hyperlink>
      <w:r w:rsidRPr="002836ED">
        <w:t>.</w:t>
      </w:r>
      <w:r w:rsidR="00401A6D">
        <w:t xml:space="preserve"> </w:t>
      </w:r>
    </w:p>
    <w:p w14:paraId="6D0AFCE2" w14:textId="77777777" w:rsidR="00A521B9" w:rsidRPr="002836ED" w:rsidRDefault="00A521B9" w:rsidP="00C83C0F">
      <w:pPr>
        <w:ind w:left="720" w:hanging="720"/>
      </w:pPr>
      <w:r w:rsidRPr="002836ED">
        <w:t xml:space="preserve">United Nations (2025) </w:t>
      </w:r>
      <w:r w:rsidRPr="002836ED">
        <w:rPr>
          <w:i/>
          <w:iCs/>
        </w:rPr>
        <w:t>The Sustainable Development Goals Report 2025</w:t>
      </w:r>
      <w:r w:rsidRPr="002836ED">
        <w:t xml:space="preserve">. New York: United Nations. </w:t>
      </w:r>
      <w:hyperlink r:id="rId29" w:history="1">
        <w:r w:rsidRPr="00E32B70">
          <w:rPr>
            <w:rStyle w:val="Hyperlink"/>
          </w:rPr>
          <w:t>https://unstats.un.org/sdgs/report/2025/</w:t>
        </w:r>
      </w:hyperlink>
      <w:r>
        <w:t xml:space="preserve"> </w:t>
      </w:r>
    </w:p>
    <w:p w14:paraId="59944C2E" w14:textId="77777777" w:rsidR="00A521B9" w:rsidRPr="002836ED" w:rsidRDefault="00A521B9" w:rsidP="00C83C0F">
      <w:pPr>
        <w:ind w:left="720" w:hanging="720"/>
      </w:pPr>
      <w:r w:rsidRPr="002836ED">
        <w:t xml:space="preserve">World Health Organization (2025) </w:t>
      </w:r>
      <w:r w:rsidRPr="002836ED">
        <w:rPr>
          <w:i/>
          <w:iCs/>
        </w:rPr>
        <w:t>World Health Statistics 2025: Monitoring Health for the SDGs</w:t>
      </w:r>
      <w:r w:rsidRPr="002836ED">
        <w:t xml:space="preserve">. Geneva: WHO. </w:t>
      </w:r>
      <w:hyperlink r:id="rId30" w:history="1">
        <w:r w:rsidRPr="00E32B70">
          <w:rPr>
            <w:rStyle w:val="Hyperlink"/>
          </w:rPr>
          <w:t>https://www.who.int/publications/i/item/9789240110496</w:t>
        </w:r>
      </w:hyperlink>
      <w:r>
        <w:t xml:space="preserve"> </w:t>
      </w:r>
    </w:p>
    <w:p w14:paraId="6D4984B5" w14:textId="1E17BFC8" w:rsidR="00274751" w:rsidRPr="002836ED" w:rsidRDefault="00274751" w:rsidP="00274751"/>
    <w:sectPr w:rsidR="00274751" w:rsidRPr="002836E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4EA6F51"/>
    <w:multiLevelType w:val="hybridMultilevel"/>
    <w:tmpl w:val="7F486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8374D0"/>
    <w:multiLevelType w:val="hybridMultilevel"/>
    <w:tmpl w:val="9CB8E630"/>
    <w:lvl w:ilvl="0" w:tplc="8F22974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31776888">
    <w:abstractNumId w:val="0"/>
  </w:num>
  <w:num w:numId="2" w16cid:durableId="841090953">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6ED"/>
    <w:rsid w:val="00274751"/>
    <w:rsid w:val="002836ED"/>
    <w:rsid w:val="00285AAB"/>
    <w:rsid w:val="00401A6D"/>
    <w:rsid w:val="0040744C"/>
    <w:rsid w:val="004E3F63"/>
    <w:rsid w:val="00542FF8"/>
    <w:rsid w:val="005E1FF2"/>
    <w:rsid w:val="005F3AC2"/>
    <w:rsid w:val="00634F26"/>
    <w:rsid w:val="008E2F7B"/>
    <w:rsid w:val="009E73B4"/>
    <w:rsid w:val="00A521B9"/>
    <w:rsid w:val="00B27D83"/>
    <w:rsid w:val="00C83C0F"/>
    <w:rsid w:val="00CB0125"/>
    <w:rsid w:val="00EC4C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62A66"/>
  <w15:chartTrackingRefBased/>
  <w15:docId w15:val="{99DF39CE-D0A4-460E-81D5-3D1CE6C89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A6D"/>
    <w:pPr>
      <w:spacing w:line="360" w:lineRule="auto"/>
      <w:jc w:val="both"/>
    </w:pPr>
    <w:rPr>
      <w:rFonts w:ascii="Arial" w:hAnsi="Arial" w:cs="Arial"/>
      <w:szCs w:val="20"/>
    </w:rPr>
  </w:style>
  <w:style w:type="paragraph" w:styleId="Heading1">
    <w:name w:val="heading 1"/>
    <w:basedOn w:val="Normal"/>
    <w:next w:val="Normal"/>
    <w:link w:val="Heading1Char"/>
    <w:uiPriority w:val="9"/>
    <w:qFormat/>
    <w:rsid w:val="002836ED"/>
    <w:pPr>
      <w:jc w:val="center"/>
      <w:outlineLvl w:val="0"/>
    </w:pPr>
    <w:rPr>
      <w:b/>
      <w:bCs/>
      <w:sz w:val="32"/>
      <w:szCs w:val="28"/>
    </w:rPr>
  </w:style>
  <w:style w:type="paragraph" w:styleId="Heading2">
    <w:name w:val="heading 2"/>
    <w:basedOn w:val="Normal"/>
    <w:next w:val="Normal"/>
    <w:link w:val="Heading2Char"/>
    <w:uiPriority w:val="9"/>
    <w:unhideWhenUsed/>
    <w:qFormat/>
    <w:rsid w:val="00A521B9"/>
    <w:pPr>
      <w:outlineLvl w:val="1"/>
    </w:pPr>
    <w:rPr>
      <w:b/>
      <w:bCs/>
      <w:sz w:val="28"/>
      <w:szCs w:val="24"/>
    </w:rPr>
  </w:style>
  <w:style w:type="paragraph" w:styleId="Heading3">
    <w:name w:val="heading 3"/>
    <w:basedOn w:val="Normal"/>
    <w:next w:val="Normal"/>
    <w:link w:val="Heading3Char"/>
    <w:uiPriority w:val="9"/>
    <w:semiHidden/>
    <w:unhideWhenUsed/>
    <w:qFormat/>
    <w:rsid w:val="002836ED"/>
    <w:pPr>
      <w:keepNext/>
      <w:keepLines/>
      <w:spacing w:before="160" w:after="80"/>
      <w:outlineLvl w:val="2"/>
    </w:pPr>
    <w:rPr>
      <w:rFonts w:asciiTheme="minorHAnsi" w:eastAsiaTheme="majorEastAsia" w:hAnsiTheme="min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836ED"/>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836ED"/>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2836E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836E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836E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836E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6ED"/>
    <w:rPr>
      <w:rFonts w:ascii="Times New Roman" w:hAnsi="Times New Roman"/>
      <w:b/>
      <w:bCs/>
      <w:sz w:val="32"/>
      <w:szCs w:val="28"/>
    </w:rPr>
  </w:style>
  <w:style w:type="character" w:customStyle="1" w:styleId="Heading2Char">
    <w:name w:val="Heading 2 Char"/>
    <w:basedOn w:val="DefaultParagraphFont"/>
    <w:link w:val="Heading2"/>
    <w:uiPriority w:val="9"/>
    <w:rsid w:val="00A521B9"/>
    <w:rPr>
      <w:rFonts w:ascii="Times New Roman" w:hAnsi="Times New Roman"/>
      <w:b/>
      <w:bCs/>
      <w:sz w:val="28"/>
      <w:szCs w:val="24"/>
    </w:rPr>
  </w:style>
  <w:style w:type="paragraph" w:styleId="Title">
    <w:name w:val="Title"/>
    <w:basedOn w:val="Normal"/>
    <w:next w:val="Normal"/>
    <w:link w:val="TitleChar"/>
    <w:uiPriority w:val="10"/>
    <w:qFormat/>
    <w:rsid w:val="00B27D83"/>
    <w:pPr>
      <w:spacing w:after="0" w:line="240" w:lineRule="auto"/>
      <w:contextualSpacing/>
    </w:pPr>
    <w:rPr>
      <w:rFonts w:eastAsiaTheme="majorEastAsia" w:cstheme="majorBidi"/>
      <w:spacing w:val="-10"/>
      <w:kern w:val="28"/>
      <w:sz w:val="72"/>
      <w:szCs w:val="56"/>
    </w:rPr>
  </w:style>
  <w:style w:type="character" w:customStyle="1" w:styleId="TitleChar">
    <w:name w:val="Title Char"/>
    <w:basedOn w:val="DefaultParagraphFont"/>
    <w:link w:val="Title"/>
    <w:uiPriority w:val="10"/>
    <w:rsid w:val="00B27D83"/>
    <w:rPr>
      <w:rFonts w:ascii="Times New Roman" w:eastAsiaTheme="majorEastAsia" w:hAnsi="Times New Roman" w:cstheme="majorBidi"/>
      <w:spacing w:val="-10"/>
      <w:kern w:val="28"/>
      <w:sz w:val="72"/>
      <w:szCs w:val="56"/>
    </w:rPr>
  </w:style>
  <w:style w:type="character" w:customStyle="1" w:styleId="Heading3Char">
    <w:name w:val="Heading 3 Char"/>
    <w:basedOn w:val="DefaultParagraphFont"/>
    <w:link w:val="Heading3"/>
    <w:uiPriority w:val="9"/>
    <w:semiHidden/>
    <w:rsid w:val="002836ED"/>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836ED"/>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2836ED"/>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2836ED"/>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2836ED"/>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2836ED"/>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2836ED"/>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2836E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36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36ED"/>
    <w:pPr>
      <w:spacing w:before="160"/>
      <w:jc w:val="center"/>
    </w:pPr>
    <w:rPr>
      <w:i/>
      <w:iCs/>
      <w:color w:val="404040" w:themeColor="text1" w:themeTint="BF"/>
    </w:rPr>
  </w:style>
  <w:style w:type="character" w:customStyle="1" w:styleId="QuoteChar">
    <w:name w:val="Quote Char"/>
    <w:basedOn w:val="DefaultParagraphFont"/>
    <w:link w:val="Quote"/>
    <w:uiPriority w:val="29"/>
    <w:rsid w:val="002836ED"/>
    <w:rPr>
      <w:rFonts w:ascii="Times New Roman" w:hAnsi="Times New Roman"/>
      <w:i/>
      <w:iCs/>
      <w:color w:val="404040" w:themeColor="text1" w:themeTint="BF"/>
      <w:sz w:val="24"/>
    </w:rPr>
  </w:style>
  <w:style w:type="paragraph" w:styleId="ListParagraph">
    <w:name w:val="List Paragraph"/>
    <w:basedOn w:val="Normal"/>
    <w:uiPriority w:val="34"/>
    <w:qFormat/>
    <w:rsid w:val="002836ED"/>
    <w:pPr>
      <w:ind w:left="720"/>
      <w:contextualSpacing/>
    </w:pPr>
  </w:style>
  <w:style w:type="character" w:styleId="IntenseEmphasis">
    <w:name w:val="Intense Emphasis"/>
    <w:basedOn w:val="DefaultParagraphFont"/>
    <w:uiPriority w:val="21"/>
    <w:qFormat/>
    <w:rsid w:val="002836ED"/>
    <w:rPr>
      <w:i/>
      <w:iCs/>
      <w:color w:val="2E74B5" w:themeColor="accent1" w:themeShade="BF"/>
    </w:rPr>
  </w:style>
  <w:style w:type="paragraph" w:styleId="IntenseQuote">
    <w:name w:val="Intense Quote"/>
    <w:basedOn w:val="Normal"/>
    <w:next w:val="Normal"/>
    <w:link w:val="IntenseQuoteChar"/>
    <w:uiPriority w:val="30"/>
    <w:qFormat/>
    <w:rsid w:val="002836E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2836ED"/>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2836ED"/>
    <w:rPr>
      <w:b/>
      <w:bCs/>
      <w:smallCaps/>
      <w:color w:val="2E74B5" w:themeColor="accent1" w:themeShade="BF"/>
      <w:spacing w:val="5"/>
    </w:rPr>
  </w:style>
  <w:style w:type="character" w:styleId="Hyperlink">
    <w:name w:val="Hyperlink"/>
    <w:basedOn w:val="DefaultParagraphFont"/>
    <w:uiPriority w:val="99"/>
    <w:unhideWhenUsed/>
    <w:rsid w:val="002836ED"/>
    <w:rPr>
      <w:color w:val="0563C1" w:themeColor="hyperlink"/>
      <w:u w:val="single"/>
    </w:rPr>
  </w:style>
  <w:style w:type="character" w:styleId="UnresolvedMention">
    <w:name w:val="Unresolved Mention"/>
    <w:basedOn w:val="DefaultParagraphFont"/>
    <w:uiPriority w:val="99"/>
    <w:semiHidden/>
    <w:unhideWhenUsed/>
    <w:rsid w:val="002836ED"/>
    <w:rPr>
      <w:color w:val="605E5C"/>
      <w:shd w:val="clear" w:color="auto" w:fill="E1DFDD"/>
    </w:rPr>
  </w:style>
  <w:style w:type="paragraph" w:styleId="TOCHeading">
    <w:name w:val="TOC Heading"/>
    <w:basedOn w:val="Heading1"/>
    <w:next w:val="Normal"/>
    <w:uiPriority w:val="39"/>
    <w:unhideWhenUsed/>
    <w:qFormat/>
    <w:rsid w:val="00401A6D"/>
    <w:pPr>
      <w:keepNext/>
      <w:keepLines/>
      <w:spacing w:before="240" w:after="0" w:line="259" w:lineRule="auto"/>
      <w:jc w:val="left"/>
      <w:outlineLvl w:val="9"/>
    </w:pPr>
    <w:rPr>
      <w:rFonts w:asciiTheme="majorHAnsi" w:eastAsiaTheme="majorEastAsia" w:hAnsiTheme="majorHAnsi" w:cstheme="majorBidi"/>
      <w:b w:val="0"/>
      <w:bCs w:val="0"/>
      <w:color w:val="2E74B5" w:themeColor="accent1" w:themeShade="BF"/>
      <w:kern w:val="0"/>
      <w:szCs w:val="32"/>
      <w14:ligatures w14:val="none"/>
    </w:rPr>
  </w:style>
  <w:style w:type="paragraph" w:styleId="TOC1">
    <w:name w:val="toc 1"/>
    <w:basedOn w:val="Normal"/>
    <w:next w:val="Normal"/>
    <w:autoRedefine/>
    <w:uiPriority w:val="39"/>
    <w:unhideWhenUsed/>
    <w:rsid w:val="00401A6D"/>
    <w:pPr>
      <w:spacing w:after="100"/>
    </w:pPr>
  </w:style>
  <w:style w:type="paragraph" w:styleId="TOC2">
    <w:name w:val="toc 2"/>
    <w:basedOn w:val="Normal"/>
    <w:next w:val="Normal"/>
    <w:autoRedefine/>
    <w:uiPriority w:val="39"/>
    <w:unhideWhenUsed/>
    <w:rsid w:val="00401A6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jech-2020-214401" TargetMode="External"/><Relationship Id="rId13" Type="http://schemas.openxmlformats.org/officeDocument/2006/relationships/hyperlink" Target="https://doi.org/10.1371/journal.pmed.1004371" TargetMode="External"/><Relationship Id="rId18" Type="http://schemas.openxmlformats.org/officeDocument/2006/relationships/hyperlink" Target="https://doi.org/10.1136/jech-2020-214720" TargetMode="External"/><Relationship Id="rId26" Type="http://schemas.openxmlformats.org/officeDocument/2006/relationships/hyperlink" Target="https://doi.org/10.1136/bmjopen-2020-042963" TargetMode="External"/><Relationship Id="rId3" Type="http://schemas.openxmlformats.org/officeDocument/2006/relationships/styles" Target="styles.xml"/><Relationship Id="rId21" Type="http://schemas.openxmlformats.org/officeDocument/2006/relationships/hyperlink" Target="https://www.england.nhs.uk/about/equality/equality-hub/national-healthcare-inequalities-improvement-programme/core20plus5/core20plus5-cyp/" TargetMode="External"/><Relationship Id="rId7" Type="http://schemas.openxmlformats.org/officeDocument/2006/relationships/hyperlink" Target="https://doi.org/10.1186/s12889-024-20089-5" TargetMode="External"/><Relationship Id="rId12" Type="http://schemas.openxmlformats.org/officeDocument/2006/relationships/hyperlink" Target="https://doi.org/10.1186/s12913-023-10002-y" TargetMode="External"/><Relationship Id="rId17" Type="http://schemas.openxmlformats.org/officeDocument/2006/relationships/hyperlink" Target="https://doi.org/10.2147/JMDH.S252300" TargetMode="External"/><Relationship Id="rId25" Type="http://schemas.openxmlformats.org/officeDocument/2006/relationships/hyperlink" Target="https://doi.org/10.1136/bmj.n129" TargetMode="External"/><Relationship Id="rId2" Type="http://schemas.openxmlformats.org/officeDocument/2006/relationships/numbering" Target="numbering.xml"/><Relationship Id="rId16" Type="http://schemas.openxmlformats.org/officeDocument/2006/relationships/hyperlink" Target="https://doi.org/10.1186/s12982-026-01931-0" TargetMode="External"/><Relationship Id="rId20" Type="http://schemas.openxmlformats.org/officeDocument/2006/relationships/hyperlink" Target="https://doi.org/10.1057/s41285-022-00176-6" TargetMode="External"/><Relationship Id="rId29" Type="http://schemas.openxmlformats.org/officeDocument/2006/relationships/hyperlink" Target="https://unstats.un.org/sdgs/report/2025/" TargetMode="External"/><Relationship Id="rId1" Type="http://schemas.openxmlformats.org/officeDocument/2006/relationships/customXml" Target="../customXml/item1.xml"/><Relationship Id="rId6" Type="http://schemas.openxmlformats.org/officeDocument/2006/relationships/hyperlink" Target="https://doi.org/10.7759/cureus.39549" TargetMode="External"/><Relationship Id="rId11" Type="http://schemas.openxmlformats.org/officeDocument/2006/relationships/hyperlink" Target="https://www.birmingham.gov.uk/downloads/file/23756/creating_a_bolder_healthier_city_2022_to_2030" TargetMode="External"/><Relationship Id="rId24" Type="http://schemas.openxmlformats.org/officeDocument/2006/relationships/hyperlink" Target="https://doi.org/10.1186/s12889-024-19531-5"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36/bmjopen-2025-102163" TargetMode="External"/><Relationship Id="rId23" Type="http://schemas.openxmlformats.org/officeDocument/2006/relationships/hyperlink" Target="https://doi.org/10.11604/pamj.2024.47.82.41089" TargetMode="External"/><Relationship Id="rId28" Type="http://schemas.openxmlformats.org/officeDocument/2006/relationships/hyperlink" Target="https://doi.org/10.1371/journal.pmed.1004160" TargetMode="External"/><Relationship Id="rId10" Type="http://schemas.openxmlformats.org/officeDocument/2006/relationships/hyperlink" Target="https://doi.org/10.1038/s41591-025-03922-1" TargetMode="External"/><Relationship Id="rId19" Type="http://schemas.openxmlformats.org/officeDocument/2006/relationships/hyperlink" Target="https://doi.org/10.1186/s12916-023-03187-w"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371/journal.pmed.1004139" TargetMode="External"/><Relationship Id="rId14" Type="http://schemas.openxmlformats.org/officeDocument/2006/relationships/hyperlink" Target="https://doi.org/10.1136/bmj.m1557" TargetMode="External"/><Relationship Id="rId22" Type="http://schemas.openxmlformats.org/officeDocument/2006/relationships/hyperlink" Target="https://www.gov.uk/government/statistics/health-inequalities-dashboard-may-2025-data-update/health-inequalities-dashboard-statistical-commentary-may-2025" TargetMode="External"/><Relationship Id="rId27" Type="http://schemas.openxmlformats.org/officeDocument/2006/relationships/hyperlink" Target="https://doi.org/10.1371/journal.pmed.1004177" TargetMode="External"/><Relationship Id="rId30" Type="http://schemas.openxmlformats.org/officeDocument/2006/relationships/hyperlink" Target="https://www.who.int/publications/i/item/97892401104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366E68-9D76-4698-89E5-A5CBBDF06F0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3415</Words>
  <Characters>19468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Nazir Ali Khan</dc:creator>
  <cp:keywords/>
  <dc:description/>
  <cp:lastModifiedBy>Nabila Haider</cp:lastModifiedBy>
  <cp:revision>2</cp:revision>
  <dcterms:created xsi:type="dcterms:W3CDTF">2026-07-13T14:43:00Z</dcterms:created>
  <dcterms:modified xsi:type="dcterms:W3CDTF">2026-07-13T14:43:00Z</dcterms:modified>
</cp:coreProperties>
</file>