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CAED9A" w14:textId="77777777" w:rsidR="00BE38E0" w:rsidRPr="008644CE" w:rsidRDefault="00BE38E0" w:rsidP="00BE38E0">
      <w:pPr>
        <w:jc w:val="center"/>
        <w:rPr>
          <w:rFonts w:ascii="Arial" w:hAnsi="Arial" w:cs="Arial"/>
          <w:b/>
          <w:sz w:val="24"/>
          <w:szCs w:val="24"/>
        </w:rPr>
      </w:pPr>
    </w:p>
    <w:p w14:paraId="38E0C5AE" w14:textId="77777777" w:rsidR="00BE38E0" w:rsidRPr="008644CE" w:rsidRDefault="00BE38E0" w:rsidP="00BE38E0">
      <w:pPr>
        <w:jc w:val="center"/>
        <w:rPr>
          <w:rFonts w:ascii="Arial" w:hAnsi="Arial" w:cs="Arial"/>
          <w:b/>
          <w:sz w:val="24"/>
          <w:szCs w:val="24"/>
        </w:rPr>
      </w:pPr>
    </w:p>
    <w:p w14:paraId="507296C1" w14:textId="77777777" w:rsidR="00BE38E0" w:rsidRPr="008644CE" w:rsidRDefault="00BE38E0" w:rsidP="00BE38E0">
      <w:pPr>
        <w:jc w:val="center"/>
        <w:rPr>
          <w:rFonts w:ascii="Arial" w:hAnsi="Arial" w:cs="Arial"/>
          <w:b/>
          <w:sz w:val="24"/>
          <w:szCs w:val="24"/>
        </w:rPr>
      </w:pPr>
    </w:p>
    <w:p w14:paraId="1A010B1D" w14:textId="220C645A" w:rsidR="00E74FEE" w:rsidRPr="008644CE" w:rsidRDefault="00BE38E0" w:rsidP="00BE38E0">
      <w:pPr>
        <w:jc w:val="center"/>
        <w:rPr>
          <w:rFonts w:ascii="Arial" w:hAnsi="Arial" w:cs="Arial"/>
          <w:b/>
          <w:sz w:val="32"/>
          <w:szCs w:val="32"/>
        </w:rPr>
      </w:pPr>
      <w:r w:rsidRPr="008644CE">
        <w:rPr>
          <w:rFonts w:ascii="Arial" w:hAnsi="Arial" w:cs="Arial"/>
          <w:b/>
          <w:sz w:val="32"/>
          <w:szCs w:val="32"/>
        </w:rPr>
        <w:t>BMPL4009_CARD</w:t>
      </w:r>
    </w:p>
    <w:p w14:paraId="46F6A951" w14:textId="00FFD7A5" w:rsidR="00BE38E0" w:rsidRPr="008644CE" w:rsidRDefault="00BE38E0" w:rsidP="00BE38E0">
      <w:pPr>
        <w:jc w:val="center"/>
        <w:rPr>
          <w:rFonts w:ascii="Arial" w:hAnsi="Arial" w:cs="Arial"/>
          <w:b/>
          <w:sz w:val="32"/>
          <w:szCs w:val="32"/>
        </w:rPr>
      </w:pPr>
      <w:r w:rsidRPr="008644CE">
        <w:rPr>
          <w:rFonts w:ascii="Arial" w:hAnsi="Arial" w:cs="Arial"/>
          <w:b/>
          <w:sz w:val="32"/>
          <w:szCs w:val="32"/>
        </w:rPr>
        <w:t>Criminal Law</w:t>
      </w:r>
    </w:p>
    <w:p w14:paraId="16ACC302" w14:textId="77777777" w:rsidR="00BE38E0" w:rsidRPr="008644CE" w:rsidRDefault="00BE38E0" w:rsidP="00BE38E0">
      <w:pPr>
        <w:jc w:val="center"/>
        <w:rPr>
          <w:rFonts w:ascii="Arial" w:hAnsi="Arial" w:cs="Arial"/>
          <w:b/>
          <w:sz w:val="32"/>
          <w:szCs w:val="32"/>
        </w:rPr>
      </w:pPr>
    </w:p>
    <w:p w14:paraId="34DF66C0" w14:textId="48F24478" w:rsidR="00BE38E0" w:rsidRPr="008644CE" w:rsidRDefault="00BE38E0" w:rsidP="00BE38E0">
      <w:pPr>
        <w:jc w:val="center"/>
        <w:rPr>
          <w:rFonts w:ascii="Arial" w:hAnsi="Arial" w:cs="Arial"/>
          <w:b/>
          <w:sz w:val="32"/>
          <w:szCs w:val="32"/>
        </w:rPr>
      </w:pPr>
      <w:r w:rsidRPr="008644CE">
        <w:rPr>
          <w:rFonts w:ascii="Arial" w:hAnsi="Arial" w:cs="Arial"/>
          <w:b/>
          <w:sz w:val="32"/>
          <w:szCs w:val="32"/>
        </w:rPr>
        <w:t>Assignment Title: Scenario question</w:t>
      </w:r>
    </w:p>
    <w:p w14:paraId="67FE119F" w14:textId="77777777" w:rsidR="00BE38E0" w:rsidRPr="008644CE" w:rsidRDefault="00BE38E0" w:rsidP="00BE38E0">
      <w:pPr>
        <w:jc w:val="center"/>
        <w:rPr>
          <w:rFonts w:ascii="Arial" w:hAnsi="Arial" w:cs="Arial"/>
          <w:b/>
          <w:sz w:val="24"/>
          <w:szCs w:val="24"/>
        </w:rPr>
      </w:pPr>
    </w:p>
    <w:p w14:paraId="56267E53" w14:textId="77777777" w:rsidR="00BE38E0" w:rsidRPr="008644CE" w:rsidRDefault="00BE38E0" w:rsidP="00BE38E0">
      <w:pPr>
        <w:jc w:val="center"/>
        <w:rPr>
          <w:rFonts w:ascii="Arial" w:hAnsi="Arial" w:cs="Arial"/>
          <w:b/>
          <w:sz w:val="24"/>
          <w:szCs w:val="24"/>
        </w:rPr>
      </w:pPr>
    </w:p>
    <w:p w14:paraId="47C49A6F" w14:textId="0349A070" w:rsidR="00BE38E0" w:rsidRPr="008644CE" w:rsidRDefault="00BE38E0" w:rsidP="00BE38E0">
      <w:pPr>
        <w:jc w:val="center"/>
        <w:rPr>
          <w:rFonts w:ascii="Arial" w:hAnsi="Arial" w:cs="Arial"/>
          <w:b/>
          <w:sz w:val="24"/>
          <w:szCs w:val="24"/>
        </w:rPr>
      </w:pPr>
      <w:r w:rsidRPr="008644CE">
        <w:rPr>
          <w:rFonts w:ascii="Arial" w:hAnsi="Arial" w:cs="Arial"/>
          <w:b/>
          <w:sz w:val="24"/>
          <w:szCs w:val="24"/>
        </w:rPr>
        <w:t xml:space="preserve">Student </w:t>
      </w:r>
      <w:proofErr w:type="spellStart"/>
      <w:proofErr w:type="gramStart"/>
      <w:r w:rsidRPr="008644CE">
        <w:rPr>
          <w:rFonts w:ascii="Arial" w:hAnsi="Arial" w:cs="Arial"/>
          <w:b/>
          <w:sz w:val="24"/>
          <w:szCs w:val="24"/>
        </w:rPr>
        <w:t>Name:</w:t>
      </w:r>
      <w:r w:rsidR="00153219">
        <w:rPr>
          <w:rFonts w:ascii="Arial" w:hAnsi="Arial" w:cs="Arial"/>
          <w:b/>
          <w:sz w:val="24"/>
          <w:szCs w:val="24"/>
        </w:rPr>
        <w:t>Maria</w:t>
      </w:r>
      <w:proofErr w:type="spellEnd"/>
      <w:proofErr w:type="gramEnd"/>
      <w:r w:rsidR="00153219">
        <w:rPr>
          <w:rFonts w:ascii="Arial" w:hAnsi="Arial" w:cs="Arial"/>
          <w:b/>
          <w:sz w:val="24"/>
          <w:szCs w:val="24"/>
        </w:rPr>
        <w:t xml:space="preserve"> Daniela Dan</w:t>
      </w:r>
    </w:p>
    <w:p w14:paraId="42B243B0" w14:textId="00294846" w:rsidR="00BE38E0" w:rsidRPr="008644CE" w:rsidRDefault="00BE38E0" w:rsidP="00BE38E0">
      <w:pPr>
        <w:jc w:val="center"/>
        <w:rPr>
          <w:rFonts w:ascii="Arial" w:hAnsi="Arial" w:cs="Arial"/>
          <w:b/>
          <w:sz w:val="24"/>
          <w:szCs w:val="24"/>
        </w:rPr>
      </w:pPr>
      <w:r w:rsidRPr="008644CE">
        <w:rPr>
          <w:rFonts w:ascii="Arial" w:hAnsi="Arial" w:cs="Arial"/>
          <w:b/>
          <w:sz w:val="24"/>
          <w:szCs w:val="24"/>
        </w:rPr>
        <w:t>Student ID:</w:t>
      </w:r>
      <w:r w:rsidR="00153219">
        <w:rPr>
          <w:rFonts w:ascii="Arial" w:hAnsi="Arial" w:cs="Arial"/>
          <w:b/>
          <w:sz w:val="24"/>
          <w:szCs w:val="24"/>
        </w:rPr>
        <w:t>2323942</w:t>
      </w:r>
    </w:p>
    <w:p w14:paraId="1890562E" w14:textId="77777777" w:rsidR="00BE38E0" w:rsidRPr="008644CE" w:rsidRDefault="00BE38E0" w:rsidP="00BE38E0">
      <w:pPr>
        <w:jc w:val="center"/>
        <w:rPr>
          <w:rFonts w:ascii="Arial" w:hAnsi="Arial" w:cs="Arial"/>
          <w:b/>
          <w:sz w:val="24"/>
          <w:szCs w:val="24"/>
        </w:rPr>
      </w:pPr>
    </w:p>
    <w:p w14:paraId="61118D61" w14:textId="7AAE6822" w:rsidR="00BE38E0" w:rsidRPr="008644CE" w:rsidRDefault="00BE38E0" w:rsidP="00BE38E0">
      <w:pPr>
        <w:jc w:val="center"/>
        <w:rPr>
          <w:rFonts w:ascii="Arial" w:hAnsi="Arial" w:cs="Arial"/>
          <w:b/>
          <w:sz w:val="24"/>
          <w:szCs w:val="24"/>
        </w:rPr>
      </w:pPr>
    </w:p>
    <w:p w14:paraId="7F35A7C8" w14:textId="77777777" w:rsidR="00E750C4" w:rsidRDefault="00E750C4">
      <w:pPr>
        <w:rPr>
          <w:rFonts w:ascii="Arial" w:hAnsi="Arial" w:cs="Arial"/>
          <w:b/>
          <w:sz w:val="24"/>
          <w:szCs w:val="24"/>
        </w:rPr>
      </w:pPr>
      <w:r>
        <w:rPr>
          <w:b/>
        </w:rPr>
        <w:br w:type="page"/>
      </w:r>
    </w:p>
    <w:p w14:paraId="25D75F19" w14:textId="351EF1F9" w:rsidR="00A11E74" w:rsidRPr="008B2DD7" w:rsidRDefault="00A11E74" w:rsidP="008B2DD7">
      <w:pPr>
        <w:pStyle w:val="Heading1"/>
      </w:pPr>
      <w:r w:rsidRPr="008B2DD7">
        <w:lastRenderedPageBreak/>
        <w:t>Introduction</w:t>
      </w:r>
    </w:p>
    <w:p w14:paraId="5EC81ABC" w14:textId="4BFFDA73" w:rsidR="00A11E74" w:rsidRPr="00A11E74" w:rsidRDefault="00E11BE0" w:rsidP="00A11E74">
      <w:pPr>
        <w:spacing w:line="360" w:lineRule="auto"/>
        <w:jc w:val="both"/>
        <w:rPr>
          <w:rFonts w:ascii="Arial" w:hAnsi="Arial" w:cs="Arial"/>
          <w:bCs/>
          <w:sz w:val="24"/>
          <w:szCs w:val="24"/>
        </w:rPr>
      </w:pPr>
      <w:r w:rsidRPr="00E11BE0">
        <w:rPr>
          <w:rFonts w:ascii="Arial" w:hAnsi="Arial" w:cs="Arial"/>
          <w:bCs/>
          <w:sz w:val="24"/>
          <w:szCs w:val="24"/>
        </w:rPr>
        <w:t xml:space="preserve">This legal analysis explores potential charges against Linda and Michael, focusing on the principles of theft, criminal damage, and involuntary manslaughter under UK law, </w:t>
      </w:r>
      <w:r w:rsidR="00F70D2F">
        <w:rPr>
          <w:rFonts w:ascii="Arial" w:hAnsi="Arial" w:cs="Arial"/>
          <w:bCs/>
          <w:sz w:val="24"/>
          <w:szCs w:val="24"/>
        </w:rPr>
        <w:t>utilising</w:t>
      </w:r>
      <w:r w:rsidRPr="00E11BE0">
        <w:rPr>
          <w:rFonts w:ascii="Arial" w:hAnsi="Arial" w:cs="Arial"/>
          <w:bCs/>
          <w:sz w:val="24"/>
          <w:szCs w:val="24"/>
        </w:rPr>
        <w:t xml:space="preserve"> relevant statutes and case law to examine the actus reus and </w:t>
      </w:r>
      <w:proofErr w:type="spellStart"/>
      <w:r w:rsidRPr="00E11BE0">
        <w:rPr>
          <w:rFonts w:ascii="Arial" w:hAnsi="Arial" w:cs="Arial"/>
          <w:bCs/>
          <w:sz w:val="24"/>
          <w:szCs w:val="24"/>
        </w:rPr>
        <w:t>mens</w:t>
      </w:r>
      <w:proofErr w:type="spellEnd"/>
      <w:r w:rsidRPr="00E11BE0">
        <w:rPr>
          <w:rFonts w:ascii="Arial" w:hAnsi="Arial" w:cs="Arial"/>
          <w:bCs/>
          <w:sz w:val="24"/>
          <w:szCs w:val="24"/>
        </w:rPr>
        <w:t xml:space="preserve"> rea components.</w:t>
      </w:r>
    </w:p>
    <w:p w14:paraId="6007DC7B" w14:textId="63687E72" w:rsidR="008644CE" w:rsidRPr="008644CE" w:rsidRDefault="008644CE" w:rsidP="008B2DD7">
      <w:pPr>
        <w:pStyle w:val="Heading1"/>
      </w:pPr>
      <w:r w:rsidRPr="008644CE">
        <w:t xml:space="preserve">Legal Analysis </w:t>
      </w:r>
      <w:r w:rsidR="00900C57">
        <w:t xml:space="preserve">of Potential Charges </w:t>
      </w:r>
      <w:r w:rsidRPr="008644CE">
        <w:t>for Linda</w:t>
      </w:r>
    </w:p>
    <w:p w14:paraId="3DAFE625" w14:textId="77777777" w:rsidR="008644CE" w:rsidRPr="008B2DD7" w:rsidRDefault="008644CE" w:rsidP="008B2DD7">
      <w:pPr>
        <w:pStyle w:val="Heading2"/>
      </w:pPr>
      <w:r w:rsidRPr="008B2DD7">
        <w:t>Theft</w:t>
      </w:r>
    </w:p>
    <w:p w14:paraId="0DACA070" w14:textId="77777777" w:rsidR="00A11E74" w:rsidRPr="00A11E74" w:rsidRDefault="00A11E74" w:rsidP="00A11E74">
      <w:pPr>
        <w:spacing w:line="360" w:lineRule="auto"/>
        <w:jc w:val="both"/>
        <w:rPr>
          <w:rFonts w:ascii="Arial" w:hAnsi="Arial" w:cs="Arial"/>
          <w:bCs/>
          <w:sz w:val="24"/>
          <w:szCs w:val="24"/>
        </w:rPr>
      </w:pPr>
      <w:r w:rsidRPr="00A11E74">
        <w:rPr>
          <w:rFonts w:ascii="Arial" w:hAnsi="Arial" w:cs="Arial"/>
          <w:bCs/>
          <w:sz w:val="24"/>
          <w:szCs w:val="24"/>
        </w:rPr>
        <w:t>Under Section 1(1) of the Theft Act 1968, theft is defined as the dishonest appropriation of property belonging to another with the intention to permanently deprive the other of it. This definition can be applied to the scenario where Linda is accused of taking Aida's jewels.</w:t>
      </w:r>
    </w:p>
    <w:p w14:paraId="3293A9F4" w14:textId="77777777" w:rsidR="00A11E74" w:rsidRPr="00A11E74" w:rsidRDefault="00A11E74" w:rsidP="00A11E74">
      <w:pPr>
        <w:spacing w:line="360" w:lineRule="auto"/>
        <w:jc w:val="both"/>
        <w:rPr>
          <w:rFonts w:ascii="Arial" w:hAnsi="Arial" w:cs="Arial"/>
          <w:bCs/>
          <w:sz w:val="24"/>
          <w:szCs w:val="24"/>
        </w:rPr>
      </w:pPr>
      <w:r w:rsidRPr="00A11E74">
        <w:rPr>
          <w:rFonts w:ascii="Arial" w:hAnsi="Arial" w:cs="Arial"/>
          <w:bCs/>
          <w:sz w:val="24"/>
          <w:szCs w:val="24"/>
        </w:rPr>
        <w:t>The actus reus, or the physical element of theft, involves several components:</w:t>
      </w:r>
    </w:p>
    <w:p w14:paraId="65EBB122" w14:textId="192F2BF8" w:rsidR="00A11E74" w:rsidRPr="00A11E74" w:rsidRDefault="00A11E74" w:rsidP="00A11E74">
      <w:pPr>
        <w:numPr>
          <w:ilvl w:val="0"/>
          <w:numId w:val="4"/>
        </w:numPr>
        <w:spacing w:line="360" w:lineRule="auto"/>
        <w:jc w:val="both"/>
        <w:rPr>
          <w:rFonts w:ascii="Arial" w:hAnsi="Arial" w:cs="Arial"/>
          <w:bCs/>
          <w:sz w:val="24"/>
          <w:szCs w:val="24"/>
        </w:rPr>
      </w:pPr>
      <w:r w:rsidRPr="00A11E74">
        <w:rPr>
          <w:rFonts w:ascii="Arial" w:hAnsi="Arial" w:cs="Arial"/>
          <w:bCs/>
          <w:sz w:val="24"/>
          <w:szCs w:val="24"/>
        </w:rPr>
        <w:t xml:space="preserve">Appropriation: </w:t>
      </w:r>
      <w:r w:rsidR="00EC325B" w:rsidRPr="00EC325B">
        <w:rPr>
          <w:rFonts w:ascii="Arial" w:hAnsi="Arial" w:cs="Arial"/>
          <w:bCs/>
          <w:sz w:val="24"/>
          <w:szCs w:val="24"/>
        </w:rPr>
        <w:t>Defined under s3(1) of the Theft Act 1968, appropriation occurs when an individual assumes any of the rights of the owner. This can include acts such as taking, using, or keeping the property.</w:t>
      </w:r>
      <w:r w:rsidR="00EC325B">
        <w:rPr>
          <w:rFonts w:ascii="Arial" w:hAnsi="Arial" w:cs="Arial"/>
          <w:bCs/>
          <w:sz w:val="24"/>
          <w:szCs w:val="24"/>
        </w:rPr>
        <w:t xml:space="preserve"> </w:t>
      </w:r>
      <w:r w:rsidRPr="00A11E74">
        <w:rPr>
          <w:rFonts w:ascii="Arial" w:hAnsi="Arial" w:cs="Arial"/>
          <w:bCs/>
          <w:sz w:val="24"/>
          <w:szCs w:val="24"/>
        </w:rPr>
        <w:t xml:space="preserve">According to R v Morris [1983], appropriation occurs when someone assumes the rights of an owner. This can include acts such as taking, using, or keeping property. In Linda's case, the act of </w:t>
      </w:r>
      <w:r w:rsidR="00EC325B">
        <w:rPr>
          <w:rFonts w:ascii="Arial" w:hAnsi="Arial" w:cs="Arial"/>
          <w:bCs/>
          <w:sz w:val="24"/>
          <w:szCs w:val="24"/>
        </w:rPr>
        <w:t xml:space="preserve">taking </w:t>
      </w:r>
      <w:r w:rsidRPr="00A11E74">
        <w:rPr>
          <w:rFonts w:ascii="Arial" w:hAnsi="Arial" w:cs="Arial"/>
          <w:bCs/>
          <w:sz w:val="24"/>
          <w:szCs w:val="24"/>
        </w:rPr>
        <w:t xml:space="preserve">and retaining the </w:t>
      </w:r>
      <w:r w:rsidR="00F70D2F">
        <w:rPr>
          <w:rFonts w:ascii="Arial" w:hAnsi="Arial" w:cs="Arial"/>
          <w:bCs/>
          <w:sz w:val="24"/>
          <w:szCs w:val="24"/>
        </w:rPr>
        <w:t>jewellery</w:t>
      </w:r>
      <w:r w:rsidRPr="00A11E74">
        <w:rPr>
          <w:rFonts w:ascii="Arial" w:hAnsi="Arial" w:cs="Arial"/>
          <w:bCs/>
          <w:sz w:val="24"/>
          <w:szCs w:val="24"/>
        </w:rPr>
        <w:t xml:space="preserve"> satisfies this requirement.</w:t>
      </w:r>
    </w:p>
    <w:p w14:paraId="1DF747BC" w14:textId="514A8D47" w:rsidR="00A11E74" w:rsidRPr="00A11E74" w:rsidRDefault="00A11E74" w:rsidP="00A11E74">
      <w:pPr>
        <w:numPr>
          <w:ilvl w:val="0"/>
          <w:numId w:val="4"/>
        </w:numPr>
        <w:spacing w:line="360" w:lineRule="auto"/>
        <w:jc w:val="both"/>
        <w:rPr>
          <w:rFonts w:ascii="Arial" w:hAnsi="Arial" w:cs="Arial"/>
          <w:bCs/>
          <w:sz w:val="24"/>
          <w:szCs w:val="24"/>
        </w:rPr>
      </w:pPr>
      <w:r w:rsidRPr="00A11E74">
        <w:rPr>
          <w:rFonts w:ascii="Arial" w:hAnsi="Arial" w:cs="Arial"/>
          <w:bCs/>
          <w:sz w:val="24"/>
          <w:szCs w:val="24"/>
        </w:rPr>
        <w:t xml:space="preserve">Property: </w:t>
      </w:r>
      <w:r w:rsidR="00EC325B" w:rsidRPr="00EC325B">
        <w:rPr>
          <w:rFonts w:ascii="Arial" w:hAnsi="Arial" w:cs="Arial"/>
          <w:bCs/>
          <w:sz w:val="24"/>
          <w:szCs w:val="24"/>
        </w:rPr>
        <w:t xml:space="preserve">As specified in Section 4 of the Theft Act 1968, property encompasses personal possessions, including </w:t>
      </w:r>
      <w:proofErr w:type="spellStart"/>
      <w:r w:rsidR="00EC325B" w:rsidRPr="00EC325B">
        <w:rPr>
          <w:rFonts w:ascii="Arial" w:hAnsi="Arial" w:cs="Arial"/>
          <w:bCs/>
          <w:sz w:val="24"/>
          <w:szCs w:val="24"/>
        </w:rPr>
        <w:t>jewelry</w:t>
      </w:r>
      <w:proofErr w:type="spellEnd"/>
      <w:r w:rsidR="00EC325B" w:rsidRPr="00EC325B">
        <w:rPr>
          <w:rFonts w:ascii="Arial" w:hAnsi="Arial" w:cs="Arial"/>
          <w:bCs/>
          <w:sz w:val="24"/>
          <w:szCs w:val="24"/>
        </w:rPr>
        <w:t>. Thus, Aida's jewels are clearly considered property under this law.</w:t>
      </w:r>
    </w:p>
    <w:p w14:paraId="3287BDBB" w14:textId="38197EBD" w:rsidR="00A11E74" w:rsidRPr="00A11E74" w:rsidRDefault="00A11E74" w:rsidP="00A11E74">
      <w:pPr>
        <w:numPr>
          <w:ilvl w:val="0"/>
          <w:numId w:val="4"/>
        </w:numPr>
        <w:spacing w:line="360" w:lineRule="auto"/>
        <w:jc w:val="both"/>
        <w:rPr>
          <w:rFonts w:ascii="Arial" w:hAnsi="Arial" w:cs="Arial"/>
          <w:bCs/>
          <w:sz w:val="24"/>
          <w:szCs w:val="24"/>
        </w:rPr>
      </w:pPr>
      <w:r w:rsidRPr="00A11E74">
        <w:rPr>
          <w:rFonts w:ascii="Arial" w:hAnsi="Arial" w:cs="Arial"/>
          <w:bCs/>
          <w:sz w:val="24"/>
          <w:szCs w:val="24"/>
        </w:rPr>
        <w:t xml:space="preserve">Belonging to another: </w:t>
      </w:r>
      <w:r w:rsidR="00EC325B" w:rsidRPr="00EC325B">
        <w:rPr>
          <w:rFonts w:ascii="Arial" w:hAnsi="Arial" w:cs="Arial"/>
          <w:bCs/>
          <w:sz w:val="24"/>
          <w:szCs w:val="24"/>
        </w:rPr>
        <w:t>According to Section 5 of the Theft Act 1968, property is regarded as belonging to another if any person has possession or control over it or any proprietary right or interest. Since the jewels are in Aida's possession, they belong to her, satisfying this element of the actus reus.</w:t>
      </w:r>
    </w:p>
    <w:p w14:paraId="1C867EE2" w14:textId="77777777" w:rsidR="00A11E74" w:rsidRPr="00A11E74" w:rsidRDefault="00A11E74" w:rsidP="00A11E74">
      <w:pPr>
        <w:spacing w:line="360" w:lineRule="auto"/>
        <w:jc w:val="both"/>
        <w:rPr>
          <w:rFonts w:ascii="Arial" w:hAnsi="Arial" w:cs="Arial"/>
          <w:bCs/>
          <w:sz w:val="24"/>
          <w:szCs w:val="24"/>
        </w:rPr>
      </w:pPr>
      <w:r w:rsidRPr="00A11E74">
        <w:rPr>
          <w:rFonts w:ascii="Arial" w:hAnsi="Arial" w:cs="Arial"/>
          <w:bCs/>
          <w:sz w:val="24"/>
          <w:szCs w:val="24"/>
        </w:rPr>
        <w:t xml:space="preserve">The </w:t>
      </w:r>
      <w:proofErr w:type="spellStart"/>
      <w:r w:rsidRPr="00A11E74">
        <w:rPr>
          <w:rFonts w:ascii="Arial" w:hAnsi="Arial" w:cs="Arial"/>
          <w:bCs/>
          <w:sz w:val="24"/>
          <w:szCs w:val="24"/>
        </w:rPr>
        <w:t>mens</w:t>
      </w:r>
      <w:proofErr w:type="spellEnd"/>
      <w:r w:rsidRPr="00A11E74">
        <w:rPr>
          <w:rFonts w:ascii="Arial" w:hAnsi="Arial" w:cs="Arial"/>
          <w:bCs/>
          <w:sz w:val="24"/>
          <w:szCs w:val="24"/>
        </w:rPr>
        <w:t xml:space="preserve"> rea, or the mental element of theft, consists of two main aspects:</w:t>
      </w:r>
    </w:p>
    <w:p w14:paraId="6EBE76AC" w14:textId="77777777" w:rsidR="00A11E74" w:rsidRPr="00A11E74" w:rsidRDefault="00A11E74" w:rsidP="00A11E74">
      <w:pPr>
        <w:numPr>
          <w:ilvl w:val="0"/>
          <w:numId w:val="5"/>
        </w:numPr>
        <w:spacing w:line="360" w:lineRule="auto"/>
        <w:jc w:val="both"/>
        <w:rPr>
          <w:rFonts w:ascii="Arial" w:hAnsi="Arial" w:cs="Arial"/>
          <w:bCs/>
          <w:sz w:val="24"/>
          <w:szCs w:val="24"/>
        </w:rPr>
      </w:pPr>
      <w:r w:rsidRPr="00A11E74">
        <w:rPr>
          <w:rFonts w:ascii="Arial" w:hAnsi="Arial" w:cs="Arial"/>
          <w:bCs/>
          <w:sz w:val="24"/>
          <w:szCs w:val="24"/>
        </w:rPr>
        <w:t xml:space="preserve">Dishonesty: The standard for determining dishonesty was redefined in Ivey v Genting Casinos [2017]. Under the Ivey test, the focus is on whether the conduct would be considered dishonest by the standards of ordinary decent people. Additionally, it examines the individual’s actual knowledge or belief as </w:t>
      </w:r>
      <w:r w:rsidRPr="00A11E74">
        <w:rPr>
          <w:rFonts w:ascii="Arial" w:hAnsi="Arial" w:cs="Arial"/>
          <w:bCs/>
          <w:sz w:val="24"/>
          <w:szCs w:val="24"/>
        </w:rPr>
        <w:lastRenderedPageBreak/>
        <w:t>to the facts. In Linda's situation, if her actions are judged by these standards, and considering her awareness of not owning the jewels, it is likely that her actions would be deemed dishonest.</w:t>
      </w:r>
    </w:p>
    <w:p w14:paraId="1BDB84C5" w14:textId="2E98C753" w:rsidR="00A11E74" w:rsidRPr="00A11E74" w:rsidRDefault="00A11E74" w:rsidP="00A11E74">
      <w:pPr>
        <w:numPr>
          <w:ilvl w:val="0"/>
          <w:numId w:val="5"/>
        </w:numPr>
        <w:spacing w:line="360" w:lineRule="auto"/>
        <w:jc w:val="both"/>
        <w:rPr>
          <w:rFonts w:ascii="Arial" w:hAnsi="Arial" w:cs="Arial"/>
          <w:bCs/>
          <w:sz w:val="24"/>
          <w:szCs w:val="24"/>
        </w:rPr>
      </w:pPr>
      <w:r w:rsidRPr="00A11E74">
        <w:rPr>
          <w:rFonts w:ascii="Arial" w:hAnsi="Arial" w:cs="Arial"/>
          <w:bCs/>
          <w:sz w:val="24"/>
          <w:szCs w:val="24"/>
        </w:rPr>
        <w:t xml:space="preserve">Intention to permanently deprive: </w:t>
      </w:r>
      <w:r w:rsidR="00EC325B" w:rsidRPr="00EC325B">
        <w:rPr>
          <w:rFonts w:ascii="Arial" w:hAnsi="Arial" w:cs="Arial"/>
          <w:bCs/>
          <w:sz w:val="24"/>
          <w:szCs w:val="24"/>
        </w:rPr>
        <w:t xml:space="preserve">It involves Linda’s resolve to treat the property as her own to dispose of regardless of the original owner’s rights, as interpreted in R v </w:t>
      </w:r>
      <w:proofErr w:type="spellStart"/>
      <w:r w:rsidR="00EC325B" w:rsidRPr="00EC325B">
        <w:rPr>
          <w:rFonts w:ascii="Arial" w:hAnsi="Arial" w:cs="Arial"/>
          <w:bCs/>
          <w:sz w:val="24"/>
          <w:szCs w:val="24"/>
        </w:rPr>
        <w:t>Velumyl</w:t>
      </w:r>
      <w:proofErr w:type="spellEnd"/>
      <w:r w:rsidR="00EC325B" w:rsidRPr="00EC325B">
        <w:rPr>
          <w:rFonts w:ascii="Arial" w:hAnsi="Arial" w:cs="Arial"/>
          <w:bCs/>
          <w:sz w:val="24"/>
          <w:szCs w:val="24"/>
        </w:rPr>
        <w:t xml:space="preserve"> [1989] and further discussed in R v Lloyd [1985]. If Linda </w:t>
      </w:r>
      <w:r w:rsidR="00F70D2F">
        <w:rPr>
          <w:rFonts w:ascii="Arial" w:hAnsi="Arial" w:cs="Arial"/>
          <w:bCs/>
          <w:sz w:val="24"/>
          <w:szCs w:val="24"/>
        </w:rPr>
        <w:t>decides</w:t>
      </w:r>
      <w:r w:rsidR="00EC325B" w:rsidRPr="00EC325B">
        <w:rPr>
          <w:rFonts w:ascii="Arial" w:hAnsi="Arial" w:cs="Arial"/>
          <w:bCs/>
          <w:sz w:val="24"/>
          <w:szCs w:val="24"/>
        </w:rPr>
        <w:t xml:space="preserve"> to keep the jewels indefinitely, this intention is apparent.</w:t>
      </w:r>
    </w:p>
    <w:p w14:paraId="10FE8AB8" w14:textId="779C6F1E" w:rsidR="008644CE" w:rsidRPr="008644CE" w:rsidRDefault="00EC325B" w:rsidP="008644CE">
      <w:pPr>
        <w:spacing w:line="360" w:lineRule="auto"/>
        <w:jc w:val="both"/>
        <w:rPr>
          <w:rFonts w:ascii="Arial" w:hAnsi="Arial" w:cs="Arial"/>
          <w:bCs/>
          <w:sz w:val="24"/>
          <w:szCs w:val="24"/>
        </w:rPr>
      </w:pPr>
      <w:r>
        <w:rPr>
          <w:rFonts w:ascii="Arial" w:hAnsi="Arial" w:cs="Arial"/>
          <w:bCs/>
          <w:sz w:val="24"/>
          <w:szCs w:val="24"/>
        </w:rPr>
        <w:t>B</w:t>
      </w:r>
      <w:r w:rsidR="00A11E74" w:rsidRPr="00A11E74">
        <w:rPr>
          <w:rFonts w:ascii="Arial" w:hAnsi="Arial" w:cs="Arial"/>
          <w:bCs/>
          <w:sz w:val="24"/>
          <w:szCs w:val="24"/>
        </w:rPr>
        <w:t xml:space="preserve">oth the actus reus and </w:t>
      </w:r>
      <w:proofErr w:type="spellStart"/>
      <w:r w:rsidR="00A11E74" w:rsidRPr="00A11E74">
        <w:rPr>
          <w:rFonts w:ascii="Arial" w:hAnsi="Arial" w:cs="Arial"/>
          <w:bCs/>
          <w:sz w:val="24"/>
          <w:szCs w:val="24"/>
        </w:rPr>
        <w:t>mens</w:t>
      </w:r>
      <w:proofErr w:type="spellEnd"/>
      <w:r w:rsidR="00A11E74" w:rsidRPr="00A11E74">
        <w:rPr>
          <w:rFonts w:ascii="Arial" w:hAnsi="Arial" w:cs="Arial"/>
          <w:bCs/>
          <w:sz w:val="24"/>
          <w:szCs w:val="24"/>
        </w:rPr>
        <w:t xml:space="preserve"> rea components appear to be met in Linda's case concerning the alleged theft of Aida's jewels. The analysis of her actions under current legal standards suggests that she could potentially face charges of theft under the Theft Act 1968.</w:t>
      </w:r>
    </w:p>
    <w:p w14:paraId="101C7D14" w14:textId="77777777" w:rsidR="008644CE" w:rsidRPr="008644CE" w:rsidRDefault="008644CE" w:rsidP="008B2DD7">
      <w:pPr>
        <w:pStyle w:val="Heading2"/>
      </w:pPr>
      <w:r w:rsidRPr="008644CE">
        <w:t>Criminal Damage</w:t>
      </w:r>
    </w:p>
    <w:p w14:paraId="031D6EF5" w14:textId="261A9AB0" w:rsidR="00116617" w:rsidRPr="00116617" w:rsidRDefault="00116617" w:rsidP="00116617">
      <w:pPr>
        <w:spacing w:line="360" w:lineRule="auto"/>
        <w:jc w:val="both"/>
        <w:rPr>
          <w:rFonts w:ascii="Arial" w:hAnsi="Arial" w:cs="Arial"/>
          <w:bCs/>
          <w:sz w:val="24"/>
          <w:szCs w:val="24"/>
        </w:rPr>
      </w:pPr>
      <w:r w:rsidRPr="00116617">
        <w:rPr>
          <w:rFonts w:ascii="Arial" w:hAnsi="Arial" w:cs="Arial"/>
          <w:bCs/>
          <w:sz w:val="24"/>
          <w:szCs w:val="24"/>
        </w:rPr>
        <w:t xml:space="preserve">Under Section 1(1) of the Criminal Damage Act 1971, it is an </w:t>
      </w:r>
      <w:r w:rsidR="00F70D2F">
        <w:rPr>
          <w:rFonts w:ascii="Arial" w:hAnsi="Arial" w:cs="Arial"/>
          <w:bCs/>
          <w:sz w:val="24"/>
          <w:szCs w:val="24"/>
        </w:rPr>
        <w:t>offence</w:t>
      </w:r>
      <w:r w:rsidRPr="00116617">
        <w:rPr>
          <w:rFonts w:ascii="Arial" w:hAnsi="Arial" w:cs="Arial"/>
          <w:bCs/>
          <w:sz w:val="24"/>
          <w:szCs w:val="24"/>
        </w:rPr>
        <w:t xml:space="preserve"> to destroy or damage property belonging to another without lawful excuse. In the context of Linda's actions, which involved cutting holes in Aida's clothing, this clearly constitutes criminal damage.</w:t>
      </w:r>
    </w:p>
    <w:p w14:paraId="23CAB1E0" w14:textId="1BD4BCBB" w:rsidR="00116617" w:rsidRDefault="00116617" w:rsidP="00116617">
      <w:pPr>
        <w:spacing w:line="360" w:lineRule="auto"/>
        <w:jc w:val="both"/>
        <w:rPr>
          <w:rFonts w:ascii="Arial" w:hAnsi="Arial" w:cs="Arial"/>
          <w:bCs/>
          <w:sz w:val="24"/>
          <w:szCs w:val="24"/>
        </w:rPr>
      </w:pPr>
      <w:r w:rsidRPr="00116617">
        <w:rPr>
          <w:rFonts w:ascii="Arial" w:hAnsi="Arial" w:cs="Arial"/>
          <w:bCs/>
          <w:sz w:val="24"/>
          <w:szCs w:val="24"/>
        </w:rPr>
        <w:t>The actus reus for criminal damage</w:t>
      </w:r>
      <w:r w:rsidR="00EC325B">
        <w:rPr>
          <w:rFonts w:ascii="Arial" w:hAnsi="Arial" w:cs="Arial"/>
          <w:bCs/>
          <w:sz w:val="24"/>
          <w:szCs w:val="24"/>
        </w:rPr>
        <w:t xml:space="preserve"> necessitates</w:t>
      </w:r>
      <w:r>
        <w:rPr>
          <w:rFonts w:ascii="Arial" w:hAnsi="Arial" w:cs="Arial"/>
          <w:bCs/>
          <w:sz w:val="24"/>
          <w:szCs w:val="24"/>
        </w:rPr>
        <w:t>:</w:t>
      </w:r>
    </w:p>
    <w:p w14:paraId="0DCA3B43" w14:textId="34982CFB" w:rsidR="00116617" w:rsidRPr="00116617" w:rsidRDefault="00116617" w:rsidP="00116617">
      <w:pPr>
        <w:spacing w:line="360" w:lineRule="auto"/>
        <w:jc w:val="both"/>
        <w:rPr>
          <w:rFonts w:ascii="Arial" w:hAnsi="Arial" w:cs="Arial"/>
          <w:bCs/>
          <w:sz w:val="24"/>
          <w:szCs w:val="24"/>
        </w:rPr>
      </w:pPr>
      <w:r>
        <w:rPr>
          <w:rFonts w:ascii="Arial" w:hAnsi="Arial" w:cs="Arial"/>
          <w:bCs/>
          <w:sz w:val="24"/>
          <w:szCs w:val="24"/>
        </w:rPr>
        <w:t>It</w:t>
      </w:r>
      <w:r w:rsidRPr="00116617">
        <w:rPr>
          <w:rFonts w:ascii="Arial" w:hAnsi="Arial" w:cs="Arial"/>
          <w:bCs/>
          <w:sz w:val="24"/>
          <w:szCs w:val="24"/>
        </w:rPr>
        <w:t xml:space="preserve"> requires that property be destroyed or damaged. Here, "damage" should be understood broadly as any impairment of </w:t>
      </w:r>
      <w:r w:rsidR="00F70D2F">
        <w:rPr>
          <w:rFonts w:ascii="Arial" w:hAnsi="Arial" w:cs="Arial"/>
          <w:bCs/>
          <w:sz w:val="24"/>
          <w:szCs w:val="24"/>
        </w:rPr>
        <w:t xml:space="preserve">the </w:t>
      </w:r>
      <w:r w:rsidRPr="00116617">
        <w:rPr>
          <w:rFonts w:ascii="Arial" w:hAnsi="Arial" w:cs="Arial"/>
          <w:bCs/>
          <w:sz w:val="24"/>
          <w:szCs w:val="24"/>
        </w:rPr>
        <w:t>value or usefulness of the property, as interpreted in cases such as R v Smith [1974]. Linda's deliberate act of cutting the clothing directly impairs both its value and usefulness, thereby satisfying the actus reus of criminal damage.</w:t>
      </w:r>
      <w:r w:rsidR="00EC325B">
        <w:rPr>
          <w:rFonts w:ascii="Arial" w:hAnsi="Arial" w:cs="Arial"/>
          <w:bCs/>
          <w:sz w:val="24"/>
          <w:szCs w:val="24"/>
        </w:rPr>
        <w:t xml:space="preserve"> </w:t>
      </w:r>
      <w:r w:rsidR="00EC325B" w:rsidRPr="00EC325B">
        <w:rPr>
          <w:rFonts w:ascii="Arial" w:hAnsi="Arial" w:cs="Arial"/>
          <w:bCs/>
          <w:sz w:val="24"/>
          <w:szCs w:val="24"/>
        </w:rPr>
        <w:t>The damaged item must qualify as property under the law. Aida's clothing is undeniably property within this legal definition.</w:t>
      </w:r>
      <w:r w:rsidR="00EC325B">
        <w:rPr>
          <w:rFonts w:ascii="Arial" w:hAnsi="Arial" w:cs="Arial"/>
          <w:bCs/>
          <w:sz w:val="24"/>
          <w:szCs w:val="24"/>
        </w:rPr>
        <w:t xml:space="preserve"> </w:t>
      </w:r>
      <w:r w:rsidR="00EC325B" w:rsidRPr="00EC325B">
        <w:rPr>
          <w:rFonts w:ascii="Arial" w:hAnsi="Arial" w:cs="Arial"/>
          <w:bCs/>
          <w:sz w:val="24"/>
          <w:szCs w:val="24"/>
        </w:rPr>
        <w:t>For the application of criminal damage, the property must be owned by someone other than the accused. The clothing belongs to Aida, fulfilling this requirement.</w:t>
      </w:r>
    </w:p>
    <w:p w14:paraId="786F841F" w14:textId="77777777" w:rsidR="00116617" w:rsidRPr="00116617" w:rsidRDefault="00116617" w:rsidP="00116617">
      <w:pPr>
        <w:spacing w:line="360" w:lineRule="auto"/>
        <w:jc w:val="both"/>
        <w:rPr>
          <w:rFonts w:ascii="Arial" w:hAnsi="Arial" w:cs="Arial"/>
          <w:bCs/>
          <w:sz w:val="24"/>
          <w:szCs w:val="24"/>
        </w:rPr>
      </w:pPr>
      <w:r w:rsidRPr="00116617">
        <w:rPr>
          <w:rFonts w:ascii="Arial" w:hAnsi="Arial" w:cs="Arial"/>
          <w:bCs/>
          <w:sz w:val="24"/>
          <w:szCs w:val="24"/>
        </w:rPr>
        <w:t xml:space="preserve">The </w:t>
      </w:r>
      <w:proofErr w:type="spellStart"/>
      <w:r w:rsidRPr="00116617">
        <w:rPr>
          <w:rFonts w:ascii="Arial" w:hAnsi="Arial" w:cs="Arial"/>
          <w:bCs/>
          <w:sz w:val="24"/>
          <w:szCs w:val="24"/>
        </w:rPr>
        <w:t>mens</w:t>
      </w:r>
      <w:proofErr w:type="spellEnd"/>
      <w:r w:rsidRPr="00116617">
        <w:rPr>
          <w:rFonts w:ascii="Arial" w:hAnsi="Arial" w:cs="Arial"/>
          <w:bCs/>
          <w:sz w:val="24"/>
          <w:szCs w:val="24"/>
        </w:rPr>
        <w:t xml:space="preserve"> rea for criminal damage can be satisfied in two primary ways:</w:t>
      </w:r>
    </w:p>
    <w:p w14:paraId="692C8FCC" w14:textId="2869CD11" w:rsidR="00116617" w:rsidRPr="00116617" w:rsidRDefault="00116617" w:rsidP="00116617">
      <w:pPr>
        <w:numPr>
          <w:ilvl w:val="0"/>
          <w:numId w:val="6"/>
        </w:numPr>
        <w:spacing w:line="360" w:lineRule="auto"/>
        <w:jc w:val="both"/>
        <w:rPr>
          <w:rFonts w:ascii="Arial" w:hAnsi="Arial" w:cs="Arial"/>
          <w:bCs/>
          <w:sz w:val="24"/>
          <w:szCs w:val="24"/>
        </w:rPr>
      </w:pPr>
      <w:r w:rsidRPr="00116617">
        <w:rPr>
          <w:rFonts w:ascii="Arial" w:hAnsi="Arial" w:cs="Arial"/>
          <w:bCs/>
          <w:sz w:val="24"/>
          <w:szCs w:val="24"/>
        </w:rPr>
        <w:t xml:space="preserve">Intentionally causing damage: If Linda's actions were deliberate with </w:t>
      </w:r>
      <w:r w:rsidR="00F70D2F">
        <w:rPr>
          <w:rFonts w:ascii="Arial" w:hAnsi="Arial" w:cs="Arial"/>
          <w:bCs/>
          <w:sz w:val="24"/>
          <w:szCs w:val="24"/>
        </w:rPr>
        <w:t xml:space="preserve">the </w:t>
      </w:r>
      <w:r w:rsidRPr="00116617">
        <w:rPr>
          <w:rFonts w:ascii="Arial" w:hAnsi="Arial" w:cs="Arial"/>
          <w:bCs/>
          <w:sz w:val="24"/>
          <w:szCs w:val="24"/>
        </w:rPr>
        <w:t xml:space="preserve">knowledge that they would damage Aida's clothing, this intentional act meets the criteria for </w:t>
      </w:r>
      <w:proofErr w:type="spellStart"/>
      <w:r w:rsidRPr="00116617">
        <w:rPr>
          <w:rFonts w:ascii="Arial" w:hAnsi="Arial" w:cs="Arial"/>
          <w:bCs/>
          <w:sz w:val="24"/>
          <w:szCs w:val="24"/>
        </w:rPr>
        <w:t>mens</w:t>
      </w:r>
      <w:proofErr w:type="spellEnd"/>
      <w:r w:rsidRPr="00116617">
        <w:rPr>
          <w:rFonts w:ascii="Arial" w:hAnsi="Arial" w:cs="Arial"/>
          <w:bCs/>
          <w:sz w:val="24"/>
          <w:szCs w:val="24"/>
        </w:rPr>
        <w:t xml:space="preserve"> rea.</w:t>
      </w:r>
    </w:p>
    <w:p w14:paraId="6D956CBC" w14:textId="1B357EFF" w:rsidR="00116617" w:rsidRPr="00116617" w:rsidRDefault="00116617" w:rsidP="00116617">
      <w:pPr>
        <w:numPr>
          <w:ilvl w:val="0"/>
          <w:numId w:val="6"/>
        </w:numPr>
        <w:spacing w:line="360" w:lineRule="auto"/>
        <w:jc w:val="both"/>
        <w:rPr>
          <w:rFonts w:ascii="Arial" w:hAnsi="Arial" w:cs="Arial"/>
          <w:bCs/>
          <w:sz w:val="24"/>
          <w:szCs w:val="24"/>
        </w:rPr>
      </w:pPr>
      <w:r w:rsidRPr="00116617">
        <w:rPr>
          <w:rFonts w:ascii="Arial" w:hAnsi="Arial" w:cs="Arial"/>
          <w:bCs/>
          <w:sz w:val="24"/>
          <w:szCs w:val="24"/>
        </w:rPr>
        <w:lastRenderedPageBreak/>
        <w:t>Recklessness regarding causing damage: As delineated in R v Cunningham [1957], recklessness involves a person foreseeing that their actions could cause damage, yet they proceed without regard for the consequences. This concept was further explored in R v G and another [2003], which established that a person acts recklessly when they are aware of a risk that property would be destroyed or damaged</w:t>
      </w:r>
      <w:r w:rsidR="00F70D2F">
        <w:rPr>
          <w:rFonts w:ascii="Arial" w:hAnsi="Arial" w:cs="Arial"/>
          <w:bCs/>
          <w:sz w:val="24"/>
          <w:szCs w:val="24"/>
        </w:rPr>
        <w:t>,</w:t>
      </w:r>
      <w:r w:rsidRPr="00116617">
        <w:rPr>
          <w:rFonts w:ascii="Arial" w:hAnsi="Arial" w:cs="Arial"/>
          <w:bCs/>
          <w:sz w:val="24"/>
          <w:szCs w:val="24"/>
        </w:rPr>
        <w:t xml:space="preserve"> and it is unreasonable to take that risk. If Linda </w:t>
      </w:r>
      <w:r w:rsidR="00F70D2F">
        <w:rPr>
          <w:rFonts w:ascii="Arial" w:hAnsi="Arial" w:cs="Arial"/>
          <w:bCs/>
          <w:sz w:val="24"/>
          <w:szCs w:val="24"/>
        </w:rPr>
        <w:t>were</w:t>
      </w:r>
      <w:r w:rsidRPr="00116617">
        <w:rPr>
          <w:rFonts w:ascii="Arial" w:hAnsi="Arial" w:cs="Arial"/>
          <w:bCs/>
          <w:sz w:val="24"/>
          <w:szCs w:val="24"/>
        </w:rPr>
        <w:t xml:space="preserve"> aware that cutting the clothes would cause damage and disregarded this foreseeable outcome, her actions would also </w:t>
      </w:r>
      <w:r w:rsidR="00F70D2F">
        <w:rPr>
          <w:rFonts w:ascii="Arial" w:hAnsi="Arial" w:cs="Arial"/>
          <w:bCs/>
          <w:sz w:val="24"/>
          <w:szCs w:val="24"/>
        </w:rPr>
        <w:t xml:space="preserve">fulfil the recklessness criterion for </w:t>
      </w:r>
      <w:proofErr w:type="spellStart"/>
      <w:r w:rsidR="00F70D2F">
        <w:rPr>
          <w:rFonts w:ascii="Arial" w:hAnsi="Arial" w:cs="Arial"/>
          <w:bCs/>
          <w:sz w:val="24"/>
          <w:szCs w:val="24"/>
        </w:rPr>
        <w:t>mens</w:t>
      </w:r>
      <w:proofErr w:type="spellEnd"/>
      <w:r w:rsidRPr="00116617">
        <w:rPr>
          <w:rFonts w:ascii="Arial" w:hAnsi="Arial" w:cs="Arial"/>
          <w:bCs/>
          <w:sz w:val="24"/>
          <w:szCs w:val="24"/>
        </w:rPr>
        <w:t xml:space="preserve"> rea.</w:t>
      </w:r>
    </w:p>
    <w:p w14:paraId="18794A28" w14:textId="78AC3D67" w:rsidR="00116617" w:rsidRPr="00116617" w:rsidRDefault="00116617" w:rsidP="00116617">
      <w:pPr>
        <w:spacing w:line="360" w:lineRule="auto"/>
        <w:jc w:val="both"/>
        <w:rPr>
          <w:rFonts w:ascii="Arial" w:hAnsi="Arial" w:cs="Arial"/>
          <w:bCs/>
          <w:sz w:val="24"/>
          <w:szCs w:val="24"/>
        </w:rPr>
      </w:pPr>
      <w:r w:rsidRPr="00116617">
        <w:rPr>
          <w:rFonts w:ascii="Arial" w:hAnsi="Arial" w:cs="Arial"/>
          <w:bCs/>
          <w:sz w:val="24"/>
          <w:szCs w:val="24"/>
        </w:rPr>
        <w:t xml:space="preserve">Linda's purposeful </w:t>
      </w:r>
      <w:r w:rsidR="00F70D2F">
        <w:rPr>
          <w:rFonts w:ascii="Arial" w:hAnsi="Arial" w:cs="Arial"/>
          <w:bCs/>
          <w:sz w:val="24"/>
          <w:szCs w:val="24"/>
        </w:rPr>
        <w:t>behaviour</w:t>
      </w:r>
      <w:r w:rsidRPr="00116617">
        <w:rPr>
          <w:rFonts w:ascii="Arial" w:hAnsi="Arial" w:cs="Arial"/>
          <w:bCs/>
          <w:sz w:val="24"/>
          <w:szCs w:val="24"/>
        </w:rPr>
        <w:t>, as described, indicates that she acted with either a clear intention to cause damage or, at the very least, recklessness about the potential damage to Aida’s clothing. Given these considerations, her actions align with the legal definitions and case law interpretations, suggesting her liability under the Criminal Damage Act 1971.</w:t>
      </w:r>
    </w:p>
    <w:p w14:paraId="3D641D5E" w14:textId="77777777" w:rsidR="008644CE" w:rsidRPr="008644CE" w:rsidRDefault="008644CE" w:rsidP="008B2DD7">
      <w:pPr>
        <w:pStyle w:val="Heading2"/>
      </w:pPr>
      <w:r w:rsidRPr="008644CE">
        <w:t>Assault Occasioning Actual Bodily Harm (ABH)</w:t>
      </w:r>
    </w:p>
    <w:p w14:paraId="44C780DB" w14:textId="77777777" w:rsidR="008644CE" w:rsidRPr="008644CE" w:rsidRDefault="008644CE" w:rsidP="008644CE">
      <w:pPr>
        <w:spacing w:line="360" w:lineRule="auto"/>
        <w:jc w:val="both"/>
        <w:rPr>
          <w:rFonts w:ascii="Arial" w:hAnsi="Arial" w:cs="Arial"/>
          <w:bCs/>
          <w:sz w:val="24"/>
          <w:szCs w:val="24"/>
        </w:rPr>
      </w:pPr>
      <w:r w:rsidRPr="008644CE">
        <w:rPr>
          <w:rFonts w:ascii="Arial" w:hAnsi="Arial" w:cs="Arial"/>
          <w:bCs/>
          <w:sz w:val="24"/>
          <w:szCs w:val="24"/>
        </w:rPr>
        <w:t xml:space="preserve">The act of hitting Aida, which causes a small abrasion, is ABH under Section 47 of the Offences Against the Person Act 1861 (CPS, 2022). The </w:t>
      </w:r>
      <w:proofErr w:type="spellStart"/>
      <w:r w:rsidRPr="008644CE">
        <w:rPr>
          <w:rFonts w:ascii="Arial" w:hAnsi="Arial" w:cs="Arial"/>
          <w:bCs/>
          <w:sz w:val="24"/>
          <w:szCs w:val="24"/>
        </w:rPr>
        <w:t>mens</w:t>
      </w:r>
      <w:proofErr w:type="spellEnd"/>
      <w:r w:rsidRPr="008644CE">
        <w:rPr>
          <w:rFonts w:ascii="Arial" w:hAnsi="Arial" w:cs="Arial"/>
          <w:bCs/>
          <w:sz w:val="24"/>
          <w:szCs w:val="24"/>
        </w:rPr>
        <w:t xml:space="preserve"> rea is the purpose or carelessness in inflicting some damage, while the actus reus is an attack that causes true bodily harm.</w:t>
      </w:r>
    </w:p>
    <w:p w14:paraId="34A72601" w14:textId="49BD39CC" w:rsidR="008644CE" w:rsidRPr="008644CE" w:rsidRDefault="008644CE" w:rsidP="008644CE">
      <w:pPr>
        <w:spacing w:line="360" w:lineRule="auto"/>
        <w:jc w:val="both"/>
        <w:rPr>
          <w:rFonts w:ascii="Arial" w:hAnsi="Arial" w:cs="Arial"/>
          <w:bCs/>
          <w:sz w:val="24"/>
          <w:szCs w:val="24"/>
        </w:rPr>
      </w:pPr>
      <w:r w:rsidRPr="008644CE">
        <w:rPr>
          <w:rFonts w:ascii="Arial" w:hAnsi="Arial" w:cs="Arial"/>
          <w:bCs/>
          <w:sz w:val="24"/>
          <w:szCs w:val="24"/>
        </w:rPr>
        <w:t xml:space="preserve">The case of R v Roberts [1971] proved that ABH occurs when the defendant's acts cause bodily hurt. This criterion is met by </w:t>
      </w:r>
      <w:r w:rsidR="00F70D2F">
        <w:rPr>
          <w:rFonts w:ascii="Arial" w:hAnsi="Arial" w:cs="Arial"/>
          <w:bCs/>
          <w:sz w:val="24"/>
          <w:szCs w:val="24"/>
        </w:rPr>
        <w:t>Linda’s</w:t>
      </w:r>
      <w:r w:rsidRPr="008644CE">
        <w:rPr>
          <w:rFonts w:ascii="Arial" w:hAnsi="Arial" w:cs="Arial"/>
          <w:bCs/>
          <w:sz w:val="24"/>
          <w:szCs w:val="24"/>
        </w:rPr>
        <w:t xml:space="preserve"> strike, which injured Aida physically. Furthermore, R v Savage [1991] established that the </w:t>
      </w:r>
      <w:proofErr w:type="spellStart"/>
      <w:r w:rsidRPr="008644CE">
        <w:rPr>
          <w:rFonts w:ascii="Arial" w:hAnsi="Arial" w:cs="Arial"/>
          <w:bCs/>
          <w:sz w:val="24"/>
          <w:szCs w:val="24"/>
        </w:rPr>
        <w:t>mens</w:t>
      </w:r>
      <w:proofErr w:type="spellEnd"/>
      <w:r w:rsidRPr="008644CE">
        <w:rPr>
          <w:rFonts w:ascii="Arial" w:hAnsi="Arial" w:cs="Arial"/>
          <w:bCs/>
          <w:sz w:val="24"/>
          <w:szCs w:val="24"/>
        </w:rPr>
        <w:t xml:space="preserve"> rea for ABH includes carelessness resulting in the infliction of some kind of damage. According to the decision in R v Chan-Fook [1994], "actual bodily harm" refers to any injury that is more than insignificant but not severe, including the tiny abrasion inflicted by </w:t>
      </w:r>
      <w:r w:rsidR="00F70D2F">
        <w:rPr>
          <w:rFonts w:ascii="Arial" w:hAnsi="Arial" w:cs="Arial"/>
          <w:bCs/>
          <w:sz w:val="24"/>
          <w:szCs w:val="24"/>
        </w:rPr>
        <w:t>Linda’s</w:t>
      </w:r>
      <w:r w:rsidRPr="008644CE">
        <w:rPr>
          <w:rFonts w:ascii="Arial" w:hAnsi="Arial" w:cs="Arial"/>
          <w:bCs/>
          <w:sz w:val="24"/>
          <w:szCs w:val="24"/>
        </w:rPr>
        <w:t xml:space="preserve"> blow. Furthermore, the case of DPP v Smith [2006] reminds us that any injury must be significant enough to interrupt the victim's health or comfort, regardless of severity. </w:t>
      </w:r>
      <w:r w:rsidR="00F70D2F">
        <w:rPr>
          <w:rFonts w:ascii="Arial" w:hAnsi="Arial" w:cs="Arial"/>
          <w:bCs/>
          <w:sz w:val="24"/>
          <w:szCs w:val="24"/>
        </w:rPr>
        <w:t>Linda’s</w:t>
      </w:r>
      <w:r w:rsidRPr="008644CE">
        <w:rPr>
          <w:rFonts w:ascii="Arial" w:hAnsi="Arial" w:cs="Arial"/>
          <w:bCs/>
          <w:sz w:val="24"/>
          <w:szCs w:val="24"/>
        </w:rPr>
        <w:t xml:space="preserve"> activities meet </w:t>
      </w:r>
      <w:proofErr w:type="gramStart"/>
      <w:r w:rsidRPr="008644CE">
        <w:rPr>
          <w:rFonts w:ascii="Arial" w:hAnsi="Arial" w:cs="Arial"/>
          <w:bCs/>
          <w:sz w:val="24"/>
          <w:szCs w:val="24"/>
        </w:rPr>
        <w:t>this criteria</w:t>
      </w:r>
      <w:proofErr w:type="gramEnd"/>
      <w:r w:rsidRPr="008644CE">
        <w:rPr>
          <w:rFonts w:ascii="Arial" w:hAnsi="Arial" w:cs="Arial"/>
          <w:bCs/>
          <w:sz w:val="24"/>
          <w:szCs w:val="24"/>
        </w:rPr>
        <w:t xml:space="preserve">. </w:t>
      </w:r>
    </w:p>
    <w:p w14:paraId="731FD2B6" w14:textId="0E40D91E" w:rsidR="00E11BE0" w:rsidRDefault="00E11BE0">
      <w:pPr>
        <w:rPr>
          <w:rFonts w:ascii="Arial" w:hAnsi="Arial" w:cs="Arial"/>
          <w:bCs/>
          <w:sz w:val="24"/>
          <w:szCs w:val="24"/>
        </w:rPr>
      </w:pPr>
      <w:r>
        <w:rPr>
          <w:rFonts w:ascii="Arial" w:hAnsi="Arial" w:cs="Arial"/>
          <w:bCs/>
          <w:sz w:val="24"/>
          <w:szCs w:val="24"/>
        </w:rPr>
        <w:br w:type="page"/>
      </w:r>
    </w:p>
    <w:p w14:paraId="2EA29450" w14:textId="4D8F256F" w:rsidR="008644CE" w:rsidRPr="008644CE" w:rsidRDefault="008644CE" w:rsidP="008B2DD7">
      <w:pPr>
        <w:pStyle w:val="Heading1"/>
      </w:pPr>
      <w:r w:rsidRPr="008644CE">
        <w:lastRenderedPageBreak/>
        <w:t xml:space="preserve">Legal Analysis </w:t>
      </w:r>
      <w:r w:rsidR="00900C57">
        <w:t xml:space="preserve">of Potential Charges </w:t>
      </w:r>
      <w:r w:rsidRPr="008644CE">
        <w:t>for Michael</w:t>
      </w:r>
    </w:p>
    <w:p w14:paraId="43C16C40" w14:textId="77777777" w:rsidR="008644CE" w:rsidRPr="008644CE" w:rsidRDefault="008644CE" w:rsidP="008B2DD7">
      <w:pPr>
        <w:pStyle w:val="Heading2"/>
      </w:pPr>
      <w:r w:rsidRPr="008644CE">
        <w:t>Involuntary Manslaughter</w:t>
      </w:r>
    </w:p>
    <w:p w14:paraId="40B9B2E7" w14:textId="03E1498E" w:rsidR="00900C57" w:rsidRPr="00900C57" w:rsidRDefault="00900C57" w:rsidP="00900C57">
      <w:pPr>
        <w:spacing w:line="360" w:lineRule="auto"/>
        <w:jc w:val="both"/>
        <w:rPr>
          <w:rFonts w:ascii="Arial" w:hAnsi="Arial" w:cs="Arial"/>
          <w:bCs/>
          <w:sz w:val="24"/>
          <w:szCs w:val="24"/>
        </w:rPr>
      </w:pPr>
      <w:r w:rsidRPr="00900C57">
        <w:rPr>
          <w:rFonts w:ascii="Arial" w:hAnsi="Arial" w:cs="Arial"/>
          <w:bCs/>
          <w:sz w:val="24"/>
          <w:szCs w:val="24"/>
        </w:rPr>
        <w:t xml:space="preserve">Involuntary manslaughter, as defined by legal frameworks, occurs when death is inflicted without an intention to kill or cause serious bodily harm. In the case of </w:t>
      </w:r>
      <w:r>
        <w:rPr>
          <w:rFonts w:ascii="Arial" w:hAnsi="Arial" w:cs="Arial"/>
          <w:bCs/>
          <w:sz w:val="24"/>
          <w:szCs w:val="24"/>
        </w:rPr>
        <w:t>Michael</w:t>
      </w:r>
      <w:r w:rsidRPr="00900C57">
        <w:rPr>
          <w:rFonts w:ascii="Arial" w:hAnsi="Arial" w:cs="Arial"/>
          <w:bCs/>
          <w:sz w:val="24"/>
          <w:szCs w:val="24"/>
        </w:rPr>
        <w:t xml:space="preserve">'s actions leading to Billy's death, these could be </w:t>
      </w:r>
      <w:r w:rsidR="00F70D2F">
        <w:rPr>
          <w:rFonts w:ascii="Arial" w:hAnsi="Arial" w:cs="Arial"/>
          <w:bCs/>
          <w:sz w:val="24"/>
          <w:szCs w:val="24"/>
        </w:rPr>
        <w:t>categorised</w:t>
      </w:r>
      <w:r w:rsidRPr="00900C57">
        <w:rPr>
          <w:rFonts w:ascii="Arial" w:hAnsi="Arial" w:cs="Arial"/>
          <w:bCs/>
          <w:sz w:val="24"/>
          <w:szCs w:val="24"/>
        </w:rPr>
        <w:t xml:space="preserve"> under the specific type of involuntary manslaughter known as "</w:t>
      </w:r>
      <w:r w:rsidRPr="00900C57">
        <w:rPr>
          <w:rFonts w:ascii="Arial" w:hAnsi="Arial" w:cs="Arial"/>
          <w:b/>
          <w:sz w:val="24"/>
          <w:szCs w:val="24"/>
        </w:rPr>
        <w:t>unlawful act manslaughter</w:t>
      </w:r>
      <w:r w:rsidRPr="00900C57">
        <w:rPr>
          <w:rFonts w:ascii="Arial" w:hAnsi="Arial" w:cs="Arial"/>
          <w:bCs/>
          <w:sz w:val="24"/>
          <w:szCs w:val="24"/>
        </w:rPr>
        <w:t>"</w:t>
      </w:r>
      <w:r w:rsidR="008B2DD7">
        <w:rPr>
          <w:rFonts w:ascii="Arial" w:hAnsi="Arial" w:cs="Arial"/>
          <w:bCs/>
          <w:sz w:val="24"/>
          <w:szCs w:val="24"/>
        </w:rPr>
        <w:t>.</w:t>
      </w:r>
      <w:r w:rsidRPr="00900C57">
        <w:rPr>
          <w:rFonts w:ascii="Arial" w:hAnsi="Arial" w:cs="Arial"/>
          <w:bCs/>
          <w:sz w:val="24"/>
          <w:szCs w:val="24"/>
        </w:rPr>
        <w:t xml:space="preserve"> This form of manslaughter involves engaging in an illegal act that is inherently dangerous and results in death.</w:t>
      </w:r>
    </w:p>
    <w:p w14:paraId="3FE6FA09" w14:textId="10E0DF75" w:rsidR="00900C57" w:rsidRPr="00900C57" w:rsidRDefault="00900C57" w:rsidP="00900C57">
      <w:pPr>
        <w:spacing w:line="360" w:lineRule="auto"/>
        <w:jc w:val="both"/>
        <w:rPr>
          <w:rFonts w:ascii="Arial" w:hAnsi="Arial" w:cs="Arial"/>
          <w:bCs/>
          <w:sz w:val="24"/>
          <w:szCs w:val="24"/>
        </w:rPr>
      </w:pPr>
      <w:r w:rsidRPr="00900C57">
        <w:rPr>
          <w:rFonts w:ascii="Arial" w:hAnsi="Arial" w:cs="Arial"/>
          <w:bCs/>
          <w:sz w:val="24"/>
          <w:szCs w:val="24"/>
        </w:rPr>
        <w:t xml:space="preserve">The actus reus for unlawful act manslaughter requires engaging in an act that is both illegal and dangerous. </w:t>
      </w:r>
      <w:r>
        <w:rPr>
          <w:rFonts w:ascii="Arial" w:hAnsi="Arial" w:cs="Arial"/>
          <w:bCs/>
          <w:sz w:val="24"/>
          <w:szCs w:val="24"/>
        </w:rPr>
        <w:t>Michael</w:t>
      </w:r>
      <w:r w:rsidRPr="00900C57">
        <w:rPr>
          <w:rFonts w:ascii="Arial" w:hAnsi="Arial" w:cs="Arial"/>
          <w:bCs/>
          <w:sz w:val="24"/>
          <w:szCs w:val="24"/>
        </w:rPr>
        <w:t>'s act of violently shoving Billy, leading to his death, constitutes illegal conduct that could foreseeably result in harm.</w:t>
      </w:r>
    </w:p>
    <w:p w14:paraId="442DAF8B" w14:textId="169546B5" w:rsidR="00900C57" w:rsidRPr="00900C57" w:rsidRDefault="00900C57" w:rsidP="00900C57">
      <w:pPr>
        <w:spacing w:line="360" w:lineRule="auto"/>
        <w:jc w:val="both"/>
        <w:rPr>
          <w:rFonts w:ascii="Arial" w:hAnsi="Arial" w:cs="Arial"/>
          <w:bCs/>
          <w:sz w:val="24"/>
          <w:szCs w:val="24"/>
        </w:rPr>
      </w:pPr>
      <w:r w:rsidRPr="00900C57">
        <w:rPr>
          <w:rFonts w:ascii="Arial" w:hAnsi="Arial" w:cs="Arial"/>
          <w:bCs/>
          <w:sz w:val="24"/>
          <w:szCs w:val="24"/>
        </w:rPr>
        <w:t xml:space="preserve">The </w:t>
      </w:r>
      <w:proofErr w:type="spellStart"/>
      <w:r w:rsidRPr="00900C57">
        <w:rPr>
          <w:rFonts w:ascii="Arial" w:hAnsi="Arial" w:cs="Arial"/>
          <w:bCs/>
          <w:sz w:val="24"/>
          <w:szCs w:val="24"/>
        </w:rPr>
        <w:t>mens</w:t>
      </w:r>
      <w:proofErr w:type="spellEnd"/>
      <w:r w:rsidRPr="00900C57">
        <w:rPr>
          <w:rFonts w:ascii="Arial" w:hAnsi="Arial" w:cs="Arial"/>
          <w:bCs/>
          <w:sz w:val="24"/>
          <w:szCs w:val="24"/>
        </w:rPr>
        <w:t xml:space="preserve"> rea for this type of manslaughter involves the intention to commit the illegal act, though not necessarily with the intent to cause serious harm or death. In </w:t>
      </w:r>
      <w:r>
        <w:rPr>
          <w:rFonts w:ascii="Arial" w:hAnsi="Arial" w:cs="Arial"/>
          <w:bCs/>
          <w:sz w:val="24"/>
          <w:szCs w:val="24"/>
        </w:rPr>
        <w:t>Michael</w:t>
      </w:r>
      <w:r w:rsidRPr="00900C57">
        <w:rPr>
          <w:rFonts w:ascii="Arial" w:hAnsi="Arial" w:cs="Arial"/>
          <w:bCs/>
          <w:sz w:val="24"/>
          <w:szCs w:val="24"/>
        </w:rPr>
        <w:t xml:space="preserve">'s situation, the purpose of using force by shoving Billy, without anticipating serious damage, aligns with the requirements for </w:t>
      </w:r>
      <w:proofErr w:type="spellStart"/>
      <w:r w:rsidRPr="00900C57">
        <w:rPr>
          <w:rFonts w:ascii="Arial" w:hAnsi="Arial" w:cs="Arial"/>
          <w:bCs/>
          <w:sz w:val="24"/>
          <w:szCs w:val="24"/>
        </w:rPr>
        <w:t>mens</w:t>
      </w:r>
      <w:proofErr w:type="spellEnd"/>
      <w:r w:rsidRPr="00900C57">
        <w:rPr>
          <w:rFonts w:ascii="Arial" w:hAnsi="Arial" w:cs="Arial"/>
          <w:bCs/>
          <w:sz w:val="24"/>
          <w:szCs w:val="24"/>
        </w:rPr>
        <w:t xml:space="preserve"> rea under this category.</w:t>
      </w:r>
    </w:p>
    <w:p w14:paraId="27B43161" w14:textId="77777777" w:rsidR="00900C57" w:rsidRPr="00900C57" w:rsidRDefault="00900C57" w:rsidP="00900C57">
      <w:pPr>
        <w:spacing w:line="360" w:lineRule="auto"/>
        <w:jc w:val="both"/>
        <w:rPr>
          <w:rFonts w:ascii="Arial" w:hAnsi="Arial" w:cs="Arial"/>
          <w:bCs/>
          <w:sz w:val="24"/>
          <w:szCs w:val="24"/>
        </w:rPr>
      </w:pPr>
      <w:r w:rsidRPr="00900C57">
        <w:rPr>
          <w:rFonts w:ascii="Arial" w:hAnsi="Arial" w:cs="Arial"/>
          <w:bCs/>
          <w:sz w:val="24"/>
          <w:szCs w:val="24"/>
        </w:rPr>
        <w:t>Legal precedents further illustrate these principles:</w:t>
      </w:r>
    </w:p>
    <w:p w14:paraId="46D70D76" w14:textId="4838DA66" w:rsidR="00900C57" w:rsidRPr="00900C57" w:rsidRDefault="00900C57" w:rsidP="00900C57">
      <w:pPr>
        <w:numPr>
          <w:ilvl w:val="0"/>
          <w:numId w:val="8"/>
        </w:numPr>
        <w:spacing w:after="0" w:line="360" w:lineRule="auto"/>
        <w:ind w:left="714" w:hanging="357"/>
        <w:jc w:val="both"/>
        <w:rPr>
          <w:rFonts w:ascii="Arial" w:hAnsi="Arial" w:cs="Arial"/>
          <w:sz w:val="24"/>
          <w:szCs w:val="24"/>
        </w:rPr>
      </w:pPr>
      <w:r w:rsidRPr="00900C57">
        <w:rPr>
          <w:rFonts w:ascii="Arial" w:hAnsi="Arial" w:cs="Arial"/>
          <w:sz w:val="24"/>
          <w:szCs w:val="24"/>
        </w:rPr>
        <w:t xml:space="preserve">R v Church [1966] clarifies that the conduct must be considered harmful by the standards of all reasonable people. </w:t>
      </w:r>
      <w:r>
        <w:rPr>
          <w:rFonts w:ascii="Arial" w:hAnsi="Arial" w:cs="Arial"/>
          <w:sz w:val="24"/>
          <w:szCs w:val="24"/>
        </w:rPr>
        <w:t>Michael</w:t>
      </w:r>
      <w:r w:rsidRPr="00900C57">
        <w:rPr>
          <w:rFonts w:ascii="Arial" w:hAnsi="Arial" w:cs="Arial"/>
          <w:sz w:val="24"/>
          <w:szCs w:val="24"/>
        </w:rPr>
        <w:t xml:space="preserve">'s shove, although not intended to kill, fits this condition as a reasonable person would </w:t>
      </w:r>
      <w:r w:rsidR="00F70D2F">
        <w:rPr>
          <w:rFonts w:ascii="Arial" w:hAnsi="Arial" w:cs="Arial"/>
          <w:sz w:val="24"/>
          <w:szCs w:val="24"/>
        </w:rPr>
        <w:t>recognise</w:t>
      </w:r>
      <w:r w:rsidRPr="00900C57">
        <w:rPr>
          <w:rFonts w:ascii="Arial" w:hAnsi="Arial" w:cs="Arial"/>
          <w:sz w:val="24"/>
          <w:szCs w:val="24"/>
        </w:rPr>
        <w:t xml:space="preserve"> the risk of some injury from such an act.</w:t>
      </w:r>
    </w:p>
    <w:p w14:paraId="432C3CB0" w14:textId="60162B38" w:rsidR="00900C57" w:rsidRPr="00900C57" w:rsidRDefault="00900C57" w:rsidP="00900C57">
      <w:pPr>
        <w:numPr>
          <w:ilvl w:val="0"/>
          <w:numId w:val="8"/>
        </w:numPr>
        <w:spacing w:after="0" w:line="360" w:lineRule="auto"/>
        <w:ind w:left="714" w:hanging="357"/>
        <w:jc w:val="both"/>
        <w:rPr>
          <w:rFonts w:ascii="Arial" w:hAnsi="Arial" w:cs="Arial"/>
          <w:sz w:val="24"/>
          <w:szCs w:val="24"/>
        </w:rPr>
      </w:pPr>
      <w:r w:rsidRPr="00900C57">
        <w:rPr>
          <w:rFonts w:ascii="Arial" w:hAnsi="Arial" w:cs="Arial"/>
          <w:sz w:val="24"/>
          <w:szCs w:val="24"/>
        </w:rPr>
        <w:t xml:space="preserve">R v Goodfellow [1986] </w:t>
      </w:r>
      <w:r w:rsidR="00F70D2F">
        <w:rPr>
          <w:rFonts w:ascii="Arial" w:hAnsi="Arial" w:cs="Arial"/>
          <w:sz w:val="24"/>
          <w:szCs w:val="24"/>
        </w:rPr>
        <w:t>emphasises</w:t>
      </w:r>
      <w:r w:rsidRPr="00900C57">
        <w:rPr>
          <w:rFonts w:ascii="Arial" w:hAnsi="Arial" w:cs="Arial"/>
          <w:sz w:val="24"/>
          <w:szCs w:val="24"/>
        </w:rPr>
        <w:t xml:space="preserve"> that the unlawful conduct must substantially cause the death, which is applicable in </w:t>
      </w:r>
      <w:r>
        <w:rPr>
          <w:rFonts w:ascii="Arial" w:hAnsi="Arial" w:cs="Arial"/>
          <w:sz w:val="24"/>
          <w:szCs w:val="24"/>
        </w:rPr>
        <w:t>Michael</w:t>
      </w:r>
      <w:r w:rsidRPr="00900C57">
        <w:rPr>
          <w:rFonts w:ascii="Arial" w:hAnsi="Arial" w:cs="Arial"/>
          <w:sz w:val="24"/>
          <w:szCs w:val="24"/>
        </w:rPr>
        <w:t xml:space="preserve">'s case where </w:t>
      </w:r>
      <w:r>
        <w:rPr>
          <w:rFonts w:ascii="Arial" w:hAnsi="Arial" w:cs="Arial"/>
          <w:sz w:val="24"/>
          <w:szCs w:val="24"/>
        </w:rPr>
        <w:t>his</w:t>
      </w:r>
      <w:r w:rsidRPr="00900C57">
        <w:rPr>
          <w:rFonts w:ascii="Arial" w:hAnsi="Arial" w:cs="Arial"/>
          <w:sz w:val="24"/>
          <w:szCs w:val="24"/>
        </w:rPr>
        <w:t xml:space="preserve"> action directly led to Billy's fatal outcome.</w:t>
      </w:r>
    </w:p>
    <w:p w14:paraId="1320F718" w14:textId="09273604" w:rsidR="00900C57" w:rsidRPr="00900C57" w:rsidRDefault="00900C57" w:rsidP="00900C57">
      <w:pPr>
        <w:numPr>
          <w:ilvl w:val="0"/>
          <w:numId w:val="8"/>
        </w:numPr>
        <w:spacing w:after="0" w:line="360" w:lineRule="auto"/>
        <w:ind w:left="714" w:hanging="357"/>
        <w:jc w:val="both"/>
        <w:rPr>
          <w:rFonts w:ascii="Arial" w:hAnsi="Arial" w:cs="Arial"/>
          <w:sz w:val="24"/>
          <w:szCs w:val="24"/>
        </w:rPr>
      </w:pPr>
      <w:r w:rsidRPr="00900C57">
        <w:rPr>
          <w:rFonts w:ascii="Arial" w:hAnsi="Arial" w:cs="Arial"/>
          <w:sz w:val="24"/>
          <w:szCs w:val="24"/>
        </w:rPr>
        <w:t xml:space="preserve">R v Larkin [1943] states that involuntary manslaughter can occur from an illegal act likely to cause injury, further supporting the classification of </w:t>
      </w:r>
      <w:r>
        <w:rPr>
          <w:rFonts w:ascii="Arial" w:hAnsi="Arial" w:cs="Arial"/>
          <w:sz w:val="24"/>
          <w:szCs w:val="24"/>
        </w:rPr>
        <w:t>Michael</w:t>
      </w:r>
      <w:r w:rsidRPr="00900C57">
        <w:rPr>
          <w:rFonts w:ascii="Arial" w:hAnsi="Arial" w:cs="Arial"/>
          <w:sz w:val="24"/>
          <w:szCs w:val="24"/>
        </w:rPr>
        <w:t>'s actions.</w:t>
      </w:r>
    </w:p>
    <w:p w14:paraId="72B40E4F" w14:textId="638F93E4" w:rsidR="00900C57" w:rsidRPr="00900C57" w:rsidRDefault="00900C57" w:rsidP="00900C57">
      <w:pPr>
        <w:spacing w:line="360" w:lineRule="auto"/>
        <w:jc w:val="both"/>
        <w:rPr>
          <w:rFonts w:ascii="Arial" w:hAnsi="Arial" w:cs="Arial"/>
          <w:bCs/>
          <w:sz w:val="24"/>
          <w:szCs w:val="24"/>
        </w:rPr>
      </w:pPr>
      <w:r>
        <w:rPr>
          <w:rFonts w:ascii="Arial" w:hAnsi="Arial" w:cs="Arial"/>
          <w:bCs/>
          <w:sz w:val="24"/>
          <w:szCs w:val="24"/>
        </w:rPr>
        <w:t>Michael’s</w:t>
      </w:r>
      <w:r w:rsidRPr="00900C57">
        <w:rPr>
          <w:rFonts w:ascii="Arial" w:hAnsi="Arial" w:cs="Arial"/>
          <w:bCs/>
          <w:sz w:val="24"/>
          <w:szCs w:val="24"/>
        </w:rPr>
        <w:t xml:space="preserve"> actions, therefore, may be construed as unlawful act manslaughter, defined by engaging in risky conduct that ultimately leads to death, fitting both the actus reus and </w:t>
      </w:r>
      <w:proofErr w:type="spellStart"/>
      <w:r w:rsidRPr="00900C57">
        <w:rPr>
          <w:rFonts w:ascii="Arial" w:hAnsi="Arial" w:cs="Arial"/>
          <w:bCs/>
          <w:sz w:val="24"/>
          <w:szCs w:val="24"/>
        </w:rPr>
        <w:t>mens</w:t>
      </w:r>
      <w:proofErr w:type="spellEnd"/>
      <w:r w:rsidRPr="00900C57">
        <w:rPr>
          <w:rFonts w:ascii="Arial" w:hAnsi="Arial" w:cs="Arial"/>
          <w:bCs/>
          <w:sz w:val="24"/>
          <w:szCs w:val="24"/>
        </w:rPr>
        <w:t xml:space="preserve"> rea as demonstrated in the precedents cited.</w:t>
      </w:r>
    </w:p>
    <w:p w14:paraId="19C09DA5" w14:textId="77777777" w:rsidR="008644CE" w:rsidRPr="008644CE" w:rsidRDefault="008644CE" w:rsidP="008B2DD7">
      <w:pPr>
        <w:pStyle w:val="Heading2"/>
      </w:pPr>
      <w:r w:rsidRPr="008644CE">
        <w:lastRenderedPageBreak/>
        <w:t>Assault</w:t>
      </w:r>
    </w:p>
    <w:p w14:paraId="0D6C88A1" w14:textId="595FACAA" w:rsidR="008644CE" w:rsidRPr="008644CE" w:rsidRDefault="008644CE" w:rsidP="008644CE">
      <w:pPr>
        <w:spacing w:line="360" w:lineRule="auto"/>
        <w:jc w:val="both"/>
        <w:rPr>
          <w:rFonts w:ascii="Arial" w:hAnsi="Arial" w:cs="Arial"/>
          <w:bCs/>
          <w:sz w:val="24"/>
          <w:szCs w:val="24"/>
        </w:rPr>
      </w:pPr>
      <w:r w:rsidRPr="008644CE">
        <w:rPr>
          <w:rFonts w:ascii="Arial" w:hAnsi="Arial" w:cs="Arial"/>
          <w:bCs/>
          <w:sz w:val="24"/>
          <w:szCs w:val="24"/>
        </w:rPr>
        <w:t xml:space="preserve">The act of pushing Billy might also be considered assault if it is demonstrated that </w:t>
      </w:r>
      <w:r w:rsidR="00F70D2F">
        <w:rPr>
          <w:rFonts w:ascii="Arial" w:hAnsi="Arial" w:cs="Arial"/>
          <w:bCs/>
          <w:sz w:val="24"/>
          <w:szCs w:val="24"/>
        </w:rPr>
        <w:t>Michael</w:t>
      </w:r>
      <w:r w:rsidRPr="008644CE">
        <w:rPr>
          <w:rFonts w:ascii="Arial" w:hAnsi="Arial" w:cs="Arial"/>
          <w:bCs/>
          <w:sz w:val="24"/>
          <w:szCs w:val="24"/>
        </w:rPr>
        <w:t xml:space="preserve"> either meant or </w:t>
      </w:r>
      <w:r w:rsidR="00F70D2F">
        <w:rPr>
          <w:rFonts w:ascii="Arial" w:hAnsi="Arial" w:cs="Arial"/>
          <w:bCs/>
          <w:sz w:val="24"/>
          <w:szCs w:val="24"/>
        </w:rPr>
        <w:t>was</w:t>
      </w:r>
      <w:r w:rsidRPr="008644CE">
        <w:rPr>
          <w:rFonts w:ascii="Arial" w:hAnsi="Arial" w:cs="Arial"/>
          <w:bCs/>
          <w:sz w:val="24"/>
          <w:szCs w:val="24"/>
        </w:rPr>
        <w:t xml:space="preserve"> excessively irresponsible in </w:t>
      </w:r>
      <w:r w:rsidR="00F70D2F">
        <w:rPr>
          <w:rFonts w:ascii="Arial" w:hAnsi="Arial" w:cs="Arial"/>
          <w:bCs/>
          <w:sz w:val="24"/>
          <w:szCs w:val="24"/>
        </w:rPr>
        <w:t xml:space="preserve">his </w:t>
      </w:r>
      <w:r w:rsidRPr="008644CE">
        <w:rPr>
          <w:rFonts w:ascii="Arial" w:hAnsi="Arial" w:cs="Arial"/>
          <w:bCs/>
          <w:sz w:val="24"/>
          <w:szCs w:val="24"/>
        </w:rPr>
        <w:t xml:space="preserve">use of force. </w:t>
      </w:r>
      <w:r w:rsidRPr="008644CE">
        <w:rPr>
          <w:rFonts w:ascii="Arial" w:hAnsi="Arial" w:cs="Arial"/>
          <w:bCs/>
          <w:i/>
          <w:iCs/>
          <w:sz w:val="24"/>
          <w:szCs w:val="24"/>
        </w:rPr>
        <w:t>Assault</w:t>
      </w:r>
      <w:r w:rsidRPr="008644CE">
        <w:rPr>
          <w:rFonts w:ascii="Arial" w:hAnsi="Arial" w:cs="Arial"/>
          <w:bCs/>
          <w:sz w:val="24"/>
          <w:szCs w:val="24"/>
        </w:rPr>
        <w:t xml:space="preserve"> is the purposeful or reckless use of illegal force on another person. The </w:t>
      </w:r>
      <w:proofErr w:type="spellStart"/>
      <w:r w:rsidRPr="008644CE">
        <w:rPr>
          <w:rFonts w:ascii="Arial" w:hAnsi="Arial" w:cs="Arial"/>
          <w:bCs/>
          <w:sz w:val="24"/>
          <w:szCs w:val="24"/>
        </w:rPr>
        <w:t>mens</w:t>
      </w:r>
      <w:proofErr w:type="spellEnd"/>
      <w:r w:rsidRPr="008644CE">
        <w:rPr>
          <w:rFonts w:ascii="Arial" w:hAnsi="Arial" w:cs="Arial"/>
          <w:bCs/>
          <w:sz w:val="24"/>
          <w:szCs w:val="24"/>
        </w:rPr>
        <w:t xml:space="preserve"> rea is the purpose or carelessness in using force, while the actus reus is the use of force (Iliffe, 1954).</w:t>
      </w:r>
    </w:p>
    <w:p w14:paraId="17C2391F" w14:textId="2DA1C742" w:rsidR="008644CE" w:rsidRDefault="008644CE" w:rsidP="008644CE">
      <w:pPr>
        <w:spacing w:line="360" w:lineRule="auto"/>
        <w:jc w:val="both"/>
        <w:rPr>
          <w:rFonts w:ascii="Arial" w:hAnsi="Arial" w:cs="Arial"/>
          <w:bCs/>
          <w:sz w:val="24"/>
          <w:szCs w:val="24"/>
        </w:rPr>
      </w:pPr>
      <w:r w:rsidRPr="008644CE">
        <w:rPr>
          <w:rFonts w:ascii="Arial" w:hAnsi="Arial" w:cs="Arial"/>
          <w:bCs/>
          <w:sz w:val="24"/>
          <w:szCs w:val="24"/>
        </w:rPr>
        <w:t xml:space="preserve">In R v Venna [1976], the court held that assault is sufficient if the force used was negligent. </w:t>
      </w:r>
      <w:r w:rsidR="00F70D2F">
        <w:rPr>
          <w:rFonts w:ascii="Arial" w:hAnsi="Arial" w:cs="Arial"/>
          <w:bCs/>
          <w:sz w:val="24"/>
          <w:szCs w:val="24"/>
        </w:rPr>
        <w:t>Michael’s</w:t>
      </w:r>
      <w:r w:rsidRPr="008644CE">
        <w:rPr>
          <w:rFonts w:ascii="Arial" w:hAnsi="Arial" w:cs="Arial"/>
          <w:bCs/>
          <w:sz w:val="24"/>
          <w:szCs w:val="24"/>
        </w:rPr>
        <w:t xml:space="preserve"> carelessness is clear in Billy's deadly fall due to </w:t>
      </w:r>
      <w:r w:rsidR="00F70D2F">
        <w:rPr>
          <w:rFonts w:ascii="Arial" w:hAnsi="Arial" w:cs="Arial"/>
          <w:bCs/>
          <w:sz w:val="24"/>
          <w:szCs w:val="24"/>
        </w:rPr>
        <w:t xml:space="preserve">his </w:t>
      </w:r>
      <w:r w:rsidRPr="008644CE">
        <w:rPr>
          <w:rFonts w:ascii="Arial" w:hAnsi="Arial" w:cs="Arial"/>
          <w:bCs/>
          <w:sz w:val="24"/>
          <w:szCs w:val="24"/>
        </w:rPr>
        <w:t xml:space="preserve">attempted removal. In R v Cunningham [1957], recklessness was described as anticipating danger and proceeding despite it, which is consistent with </w:t>
      </w:r>
      <w:r w:rsidR="00F70D2F">
        <w:rPr>
          <w:rFonts w:ascii="Arial" w:hAnsi="Arial" w:cs="Arial"/>
          <w:bCs/>
          <w:sz w:val="24"/>
          <w:szCs w:val="24"/>
        </w:rPr>
        <w:t>Michael’s</w:t>
      </w:r>
      <w:r w:rsidRPr="008644CE">
        <w:rPr>
          <w:rFonts w:ascii="Arial" w:hAnsi="Arial" w:cs="Arial"/>
          <w:bCs/>
          <w:sz w:val="24"/>
          <w:szCs w:val="24"/>
        </w:rPr>
        <w:t xml:space="preserve"> conduct (Allen, 2017). In the case of R v </w:t>
      </w:r>
      <w:proofErr w:type="gramStart"/>
      <w:r w:rsidRPr="008644CE">
        <w:rPr>
          <w:rFonts w:ascii="Arial" w:hAnsi="Arial" w:cs="Arial"/>
          <w:bCs/>
          <w:sz w:val="24"/>
          <w:szCs w:val="24"/>
        </w:rPr>
        <w:t>Savage;</w:t>
      </w:r>
      <w:proofErr w:type="gramEnd"/>
      <w:r w:rsidRPr="008644CE">
        <w:rPr>
          <w:rFonts w:ascii="Arial" w:hAnsi="Arial" w:cs="Arial"/>
          <w:bCs/>
          <w:sz w:val="24"/>
          <w:szCs w:val="24"/>
        </w:rPr>
        <w:t xml:space="preserve"> Parmenter [1991], the </w:t>
      </w:r>
      <w:proofErr w:type="spellStart"/>
      <w:r w:rsidRPr="008644CE">
        <w:rPr>
          <w:rFonts w:ascii="Arial" w:hAnsi="Arial" w:cs="Arial"/>
          <w:bCs/>
          <w:sz w:val="24"/>
          <w:szCs w:val="24"/>
        </w:rPr>
        <w:t>mens</w:t>
      </w:r>
      <w:proofErr w:type="spellEnd"/>
      <w:r w:rsidRPr="008644CE">
        <w:rPr>
          <w:rFonts w:ascii="Arial" w:hAnsi="Arial" w:cs="Arial"/>
          <w:bCs/>
          <w:sz w:val="24"/>
          <w:szCs w:val="24"/>
        </w:rPr>
        <w:t xml:space="preserve"> rea for assault is defined as the desire to use force or an indifference to whether such force is used. </w:t>
      </w:r>
      <w:r w:rsidR="00F70D2F">
        <w:rPr>
          <w:rFonts w:ascii="Arial" w:hAnsi="Arial" w:cs="Arial"/>
          <w:bCs/>
          <w:sz w:val="24"/>
          <w:szCs w:val="24"/>
        </w:rPr>
        <w:t>Michael’s</w:t>
      </w:r>
      <w:r w:rsidRPr="008644CE">
        <w:rPr>
          <w:rFonts w:ascii="Arial" w:hAnsi="Arial" w:cs="Arial"/>
          <w:bCs/>
          <w:sz w:val="24"/>
          <w:szCs w:val="24"/>
        </w:rPr>
        <w:t xml:space="preserve"> action of pushing Billy, which resulted in a fatal injury, as well as </w:t>
      </w:r>
      <w:r w:rsidR="00F70D2F">
        <w:rPr>
          <w:rFonts w:ascii="Arial" w:hAnsi="Arial" w:cs="Arial"/>
          <w:bCs/>
          <w:sz w:val="24"/>
          <w:szCs w:val="24"/>
        </w:rPr>
        <w:t xml:space="preserve">his </w:t>
      </w:r>
      <w:r w:rsidRPr="008644CE">
        <w:rPr>
          <w:rFonts w:ascii="Arial" w:hAnsi="Arial" w:cs="Arial"/>
          <w:bCs/>
          <w:sz w:val="24"/>
          <w:szCs w:val="24"/>
        </w:rPr>
        <w:t xml:space="preserve">frustration, plainly </w:t>
      </w:r>
      <w:r w:rsidR="00F70D2F">
        <w:rPr>
          <w:rFonts w:ascii="Arial" w:hAnsi="Arial" w:cs="Arial"/>
          <w:bCs/>
          <w:sz w:val="24"/>
          <w:szCs w:val="24"/>
        </w:rPr>
        <w:t>indicates</w:t>
      </w:r>
      <w:r w:rsidRPr="008644CE">
        <w:rPr>
          <w:rFonts w:ascii="Arial" w:hAnsi="Arial" w:cs="Arial"/>
          <w:bCs/>
          <w:sz w:val="24"/>
          <w:szCs w:val="24"/>
        </w:rPr>
        <w:t xml:space="preserve"> irresponsible behaviour. </w:t>
      </w:r>
    </w:p>
    <w:p w14:paraId="0E5C8150" w14:textId="2EC25B3A" w:rsidR="00E11BE0" w:rsidRPr="008644CE" w:rsidRDefault="00E11BE0" w:rsidP="00E11BE0">
      <w:pPr>
        <w:pStyle w:val="Heading1"/>
      </w:pPr>
      <w:r>
        <w:t>Conclusion</w:t>
      </w:r>
    </w:p>
    <w:p w14:paraId="2650D826" w14:textId="361ADDAF" w:rsidR="00E11BE0" w:rsidRDefault="00E11BE0" w:rsidP="00E11BE0">
      <w:pPr>
        <w:spacing w:line="360" w:lineRule="auto"/>
        <w:jc w:val="both"/>
        <w:rPr>
          <w:rFonts w:ascii="Arial" w:hAnsi="Arial" w:cs="Arial"/>
          <w:bCs/>
          <w:sz w:val="24"/>
          <w:szCs w:val="24"/>
        </w:rPr>
      </w:pPr>
      <w:r w:rsidRPr="00E11BE0">
        <w:rPr>
          <w:rFonts w:ascii="Arial" w:hAnsi="Arial" w:cs="Arial"/>
          <w:bCs/>
          <w:sz w:val="24"/>
          <w:szCs w:val="24"/>
        </w:rPr>
        <w:t>The examination of Linda and Michael's actions against established legal standards indicates potential liability for theft</w:t>
      </w:r>
      <w:r>
        <w:rPr>
          <w:rFonts w:ascii="Arial" w:hAnsi="Arial" w:cs="Arial"/>
          <w:bCs/>
          <w:sz w:val="24"/>
          <w:szCs w:val="24"/>
        </w:rPr>
        <w:t xml:space="preserve"> and </w:t>
      </w:r>
      <w:r w:rsidRPr="00E11BE0">
        <w:rPr>
          <w:rFonts w:ascii="Arial" w:hAnsi="Arial" w:cs="Arial"/>
          <w:bCs/>
          <w:sz w:val="24"/>
          <w:szCs w:val="24"/>
        </w:rPr>
        <w:t>criminal damage</w:t>
      </w:r>
      <w:r>
        <w:rPr>
          <w:rFonts w:ascii="Arial" w:hAnsi="Arial" w:cs="Arial"/>
          <w:bCs/>
          <w:sz w:val="24"/>
          <w:szCs w:val="24"/>
        </w:rPr>
        <w:t xml:space="preserve"> in Linda’s case and for Michael, </w:t>
      </w:r>
      <w:r w:rsidRPr="00E11BE0">
        <w:rPr>
          <w:rFonts w:ascii="Arial" w:hAnsi="Arial" w:cs="Arial"/>
          <w:bCs/>
          <w:sz w:val="24"/>
          <w:szCs w:val="24"/>
        </w:rPr>
        <w:t>involuntary manslaughter</w:t>
      </w:r>
      <w:r>
        <w:rPr>
          <w:rFonts w:ascii="Arial" w:hAnsi="Arial" w:cs="Arial"/>
          <w:bCs/>
          <w:sz w:val="24"/>
          <w:szCs w:val="24"/>
        </w:rPr>
        <w:t xml:space="preserve"> and assault</w:t>
      </w:r>
      <w:r w:rsidRPr="00E11BE0">
        <w:rPr>
          <w:rFonts w:ascii="Arial" w:hAnsi="Arial" w:cs="Arial"/>
          <w:bCs/>
          <w:sz w:val="24"/>
          <w:szCs w:val="24"/>
        </w:rPr>
        <w:t xml:space="preserve">. Effective legal representation is crucial for addressing these serious charges </w:t>
      </w:r>
      <w:r>
        <w:rPr>
          <w:rFonts w:ascii="Arial" w:hAnsi="Arial" w:cs="Arial"/>
          <w:bCs/>
          <w:sz w:val="24"/>
          <w:szCs w:val="24"/>
        </w:rPr>
        <w:t xml:space="preserve">before the </w:t>
      </w:r>
      <w:r w:rsidRPr="00E11BE0">
        <w:rPr>
          <w:rFonts w:ascii="Arial" w:hAnsi="Arial" w:cs="Arial"/>
          <w:bCs/>
          <w:sz w:val="24"/>
          <w:szCs w:val="24"/>
        </w:rPr>
        <w:t>law.</w:t>
      </w:r>
    </w:p>
    <w:p w14:paraId="4F8FF046" w14:textId="538B693B" w:rsidR="008B2DD7" w:rsidRDefault="008B2DD7">
      <w:pPr>
        <w:rPr>
          <w:rFonts w:ascii="Arial" w:hAnsi="Arial" w:cs="Arial"/>
          <w:bCs/>
          <w:sz w:val="24"/>
          <w:szCs w:val="24"/>
        </w:rPr>
      </w:pPr>
      <w:r>
        <w:rPr>
          <w:rFonts w:ascii="Arial" w:hAnsi="Arial" w:cs="Arial"/>
          <w:bCs/>
          <w:sz w:val="24"/>
          <w:szCs w:val="24"/>
        </w:rPr>
        <w:br w:type="page"/>
      </w:r>
    </w:p>
    <w:p w14:paraId="1F94A005" w14:textId="77777777" w:rsidR="008644CE" w:rsidRPr="008644CE" w:rsidRDefault="008644CE" w:rsidP="00E750C4">
      <w:pPr>
        <w:pStyle w:val="Heading1"/>
      </w:pPr>
      <w:r w:rsidRPr="008644CE">
        <w:lastRenderedPageBreak/>
        <w:t>Law Cases</w:t>
      </w:r>
    </w:p>
    <w:p w14:paraId="4261A6B7" w14:textId="77777777" w:rsidR="00E750C4" w:rsidRPr="00E750C4" w:rsidRDefault="00E750C4" w:rsidP="00E750C4">
      <w:pPr>
        <w:spacing w:line="360" w:lineRule="auto"/>
        <w:ind w:left="360"/>
        <w:jc w:val="both"/>
        <w:rPr>
          <w:rFonts w:ascii="Arial" w:hAnsi="Arial" w:cs="Arial"/>
          <w:bCs/>
          <w:sz w:val="24"/>
          <w:szCs w:val="24"/>
        </w:rPr>
      </w:pPr>
      <w:r w:rsidRPr="00E750C4">
        <w:rPr>
          <w:rFonts w:ascii="Arial" w:hAnsi="Arial" w:cs="Arial"/>
          <w:bCs/>
          <w:sz w:val="24"/>
          <w:szCs w:val="24"/>
        </w:rPr>
        <w:t>DPP v Smith (2006) EWHC 94 (Admin).</w:t>
      </w:r>
    </w:p>
    <w:p w14:paraId="37458F86" w14:textId="77777777" w:rsidR="00E750C4" w:rsidRPr="00E750C4" w:rsidRDefault="00E750C4" w:rsidP="00E750C4">
      <w:pPr>
        <w:spacing w:line="360" w:lineRule="auto"/>
        <w:ind w:left="360"/>
        <w:jc w:val="both"/>
        <w:rPr>
          <w:rFonts w:ascii="Arial" w:hAnsi="Arial" w:cs="Arial"/>
          <w:bCs/>
          <w:sz w:val="24"/>
          <w:szCs w:val="24"/>
        </w:rPr>
      </w:pPr>
      <w:r w:rsidRPr="00E750C4">
        <w:rPr>
          <w:rFonts w:ascii="Arial" w:hAnsi="Arial" w:cs="Arial"/>
          <w:bCs/>
          <w:sz w:val="24"/>
          <w:szCs w:val="24"/>
        </w:rPr>
        <w:t>Ivey v Genting Casinos (UK) Ltd (2017) UKSC 67, [2017] 3 WLR 1212.</w:t>
      </w:r>
    </w:p>
    <w:p w14:paraId="029FE7BE" w14:textId="77777777" w:rsidR="00E750C4" w:rsidRPr="00E750C4" w:rsidRDefault="00E750C4" w:rsidP="00E750C4">
      <w:pPr>
        <w:spacing w:line="360" w:lineRule="auto"/>
        <w:ind w:left="360"/>
        <w:jc w:val="both"/>
        <w:rPr>
          <w:rFonts w:ascii="Arial" w:hAnsi="Arial" w:cs="Arial"/>
          <w:bCs/>
          <w:sz w:val="24"/>
          <w:szCs w:val="24"/>
        </w:rPr>
      </w:pPr>
      <w:r w:rsidRPr="00E750C4">
        <w:rPr>
          <w:rFonts w:ascii="Arial" w:hAnsi="Arial" w:cs="Arial"/>
          <w:bCs/>
          <w:sz w:val="24"/>
          <w:szCs w:val="24"/>
        </w:rPr>
        <w:t>R v Chan-Fook (1994) 1 WLR 689.</w:t>
      </w:r>
    </w:p>
    <w:p w14:paraId="4B8A1241" w14:textId="77777777" w:rsidR="00E750C4" w:rsidRPr="00E750C4" w:rsidRDefault="00E750C4" w:rsidP="00E750C4">
      <w:pPr>
        <w:spacing w:line="360" w:lineRule="auto"/>
        <w:ind w:left="360"/>
        <w:jc w:val="both"/>
        <w:rPr>
          <w:rFonts w:ascii="Arial" w:hAnsi="Arial" w:cs="Arial"/>
          <w:bCs/>
          <w:sz w:val="24"/>
          <w:szCs w:val="24"/>
        </w:rPr>
      </w:pPr>
      <w:r w:rsidRPr="00E750C4">
        <w:rPr>
          <w:rFonts w:ascii="Arial" w:hAnsi="Arial" w:cs="Arial"/>
          <w:bCs/>
          <w:sz w:val="24"/>
          <w:szCs w:val="24"/>
        </w:rPr>
        <w:t>R v Church (1966) 1 QB 59.</w:t>
      </w:r>
    </w:p>
    <w:p w14:paraId="0AEB243B" w14:textId="77777777" w:rsidR="00E750C4" w:rsidRPr="00E750C4" w:rsidRDefault="00E750C4" w:rsidP="00E750C4">
      <w:pPr>
        <w:spacing w:line="360" w:lineRule="auto"/>
        <w:ind w:left="360"/>
        <w:jc w:val="both"/>
        <w:rPr>
          <w:rFonts w:ascii="Arial" w:hAnsi="Arial" w:cs="Arial"/>
          <w:bCs/>
          <w:sz w:val="24"/>
          <w:szCs w:val="24"/>
        </w:rPr>
      </w:pPr>
      <w:r w:rsidRPr="00E750C4">
        <w:rPr>
          <w:rFonts w:ascii="Arial" w:hAnsi="Arial" w:cs="Arial"/>
          <w:bCs/>
          <w:sz w:val="24"/>
          <w:szCs w:val="24"/>
        </w:rPr>
        <w:t>R v Cunningham (1957) 2 QB 396.</w:t>
      </w:r>
    </w:p>
    <w:p w14:paraId="79D9A307" w14:textId="77777777" w:rsidR="00E750C4" w:rsidRPr="00E750C4" w:rsidRDefault="00E750C4" w:rsidP="00E750C4">
      <w:pPr>
        <w:spacing w:line="360" w:lineRule="auto"/>
        <w:ind w:left="360"/>
        <w:jc w:val="both"/>
        <w:rPr>
          <w:rFonts w:ascii="Arial" w:hAnsi="Arial" w:cs="Arial"/>
          <w:bCs/>
          <w:sz w:val="24"/>
          <w:szCs w:val="24"/>
        </w:rPr>
      </w:pPr>
      <w:r w:rsidRPr="00E750C4">
        <w:rPr>
          <w:rFonts w:ascii="Arial" w:hAnsi="Arial" w:cs="Arial"/>
          <w:bCs/>
          <w:sz w:val="24"/>
          <w:szCs w:val="24"/>
        </w:rPr>
        <w:t>R v G and Another (2003) UKHL 50, [2004] 1 AC 1034.</w:t>
      </w:r>
    </w:p>
    <w:p w14:paraId="2D503B34" w14:textId="77777777" w:rsidR="00E750C4" w:rsidRPr="00E750C4" w:rsidRDefault="00E750C4" w:rsidP="00E750C4">
      <w:pPr>
        <w:spacing w:line="360" w:lineRule="auto"/>
        <w:ind w:left="360"/>
        <w:jc w:val="both"/>
        <w:rPr>
          <w:rFonts w:ascii="Arial" w:hAnsi="Arial" w:cs="Arial"/>
          <w:bCs/>
          <w:sz w:val="24"/>
          <w:szCs w:val="24"/>
        </w:rPr>
      </w:pPr>
      <w:r w:rsidRPr="00E750C4">
        <w:rPr>
          <w:rFonts w:ascii="Arial" w:hAnsi="Arial" w:cs="Arial"/>
          <w:bCs/>
          <w:sz w:val="24"/>
          <w:szCs w:val="24"/>
        </w:rPr>
        <w:t>R v Goodfellow (1986) 83 Cr App R 23.</w:t>
      </w:r>
    </w:p>
    <w:p w14:paraId="79FC16E0" w14:textId="77777777" w:rsidR="00E750C4" w:rsidRPr="00E750C4" w:rsidRDefault="00E750C4" w:rsidP="00E750C4">
      <w:pPr>
        <w:spacing w:line="360" w:lineRule="auto"/>
        <w:ind w:left="360"/>
        <w:jc w:val="both"/>
        <w:rPr>
          <w:rFonts w:ascii="Arial" w:hAnsi="Arial" w:cs="Arial"/>
          <w:bCs/>
          <w:sz w:val="24"/>
          <w:szCs w:val="24"/>
        </w:rPr>
      </w:pPr>
      <w:r w:rsidRPr="00E750C4">
        <w:rPr>
          <w:rFonts w:ascii="Arial" w:hAnsi="Arial" w:cs="Arial"/>
          <w:bCs/>
          <w:sz w:val="24"/>
          <w:szCs w:val="24"/>
        </w:rPr>
        <w:t>R v Larkin (1943) 1 KB 174.</w:t>
      </w:r>
    </w:p>
    <w:p w14:paraId="5706792C" w14:textId="77777777" w:rsidR="00E750C4" w:rsidRPr="00E750C4" w:rsidRDefault="00E750C4" w:rsidP="00E750C4">
      <w:pPr>
        <w:spacing w:line="360" w:lineRule="auto"/>
        <w:ind w:left="360"/>
        <w:jc w:val="both"/>
        <w:rPr>
          <w:rFonts w:ascii="Arial" w:hAnsi="Arial" w:cs="Arial"/>
          <w:bCs/>
          <w:sz w:val="24"/>
          <w:szCs w:val="24"/>
        </w:rPr>
      </w:pPr>
      <w:r w:rsidRPr="00E750C4">
        <w:rPr>
          <w:rFonts w:ascii="Arial" w:hAnsi="Arial" w:cs="Arial"/>
          <w:bCs/>
          <w:sz w:val="24"/>
          <w:szCs w:val="24"/>
        </w:rPr>
        <w:t>R v Lloyd (1985) 1 QB 829.</w:t>
      </w:r>
    </w:p>
    <w:p w14:paraId="2E63791B" w14:textId="77777777" w:rsidR="00E750C4" w:rsidRPr="00E750C4" w:rsidRDefault="00E750C4" w:rsidP="00E750C4">
      <w:pPr>
        <w:spacing w:line="360" w:lineRule="auto"/>
        <w:ind w:left="360"/>
        <w:jc w:val="both"/>
        <w:rPr>
          <w:rFonts w:ascii="Arial" w:hAnsi="Arial" w:cs="Arial"/>
          <w:bCs/>
          <w:sz w:val="24"/>
          <w:szCs w:val="24"/>
        </w:rPr>
      </w:pPr>
      <w:r w:rsidRPr="00E750C4">
        <w:rPr>
          <w:rFonts w:ascii="Arial" w:hAnsi="Arial" w:cs="Arial"/>
          <w:bCs/>
          <w:sz w:val="24"/>
          <w:szCs w:val="24"/>
        </w:rPr>
        <w:t>R v Morris (1983) 1 All ER 288.</w:t>
      </w:r>
    </w:p>
    <w:p w14:paraId="3929DEC5" w14:textId="77777777" w:rsidR="00E750C4" w:rsidRPr="00E750C4" w:rsidRDefault="00E750C4" w:rsidP="00E750C4">
      <w:pPr>
        <w:spacing w:line="360" w:lineRule="auto"/>
        <w:ind w:left="360"/>
        <w:jc w:val="both"/>
        <w:rPr>
          <w:rFonts w:ascii="Arial" w:hAnsi="Arial" w:cs="Arial"/>
          <w:bCs/>
          <w:sz w:val="24"/>
          <w:szCs w:val="24"/>
        </w:rPr>
      </w:pPr>
      <w:r w:rsidRPr="00E750C4">
        <w:rPr>
          <w:rFonts w:ascii="Arial" w:hAnsi="Arial" w:cs="Arial"/>
          <w:bCs/>
          <w:sz w:val="24"/>
          <w:szCs w:val="24"/>
        </w:rPr>
        <w:t>R v Roberts (1971) 56 Cr App R 95.</w:t>
      </w:r>
    </w:p>
    <w:p w14:paraId="1653FCDE" w14:textId="77777777" w:rsidR="00E750C4" w:rsidRPr="00E750C4" w:rsidRDefault="00E750C4" w:rsidP="00E750C4">
      <w:pPr>
        <w:spacing w:line="360" w:lineRule="auto"/>
        <w:ind w:left="360"/>
        <w:jc w:val="both"/>
        <w:rPr>
          <w:rFonts w:ascii="Arial" w:hAnsi="Arial" w:cs="Arial"/>
          <w:bCs/>
          <w:sz w:val="24"/>
          <w:szCs w:val="24"/>
        </w:rPr>
      </w:pPr>
      <w:r w:rsidRPr="00E750C4">
        <w:rPr>
          <w:rFonts w:ascii="Arial" w:hAnsi="Arial" w:cs="Arial"/>
          <w:bCs/>
          <w:sz w:val="24"/>
          <w:szCs w:val="24"/>
        </w:rPr>
        <w:t>R v Savage (1991) 1 WLR 1.</w:t>
      </w:r>
    </w:p>
    <w:p w14:paraId="2F188733" w14:textId="77777777" w:rsidR="00E750C4" w:rsidRPr="00E750C4" w:rsidRDefault="00E750C4" w:rsidP="00E750C4">
      <w:pPr>
        <w:spacing w:line="360" w:lineRule="auto"/>
        <w:ind w:left="360"/>
        <w:jc w:val="both"/>
        <w:rPr>
          <w:rFonts w:ascii="Arial" w:hAnsi="Arial" w:cs="Arial"/>
          <w:bCs/>
          <w:sz w:val="24"/>
          <w:szCs w:val="24"/>
        </w:rPr>
      </w:pPr>
      <w:r w:rsidRPr="00E750C4">
        <w:rPr>
          <w:rFonts w:ascii="Arial" w:hAnsi="Arial" w:cs="Arial"/>
          <w:bCs/>
          <w:sz w:val="24"/>
          <w:szCs w:val="24"/>
        </w:rPr>
        <w:t>R v Smith (1974) 1 WLR 1204.</w:t>
      </w:r>
    </w:p>
    <w:p w14:paraId="5B076BFE" w14:textId="77777777" w:rsidR="00E750C4" w:rsidRPr="00E750C4" w:rsidRDefault="00E750C4" w:rsidP="00E750C4">
      <w:pPr>
        <w:spacing w:line="360" w:lineRule="auto"/>
        <w:ind w:left="360"/>
        <w:jc w:val="both"/>
        <w:rPr>
          <w:rFonts w:ascii="Arial" w:hAnsi="Arial" w:cs="Arial"/>
          <w:bCs/>
          <w:sz w:val="24"/>
          <w:szCs w:val="24"/>
        </w:rPr>
      </w:pPr>
      <w:r w:rsidRPr="00E750C4">
        <w:rPr>
          <w:rFonts w:ascii="Arial" w:hAnsi="Arial" w:cs="Arial"/>
          <w:bCs/>
          <w:sz w:val="24"/>
          <w:szCs w:val="24"/>
        </w:rPr>
        <w:t xml:space="preserve">R v </w:t>
      </w:r>
      <w:proofErr w:type="spellStart"/>
      <w:r w:rsidRPr="00E750C4">
        <w:rPr>
          <w:rFonts w:ascii="Arial" w:hAnsi="Arial" w:cs="Arial"/>
          <w:bCs/>
          <w:sz w:val="24"/>
          <w:szCs w:val="24"/>
        </w:rPr>
        <w:t>Velumyl</w:t>
      </w:r>
      <w:proofErr w:type="spellEnd"/>
      <w:r w:rsidRPr="00E750C4">
        <w:rPr>
          <w:rFonts w:ascii="Arial" w:hAnsi="Arial" w:cs="Arial"/>
          <w:bCs/>
          <w:sz w:val="24"/>
          <w:szCs w:val="24"/>
        </w:rPr>
        <w:t xml:space="preserve"> (1989) 1 WLR 297.</w:t>
      </w:r>
    </w:p>
    <w:p w14:paraId="46C6DF84" w14:textId="77777777" w:rsidR="00E750C4" w:rsidRDefault="00E750C4" w:rsidP="00E750C4">
      <w:pPr>
        <w:spacing w:line="360" w:lineRule="auto"/>
        <w:ind w:left="360"/>
        <w:jc w:val="both"/>
        <w:rPr>
          <w:rFonts w:ascii="Arial" w:hAnsi="Arial" w:cs="Arial"/>
          <w:bCs/>
          <w:sz w:val="24"/>
          <w:szCs w:val="24"/>
        </w:rPr>
      </w:pPr>
      <w:r w:rsidRPr="00E750C4">
        <w:rPr>
          <w:rFonts w:ascii="Arial" w:hAnsi="Arial" w:cs="Arial"/>
          <w:bCs/>
          <w:sz w:val="24"/>
          <w:szCs w:val="24"/>
        </w:rPr>
        <w:t>R v Venna (1976) QB 421.</w:t>
      </w:r>
    </w:p>
    <w:p w14:paraId="0B9E72B9" w14:textId="25D62F6B" w:rsidR="00E750C4" w:rsidRDefault="00E750C4" w:rsidP="00E750C4">
      <w:pPr>
        <w:pStyle w:val="Heading1"/>
      </w:pPr>
      <w:r>
        <w:t>Legislation</w:t>
      </w:r>
    </w:p>
    <w:p w14:paraId="385BFE22" w14:textId="77777777" w:rsidR="00E750C4" w:rsidRPr="00E750C4" w:rsidRDefault="00E750C4" w:rsidP="00E750C4">
      <w:pPr>
        <w:spacing w:line="360" w:lineRule="auto"/>
        <w:ind w:left="360"/>
        <w:jc w:val="both"/>
        <w:rPr>
          <w:rFonts w:ascii="Arial" w:hAnsi="Arial" w:cs="Arial"/>
          <w:bCs/>
          <w:sz w:val="24"/>
          <w:szCs w:val="24"/>
        </w:rPr>
      </w:pPr>
      <w:r w:rsidRPr="00E750C4">
        <w:rPr>
          <w:rFonts w:ascii="Arial" w:hAnsi="Arial" w:cs="Arial"/>
          <w:bCs/>
          <w:sz w:val="24"/>
          <w:szCs w:val="24"/>
        </w:rPr>
        <w:t>Theft Act 1968, c. 60.</w:t>
      </w:r>
    </w:p>
    <w:p w14:paraId="3C311D5E" w14:textId="77777777" w:rsidR="00E750C4" w:rsidRPr="00E750C4" w:rsidRDefault="00E750C4" w:rsidP="00E750C4">
      <w:pPr>
        <w:spacing w:line="360" w:lineRule="auto"/>
        <w:ind w:left="360"/>
        <w:jc w:val="both"/>
        <w:rPr>
          <w:rFonts w:ascii="Arial" w:hAnsi="Arial" w:cs="Arial"/>
          <w:bCs/>
          <w:sz w:val="24"/>
          <w:szCs w:val="24"/>
        </w:rPr>
      </w:pPr>
      <w:r w:rsidRPr="00E750C4">
        <w:rPr>
          <w:rFonts w:ascii="Arial" w:hAnsi="Arial" w:cs="Arial"/>
          <w:bCs/>
          <w:sz w:val="24"/>
          <w:szCs w:val="24"/>
        </w:rPr>
        <w:t>Criminal Damage Act 1971, c. 48.</w:t>
      </w:r>
    </w:p>
    <w:p w14:paraId="212AA0D8" w14:textId="43406FC5" w:rsidR="00E750C4" w:rsidRPr="00E750C4" w:rsidRDefault="00E750C4" w:rsidP="00E750C4">
      <w:pPr>
        <w:spacing w:line="360" w:lineRule="auto"/>
        <w:ind w:left="360"/>
        <w:jc w:val="both"/>
        <w:rPr>
          <w:rFonts w:ascii="Arial" w:hAnsi="Arial" w:cs="Arial"/>
          <w:bCs/>
          <w:sz w:val="24"/>
          <w:szCs w:val="24"/>
        </w:rPr>
      </w:pPr>
      <w:r w:rsidRPr="00E750C4">
        <w:rPr>
          <w:rFonts w:ascii="Arial" w:hAnsi="Arial" w:cs="Arial"/>
          <w:bCs/>
          <w:sz w:val="24"/>
          <w:szCs w:val="24"/>
        </w:rPr>
        <w:t>Offences Against the Person Act 1861, c. 100.</w:t>
      </w:r>
    </w:p>
    <w:sectPr w:rsidR="00E750C4" w:rsidRPr="00E750C4">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922CE3" w14:textId="77777777" w:rsidR="00BF66BE" w:rsidRDefault="00BF66BE" w:rsidP="00BE38E0">
      <w:pPr>
        <w:spacing w:after="0" w:line="240" w:lineRule="auto"/>
      </w:pPr>
      <w:r>
        <w:separator/>
      </w:r>
    </w:p>
  </w:endnote>
  <w:endnote w:type="continuationSeparator" w:id="0">
    <w:p w14:paraId="4DA509F0" w14:textId="77777777" w:rsidR="00BF66BE" w:rsidRDefault="00BF66BE" w:rsidP="00BE38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77930137"/>
      <w:docPartObj>
        <w:docPartGallery w:val="Page Numbers (Bottom of Page)"/>
        <w:docPartUnique/>
      </w:docPartObj>
    </w:sdtPr>
    <w:sdtEndPr>
      <w:rPr>
        <w:noProof/>
      </w:rPr>
    </w:sdtEndPr>
    <w:sdtContent>
      <w:p w14:paraId="2F10A319" w14:textId="21470DE9" w:rsidR="008644CE" w:rsidRDefault="008644C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EBA6AE" w14:textId="77777777" w:rsidR="008644CE" w:rsidRDefault="008644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3F3665" w14:textId="77777777" w:rsidR="00BF66BE" w:rsidRDefault="00BF66BE" w:rsidP="00BE38E0">
      <w:pPr>
        <w:spacing w:after="0" w:line="240" w:lineRule="auto"/>
      </w:pPr>
      <w:r>
        <w:separator/>
      </w:r>
    </w:p>
  </w:footnote>
  <w:footnote w:type="continuationSeparator" w:id="0">
    <w:p w14:paraId="038E9E6A" w14:textId="77777777" w:rsidR="00BF66BE" w:rsidRDefault="00BF66BE" w:rsidP="00BE38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F2A329" w14:textId="2ACFEFF4" w:rsidR="00BE38E0" w:rsidRDefault="00BE38E0">
    <w:pPr>
      <w:pStyle w:val="Header"/>
    </w:pPr>
    <w:r w:rsidRPr="00BE38E0">
      <w:rPr>
        <w:noProof/>
      </w:rPr>
      <w:drawing>
        <wp:inline distT="0" distB="0" distL="0" distR="0" wp14:anchorId="2FCDB978" wp14:editId="23F075D1">
          <wp:extent cx="1447800" cy="476250"/>
          <wp:effectExtent l="0" t="0" r="0" b="0"/>
          <wp:docPr id="899646217"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646217" name="Picture 1" descr="A close-up of black text&#10;&#10;Description automatically generated"/>
                  <pic:cNvPicPr/>
                </pic:nvPicPr>
                <pic:blipFill>
                  <a:blip r:embed="rId1"/>
                  <a:stretch>
                    <a:fillRect/>
                  </a:stretch>
                </pic:blipFill>
                <pic:spPr>
                  <a:xfrm>
                    <a:off x="0" y="0"/>
                    <a:ext cx="1448007" cy="476318"/>
                  </a:xfrm>
                  <a:prstGeom prst="rect">
                    <a:avLst/>
                  </a:prstGeom>
                </pic:spPr>
              </pic:pic>
            </a:graphicData>
          </a:graphic>
        </wp:inline>
      </w:drawing>
    </w:r>
  </w:p>
  <w:p w14:paraId="05B4D492" w14:textId="77777777" w:rsidR="00BE38E0" w:rsidRDefault="00BE38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BA7D08"/>
    <w:multiLevelType w:val="multilevel"/>
    <w:tmpl w:val="E9C604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A35D55"/>
    <w:multiLevelType w:val="multilevel"/>
    <w:tmpl w:val="BC409A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B6438E"/>
    <w:multiLevelType w:val="multilevel"/>
    <w:tmpl w:val="DD220A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E1D0F2E"/>
    <w:multiLevelType w:val="multilevel"/>
    <w:tmpl w:val="D2F245B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A30F0C"/>
    <w:multiLevelType w:val="multilevel"/>
    <w:tmpl w:val="C56A0C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F6A783A"/>
    <w:multiLevelType w:val="multilevel"/>
    <w:tmpl w:val="26A041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85B0417"/>
    <w:multiLevelType w:val="multilevel"/>
    <w:tmpl w:val="3AA8B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F1778BD"/>
    <w:multiLevelType w:val="multilevel"/>
    <w:tmpl w:val="5FEC5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4863276">
    <w:abstractNumId w:val="4"/>
  </w:num>
  <w:num w:numId="2" w16cid:durableId="1489441893">
    <w:abstractNumId w:val="5"/>
  </w:num>
  <w:num w:numId="3" w16cid:durableId="1784425518">
    <w:abstractNumId w:val="6"/>
  </w:num>
  <w:num w:numId="4" w16cid:durableId="452747523">
    <w:abstractNumId w:val="0"/>
  </w:num>
  <w:num w:numId="5" w16cid:durableId="999305925">
    <w:abstractNumId w:val="1"/>
  </w:num>
  <w:num w:numId="6" w16cid:durableId="296956359">
    <w:abstractNumId w:val="2"/>
  </w:num>
  <w:num w:numId="7" w16cid:durableId="265506321">
    <w:abstractNumId w:val="7"/>
  </w:num>
  <w:num w:numId="8" w16cid:durableId="250592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F1E"/>
    <w:rsid w:val="00116617"/>
    <w:rsid w:val="00123457"/>
    <w:rsid w:val="00135F1E"/>
    <w:rsid w:val="00153219"/>
    <w:rsid w:val="0033740D"/>
    <w:rsid w:val="00405FCD"/>
    <w:rsid w:val="00630C4D"/>
    <w:rsid w:val="006D1D00"/>
    <w:rsid w:val="008644CE"/>
    <w:rsid w:val="0088651B"/>
    <w:rsid w:val="008B2DD7"/>
    <w:rsid w:val="00900C57"/>
    <w:rsid w:val="00A11E74"/>
    <w:rsid w:val="00B872EA"/>
    <w:rsid w:val="00BE38E0"/>
    <w:rsid w:val="00BF66BE"/>
    <w:rsid w:val="00CA7FDE"/>
    <w:rsid w:val="00D60979"/>
    <w:rsid w:val="00E11BE0"/>
    <w:rsid w:val="00E74FEE"/>
    <w:rsid w:val="00E750C4"/>
    <w:rsid w:val="00E87948"/>
    <w:rsid w:val="00EC325B"/>
    <w:rsid w:val="00F70D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268E60"/>
  <w15:chartTrackingRefBased/>
  <w15:docId w15:val="{4F344818-7138-477F-A12B-921054EA61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2DD7"/>
    <w:pPr>
      <w:keepNext/>
      <w:keepLines/>
      <w:spacing w:before="360" w:after="80"/>
      <w:outlineLvl w:val="0"/>
    </w:pPr>
    <w:rPr>
      <w:rFonts w:ascii="Arial" w:eastAsiaTheme="majorEastAsia" w:hAnsi="Arial" w:cs="Arial"/>
      <w:color w:val="0F4761" w:themeColor="accent1" w:themeShade="BF"/>
      <w:sz w:val="24"/>
      <w:szCs w:val="24"/>
    </w:rPr>
  </w:style>
  <w:style w:type="paragraph" w:styleId="Heading2">
    <w:name w:val="heading 2"/>
    <w:basedOn w:val="Normal"/>
    <w:next w:val="Normal"/>
    <w:link w:val="Heading2Char"/>
    <w:uiPriority w:val="9"/>
    <w:unhideWhenUsed/>
    <w:qFormat/>
    <w:rsid w:val="008B2DD7"/>
    <w:pPr>
      <w:keepNext/>
      <w:keepLines/>
      <w:spacing w:before="160" w:after="80"/>
      <w:outlineLvl w:val="1"/>
    </w:pPr>
    <w:rPr>
      <w:rFonts w:ascii="Arial" w:eastAsiaTheme="majorEastAsia" w:hAnsi="Arial" w:cs="Arial"/>
      <w:color w:val="0F4761" w:themeColor="accent1" w:themeShade="BF"/>
      <w:sz w:val="24"/>
      <w:szCs w:val="24"/>
    </w:rPr>
  </w:style>
  <w:style w:type="paragraph" w:styleId="Heading3">
    <w:name w:val="heading 3"/>
    <w:basedOn w:val="Normal"/>
    <w:next w:val="Normal"/>
    <w:link w:val="Heading3Char"/>
    <w:uiPriority w:val="9"/>
    <w:semiHidden/>
    <w:unhideWhenUsed/>
    <w:rsid w:val="00135F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5F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5F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5F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5F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5F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5F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2DD7"/>
    <w:rPr>
      <w:rFonts w:ascii="Arial" w:eastAsiaTheme="majorEastAsia" w:hAnsi="Arial" w:cs="Arial"/>
      <w:color w:val="0F4761" w:themeColor="accent1" w:themeShade="BF"/>
      <w:sz w:val="24"/>
      <w:szCs w:val="24"/>
    </w:rPr>
  </w:style>
  <w:style w:type="character" w:customStyle="1" w:styleId="Heading2Char">
    <w:name w:val="Heading 2 Char"/>
    <w:basedOn w:val="DefaultParagraphFont"/>
    <w:link w:val="Heading2"/>
    <w:uiPriority w:val="9"/>
    <w:rsid w:val="008B2DD7"/>
    <w:rPr>
      <w:rFonts w:ascii="Arial" w:eastAsiaTheme="majorEastAsia" w:hAnsi="Arial" w:cs="Arial"/>
      <w:color w:val="0F4761" w:themeColor="accent1" w:themeShade="BF"/>
      <w:sz w:val="24"/>
      <w:szCs w:val="24"/>
    </w:rPr>
  </w:style>
  <w:style w:type="character" w:customStyle="1" w:styleId="Heading3Char">
    <w:name w:val="Heading 3 Char"/>
    <w:basedOn w:val="DefaultParagraphFont"/>
    <w:link w:val="Heading3"/>
    <w:uiPriority w:val="9"/>
    <w:semiHidden/>
    <w:rsid w:val="00135F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5F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5F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5F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5F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5F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5F1E"/>
    <w:rPr>
      <w:rFonts w:eastAsiaTheme="majorEastAsia" w:cstheme="majorBidi"/>
      <w:color w:val="272727" w:themeColor="text1" w:themeTint="D8"/>
    </w:rPr>
  </w:style>
  <w:style w:type="paragraph" w:styleId="Title">
    <w:name w:val="Title"/>
    <w:basedOn w:val="Normal"/>
    <w:next w:val="Normal"/>
    <w:link w:val="TitleChar"/>
    <w:uiPriority w:val="10"/>
    <w:rsid w:val="00135F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5F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5F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5F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5F1E"/>
    <w:pPr>
      <w:spacing w:before="160"/>
      <w:jc w:val="center"/>
    </w:pPr>
    <w:rPr>
      <w:i/>
      <w:iCs/>
      <w:color w:val="404040" w:themeColor="text1" w:themeTint="BF"/>
    </w:rPr>
  </w:style>
  <w:style w:type="character" w:customStyle="1" w:styleId="QuoteChar">
    <w:name w:val="Quote Char"/>
    <w:basedOn w:val="DefaultParagraphFont"/>
    <w:link w:val="Quote"/>
    <w:uiPriority w:val="29"/>
    <w:rsid w:val="00135F1E"/>
    <w:rPr>
      <w:i/>
      <w:iCs/>
      <w:color w:val="404040" w:themeColor="text1" w:themeTint="BF"/>
    </w:rPr>
  </w:style>
  <w:style w:type="paragraph" w:styleId="ListParagraph">
    <w:name w:val="List Paragraph"/>
    <w:basedOn w:val="Normal"/>
    <w:uiPriority w:val="34"/>
    <w:qFormat/>
    <w:rsid w:val="00135F1E"/>
    <w:pPr>
      <w:ind w:left="720"/>
      <w:contextualSpacing/>
    </w:pPr>
  </w:style>
  <w:style w:type="character" w:styleId="IntenseEmphasis">
    <w:name w:val="Intense Emphasis"/>
    <w:basedOn w:val="DefaultParagraphFont"/>
    <w:uiPriority w:val="21"/>
    <w:qFormat/>
    <w:rsid w:val="00135F1E"/>
    <w:rPr>
      <w:i/>
      <w:iCs/>
      <w:color w:val="0F4761" w:themeColor="accent1" w:themeShade="BF"/>
    </w:rPr>
  </w:style>
  <w:style w:type="paragraph" w:styleId="IntenseQuote">
    <w:name w:val="Intense Quote"/>
    <w:basedOn w:val="Normal"/>
    <w:next w:val="Normal"/>
    <w:link w:val="IntenseQuoteChar"/>
    <w:uiPriority w:val="30"/>
    <w:qFormat/>
    <w:rsid w:val="00135F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5F1E"/>
    <w:rPr>
      <w:i/>
      <w:iCs/>
      <w:color w:val="0F4761" w:themeColor="accent1" w:themeShade="BF"/>
    </w:rPr>
  </w:style>
  <w:style w:type="character" w:styleId="IntenseReference">
    <w:name w:val="Intense Reference"/>
    <w:basedOn w:val="DefaultParagraphFont"/>
    <w:uiPriority w:val="32"/>
    <w:qFormat/>
    <w:rsid w:val="00135F1E"/>
    <w:rPr>
      <w:b/>
      <w:bCs/>
      <w:smallCaps/>
      <w:color w:val="0F4761" w:themeColor="accent1" w:themeShade="BF"/>
      <w:spacing w:val="5"/>
    </w:rPr>
  </w:style>
  <w:style w:type="paragraph" w:styleId="Header">
    <w:name w:val="header"/>
    <w:basedOn w:val="Normal"/>
    <w:link w:val="HeaderChar"/>
    <w:uiPriority w:val="99"/>
    <w:unhideWhenUsed/>
    <w:rsid w:val="00BE38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38E0"/>
  </w:style>
  <w:style w:type="paragraph" w:styleId="Footer">
    <w:name w:val="footer"/>
    <w:basedOn w:val="Normal"/>
    <w:link w:val="FooterChar"/>
    <w:uiPriority w:val="99"/>
    <w:unhideWhenUsed/>
    <w:rsid w:val="00BE38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38E0"/>
  </w:style>
  <w:style w:type="character" w:styleId="Hyperlink">
    <w:name w:val="Hyperlink"/>
    <w:basedOn w:val="DefaultParagraphFont"/>
    <w:uiPriority w:val="99"/>
    <w:unhideWhenUsed/>
    <w:rsid w:val="008644CE"/>
    <w:rPr>
      <w:color w:val="467886" w:themeColor="hyperlink"/>
      <w:u w:val="single"/>
    </w:rPr>
  </w:style>
  <w:style w:type="character" w:styleId="UnresolvedMention">
    <w:name w:val="Unresolved Mention"/>
    <w:basedOn w:val="DefaultParagraphFont"/>
    <w:uiPriority w:val="99"/>
    <w:semiHidden/>
    <w:unhideWhenUsed/>
    <w:rsid w:val="008644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3537426">
      <w:bodyDiv w:val="1"/>
      <w:marLeft w:val="0"/>
      <w:marRight w:val="0"/>
      <w:marTop w:val="0"/>
      <w:marBottom w:val="0"/>
      <w:divBdr>
        <w:top w:val="none" w:sz="0" w:space="0" w:color="auto"/>
        <w:left w:val="none" w:sz="0" w:space="0" w:color="auto"/>
        <w:bottom w:val="none" w:sz="0" w:space="0" w:color="auto"/>
        <w:right w:val="none" w:sz="0" w:space="0" w:color="auto"/>
      </w:divBdr>
    </w:div>
    <w:div w:id="374619126">
      <w:bodyDiv w:val="1"/>
      <w:marLeft w:val="0"/>
      <w:marRight w:val="0"/>
      <w:marTop w:val="0"/>
      <w:marBottom w:val="0"/>
      <w:divBdr>
        <w:top w:val="none" w:sz="0" w:space="0" w:color="auto"/>
        <w:left w:val="none" w:sz="0" w:space="0" w:color="auto"/>
        <w:bottom w:val="none" w:sz="0" w:space="0" w:color="auto"/>
        <w:right w:val="none" w:sz="0" w:space="0" w:color="auto"/>
      </w:divBdr>
    </w:div>
    <w:div w:id="843520203">
      <w:bodyDiv w:val="1"/>
      <w:marLeft w:val="0"/>
      <w:marRight w:val="0"/>
      <w:marTop w:val="0"/>
      <w:marBottom w:val="0"/>
      <w:divBdr>
        <w:top w:val="none" w:sz="0" w:space="0" w:color="auto"/>
        <w:left w:val="none" w:sz="0" w:space="0" w:color="auto"/>
        <w:bottom w:val="none" w:sz="0" w:space="0" w:color="auto"/>
        <w:right w:val="none" w:sz="0" w:space="0" w:color="auto"/>
      </w:divBdr>
    </w:div>
    <w:div w:id="1614239428">
      <w:bodyDiv w:val="1"/>
      <w:marLeft w:val="0"/>
      <w:marRight w:val="0"/>
      <w:marTop w:val="0"/>
      <w:marBottom w:val="0"/>
      <w:divBdr>
        <w:top w:val="none" w:sz="0" w:space="0" w:color="auto"/>
        <w:left w:val="none" w:sz="0" w:space="0" w:color="auto"/>
        <w:bottom w:val="none" w:sz="0" w:space="0" w:color="auto"/>
        <w:right w:val="none" w:sz="0" w:space="0" w:color="auto"/>
      </w:divBdr>
    </w:div>
    <w:div w:id="1883709808">
      <w:bodyDiv w:val="1"/>
      <w:marLeft w:val="0"/>
      <w:marRight w:val="0"/>
      <w:marTop w:val="0"/>
      <w:marBottom w:val="0"/>
      <w:divBdr>
        <w:top w:val="none" w:sz="0" w:space="0" w:color="auto"/>
        <w:left w:val="none" w:sz="0" w:space="0" w:color="auto"/>
        <w:bottom w:val="none" w:sz="0" w:space="0" w:color="auto"/>
        <w:right w:val="none" w:sz="0" w:space="0" w:color="auto"/>
      </w:divBdr>
    </w:div>
    <w:div w:id="2107993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7</Pages>
  <Words>1642</Words>
  <Characters>8470</Characters>
  <Application>Microsoft Office Word</Application>
  <DocSecurity>0</DocSecurity>
  <Lines>70</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Daniela Dan</dc:creator>
  <cp:keywords/>
  <dc:description/>
  <cp:lastModifiedBy>Ana Moldovan</cp:lastModifiedBy>
  <cp:revision>3</cp:revision>
  <dcterms:created xsi:type="dcterms:W3CDTF">2024-07-26T22:41:00Z</dcterms:created>
  <dcterms:modified xsi:type="dcterms:W3CDTF">2024-07-26T22:41:00Z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6d3cafc9048eb17768356a517770a220f4b14ea5605bc6c482b0e350c1a072a9</vt:lpwstr>
  </property>
</Properties>
</file>