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default" w:ascii="Arial" w:hAnsi="Arial" w:cs="Arial"/>
          <w:b w:val="0"/>
          <w:bCs w:val="0"/>
          <w:sz w:val="24"/>
          <w:szCs w:val="24"/>
        </w:rPr>
        <w:id w:val="1609007492"/>
        <w:docPartObj>
          <w:docPartGallery w:val="autotext"/>
        </w:docPartObj>
      </w:sdtPr>
      <w:sdtEndPr>
        <w:rPr>
          <w:rFonts w:hint="default" w:ascii="Arial" w:hAnsi="Arial" w:cs="Arial"/>
          <w:b w:val="0"/>
          <w:bCs w:val="0"/>
          <w:sz w:val="24"/>
          <w:szCs w:val="24"/>
        </w:rPr>
      </w:sdtEndPr>
      <w:sdtContent>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cs="Arial"/>
              <w:b w:val="0"/>
              <w:bCs w:val="0"/>
              <w:sz w:val="24"/>
              <w:szCs w:val="24"/>
            </w:rPr>
            <mc:AlternateContent>
              <mc:Choice Requires="wps">
                <w:drawing>
                  <wp:anchor distT="0" distB="0" distL="114300" distR="114300" simplePos="0" relativeHeight="251659264" behindDoc="0" locked="0" layoutInCell="1" allowOverlap="1">
                    <wp:simplePos x="0" y="0"/>
                    <wp:positionH relativeFrom="page">
                      <wp:posOffset>5827395</wp:posOffset>
                    </wp:positionH>
                    <wp:positionV relativeFrom="page">
                      <wp:posOffset>1233805</wp:posOffset>
                    </wp:positionV>
                    <wp:extent cx="1162685" cy="110744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1162685" cy="1107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mallCaps/>
                                    <w:color w:val="404040" w:themeColor="text1" w:themeTint="BF"/>
                                    <w:sz w:val="36"/>
                                    <w:szCs w:val="36"/>
                                    <w14:textFill>
                                      <w14:solidFill>
                                        <w14:schemeClr w14:val="tx1">
                                          <w14:lumMod w14:val="75000"/>
                                          <w14:lumOff w14:val="25000"/>
                                        </w14:schemeClr>
                                      </w14:solidFill>
                                    </w14:textFill>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 id="Text Box 154" o:spid="_x0000_s1026" o:spt="202" type="#_x0000_t202" style="position:absolute;left:0pt;margin-left:458.85pt;margin-top:97.15pt;height:87.2pt;width:91.55pt;mso-position-horizontal-relative:page;mso-position-vertical-relative:page;mso-wrap-distance-bottom:0pt;mso-wrap-distance-left:9pt;mso-wrap-distance-right:9pt;mso-wrap-distance-top:0pt;z-index:251659264;v-text-anchor:bottom;mso-width-relative:page;mso-height-relative:page;" filled="f" stroked="f" coordsize="21600,21600" o:gfxdata="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MXNAjtoAAAAMAQAADwAAAAAAAAABACAAAAAiAAAAZHJzL2Rvd25y&#10;ZXYueG1sUEsBAhQAFAAAAAgAh07iQGCAuzU1AgAAcwQAAA4AAAAAAAAAAQAgAAAAKQEAAGRycy9l&#10;Mm9Eb2MueG1sUEsFBgAAAAAGAAYAWQEAANAFAAAAAA==&#10;">
                    <v:fill on="f" focussize="0,0"/>
                    <v:stroke on="f" weight="0.5pt"/>
                    <v:imagedata o:title=""/>
                    <o:lock v:ext="edit" aspectratio="f"/>
                    <v:textbox inset="44.45mm,0mm,19.05mm,0mm">
                      <w:txbxContent>
                        <w:p>
                          <w:pPr>
                            <w:jc w:val="center"/>
                            <w:rPr>
                              <w:smallCaps/>
                              <w:color w:val="404040" w:themeColor="text1" w:themeTint="BF"/>
                              <w:sz w:val="36"/>
                              <w:szCs w:val="36"/>
                              <w14:textFill>
                                <w14:solidFill>
                                  <w14:schemeClr w14:val="tx1">
                                    <w14:lumMod w14:val="75000"/>
                                    <w14:lumOff w14:val="25000"/>
                                  </w14:schemeClr>
                                </w14:solidFill>
                              </w14:textFill>
                            </w:rPr>
                          </w:pPr>
                        </w:p>
                      </w:txbxContent>
                    </v:textbox>
                    <w10:wrap type="square"/>
                  </v:shape>
                </w:pict>
              </mc:Fallback>
            </mc:AlternateContent>
          </w:r>
          <w:r>
            <w:rPr>
              <w:rFonts w:hint="default" w:ascii="Arial" w:hAnsi="Arial" w:cs="Arial"/>
              <w:b w:val="0"/>
              <w:bCs w:val="0"/>
              <w:sz w:val="24"/>
              <w:szCs w:val="24"/>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180340" cy="19431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180340" cy="194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 id="Text Box 152" o:spid="_x0000_s1026" o:spt="202" type="#_x0000_t202" style="position:absolute;left:0pt;margin-left:290.55pt;margin-top:688.65pt;height:15.3pt;width:14.2pt;mso-position-horizontal-relative:page;mso-position-vertical-relative:page;mso-wrap-distance-bottom:0pt;mso-wrap-distance-left:9pt;mso-wrap-distance-right:9pt;mso-wrap-distance-top:0pt;z-index:251660288;v-text-anchor:bottom;mso-width-relative:page;mso-height-relative:page;" filled="f" stroked="f" coordsize="21600,21600" o:gfxdata="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RqKf/TAAAAAwEAAA8AAAAAAAAAAQAgAAAAIgAAAGRycy9kb3ducmV2LnhtbFBL&#10;AQIUABQAAAAIAIdO4kC1hCkzNAIAAHEEAAAOAAAAAAAAAAEAIAAAACIBAABkcnMvZTJvRG9jLnht&#10;bFBLBQYAAAAABgAGAFkBAADIBQAAAAA=&#10;">
                    <v:fill on="f" focussize="0,0"/>
                    <v:stroke on="f" weight="0.5pt"/>
                    <v:imagedata o:title=""/>
                    <o:lock v:ext="edit" aspectratio="f"/>
                    <v:textbox inset="44.45mm,0mm,19.05mm,0mm">
                      <w:txbxContent>
                        <w:p/>
                      </w:txbxContent>
                    </v:textbox>
                    <w10:wrap type="square"/>
                  </v:shape>
                </w:pict>
              </mc:Fallback>
            </mc:AlternateContent>
          </w:r>
          <w:r>
            <w:rPr>
              <w:rFonts w:hint="default" w:ascii="Arial" w:hAnsi="Arial" w:eastAsia="宋体" w:cs="Arial"/>
              <w:b w:val="0"/>
              <w:bCs w:val="0"/>
              <w:sz w:val="24"/>
              <w:szCs w:val="24"/>
              <w:lang w:val="en-US" w:eastAsia="zh-CN"/>
            </w:rPr>
            <w:t>Jie Gong</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2307303</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Module:</w:t>
          </w:r>
          <w:r>
            <w:rPr>
              <w:rFonts w:hint="default" w:ascii="Arial" w:hAnsi="Arial" w:eastAsia="宋体" w:cs="Arial"/>
              <w:sz w:val="24"/>
              <w:szCs w:val="24"/>
            </w:rPr>
            <w:t>Strategic Marketing</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Module</w:t>
          </w:r>
          <w:r>
            <w:rPr>
              <w:rFonts w:hint="default" w:ascii="Arial" w:hAnsi="Arial" w:eastAsia="宋体" w:cs="Arial"/>
              <w:b w:val="0"/>
              <w:bCs w:val="0"/>
              <w:sz w:val="24"/>
              <w:szCs w:val="24"/>
              <w:lang w:val="en-US" w:eastAsia="zh-CN"/>
            </w:rPr>
            <w:t xml:space="preserve"> code：</w:t>
          </w:r>
          <w:r>
            <w:rPr>
              <w:rFonts w:hint="default" w:ascii="Arial" w:hAnsi="Arial" w:eastAsia="宋体" w:cs="Arial"/>
              <w:sz w:val="24"/>
              <w:szCs w:val="24"/>
            </w:rPr>
            <w:t>BMBM6016</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Assignment Title:</w:t>
          </w:r>
          <w:r>
            <w:rPr>
              <w:rFonts w:hint="default" w:ascii="Arial" w:hAnsi="Arial" w:eastAsia="宋体" w:cs="Arial"/>
              <w:sz w:val="24"/>
              <w:szCs w:val="24"/>
            </w:rPr>
            <w:t>Business Management</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mc:AlternateContent>
              <mc:Choice Requires="wps">
                <w:drawing>
                  <wp:anchor distT="0" distB="0" distL="114300" distR="114300" simplePos="0" relativeHeight="251661312" behindDoc="0" locked="0" layoutInCell="1" allowOverlap="1">
                    <wp:simplePos x="0" y="0"/>
                    <wp:positionH relativeFrom="page">
                      <wp:posOffset>6928485</wp:posOffset>
                    </wp:positionH>
                    <wp:positionV relativeFrom="page">
                      <wp:posOffset>7568565</wp:posOffset>
                    </wp:positionV>
                    <wp:extent cx="408305" cy="825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408305" cy="82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0"/>
                                  <w:jc w:val="both"/>
                                  <w:rPr>
                                    <w:rFonts w:ascii="Arial" w:hAnsi="Arial" w:cs="Arial"/>
                                    <w:color w:val="595959" w:themeColor="text1" w:themeTint="A6"/>
                                    <w14:textFill>
                                      <w14:solidFill>
                                        <w14:schemeClr w14:val="tx1">
                                          <w14:lumMod w14:val="65000"/>
                                          <w14:lumOff w14:val="35000"/>
                                        </w14:schemeClr>
                                      </w14:solidFill>
                                    </w14:textFill>
                                  </w:rPr>
                                </w:pPr>
                              </w:p>
                            </w:txbxContent>
                          </wps:txbx>
                          <wps:bodyPr rot="0" spcFirstLastPara="0" vertOverflow="overflow" horzOverflow="overflow" vert="horz" wrap="square" lIns="1600200" tIns="0" rIns="685800" bIns="0" numCol="1" spcCol="0" rtlCol="0" fromWordArt="0" anchor="t" anchorCtr="0" forceAA="0" compatLnSpc="1">
                            <a:noAutofit/>
                          </wps:bodyPr>
                        </wps:wsp>
                      </a:graphicData>
                    </a:graphic>
                  </wp:anchor>
                </w:drawing>
              </mc:Choice>
              <mc:Fallback>
                <w:pict>
                  <v:shape id="Text Box 153" o:spid="_x0000_s1026" o:spt="202" type="#_x0000_t202" style="position:absolute;left:0pt;margin-left:545.55pt;margin-top:595.95pt;height:6.5pt;width:32.15pt;mso-position-horizontal-relative:page;mso-position-vertical-relative:page;mso-wrap-distance-bottom:0pt;mso-wrap-distance-left:9pt;mso-wrap-distance-right:9pt;mso-wrap-distance-top:0pt;z-index:251661312;mso-width-relative:page;mso-height-relative:page;" filled="f" stroked="f" coordsize="21600,21600" o:gfxdata="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BQf4CHbAAAADwEAAA8AAAAAAAAAAQAgAAAAIgAAAGRycy9kb3ducmV2&#10;LnhtbFBLAQIUABQAAAAIAIdO4kCHnRrjMgIAAHAEAAAOAAAAAAAAAAEAIAAAACoBAABkcnMvZTJv&#10;RG9jLnhtbFBLBQYAAAAABgAGAFkBAADOBQAAAAA=&#10;">
                    <v:fill on="f" focussize="0,0"/>
                    <v:stroke on="f" weight="0.5pt"/>
                    <v:imagedata o:title=""/>
                    <o:lock v:ext="edit" aspectratio="f"/>
                    <v:textbox inset="44.45mm,0mm,19.05mm,0mm">
                      <w:txbxContent>
                        <w:p>
                          <w:pPr>
                            <w:pStyle w:val="10"/>
                            <w:jc w:val="both"/>
                            <w:rPr>
                              <w:rFonts w:ascii="Arial" w:hAnsi="Arial" w:cs="Arial"/>
                              <w:color w:val="595959" w:themeColor="text1" w:themeTint="A6"/>
                              <w14:textFill>
                                <w14:solidFill>
                                  <w14:schemeClr w14:val="tx1">
                                    <w14:lumMod w14:val="65000"/>
                                    <w14:lumOff w14:val="35000"/>
                                  </w14:schemeClr>
                                </w14:solidFill>
                              </w14:textFill>
                            </w:rPr>
                          </w:pPr>
                        </w:p>
                      </w:txbxContent>
                    </v:textbox>
                    <w10:wrap type="square"/>
                  </v:shape>
                </w:pict>
              </mc:Fallback>
            </mc:AlternateContent>
          </w:r>
          <w:r>
            <w:rPr>
              <w:rFonts w:hint="default" w:ascii="Arial" w:hAnsi="Arial" w:cs="Arial"/>
              <w:b w:val="0"/>
              <w:bCs w:val="0"/>
              <w:sz w:val="24"/>
              <w:szCs w:val="24"/>
            </w:rPr>
            <w:t>Lecturer</w:t>
          </w:r>
          <w:r>
            <w:rPr>
              <w:rFonts w:hint="default" w:ascii="Arial" w:hAnsi="Arial" w:eastAsia="宋体" w:cs="Arial"/>
              <w:b w:val="0"/>
              <w:bCs w:val="0"/>
              <w:sz w:val="24"/>
              <w:szCs w:val="24"/>
              <w:lang w:eastAsia="zh-CN"/>
            </w:rPr>
            <w:t>：</w:t>
          </w:r>
          <w:r>
            <w:rPr>
              <w:rFonts w:hint="default" w:ascii="Arial" w:hAnsi="Arial" w:eastAsia="宋体" w:cs="Arial"/>
              <w:sz w:val="24"/>
              <w:szCs w:val="24"/>
            </w:rPr>
            <w:t>Gwyneth Jones</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p>
        <w:p>
          <w:pPr>
            <w:keepNext w:val="0"/>
            <w:keepLines w:val="0"/>
            <w:pageBreakBefore w:val="0"/>
            <w:widowControl/>
            <w:kinsoku/>
            <w:wordWrap/>
            <w:overflowPunct/>
            <w:topLinePunct w:val="0"/>
            <w:autoSpaceDE/>
            <w:autoSpaceDN/>
            <w:bidi w:val="0"/>
            <w:adjustRightInd/>
            <w:snapToGrid/>
            <w:spacing w:line="480" w:lineRule="auto"/>
            <w:textAlignment w:val="auto"/>
          </w:pPr>
        </w:p>
      </w:sdtContent>
    </w:sdt>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Executive summary</w:t>
      </w:r>
      <w:r>
        <w:rPr>
          <w:rFonts w:hint="eastAsia" w:ascii="Arial" w:hAnsi="Arial" w:cs="Arial"/>
          <w:sz w:val="24"/>
          <w:szCs w:val="24"/>
          <w:lang w:val="en-US" w:eastAsia="zh-CN"/>
        </w:rPr>
        <w:t>：</w:t>
      </w:r>
    </w:p>
    <w:p>
      <w:pPr>
        <w:keepNext w:val="0"/>
        <w:keepLines w:val="0"/>
        <w:pageBreakBefore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left"/>
        <w:textAlignment w:val="auto"/>
        <w:rPr>
          <w:rFonts w:hint="default" w:ascii="Arial" w:hAnsi="Arial" w:cs="Arial"/>
          <w:sz w:val="24"/>
          <w:szCs w:val="24"/>
        </w:rPr>
      </w:pPr>
      <w:r>
        <w:rPr>
          <w:rFonts w:hint="default" w:ascii="Arial" w:hAnsi="Arial" w:cs="Arial"/>
          <w:sz w:val="24"/>
          <w:szCs w:val="24"/>
        </w:rPr>
        <w:t>This report evaluates Tesco's response to the dynamic global economic landscape through PESTEL, Porter Five Force, McKinsey 7S and SWOT analysis, analyzes five problems with the current development of tesco, and gives relevant strategic suggestions to support tesco's sustainable development in the future</w:t>
      </w:r>
      <w:r>
        <w:rPr>
          <w:rFonts w:hint="default" w:ascii="Arial" w:hAnsi="Arial" w:cs="Arial"/>
          <w:sz w:val="24"/>
          <w:szCs w:val="24"/>
        </w:rPr>
        <w:br w:type="page"/>
      </w:r>
    </w:p>
    <w:sdt>
      <w:sdtPr>
        <w:rPr>
          <w:rFonts w:hint="default" w:ascii="Arial" w:hAnsi="Arial" w:eastAsia="宋体" w:cs="Arial"/>
          <w:kern w:val="2"/>
          <w:sz w:val="32"/>
          <w:szCs w:val="32"/>
          <w:lang w:val="en-US" w:eastAsia="zh-CN" w:bidi="ar-SA"/>
        </w:rPr>
        <w:id w:val="147452815"/>
        <w15:color w:val="DBDBDB"/>
        <w:docPartObj>
          <w:docPartGallery w:val="Table of Contents"/>
          <w:docPartUnique/>
        </w:docPartObj>
      </w:sdtPr>
      <w:sdtEndPr>
        <w:rPr>
          <w:rFonts w:hint="default" w:ascii="Arial" w:hAnsi="Arial" w:eastAsia="宋体" w:cs="Arial"/>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Arial" w:hAnsi="Arial" w:cs="Arial"/>
              <w:sz w:val="32"/>
              <w:szCs w:val="32"/>
              <w:lang w:val="en-US"/>
            </w:rPr>
          </w:pPr>
          <w:r>
            <w:rPr>
              <w:rFonts w:hint="default" w:ascii="Arial" w:hAnsi="Arial" w:eastAsia="宋体" w:cs="Arial"/>
              <w:kern w:val="2"/>
              <w:sz w:val="32"/>
              <w:szCs w:val="32"/>
              <w:lang w:val="en-US" w:eastAsia="zh-CN" w:bidi="ar-SA"/>
            </w:rPr>
            <w:t>Content</w:t>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TOC \o "1-3" \h \u </w:instrText>
          </w:r>
          <w:r>
            <w:rPr>
              <w:rFonts w:hint="default" w:ascii="Arial" w:hAnsi="Arial" w:cs="Arial"/>
              <w:sz w:val="24"/>
              <w:szCs w:val="24"/>
            </w:rPr>
            <w:fldChar w:fldCharType="separate"/>
          </w:r>
          <w:r>
            <w:rPr>
              <w:rFonts w:hint="default" w:ascii="Arial" w:hAnsi="Arial" w:cs="Arial"/>
              <w:sz w:val="24"/>
              <w:szCs w:val="24"/>
            </w:rPr>
            <w:fldChar w:fldCharType="begin"/>
          </w:r>
          <w:r>
            <w:rPr>
              <w:rFonts w:hint="default" w:ascii="Arial" w:hAnsi="Arial" w:cs="Arial"/>
              <w:sz w:val="24"/>
              <w:szCs w:val="24"/>
            </w:rPr>
            <w:instrText xml:space="preserve"> HYPERLINK \l _Toc21639 </w:instrText>
          </w:r>
          <w:r>
            <w:rPr>
              <w:rFonts w:hint="default" w:ascii="Arial" w:hAnsi="Arial" w:cs="Arial"/>
              <w:sz w:val="24"/>
              <w:szCs w:val="24"/>
            </w:rPr>
            <w:fldChar w:fldCharType="separate"/>
          </w:r>
          <w:r>
            <w:rPr>
              <w:rFonts w:hint="default" w:ascii="Arial" w:hAnsi="Arial" w:cs="Arial"/>
              <w:sz w:val="24"/>
              <w:szCs w:val="24"/>
              <w:lang w:val="en-US" w:eastAsia="zh-CN"/>
            </w:rPr>
            <w:t>1.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_Toc21639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sz w:val="24"/>
              <w:szCs w:val="24"/>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_Toc19834 </w:instrText>
          </w:r>
          <w:r>
            <w:rPr>
              <w:rFonts w:hint="default" w:ascii="Arial" w:hAnsi="Arial" w:cs="Arial"/>
              <w:sz w:val="24"/>
              <w:szCs w:val="24"/>
            </w:rPr>
            <w:fldChar w:fldCharType="separate"/>
          </w:r>
          <w:r>
            <w:rPr>
              <w:rFonts w:hint="default" w:ascii="Arial" w:hAnsi="Arial" w:cs="Arial"/>
              <w:sz w:val="24"/>
              <w:szCs w:val="24"/>
              <w:lang w:val="en-US" w:eastAsia="zh-CN"/>
            </w:rPr>
            <w:t>1.1Background</w:t>
          </w:r>
          <w:r>
            <w:rPr>
              <w:rFonts w:hint="eastAsia" w:ascii="Arial" w:hAnsi="Arial" w:cs="Arial"/>
              <w:sz w:val="24"/>
              <w:szCs w:val="24"/>
              <w:lang w:val="en-US" w:eastAsia="zh-CN"/>
            </w:rPr>
            <w:t xml:space="preserve"> of Tesco</w:t>
          </w:r>
          <w:r>
            <w:rPr>
              <w:rFonts w:hint="default" w:ascii="Arial" w:hAnsi="Arial" w:cs="Arial"/>
              <w:sz w:val="24"/>
              <w:szCs w:val="24"/>
              <w:lang w:val="en-US" w:eastAsia="zh-CN"/>
            </w:rPr>
            <w: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_Toc19834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_Toc8701 </w:instrText>
          </w:r>
          <w:r>
            <w:rPr>
              <w:rFonts w:hint="default" w:ascii="Arial" w:hAnsi="Arial" w:cs="Arial"/>
              <w:sz w:val="24"/>
              <w:szCs w:val="24"/>
            </w:rPr>
            <w:fldChar w:fldCharType="separate"/>
          </w:r>
          <w:r>
            <w:rPr>
              <w:rFonts w:hint="default" w:ascii="Arial" w:hAnsi="Arial" w:cs="Arial"/>
              <w:sz w:val="24"/>
              <w:szCs w:val="24"/>
              <w:lang w:val="en-US" w:eastAsia="zh-CN"/>
            </w:rPr>
            <w:t>2. PESTEL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_Toc8701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_Toc24140 </w:instrText>
          </w:r>
          <w:r>
            <w:rPr>
              <w:rFonts w:hint="default" w:ascii="Arial" w:hAnsi="Arial" w:cs="Arial"/>
              <w:sz w:val="24"/>
              <w:szCs w:val="24"/>
            </w:rPr>
            <w:fldChar w:fldCharType="separate"/>
          </w:r>
          <w:r>
            <w:rPr>
              <w:rFonts w:hint="default" w:ascii="Arial" w:hAnsi="Arial" w:cs="Arial"/>
              <w:sz w:val="24"/>
              <w:szCs w:val="24"/>
              <w:lang w:val="en-US" w:eastAsia="zh-CN"/>
            </w:rPr>
            <w:t>2.1Issue 1:The effect of not complying with the law on the Tesco</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_Toc24140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_Toc21511 </w:instrText>
          </w:r>
          <w:r>
            <w:rPr>
              <w:rFonts w:hint="default" w:ascii="Arial" w:hAnsi="Arial" w:cs="Arial"/>
              <w:sz w:val="24"/>
              <w:szCs w:val="24"/>
            </w:rPr>
            <w:fldChar w:fldCharType="separate"/>
          </w:r>
          <w:r>
            <w:rPr>
              <w:rFonts w:hint="default" w:ascii="Arial" w:hAnsi="Arial" w:cs="Arial"/>
              <w:sz w:val="24"/>
              <w:szCs w:val="24"/>
              <w:lang w:val="en-US" w:eastAsia="zh-CN"/>
            </w:rPr>
            <w:t>2.2 Issue 2：The impact of changes in consumer purchasing behavior on Tesco</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_Toc21511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_Toc10834 </w:instrText>
          </w:r>
          <w:r>
            <w:rPr>
              <w:rFonts w:hint="default" w:ascii="Arial" w:hAnsi="Arial" w:cs="Arial"/>
              <w:sz w:val="24"/>
              <w:szCs w:val="24"/>
            </w:rPr>
            <w:fldChar w:fldCharType="separate"/>
          </w:r>
          <w:r>
            <w:rPr>
              <w:rFonts w:hint="default" w:ascii="Arial" w:hAnsi="Arial" w:cs="Arial"/>
              <w:sz w:val="24"/>
              <w:szCs w:val="24"/>
              <w:lang w:val="en-US" w:eastAsia="zh-CN"/>
            </w:rPr>
            <w:t>3. Porter's Five-force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_Toc10834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_Toc6832 </w:instrText>
          </w:r>
          <w:r>
            <w:rPr>
              <w:rFonts w:hint="default" w:ascii="Arial" w:hAnsi="Arial" w:cs="Arial"/>
              <w:sz w:val="24"/>
              <w:szCs w:val="24"/>
            </w:rPr>
            <w:fldChar w:fldCharType="separate"/>
          </w:r>
          <w:r>
            <w:rPr>
              <w:rFonts w:hint="default" w:ascii="Arial" w:hAnsi="Arial" w:cs="Arial"/>
              <w:sz w:val="24"/>
              <w:szCs w:val="24"/>
              <w:lang w:val="en-US" w:eastAsia="zh-CN"/>
            </w:rPr>
            <w:t>3.1 Issue 3：</w:t>
          </w:r>
          <w:r>
            <w:rPr>
              <w:rFonts w:hint="default" w:ascii="Arial" w:hAnsi="Arial" w:eastAsia="宋体" w:cs="Arial"/>
              <w:i w:val="0"/>
              <w:iCs w:val="0"/>
              <w:caps w:val="0"/>
              <w:spacing w:val="0"/>
              <w:sz w:val="24"/>
              <w:szCs w:val="24"/>
              <w:shd w:val="clear" w:fill="FFFFFF"/>
              <w:lang w:val="en-US" w:eastAsia="zh-CN"/>
            </w:rPr>
            <w:t>C</w:t>
          </w:r>
          <w:r>
            <w:rPr>
              <w:rFonts w:hint="default" w:ascii="Arial" w:hAnsi="Arial" w:eastAsia="sans-serif" w:cs="Arial"/>
              <w:i w:val="0"/>
              <w:iCs w:val="0"/>
              <w:caps w:val="0"/>
              <w:spacing w:val="0"/>
              <w:sz w:val="24"/>
              <w:szCs w:val="24"/>
              <w:shd w:val="clear" w:fill="FFFFFF"/>
            </w:rPr>
            <w:t>ustomer bargaining power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_Toc6832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_Toc25287 </w:instrText>
          </w:r>
          <w:r>
            <w:rPr>
              <w:rFonts w:hint="default" w:ascii="Arial" w:hAnsi="Arial" w:cs="Arial"/>
              <w:sz w:val="24"/>
              <w:szCs w:val="24"/>
            </w:rPr>
            <w:fldChar w:fldCharType="separate"/>
          </w:r>
          <w:r>
            <w:rPr>
              <w:rFonts w:hint="default" w:ascii="Arial" w:hAnsi="Arial" w:cs="Arial"/>
              <w:sz w:val="24"/>
              <w:szCs w:val="24"/>
              <w:lang w:eastAsia="zh-CN"/>
            </w:rPr>
            <w:t xml:space="preserve">4. </w:t>
          </w:r>
          <w:r>
            <w:rPr>
              <w:rFonts w:hint="default" w:ascii="Arial" w:hAnsi="Arial" w:cs="Arial"/>
              <w:sz w:val="24"/>
              <w:szCs w:val="24"/>
            </w:rPr>
            <w:t>McKinsey’s 7S Framewokr</w:t>
          </w:r>
          <w:r>
            <w:rPr>
              <w:rFonts w:hint="default" w:ascii="Arial" w:hAnsi="Arial" w:cs="Arial"/>
              <w:sz w:val="24"/>
              <w:szCs w:val="24"/>
              <w:lang w:val="en-US" w:eastAsia="zh-CN"/>
            </w:rPr>
            <w:t xml:space="preserve"> </w:t>
          </w:r>
          <w:r>
            <w:rPr>
              <w:rFonts w:hint="default" w:ascii="Arial" w:hAnsi="Arial" w:cs="Arial"/>
              <w:sz w:val="24"/>
              <w:szCs w:val="24"/>
              <w:lang w:eastAsia="zh-CN"/>
            </w:rPr>
            <w: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_Toc25287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_Toc9761 </w:instrText>
          </w:r>
          <w:r>
            <w:rPr>
              <w:rFonts w:hint="default" w:ascii="Arial" w:hAnsi="Arial" w:cs="Arial"/>
              <w:sz w:val="24"/>
              <w:szCs w:val="24"/>
            </w:rPr>
            <w:fldChar w:fldCharType="separate"/>
          </w:r>
          <w:r>
            <w:rPr>
              <w:rFonts w:hint="default" w:ascii="Arial" w:hAnsi="Arial" w:cs="Arial"/>
              <w:sz w:val="24"/>
              <w:szCs w:val="24"/>
              <w:lang w:val="en-US" w:eastAsia="zh-CN"/>
            </w:rPr>
            <w:t>4.1 Finding 4:Opportunities for strategy change for the company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_Toc9761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_Toc5027 </w:instrText>
          </w:r>
          <w:r>
            <w:rPr>
              <w:rFonts w:hint="default" w:ascii="Arial" w:hAnsi="Arial" w:cs="Arial"/>
              <w:sz w:val="24"/>
              <w:szCs w:val="24"/>
            </w:rPr>
            <w:fldChar w:fldCharType="separate"/>
          </w:r>
          <w:r>
            <w:rPr>
              <w:rFonts w:hint="default" w:ascii="Arial" w:hAnsi="Arial" w:cs="Arial"/>
              <w:sz w:val="24"/>
              <w:szCs w:val="24"/>
              <w:lang w:val="en-US" w:eastAsia="zh-CN"/>
            </w:rPr>
            <w:t>5. The SWOT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_Toc5027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_Toc17690 </w:instrText>
          </w:r>
          <w:r>
            <w:rPr>
              <w:rFonts w:hint="default" w:ascii="Arial" w:hAnsi="Arial" w:cs="Arial"/>
              <w:sz w:val="24"/>
              <w:szCs w:val="24"/>
            </w:rPr>
            <w:fldChar w:fldCharType="separate"/>
          </w:r>
          <w:r>
            <w:rPr>
              <w:rFonts w:hint="default" w:ascii="Arial" w:hAnsi="Arial" w:eastAsia="宋体" w:cs="Arial"/>
              <w:sz w:val="24"/>
              <w:szCs w:val="24"/>
              <w:lang w:val="en-US" w:eastAsia="zh-CN"/>
            </w:rPr>
            <w:t>5.1 Finding 5：The impact of tesco's own products on future growth</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_Toc17690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_Toc8361 </w:instrText>
          </w:r>
          <w:r>
            <w:rPr>
              <w:rFonts w:hint="default" w:ascii="Arial" w:hAnsi="Arial" w:cs="Arial"/>
              <w:sz w:val="24"/>
              <w:szCs w:val="24"/>
            </w:rPr>
            <w:fldChar w:fldCharType="separate"/>
          </w:r>
          <w:r>
            <w:rPr>
              <w:rFonts w:hint="default" w:ascii="Arial" w:hAnsi="Arial" w:cs="Arial"/>
              <w:bCs w:val="0"/>
              <w:sz w:val="24"/>
              <w:szCs w:val="24"/>
              <w:lang w:val="en-US" w:eastAsia="zh-CN"/>
            </w:rPr>
            <w:t xml:space="preserve">6. </w:t>
          </w:r>
          <w:r>
            <w:rPr>
              <w:rFonts w:hint="default" w:ascii="Arial" w:hAnsi="Arial" w:cs="Arial"/>
              <w:bCs w:val="0"/>
              <w:sz w:val="24"/>
              <w:szCs w:val="24"/>
            </w:rPr>
            <w:t>Recommendations</w:t>
          </w:r>
          <w:r>
            <w:rPr>
              <w:rFonts w:hint="default" w:ascii="Arial" w:hAnsi="Arial" w:cs="Arial"/>
              <w:bCs w:val="0"/>
              <w:sz w:val="24"/>
              <w:szCs w:val="24"/>
              <w:lang w:val="en-US" w:eastAsia="zh-CN"/>
            </w:rPr>
            <w: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_Toc8361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_Toc25681 </w:instrText>
          </w:r>
          <w:r>
            <w:rPr>
              <w:rFonts w:hint="default" w:ascii="Arial" w:hAnsi="Arial" w:cs="Arial"/>
              <w:sz w:val="24"/>
              <w:szCs w:val="24"/>
            </w:rPr>
            <w:fldChar w:fldCharType="separate"/>
          </w:r>
          <w:r>
            <w:rPr>
              <w:rFonts w:hint="default" w:ascii="Arial" w:hAnsi="Arial" w:eastAsia="宋体" w:cs="Arial"/>
              <w:bCs w:val="0"/>
              <w:sz w:val="24"/>
              <w:szCs w:val="24"/>
              <w:lang w:val="en-US" w:eastAsia="zh-CN"/>
            </w:rPr>
            <w:t>7. 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_Toc25681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cs="Arial"/>
              <w:sz w:val="24"/>
              <w:szCs w:val="24"/>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_Toc25548 </w:instrText>
          </w:r>
          <w:r>
            <w:rPr>
              <w:rFonts w:hint="default" w:ascii="Arial" w:hAnsi="Arial" w:cs="Arial"/>
              <w:sz w:val="24"/>
              <w:szCs w:val="24"/>
            </w:rPr>
            <w:fldChar w:fldCharType="separate"/>
          </w:r>
          <w:r>
            <w:rPr>
              <w:rFonts w:hint="default" w:ascii="Arial" w:hAnsi="Arial" w:eastAsia="宋体" w:cs="Arial"/>
              <w:bCs w:val="0"/>
              <w:sz w:val="24"/>
              <w:szCs w:val="24"/>
              <w:lang w:val="en-US" w:eastAsia="zh-CN"/>
            </w:rPr>
            <w:t>8.References ：</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_Toc25548 \h </w:instrText>
          </w:r>
          <w:r>
            <w:rPr>
              <w:rFonts w:hint="default" w:ascii="Arial" w:hAnsi="Arial" w:cs="Arial"/>
              <w:sz w:val="24"/>
              <w:szCs w:val="24"/>
            </w:rPr>
            <w:fldChar w:fldCharType="separate"/>
          </w:r>
          <w:r>
            <w:rPr>
              <w:rFonts w:hint="default" w:ascii="Arial" w:hAnsi="Arial" w:cs="Arial"/>
              <w:sz w:val="24"/>
              <w:szCs w:val="24"/>
            </w:rPr>
            <w:t>14</w:t>
          </w:r>
          <w:r>
            <w:rPr>
              <w:rFonts w:hint="default" w:ascii="Arial" w:hAnsi="Arial" w:cs="Arial"/>
              <w:sz w:val="24"/>
              <w:szCs w:val="24"/>
            </w:rPr>
            <w:fldChar w:fldCharType="end"/>
          </w:r>
          <w:r>
            <w:rPr>
              <w:rFonts w:hint="default" w:ascii="Arial" w:hAnsi="Arial" w:cs="Arial"/>
              <w:sz w:val="24"/>
              <w:szCs w:val="24"/>
            </w:rPr>
            <w:fldChar w:fldCharType="end"/>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end"/>
          </w:r>
        </w:p>
      </w:sdtContent>
    </w:sdt>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outlineLvl w:val="0"/>
        <w:rPr>
          <w:rFonts w:hint="default" w:ascii="Arial" w:hAnsi="Arial" w:cs="Arial"/>
          <w:sz w:val="24"/>
          <w:szCs w:val="24"/>
          <w:lang w:val="en-US" w:eastAsia="zh-CN"/>
        </w:rPr>
      </w:pPr>
      <w:bookmarkStart w:id="0" w:name="_Toc21639"/>
      <w:bookmarkStart w:id="1" w:name="OLE_LINK4"/>
      <w:r>
        <w:rPr>
          <w:rFonts w:hint="default" w:ascii="Arial" w:hAnsi="Arial" w:cs="Arial"/>
          <w:sz w:val="24"/>
          <w:szCs w:val="24"/>
          <w:lang w:val="en-US" w:eastAsia="zh-CN"/>
        </w:rPr>
        <w:t>Introduction：</w:t>
      </w:r>
      <w:bookmarkEnd w:id="0"/>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In order to address the ongoing challenges of the global economic environment, strategic analysis is crucial for the organization's adaptation and development. The current global economic environment is characterized by various uncertainties, including trade tensions, geopolitical instability, inflationary pressures and the continued impact of the COVID-19, which has brought challenges to enterprises (Henry Curr, 2023).Especially in the food retailing industry, these economic changes have caused significant changes (Wu, G. etal., 2023). The impact of consumer behavior and preference on the supply chain interruption, the impact on the purchasing power, and the change in the global economy has made a serious repercussion in the industry, and it is necessary to provide a thorough strategic plan and management to cope with the complex global economic environment.</w:t>
      </w:r>
    </w:p>
    <w:p>
      <w:pPr>
        <w:outlineLvl w:val="1"/>
        <w:rPr>
          <w:rFonts w:hint="eastAsia" w:ascii="Arial" w:hAnsi="Arial" w:cs="Arial"/>
          <w:sz w:val="24"/>
          <w:szCs w:val="24"/>
          <w:lang w:val="en-US" w:eastAsia="zh-CN"/>
        </w:rPr>
      </w:pPr>
      <w:bookmarkStart w:id="2" w:name="_Toc19834"/>
      <w:r>
        <w:rPr>
          <w:rFonts w:hint="eastAsia" w:ascii="Arial" w:hAnsi="Arial" w:cs="Arial"/>
          <w:sz w:val="24"/>
          <w:szCs w:val="24"/>
          <w:lang w:val="en-US" w:eastAsia="zh-CN"/>
        </w:rPr>
        <w:t>1.1Background of Tesco：</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r>
        <w:rPr>
          <w:rFonts w:hint="default" w:ascii="Arial" w:hAnsi="Arial" w:cs="Arial"/>
          <w:sz w:val="24"/>
          <w:szCs w:val="24"/>
          <w:lang w:val="en-US" w:eastAsia="zh-CN"/>
        </w:rPr>
        <w:t>Tesco was founded in 1919, headquartered in the UK and grew into a well-known brand known for its commitment to broad product supply, efficient supply chain management and customer satisfaction (Gennaro, 2024). Due to the growing impact on the national store network and the international market in the international market, Tesco embodies elasticity and agility in the face of a changing economic structure.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Considering the various challenges faced by the company in the global economic environment, the purpose of this audit is to use various theoretical foundations and models to analyze and analyze its macro, micro, external, and internal conditions in order to make strategic decisions. The purpose of this report is to analyze and provide valuable information to help </w:t>
      </w:r>
      <w:r>
        <w:rPr>
          <w:rFonts w:hint="eastAsia" w:ascii="Arial" w:hAnsi="Arial" w:cs="Arial"/>
          <w:sz w:val="24"/>
          <w:szCs w:val="24"/>
          <w:lang w:val="en-US" w:eastAsia="zh-CN"/>
        </w:rPr>
        <w:t xml:space="preserve">Tesco </w:t>
      </w:r>
      <w:r>
        <w:rPr>
          <w:rFonts w:hint="default" w:ascii="Arial" w:hAnsi="Arial" w:cs="Arial"/>
          <w:sz w:val="24"/>
          <w:szCs w:val="24"/>
          <w:lang w:val="en-US" w:eastAsia="zh-CN"/>
        </w:rPr>
        <w:t>achieve sustainable growth and competitive advantage in a constantly changing economic environment.</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outlineLvl w:val="0"/>
        <w:rPr>
          <w:rFonts w:hint="default" w:ascii="Arial" w:hAnsi="Arial" w:cs="Arial"/>
          <w:sz w:val="24"/>
          <w:szCs w:val="24"/>
          <w:lang w:val="en-US" w:eastAsia="zh-CN"/>
        </w:rPr>
      </w:pPr>
      <w:bookmarkStart w:id="3" w:name="_Toc8701"/>
      <w:r>
        <w:rPr>
          <w:rFonts w:hint="default" w:ascii="Arial" w:hAnsi="Arial" w:cs="Arial"/>
          <w:sz w:val="24"/>
          <w:szCs w:val="24"/>
          <w:lang w:val="en-US" w:eastAsia="zh-CN"/>
        </w:rPr>
        <w:t>PESTEL analysis</w:t>
      </w:r>
      <w:bookmarkEnd w:id="3"/>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highlight w:val="none"/>
          <w:lang w:val="en-US" w:eastAsia="zh-CN"/>
        </w:rPr>
      </w:pPr>
      <w:r>
        <w:rPr>
          <w:rFonts w:hint="default" w:ascii="Arial" w:hAnsi="Arial" w:cs="Arial"/>
          <w:sz w:val="24"/>
          <w:szCs w:val="24"/>
          <w:lang w:val="en-US" w:eastAsia="zh-CN"/>
        </w:rPr>
        <w:t>The PESTEL framework is a mnemonic used in strategic management to classify macroeconomic environmental factors and assist strategists in identifying general opportunities and risks (Bratnicki, M., 2014; Peters TJ, Waterman RH2015).</w:t>
      </w:r>
      <w:r>
        <w:rPr>
          <w:rFonts w:hint="default" w:ascii="Arial" w:hAnsi="Arial" w:cs="Arial"/>
          <w:sz w:val="24"/>
          <w:szCs w:val="24"/>
          <w:highlight w:val="none"/>
          <w:lang w:val="en-US" w:eastAsia="zh-CN"/>
        </w:rPr>
        <w:t>The PESTEL framework includes political, environmental, social, technological, economic, and legal. The PESTEL framework is used to analyze the external business environment in order to gain a comprehensive understanding of the organizational process, identify opportunities, and mitigate threats to the organization's business activities (Mind Tools, n.d.; Isa, T. &amp; Isa, T., 2014).</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Political: Political factors may include unstable government policies, tax policies, changes in trade relations, and regulatory measures. These factors may affect Tesco's operations, costs, and market access.</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Economic: Economic factors include inflation rate, economic recession, exchange rate, and other factors. (Euromonitor, 2010) Economic fluctuations can affect consumer purchasing power and decision-making, thereby affecting Tesco’s sales and profitability.</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Social: Social factors include population structure, consumer preferences, cultural values, etc. As consumers pay more attention to health, environment, and social responsibility, Tesco may need to adjust its products and marketing strategies to adapt to constantly changing market demands.</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eastAsia" w:ascii="Arial" w:hAnsi="Arial" w:eastAsia="宋体" w:cs="Arial"/>
          <w:sz w:val="24"/>
          <w:szCs w:val="24"/>
          <w:lang w:val="en-US" w:eastAsia="zh-CN"/>
        </w:rPr>
        <w:t>T</w:t>
      </w:r>
      <w:r>
        <w:rPr>
          <w:rFonts w:hint="default" w:ascii="Arial" w:hAnsi="Arial" w:eastAsia="宋体" w:cs="Arial"/>
          <w:sz w:val="24"/>
          <w:szCs w:val="24"/>
          <w:lang w:val="en-US" w:eastAsia="zh-CN"/>
        </w:rPr>
        <w:t>echnological</w:t>
      </w:r>
      <w:r>
        <w:rPr>
          <w:rFonts w:hint="default" w:ascii="Arial" w:hAnsi="Arial" w:cs="Arial"/>
          <w:sz w:val="24"/>
          <w:szCs w:val="24"/>
          <w:lang w:val="en-US" w:eastAsia="zh-CN"/>
        </w:rPr>
        <w:t xml:space="preserve">: Technical factors involve technological innovation, digital transformation, and the application of automation technology. With the development of technology, TESCO Group may need to continuously improve its facilities and technical systems to maintain competitive advantage and improve operational efficiency. (Tesco </w:t>
      </w:r>
      <w:r>
        <w:rPr>
          <w:rFonts w:hint="eastAsia" w:ascii="Arial" w:hAnsi="Arial" w:cs="Arial"/>
          <w:sz w:val="24"/>
          <w:szCs w:val="24"/>
          <w:lang w:val="en-US" w:eastAsia="zh-CN"/>
        </w:rPr>
        <w:t>Plc，</w:t>
      </w:r>
      <w:r>
        <w:rPr>
          <w:rFonts w:hint="default" w:ascii="Arial" w:hAnsi="Arial" w:cs="Arial"/>
          <w:sz w:val="24"/>
          <w:szCs w:val="24"/>
          <w:lang w:val="en-US" w:eastAsia="zh-CN"/>
        </w:rPr>
        <w:t>2023)</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Environmental factors: Environmental factors include climate change, resource sustainability, and environmental requirements. Tesco may need to take sustainable development measures to reduce its environmental impact and meet consumer demand for sustainable products (Gennaro, 2024).</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Legal factors: Legal factors involve requirements of departmental regulations, labor laws, competition laws, etc. </w:t>
      </w:r>
      <w:r>
        <w:rPr>
          <w:rFonts w:hint="eastAsia" w:ascii="Arial" w:hAnsi="Arial" w:cs="Arial"/>
          <w:sz w:val="24"/>
          <w:szCs w:val="24"/>
          <w:lang w:val="en-US" w:eastAsia="zh-CN"/>
        </w:rPr>
        <w:t xml:space="preserve">Tesco </w:t>
      </w:r>
      <w:r>
        <w:rPr>
          <w:rFonts w:hint="default" w:ascii="Arial" w:hAnsi="Arial" w:cs="Arial"/>
          <w:sz w:val="24"/>
          <w:szCs w:val="24"/>
          <w:lang w:val="en-US" w:eastAsia="zh-CN"/>
        </w:rPr>
        <w:t>must comply with all applicable laws and regulations to avoid legal disputes and maintain its reputation and brand.</w:t>
      </w:r>
    </w:p>
    <w:p>
      <w:pPr>
        <w:keepNext w:val="0"/>
        <w:keepLines w:val="0"/>
        <w:pageBreakBefore w:val="0"/>
        <w:widowControl w:val="0"/>
        <w:numPr>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bookmarkStart w:id="19" w:name="_GoBack"/>
      <w:bookmarkEnd w:id="19"/>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1"/>
        <w:rPr>
          <w:rFonts w:hint="default" w:ascii="Arial" w:hAnsi="Arial" w:cs="Arial"/>
          <w:sz w:val="24"/>
          <w:szCs w:val="24"/>
          <w:lang w:val="en-US" w:eastAsia="zh-CN"/>
        </w:rPr>
      </w:pPr>
      <w:bookmarkStart w:id="4" w:name="_Toc24140"/>
      <w:r>
        <w:rPr>
          <w:rFonts w:hint="eastAsia" w:ascii="Arial" w:hAnsi="Arial" w:cs="Arial"/>
          <w:sz w:val="24"/>
          <w:szCs w:val="24"/>
          <w:lang w:val="en-US" w:eastAsia="zh-CN"/>
        </w:rPr>
        <w:t xml:space="preserve">2.1Issue </w:t>
      </w:r>
      <w:r>
        <w:rPr>
          <w:rFonts w:hint="default" w:ascii="Arial" w:hAnsi="Arial" w:cs="Arial"/>
          <w:sz w:val="24"/>
          <w:szCs w:val="24"/>
          <w:lang w:val="en-US" w:eastAsia="zh-CN"/>
        </w:rPr>
        <w:t xml:space="preserve">1:The effect of not complying with the law on the </w:t>
      </w:r>
      <w:r>
        <w:rPr>
          <w:rFonts w:hint="eastAsia" w:ascii="Arial" w:hAnsi="Arial" w:cs="Arial"/>
          <w:sz w:val="24"/>
          <w:szCs w:val="24"/>
          <w:lang w:val="en-US" w:eastAsia="zh-CN"/>
        </w:rPr>
        <w:t>T</w:t>
      </w:r>
      <w:r>
        <w:rPr>
          <w:rFonts w:hint="default" w:ascii="Arial" w:hAnsi="Arial" w:cs="Arial"/>
          <w:sz w:val="24"/>
          <w:szCs w:val="24"/>
          <w:lang w:val="en-US" w:eastAsia="zh-CN"/>
        </w:rPr>
        <w:t>esco</w:t>
      </w:r>
      <w:bookmarkEnd w:id="4"/>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Compliance with food safety regulations, work regulations and environmental standards is crucial for Tesco. Non-compliance can lead to legal sanctions and damage to the brand image. Especially from the food flow scandal in 2015-2017 and the audit fraud scandal in 2017 (Gan, W. and Yan, C. </w:t>
      </w:r>
      <w:r>
        <w:rPr>
          <w:rFonts w:hint="eastAsia" w:ascii="Arial" w:hAnsi="Arial" w:cs="Arial"/>
          <w:sz w:val="24"/>
          <w:szCs w:val="24"/>
          <w:lang w:val="en-US" w:eastAsia="zh-CN"/>
        </w:rPr>
        <w:t>，</w:t>
      </w:r>
      <w:r>
        <w:rPr>
          <w:rFonts w:hint="default" w:ascii="Arial" w:hAnsi="Arial" w:cs="Arial"/>
          <w:sz w:val="24"/>
          <w:szCs w:val="24"/>
          <w:lang w:val="en-US" w:eastAsia="zh-CN"/>
        </w:rPr>
        <w:t>2023)</w:t>
      </w:r>
      <w:r>
        <w:rPr>
          <w:rFonts w:hint="eastAsia" w:ascii="Arial" w:hAnsi="Arial" w:cs="Arial"/>
          <w:sz w:val="24"/>
          <w:szCs w:val="24"/>
          <w:lang w:val="en-US" w:eastAsia="zh-CN"/>
        </w:rPr>
        <w:t xml:space="preserve"> ----</w:t>
      </w:r>
      <w:r>
        <w:rPr>
          <w:rFonts w:hint="default" w:ascii="Arial" w:hAnsi="Arial" w:cs="Arial"/>
          <w:sz w:val="24"/>
          <w:szCs w:val="24"/>
          <w:lang w:val="en-US" w:eastAsia="zh-CN"/>
        </w:rPr>
        <w:t>Tesco used pre-ordered but unsold goods as revenue, deducted funds from supplier transaction accounts, extended unnoticed payment dates and reduced selling costs. As a result, Tesco misrepresented its profits by £263 million in the first half of last year (Danlin H., 2015)</w:t>
      </w:r>
      <w:r>
        <w:rPr>
          <w:rFonts w:hint="eastAsia" w:ascii="Arial" w:hAnsi="Arial" w:cs="Arial"/>
          <w:sz w:val="24"/>
          <w:szCs w:val="24"/>
          <w:lang w:val="en-US" w:eastAsia="zh-CN"/>
        </w:rPr>
        <w:t>.</w:t>
      </w:r>
      <w:r>
        <w:rPr>
          <w:rFonts w:hint="default" w:ascii="Arial" w:hAnsi="Arial" w:cs="Arial"/>
          <w:sz w:val="24"/>
          <w:szCs w:val="24"/>
          <w:lang w:val="en-US" w:eastAsia="zh-CN"/>
        </w:rPr>
        <w:t xml:space="preserve"> These illegal activities have weakened Tesco's reputation and led not only to a significant decline in Tesco's share price, but also to a decline in consumer confidence as consumers choose to turn to competitors or reduce transactions with Tesco.</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1"/>
        <w:rPr>
          <w:rFonts w:hint="eastAsia" w:ascii="Arial" w:hAnsi="Arial" w:cs="Arial"/>
          <w:sz w:val="24"/>
          <w:szCs w:val="24"/>
          <w:lang w:val="en-US" w:eastAsia="zh-CN"/>
        </w:rPr>
      </w:pPr>
      <w:bookmarkStart w:id="5" w:name="_Toc21511"/>
      <w:r>
        <w:rPr>
          <w:rFonts w:hint="eastAsia" w:ascii="Arial" w:hAnsi="Arial" w:cs="Arial"/>
          <w:sz w:val="24"/>
          <w:szCs w:val="24"/>
          <w:lang w:val="en-US" w:eastAsia="zh-CN"/>
        </w:rPr>
        <w:t>2.2 Issue 2：The impact of changes in consumer purchasing behavior on Tesco</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r>
        <w:rPr>
          <w:rFonts w:hint="default" w:ascii="Arial" w:hAnsi="Arial" w:cs="Arial"/>
          <w:sz w:val="24"/>
          <w:szCs w:val="24"/>
          <w:lang w:val="en-US" w:eastAsia="zh-CN"/>
        </w:rPr>
        <w:t>The economy has always been a concern</w:t>
      </w:r>
      <w:r>
        <w:rPr>
          <w:rFonts w:hint="eastAsia" w:ascii="Arial" w:hAnsi="Arial" w:cs="Arial"/>
          <w:sz w:val="24"/>
          <w:szCs w:val="24"/>
          <w:lang w:val="en-US" w:eastAsia="zh-CN"/>
        </w:rPr>
        <w:t xml:space="preserve"> to Tesco,</w:t>
      </w:r>
      <w:r>
        <w:rPr>
          <w:rFonts w:hint="default" w:ascii="Arial" w:hAnsi="Arial" w:cs="Arial"/>
          <w:sz w:val="24"/>
          <w:szCs w:val="24"/>
          <w:lang w:val="en-US" w:eastAsia="zh-CN"/>
        </w:rPr>
        <w:t xml:space="preserve"> as it directly affects people's purchasing behavior, and the recession threat faced by the company in recent years has been triggered by the outbreak. However, a positive aspect of the recession is that consumers have </w:t>
      </w:r>
      <w:r>
        <w:rPr>
          <w:rFonts w:hint="eastAsia" w:ascii="Arial" w:hAnsi="Arial" w:cs="Arial"/>
          <w:sz w:val="24"/>
          <w:szCs w:val="24"/>
          <w:lang w:val="en-US" w:eastAsia="zh-CN"/>
        </w:rPr>
        <w:t>r</w:t>
      </w:r>
      <w:r>
        <w:rPr>
          <w:rFonts w:hint="default" w:ascii="Arial" w:hAnsi="Arial" w:cs="Arial"/>
          <w:sz w:val="24"/>
          <w:szCs w:val="24"/>
          <w:lang w:val="en-US" w:eastAsia="zh-CN"/>
        </w:rPr>
        <w:t>educed trips to eat out at restaurants and increased household food consumption, which allows food retailers like Special to increase production (National Bureau of Statistics, 2010).</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outlineLvl w:val="0"/>
        <w:rPr>
          <w:rFonts w:hint="eastAsia" w:ascii="Arial" w:hAnsi="Arial" w:cs="Arial"/>
          <w:sz w:val="24"/>
          <w:szCs w:val="24"/>
          <w:lang w:val="en-US" w:eastAsia="zh-CN"/>
        </w:rPr>
      </w:pPr>
      <w:bookmarkStart w:id="6" w:name="_Toc10834"/>
      <w:r>
        <w:rPr>
          <w:rFonts w:hint="eastAsia" w:ascii="Arial" w:hAnsi="Arial" w:cs="Arial"/>
          <w:sz w:val="24"/>
          <w:szCs w:val="24"/>
          <w:lang w:val="en-US" w:eastAsia="zh-CN"/>
        </w:rPr>
        <w:t>Porter's Five-force analysis:</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r>
        <w:rPr>
          <w:rFonts w:hint="default" w:ascii="Arial" w:hAnsi="Arial" w:cs="Arial"/>
          <w:sz w:val="24"/>
          <w:szCs w:val="24"/>
          <w:highlight w:val="none"/>
          <w:lang w:val="en-US" w:eastAsia="zh-CN"/>
        </w:rPr>
        <w:t xml:space="preserve">The Porter's Five Forces model is a strategic analysis tool that companies use to understand project profitability and structural drivers, and to develop competitive strategies. The model identifies five forces: supplier power, buyer power, competitive rivalry, threat of substitution, and threat of new entry (Grundy, T. 2006). Its purpose is to identify project strengths and weaknesses, and then determine structure and strategy (Rachesekar, J. 2022). </w:t>
      </w:r>
      <w:r>
        <w:rPr>
          <w:rFonts w:hint="default" w:ascii="Arial" w:hAnsi="Arial" w:cs="Arial"/>
          <w:sz w:val="24"/>
          <w:szCs w:val="24"/>
          <w:lang w:val="en-US" w:eastAsia="zh-CN"/>
        </w:rPr>
        <w:t>This is an effective tool to identify the factors that make the industry truly profitable.</w:t>
      </w:r>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Competition: Tesco faces fierce competition in the UK retail market, including other chain supermarkets, discounters and online retailers. These competitors compete for market share by continuously lowering prices, innovating products and services and expanding channels (Rajasekar, J., 2022).</w:t>
      </w:r>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eastAsia" w:ascii="Arial" w:hAnsi="Arial" w:eastAsia="宋体" w:cs="Arial"/>
          <w:i w:val="0"/>
          <w:iCs w:val="0"/>
          <w:caps w:val="0"/>
          <w:color w:val="111111"/>
          <w:spacing w:val="0"/>
          <w:sz w:val="24"/>
          <w:szCs w:val="24"/>
          <w:shd w:val="clear" w:fill="FFFFFF"/>
          <w:lang w:val="en-US" w:eastAsia="zh-CN"/>
        </w:rPr>
        <w:t>S</w:t>
      </w:r>
      <w:r>
        <w:rPr>
          <w:rFonts w:hint="default" w:ascii="Arial" w:hAnsi="Arial" w:eastAsia="sans-serif" w:cs="Arial"/>
          <w:i w:val="0"/>
          <w:iCs w:val="0"/>
          <w:caps w:val="0"/>
          <w:color w:val="111111"/>
          <w:spacing w:val="0"/>
          <w:sz w:val="24"/>
          <w:szCs w:val="24"/>
          <w:shd w:val="clear" w:fill="FFFFFF"/>
        </w:rPr>
        <w:t>upplier bargaining power</w:t>
      </w:r>
      <w:r>
        <w:rPr>
          <w:rFonts w:hint="eastAsia" w:ascii="sans-serif" w:hAnsi="sans-serif" w:eastAsia="宋体" w:cs="sans-serif"/>
          <w:i w:val="0"/>
          <w:iCs w:val="0"/>
          <w:caps w:val="0"/>
          <w:color w:val="111111"/>
          <w:spacing w:val="0"/>
          <w:sz w:val="24"/>
          <w:szCs w:val="24"/>
          <w:shd w:val="clear" w:fill="FFFFFF"/>
          <w:lang w:eastAsia="zh-CN"/>
        </w:rPr>
        <w:t>：</w:t>
      </w:r>
      <w:r>
        <w:rPr>
          <w:rFonts w:hint="default" w:ascii="Arial" w:hAnsi="Arial" w:cs="Arial"/>
          <w:sz w:val="24"/>
          <w:szCs w:val="24"/>
          <w:lang w:val="en-US" w:eastAsia="zh-CN"/>
        </w:rPr>
        <w:t>Tesco offers products dependent on vendors, and their negotiating capabilities can affect cost and profitability. It is feared that vendors can manage important raw materials and products.</w:t>
      </w:r>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eastAsia" w:ascii="Arial" w:hAnsi="Arial" w:eastAsia="宋体" w:cs="Arial"/>
          <w:i w:val="0"/>
          <w:iCs w:val="0"/>
          <w:caps w:val="0"/>
          <w:color w:val="111111"/>
          <w:spacing w:val="0"/>
          <w:sz w:val="24"/>
          <w:szCs w:val="24"/>
          <w:shd w:val="clear" w:fill="FFFFFF"/>
          <w:lang w:val="en-US" w:eastAsia="zh-CN"/>
        </w:rPr>
        <w:t>C</w:t>
      </w:r>
      <w:r>
        <w:rPr>
          <w:rFonts w:hint="default" w:ascii="Arial" w:hAnsi="Arial" w:eastAsia="sans-serif" w:cs="Arial"/>
          <w:i w:val="0"/>
          <w:iCs w:val="0"/>
          <w:caps w:val="0"/>
          <w:color w:val="111111"/>
          <w:spacing w:val="0"/>
          <w:sz w:val="24"/>
          <w:szCs w:val="24"/>
          <w:shd w:val="clear" w:fill="FFFFFF"/>
        </w:rPr>
        <w:t>ustomer bargaining power</w:t>
      </w:r>
      <w:r>
        <w:rPr>
          <w:rFonts w:hint="default" w:ascii="Arial" w:hAnsi="Arial" w:cs="Arial"/>
          <w:sz w:val="24"/>
          <w:szCs w:val="24"/>
          <w:lang w:val="en-US" w:eastAsia="zh-CN"/>
        </w:rPr>
        <w:t>: Consumers in the UK retail market have strong negotiation ability, are price sensitive, and are willing to compare prices through various channels. This requires efforts to provide competitive prices and value added to maintain customer loyalty (Online Time, 2009)</w:t>
      </w:r>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Threat of Substitute Products or Services: Substitution threats come from other channels and retail products, such as convenience stores, online stores, and food services. With a wider range of consumer choices, TESCO Group needs to constantly innovate to attract customers.</w:t>
      </w:r>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eastAsia" w:ascii="Arial" w:hAnsi="Arial" w:cs="Arial"/>
          <w:sz w:val="24"/>
          <w:szCs w:val="24"/>
          <w:lang w:val="en-US" w:eastAsia="zh-CN"/>
        </w:rPr>
        <w:t>Threat of New Entrants:</w:t>
      </w:r>
      <w:r>
        <w:rPr>
          <w:rFonts w:hint="default" w:ascii="Arial" w:hAnsi="Arial" w:cs="Arial"/>
          <w:sz w:val="24"/>
          <w:szCs w:val="24"/>
          <w:lang w:val="en-US" w:eastAsia="zh-CN"/>
        </w:rPr>
        <w:t>Although entering the retail market requires significant investment and resources, there is still a risk of new entrants. Especially with the development of digital technologies, new online retailers can present Tesco with challenges.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1"/>
        <w:rPr>
          <w:rFonts w:hint="default" w:ascii="Arial" w:hAnsi="Arial" w:cs="Arial"/>
          <w:sz w:val="24"/>
          <w:szCs w:val="24"/>
          <w:lang w:val="en-US" w:eastAsia="zh-CN"/>
        </w:rPr>
      </w:pPr>
      <w:bookmarkStart w:id="7" w:name="_Toc6832"/>
      <w:r>
        <w:rPr>
          <w:rFonts w:hint="eastAsia" w:ascii="Arial" w:hAnsi="Arial" w:cs="Arial"/>
          <w:sz w:val="24"/>
          <w:szCs w:val="24"/>
          <w:lang w:val="en-US" w:eastAsia="zh-CN"/>
        </w:rPr>
        <w:t>3.1 Issue 3：</w:t>
      </w:r>
      <w:r>
        <w:rPr>
          <w:rFonts w:hint="eastAsia" w:ascii="Arial" w:hAnsi="Arial" w:eastAsia="宋体" w:cs="Arial"/>
          <w:i w:val="0"/>
          <w:iCs w:val="0"/>
          <w:caps w:val="0"/>
          <w:color w:val="111111"/>
          <w:spacing w:val="0"/>
          <w:sz w:val="24"/>
          <w:szCs w:val="24"/>
          <w:shd w:val="clear" w:fill="FFFFFF"/>
          <w:lang w:val="en-US" w:eastAsia="zh-CN"/>
        </w:rPr>
        <w:t>C</w:t>
      </w:r>
      <w:r>
        <w:rPr>
          <w:rFonts w:hint="default" w:ascii="Arial" w:hAnsi="Arial" w:eastAsia="sans-serif" w:cs="Arial"/>
          <w:i w:val="0"/>
          <w:iCs w:val="0"/>
          <w:caps w:val="0"/>
          <w:color w:val="111111"/>
          <w:spacing w:val="0"/>
          <w:sz w:val="24"/>
          <w:szCs w:val="24"/>
          <w:shd w:val="clear" w:fill="FFFFFF"/>
        </w:rPr>
        <w:t>ustomer bargaining power</w:t>
      </w:r>
      <w:bookmarkEnd w:id="7"/>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9"/>
        <w:rPr>
          <w:rFonts w:hint="default" w:ascii="Arial" w:hAnsi="Arial" w:cs="Arial"/>
          <w:sz w:val="24"/>
          <w:szCs w:val="24"/>
          <w:lang w:val="en-US" w:eastAsia="zh-CN"/>
        </w:rPr>
      </w:pPr>
      <w:r>
        <w:rPr>
          <w:rFonts w:hint="default" w:ascii="Arial" w:hAnsi="Arial" w:cs="Arial"/>
          <w:sz w:val="24"/>
          <w:szCs w:val="24"/>
          <w:lang w:val="en-US" w:eastAsia="zh-CN"/>
        </w:rPr>
        <w:t>For Tesco, buyers or customers have high bargaining power because with the development of technology, new electronic devices</w:t>
      </w:r>
      <w:r>
        <w:rPr>
          <w:rFonts w:hint="eastAsia" w:ascii="Arial" w:hAnsi="Arial" w:cs="Arial"/>
          <w:sz w:val="24"/>
          <w:szCs w:val="24"/>
          <w:lang w:val="en-US" w:eastAsia="zh-CN"/>
        </w:rPr>
        <w:t>. On one hand</w:t>
      </w:r>
      <w:r>
        <w:rPr>
          <w:rFonts w:hint="default" w:ascii="Arial" w:hAnsi="Arial" w:cs="Arial"/>
          <w:sz w:val="24"/>
          <w:szCs w:val="24"/>
          <w:lang w:val="en-US" w:eastAsia="zh-CN"/>
        </w:rPr>
        <w:t xml:space="preserve"> because consumers themselves are price sensitive, </w:t>
      </w:r>
      <w:r>
        <w:rPr>
          <w:rFonts w:hint="eastAsia" w:ascii="Arial" w:hAnsi="Arial" w:cs="Arial"/>
          <w:sz w:val="24"/>
          <w:szCs w:val="24"/>
          <w:lang w:val="en-US" w:eastAsia="zh-CN"/>
        </w:rPr>
        <w:t>on the other hand</w:t>
      </w:r>
      <w:r>
        <w:rPr>
          <w:rFonts w:hint="default" w:ascii="Arial" w:hAnsi="Arial" w:cs="Arial"/>
          <w:sz w:val="24"/>
          <w:szCs w:val="24"/>
          <w:lang w:val="en-US" w:eastAsia="zh-CN"/>
        </w:rPr>
        <w:t xml:space="preserve"> because as technology evolves, new electronic devices such as smartphones offer greater convenience and versatility, making it easier for customers to compare product prices and choose a more suitable product in the store (Online Time, 2009).</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9"/>
        <w:rPr>
          <w:rFonts w:hint="default" w:ascii="Arial" w:hAnsi="Arial" w:cs="Arial"/>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outlineLvl w:val="0"/>
        <w:rPr>
          <w:rFonts w:hint="eastAsia" w:ascii="Arial" w:hAnsi="Arial" w:cs="Arial"/>
          <w:sz w:val="24"/>
          <w:szCs w:val="24"/>
          <w:lang w:eastAsia="zh-CN"/>
        </w:rPr>
      </w:pPr>
      <w:bookmarkStart w:id="8" w:name="OLE_LINK2"/>
      <w:bookmarkStart w:id="9" w:name="_Toc25287"/>
      <w:bookmarkStart w:id="10" w:name="OLE_LINK3"/>
      <w:r>
        <w:rPr>
          <w:rFonts w:hint="default" w:ascii="Arial" w:hAnsi="Arial" w:cs="Arial"/>
          <w:sz w:val="24"/>
          <w:szCs w:val="24"/>
        </w:rPr>
        <w:t>McKinsey’s 7S Framewokr</w:t>
      </w:r>
      <w:bookmarkEnd w:id="8"/>
      <w:r>
        <w:rPr>
          <w:rFonts w:hint="eastAsia" w:ascii="Arial" w:hAnsi="Arial" w:cs="Arial"/>
          <w:sz w:val="24"/>
          <w:szCs w:val="24"/>
          <w:lang w:val="en-US" w:eastAsia="zh-CN"/>
        </w:rPr>
        <w:t xml:space="preserve"> </w:t>
      </w:r>
      <w:r>
        <w:rPr>
          <w:rFonts w:hint="eastAsia" w:ascii="Arial" w:hAnsi="Arial" w:cs="Arial"/>
          <w:sz w:val="24"/>
          <w:szCs w:val="24"/>
          <w:lang w:eastAsia="zh-CN"/>
        </w:rPr>
        <w:t>：</w:t>
      </w:r>
      <w:bookmarkEnd w:id="9"/>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9"/>
        <w:rPr>
          <w:rFonts w:hint="default" w:ascii="Arial" w:hAnsi="Arial" w:cs="Arial"/>
          <w:sz w:val="24"/>
          <w:szCs w:val="24"/>
          <w:lang w:val="en-US" w:eastAsia="zh-CN"/>
        </w:rPr>
      </w:pPr>
      <w:r>
        <w:rPr>
          <w:rFonts w:hint="default" w:ascii="Arial" w:hAnsi="Arial" w:cs="Arial"/>
          <w:sz w:val="24"/>
          <w:szCs w:val="24"/>
        </w:rPr>
        <w:t xml:space="preserve"> </w:t>
      </w:r>
      <w:bookmarkEnd w:id="10"/>
      <w:r>
        <w:rPr>
          <w:rFonts w:hint="default" w:ascii="Arial" w:hAnsi="Arial" w:cs="Arial"/>
          <w:sz w:val="24"/>
          <w:szCs w:val="24"/>
          <w:lang w:val="en-US" w:eastAsia="zh-CN"/>
        </w:rPr>
        <w:t>The McKinsey 7-S framework is a study of multiple dimensions in the organization for evaluating seven elements in the organization (Chmielewska, M., 2022). R. Waterman, t. Composed by Peters, J. R. Philips was designed for Macintosh (bratnicki, M., 2014; Peters TJ, Waterman RH, 2015).</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9"/>
        <w:rPr>
          <w:rFonts w:hint="default" w:ascii="Arial" w:hAnsi="Arial" w:cs="Arial"/>
          <w:sz w:val="24"/>
          <w:szCs w:val="24"/>
          <w:lang w:val="en-US" w:eastAsia="zh-CN"/>
        </w:rPr>
      </w:pPr>
      <w:r>
        <w:rPr>
          <w:rFonts w:hint="default" w:ascii="Arial" w:hAnsi="Arial" w:cs="Arial"/>
          <w:sz w:val="24"/>
          <w:szCs w:val="24"/>
          <w:lang w:val="en-US" w:eastAsia="zh-CN"/>
        </w:rPr>
        <w:t>In the McKinsey 7S model, the 7 S factors are interdependent and influence each other, and the coordination relationship between them directly affects the operational efficiency, competitiveness and long-term development of an enterprise.</w:t>
      </w:r>
    </w:p>
    <w:p>
      <w:pPr>
        <w:keepNext w:val="0"/>
        <w:keepLines w:val="0"/>
        <w:pageBreakBefore w:val="0"/>
        <w:widowControl w:val="0"/>
        <w:numPr>
          <w:ilvl w:val="0"/>
          <w:numId w:val="4"/>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Strategy</w:t>
      </w:r>
      <w:r>
        <w:rPr>
          <w:rFonts w:hint="default" w:ascii="Arial" w:hAnsi="Arial" w:cs="Arial" w:eastAsiaTheme="majorEastAsia"/>
          <w:i w:val="0"/>
          <w:iCs w:val="0"/>
          <w:caps w:val="0"/>
          <w:color w:val="000000" w:themeColor="text1"/>
          <w:spacing w:val="0"/>
          <w:sz w:val="24"/>
          <w:szCs w:val="24"/>
          <w:shd w:val="clear" w:fill="FFFFFF"/>
          <w:lang w:eastAsia="zh-CN"/>
          <w14:textFill>
            <w14:solidFill>
              <w14:schemeClr w14:val="tx1"/>
            </w14:solidFill>
          </w14:textFill>
        </w:rPr>
        <w:t>：</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 xml:space="preserve"> Plan how to allocate limited business resources to achieve goals set over time. Environment, competition, and customers</w:t>
      </w:r>
      <w:r>
        <w:rPr>
          <w:rFonts w:hint="default" w:ascii="Arial" w:hAnsi="Arial" w:cs="Arial" w:eastAsiaTheme="majorEastAsia"/>
          <w:i w:val="0"/>
          <w:iCs w:val="0"/>
          <w:caps w:val="0"/>
          <w:color w:val="000000" w:themeColor="text1"/>
          <w:spacing w:val="0"/>
          <w:sz w:val="24"/>
          <w:szCs w:val="24"/>
          <w:shd w:val="clear" w:fill="FFFFFF"/>
          <w:lang w:eastAsia="zh-CN"/>
          <w14:textFill>
            <w14:solidFill>
              <w14:schemeClr w14:val="tx1"/>
            </w14:solidFill>
          </w14:textFill>
        </w:rPr>
        <w:t>（</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 xml:space="preserve">Harrington, H.J. </w:t>
      </w:r>
      <w:r>
        <w:rPr>
          <w:rFonts w:hint="default" w:ascii="Arial" w:hAnsi="Arial" w:cs="Arial" w:eastAsiaTheme="majorEastAsia"/>
          <w:i w:val="0"/>
          <w:iCs w:val="0"/>
          <w:caps w:val="0"/>
          <w:color w:val="000000" w:themeColor="text1"/>
          <w:spacing w:val="0"/>
          <w:sz w:val="24"/>
          <w:szCs w:val="24"/>
          <w:shd w:val="clear" w:fill="FFFFFF"/>
          <w:lang w:eastAsia="zh-CN"/>
          <w14:textFill>
            <w14:solidFill>
              <w14:schemeClr w14:val="tx1"/>
            </w14:solidFill>
          </w14:textFill>
        </w:rPr>
        <w:t>，</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2014).</w:t>
      </w:r>
      <w:r>
        <w:rPr>
          <w:rFonts w:hint="default" w:ascii="Arial" w:hAnsi="Arial" w:cs="Arial"/>
          <w:color w:val="000000" w:themeColor="text1"/>
          <w:sz w:val="24"/>
          <w:szCs w:val="24"/>
          <w:lang w:val="en-US" w:eastAsia="zh-CN"/>
          <w14:textFill>
            <w14:solidFill>
              <w14:schemeClr w14:val="tx1"/>
            </w14:solidFill>
          </w14:textFill>
        </w:rPr>
        <w:t>TESCO Group's strategic decisions will directly affect its business direction, market positioning and long-term development goals. Key issues include pricing strategy, investment portfolio, and channel selection.</w:t>
      </w:r>
    </w:p>
    <w:p>
      <w:pPr>
        <w:keepNext w:val="0"/>
        <w:keepLines w:val="0"/>
        <w:pageBreakBefore w:val="0"/>
        <w:widowControl w:val="0"/>
        <w:numPr>
          <w:ilvl w:val="0"/>
          <w:numId w:val="4"/>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Structure: The way in which various departments are interconnected: the central department (from top to bottom); Decentralization of power (trend of large enterprises); Network matrix, preservation, etc</w:t>
      </w:r>
      <w:r>
        <w:rPr>
          <w:rFonts w:hint="default" w:ascii="Arial" w:hAnsi="Arial" w:cs="Arial" w:eastAsiaTheme="majorEastAsia"/>
          <w:i w:val="0"/>
          <w:iCs w:val="0"/>
          <w:caps w:val="0"/>
          <w:color w:val="000000" w:themeColor="text1"/>
          <w:spacing w:val="0"/>
          <w:sz w:val="24"/>
          <w:szCs w:val="24"/>
          <w:shd w:val="clear" w:fill="FFFFFF"/>
          <w:lang w:eastAsia="zh-CN"/>
          <w14:textFill>
            <w14:solidFill>
              <w14:schemeClr w14:val="tx1"/>
            </w14:solidFill>
          </w14:textFill>
        </w:rPr>
        <w:t>（</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 xml:space="preserve">Harrington, H.J. </w:t>
      </w:r>
      <w:r>
        <w:rPr>
          <w:rFonts w:hint="default" w:ascii="Arial" w:hAnsi="Arial" w:cs="Arial" w:eastAsiaTheme="majorEastAsia"/>
          <w:i w:val="0"/>
          <w:iCs w:val="0"/>
          <w:caps w:val="0"/>
          <w:color w:val="000000" w:themeColor="text1"/>
          <w:spacing w:val="0"/>
          <w:sz w:val="24"/>
          <w:szCs w:val="24"/>
          <w:shd w:val="clear" w:fill="FFFFFF"/>
          <w:lang w:eastAsia="zh-CN"/>
          <w14:textFill>
            <w14:solidFill>
              <w14:schemeClr w14:val="tx1"/>
            </w14:solidFill>
          </w14:textFill>
        </w:rPr>
        <w:t>，</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2014)</w:t>
      </w:r>
      <w:r>
        <w:rPr>
          <w:rFonts w:hint="default" w:ascii="Arial" w:hAnsi="Arial" w:cs="Arial"/>
          <w:color w:val="000000" w:themeColor="text1"/>
          <w:sz w:val="24"/>
          <w:szCs w:val="24"/>
          <w:lang w:val="en-US" w:eastAsia="zh-CN"/>
          <w14:textFill>
            <w14:solidFill>
              <w14:schemeClr w14:val="tx1"/>
            </w14:solidFill>
          </w14:textFill>
        </w:rPr>
        <w:t>.The organizational structure of Tesco determines the way power and responsibility are distributed, as well as the efficiency of information flow and decision-making process.</w:t>
      </w:r>
    </w:p>
    <w:p>
      <w:pPr>
        <w:keepNext w:val="0"/>
        <w:keepLines w:val="0"/>
        <w:pageBreakBefore w:val="0"/>
        <w:widowControl w:val="0"/>
        <w:numPr>
          <w:ilvl w:val="0"/>
          <w:numId w:val="4"/>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Systems</w:t>
      </w:r>
      <w:r>
        <w:rPr>
          <w:rFonts w:hint="eastAsia" w:ascii="Arial" w:hAnsi="Arial" w:cs="Arial"/>
          <w:color w:val="000000" w:themeColor="text1"/>
          <w:sz w:val="24"/>
          <w:szCs w:val="24"/>
          <w:lang w:val="en-US" w:eastAsia="zh-CN"/>
          <w14:textFill>
            <w14:solidFill>
              <w14:schemeClr w14:val="tx1"/>
            </w14:solidFill>
          </w14:textFill>
        </w:rPr>
        <w:t xml:space="preserve">: </w:t>
      </w:r>
      <w:r>
        <w:rPr>
          <w:rFonts w:hint="default" w:ascii="Arial" w:hAnsi="Arial" w:cs="Arial"/>
          <w:color w:val="000000" w:themeColor="text1"/>
          <w:sz w:val="24"/>
          <w:szCs w:val="24"/>
          <w:lang w:val="en-US" w:eastAsia="zh-CN"/>
          <w14:textFill>
            <w14:solidFill>
              <w14:schemeClr w14:val="tx1"/>
            </w14:solidFill>
          </w14:textFill>
        </w:rPr>
        <w:t>Tesco's operational systems and processes are critical to its business operations. This includes supply chain management, inventory control, information technology systems, etc.</w:t>
      </w:r>
    </w:p>
    <w:p>
      <w:pPr>
        <w:keepNext w:val="0"/>
        <w:keepLines w:val="0"/>
        <w:pageBreakBefore w:val="0"/>
        <w:widowControl w:val="0"/>
        <w:numPr>
          <w:ilvl w:val="0"/>
          <w:numId w:val="4"/>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Shared Values</w:t>
      </w:r>
      <w:r>
        <w:rPr>
          <w:rFonts w:hint="eastAsia" w:ascii="Arial" w:hAnsi="Arial" w:cs="Arial"/>
          <w:color w:val="000000" w:themeColor="text1"/>
          <w:sz w:val="24"/>
          <w:szCs w:val="24"/>
          <w:lang w:val="en-US" w:eastAsia="zh-CN"/>
          <w14:textFill>
            <w14:solidFill>
              <w14:schemeClr w14:val="tx1"/>
            </w14:solidFill>
          </w14:textFill>
        </w:rPr>
        <w:t xml:space="preserve">: </w:t>
      </w:r>
      <w:r>
        <w:rPr>
          <w:rFonts w:hint="default" w:ascii="Arial" w:hAnsi="Arial" w:cs="Arial"/>
          <w:color w:val="000000" w:themeColor="text1"/>
          <w:sz w:val="24"/>
          <w:szCs w:val="24"/>
          <w:lang w:val="en-US" w:eastAsia="zh-CN"/>
          <w14:textFill>
            <w14:solidFill>
              <w14:schemeClr w14:val="tx1"/>
            </w14:solidFill>
          </w14:textFill>
        </w:rPr>
        <w:t>TESCO Group's common values reflect a culture and core beliefs, which have a huge impact on employee behavior and enterprise development. This may be related to values such as customer service, sustainable development, and social responsibility.</w:t>
      </w:r>
    </w:p>
    <w:p>
      <w:pPr>
        <w:keepNext w:val="0"/>
        <w:keepLines w:val="0"/>
        <w:pageBreakBefore w:val="0"/>
        <w:widowControl w:val="0"/>
        <w:numPr>
          <w:ilvl w:val="0"/>
          <w:numId w:val="4"/>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Skills</w:t>
      </w:r>
      <w:r>
        <w:rPr>
          <w:rFonts w:hint="eastAsia" w:ascii="Arial" w:hAnsi="Arial" w:cs="Arial"/>
          <w:color w:val="000000" w:themeColor="text1"/>
          <w:sz w:val="24"/>
          <w:szCs w:val="24"/>
          <w:lang w:val="en-US" w:eastAsia="zh-CN"/>
          <w14:textFill>
            <w14:solidFill>
              <w14:schemeClr w14:val="tx1"/>
            </w14:solidFill>
          </w14:textFill>
        </w:rPr>
        <w:t xml:space="preserve">: </w:t>
      </w:r>
      <w:r>
        <w:rPr>
          <w:rFonts w:hint="default" w:ascii="Arial" w:hAnsi="Arial" w:cs="Arial"/>
          <w:color w:val="000000" w:themeColor="text1"/>
          <w:sz w:val="24"/>
          <w:szCs w:val="24"/>
          <w:lang w:val="en-US" w:eastAsia="zh-CN"/>
          <w14:textFill>
            <w14:solidFill>
              <w14:schemeClr w14:val="tx1"/>
            </w14:solidFill>
          </w14:textFill>
        </w:rPr>
        <w:t>Tesco's staff skills and ability level directly affect the execution efficiency and service quality of its business. This includes staff training, expertise, leadership, etc.</w:t>
      </w:r>
    </w:p>
    <w:p>
      <w:pPr>
        <w:keepNext w:val="0"/>
        <w:keepLines w:val="0"/>
        <w:pageBreakBefore w:val="0"/>
        <w:widowControl w:val="0"/>
        <w:numPr>
          <w:ilvl w:val="0"/>
          <w:numId w:val="4"/>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eastAsia" w:ascii="Arial" w:hAnsi="Arial" w:cs="Arial"/>
          <w:color w:val="000000" w:themeColor="text1"/>
          <w:sz w:val="24"/>
          <w:szCs w:val="24"/>
          <w:lang w:val="en-US" w:eastAsia="zh-CN"/>
          <w14:textFill>
            <w14:solidFill>
              <w14:schemeClr w14:val="tx1"/>
            </w14:solidFill>
          </w14:textFill>
        </w:rPr>
      </w:pPr>
      <w:r>
        <w:rPr>
          <w:rFonts w:hint="eastAsia" w:ascii="Arial" w:hAnsi="Arial" w:cs="Arial"/>
          <w:color w:val="000000" w:themeColor="text1"/>
          <w:sz w:val="24"/>
          <w:szCs w:val="24"/>
          <w:lang w:val="en-US" w:eastAsia="zh-CN"/>
          <w14:textFill>
            <w14:solidFill>
              <w14:schemeClr w14:val="tx1"/>
            </w14:solidFill>
          </w14:textFill>
        </w:rPr>
        <w:t>Staff: Personnel: Number and type of employees within the organization</w:t>
      </w:r>
      <w:bookmarkStart w:id="11" w:name="OLE_LINK1"/>
      <w:r>
        <w:rPr>
          <w:rFonts w:hint="default" w:ascii="Arial" w:hAnsi="Arial" w:cs="Arial" w:eastAsiaTheme="majorEastAsia"/>
          <w:i w:val="0"/>
          <w:iCs w:val="0"/>
          <w:caps w:val="0"/>
          <w:color w:val="000000" w:themeColor="text1"/>
          <w:spacing w:val="0"/>
          <w:sz w:val="24"/>
          <w:szCs w:val="24"/>
          <w:shd w:val="clear" w:fill="FFFFFF"/>
          <w:lang w:eastAsia="zh-CN"/>
          <w14:textFill>
            <w14:solidFill>
              <w14:schemeClr w14:val="tx1"/>
            </w14:solidFill>
          </w14:textFill>
        </w:rPr>
        <w:t>（</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 xml:space="preserve">Harrington, H.J. </w:t>
      </w:r>
      <w:r>
        <w:rPr>
          <w:rFonts w:hint="default" w:ascii="Arial" w:hAnsi="Arial" w:cs="Arial" w:eastAsiaTheme="majorEastAsia"/>
          <w:i w:val="0"/>
          <w:iCs w:val="0"/>
          <w:caps w:val="0"/>
          <w:color w:val="000000" w:themeColor="text1"/>
          <w:spacing w:val="0"/>
          <w:sz w:val="24"/>
          <w:szCs w:val="24"/>
          <w:shd w:val="clear" w:fill="FFFFFF"/>
          <w:lang w:eastAsia="zh-CN"/>
          <w14:textFill>
            <w14:solidFill>
              <w14:schemeClr w14:val="tx1"/>
            </w14:solidFill>
          </w14:textFill>
        </w:rPr>
        <w:t>，</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2014)</w:t>
      </w:r>
      <w:r>
        <w:rPr>
          <w:rFonts w:hint="eastAsia" w:ascii="Arial" w:hAnsi="Arial" w:cs="Arial" w:eastAsiaTheme="majorEastAsia"/>
          <w:i w:val="0"/>
          <w:iCs w:val="0"/>
          <w:caps w:val="0"/>
          <w:color w:val="000000" w:themeColor="text1"/>
          <w:spacing w:val="0"/>
          <w:sz w:val="24"/>
          <w:szCs w:val="24"/>
          <w:shd w:val="clear" w:fill="FFFFFF"/>
          <w:lang w:val="en-US" w:eastAsia="zh-CN"/>
          <w14:textFill>
            <w14:solidFill>
              <w14:schemeClr w14:val="tx1"/>
            </w14:solidFill>
          </w14:textFill>
        </w:rPr>
        <w:t>.</w:t>
      </w:r>
      <w:r>
        <w:rPr>
          <w:rFonts w:hint="eastAsia" w:ascii="Arial" w:hAnsi="Arial" w:cs="Arial"/>
          <w:color w:val="000000" w:themeColor="text1"/>
          <w:sz w:val="24"/>
          <w:szCs w:val="24"/>
          <w:lang w:val="en-US" w:eastAsia="zh-CN"/>
          <w14:textFill>
            <w14:solidFill>
              <w14:schemeClr w14:val="tx1"/>
            </w14:solidFill>
          </w14:textFill>
        </w:rPr>
        <w:t>Tesco's employees constitute its most valuable asset, and their satisfaction and morale are critical to the success of the business. This includes employee benefits, recruitment, and retention strategies, etc.</w:t>
      </w:r>
    </w:p>
    <w:bookmarkEnd w:id="11"/>
    <w:p>
      <w:pPr>
        <w:keepNext w:val="0"/>
        <w:keepLines w:val="0"/>
        <w:pageBreakBefore w:val="0"/>
        <w:widowControl w:val="0"/>
        <w:numPr>
          <w:ilvl w:val="0"/>
          <w:numId w:val="4"/>
        </w:numPr>
        <w:tabs>
          <w:tab w:val="left" w:pos="898"/>
        </w:tabs>
        <w:kinsoku/>
        <w:wordWrap/>
        <w:overflowPunct/>
        <w:topLinePunct w:val="0"/>
        <w:autoSpaceDE/>
        <w:autoSpaceDN/>
        <w:bidi w:val="0"/>
        <w:adjustRightInd/>
        <w:snapToGrid/>
        <w:spacing w:line="480" w:lineRule="auto"/>
        <w:ind w:left="420" w:leftChars="0" w:hanging="420" w:firstLineChars="0"/>
        <w:textAlignment w:val="auto"/>
        <w:outlineLvl w:val="9"/>
        <w:rPr>
          <w:rFonts w:hint="eastAsia" w:ascii="Arial" w:hAnsi="Arial" w:cs="Arial"/>
          <w:color w:val="000000" w:themeColor="text1"/>
          <w:sz w:val="24"/>
          <w:szCs w:val="24"/>
          <w:lang w:val="en-US" w:eastAsia="zh-CN"/>
          <w14:textFill>
            <w14:solidFill>
              <w14:schemeClr w14:val="tx1"/>
            </w14:solidFill>
          </w14:textFill>
        </w:rPr>
      </w:pPr>
      <w:r>
        <w:rPr>
          <w:rFonts w:hint="eastAsia" w:ascii="Arial" w:hAnsi="Arial" w:cs="Arial"/>
          <w:color w:val="000000" w:themeColor="text1"/>
          <w:sz w:val="24"/>
          <w:szCs w:val="24"/>
          <w:lang w:val="en-US" w:eastAsia="zh-CN"/>
          <w14:textFill>
            <w14:solidFill>
              <w14:schemeClr w14:val="tx1"/>
            </w14:solidFill>
          </w14:textFill>
        </w:rPr>
        <w:t>Style：Tesco's leadership style and organizational culture have a significant impact on employee behavior and decision-making styles. This may involve the leader's values, communication style, decision-making style, etc.</w:t>
      </w:r>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rPr>
          <w:rFonts w:hint="eastAsia" w:ascii="Arial" w:hAnsi="Arial" w:cs="Arial"/>
          <w:color w:val="000000" w:themeColor="text1"/>
          <w:sz w:val="24"/>
          <w:szCs w:val="24"/>
          <w:lang w:val="en-US" w:eastAsia="zh-CN"/>
          <w14:textFill>
            <w14:solidFill>
              <w14:schemeClr w14:val="tx1"/>
            </w14:solidFill>
          </w14:textFill>
        </w:rPr>
      </w:pPr>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outlineLvl w:val="1"/>
        <w:rPr>
          <w:rFonts w:hint="default" w:ascii="Arial" w:hAnsi="Arial" w:cs="Arial"/>
          <w:color w:val="000000" w:themeColor="text1"/>
          <w:sz w:val="24"/>
          <w:szCs w:val="24"/>
          <w:lang w:val="en-US" w:eastAsia="zh-CN"/>
          <w14:textFill>
            <w14:solidFill>
              <w14:schemeClr w14:val="tx1"/>
            </w14:solidFill>
          </w14:textFill>
        </w:rPr>
      </w:pPr>
      <w:bookmarkStart w:id="12" w:name="_Toc9761"/>
      <w:r>
        <w:rPr>
          <w:rFonts w:hint="eastAsia" w:ascii="Arial" w:hAnsi="Arial" w:cs="Arial"/>
          <w:color w:val="000000" w:themeColor="text1"/>
          <w:sz w:val="24"/>
          <w:szCs w:val="24"/>
          <w:lang w:val="en-US" w:eastAsia="zh-CN"/>
          <w14:textFill>
            <w14:solidFill>
              <w14:schemeClr w14:val="tx1"/>
            </w14:solidFill>
          </w14:textFill>
        </w:rPr>
        <w:t>4.1 Finding 4:Opportunities for strategy change for the company</w:t>
      </w:r>
      <w:bookmarkEnd w:id="12"/>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With the McKinsey 7S model, Tesco can discover some opportunities. This paragraph will elaborate on some of Tesco's opportunities.The impact of the epidemic has led to more customers' shopping online</w:t>
      </w:r>
      <w:r>
        <w:rPr>
          <w:rFonts w:hint="eastAsia" w:ascii="Arial" w:hAnsi="Arial" w:cs="Arial"/>
          <w:color w:val="000000" w:themeColor="text1"/>
          <w:sz w:val="24"/>
          <w:szCs w:val="24"/>
          <w:lang w:val="en-US" w:eastAsia="zh-CN"/>
          <w14:textFill>
            <w14:solidFill>
              <w14:schemeClr w14:val="tx1"/>
            </w14:solidFill>
          </w14:textFill>
        </w:rPr>
        <w:t xml:space="preserve">. Tesco </w:t>
      </w:r>
      <w:r>
        <w:rPr>
          <w:rFonts w:hint="default" w:ascii="Arial" w:hAnsi="Arial" w:cs="Arial"/>
          <w:color w:val="000000" w:themeColor="text1"/>
          <w:sz w:val="24"/>
          <w:szCs w:val="24"/>
          <w:lang w:val="en-US" w:eastAsia="zh-CN"/>
          <w14:textFill>
            <w14:solidFill>
              <w14:schemeClr w14:val="tx1"/>
            </w14:solidFill>
          </w14:textFill>
        </w:rPr>
        <w:t>has launched a one hour door-to-door delivery service and plans to increase the number of stores to at least 600 by the end of 2023 (Gan, W.&amp;Yan, C.2023). This strategic initiative can meet customer needs, attract more customers, and maintain a leading position in the fiercely competitive market (Gan, W.&amp;Yan, C.2023). Taking these factors into consideration, technology can better utilize internal resources and benefits, respond to changes in the external environment, and achieve sustainable growth</w:t>
      </w:r>
      <w:r>
        <w:rPr>
          <w:rFonts w:hint="eastAsia" w:ascii="Arial" w:hAnsi="Arial" w:cs="Arial"/>
          <w:color w:val="000000" w:themeColor="text1"/>
          <w:sz w:val="24"/>
          <w:szCs w:val="24"/>
          <w:lang w:val="en-US" w:eastAsia="zh-CN"/>
          <w14:textFill>
            <w14:solidFill>
              <w14:schemeClr w14:val="tx1"/>
            </w14:solidFill>
          </w14:textFill>
        </w:rPr>
        <w:t xml:space="preserve"> and development</w:t>
      </w:r>
      <w:r>
        <w:rPr>
          <w:rFonts w:hint="default" w:ascii="Arial" w:hAnsi="Arial" w:cs="Arial"/>
          <w:color w:val="000000" w:themeColor="text1"/>
          <w:sz w:val="24"/>
          <w:szCs w:val="24"/>
          <w:lang w:val="en-US" w:eastAsia="zh-CN"/>
          <w14:textFill>
            <w14:solidFill>
              <w14:schemeClr w14:val="tx1"/>
            </w14:solidFill>
          </w14:textFill>
        </w:rPr>
        <w:t>.</w:t>
      </w:r>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rPr>
          <w:rFonts w:hint="default" w:ascii="Arial" w:hAnsi="Arial" w:cs="Arial"/>
          <w:color w:val="000000" w:themeColor="text1"/>
          <w:sz w:val="24"/>
          <w:szCs w:val="24"/>
          <w:lang w:val="en-US" w:eastAsia="zh-CN"/>
          <w14:textFill>
            <w14:solidFill>
              <w14:schemeClr w14:val="tx1"/>
            </w14:solidFill>
          </w14:textFill>
        </w:rPr>
      </w:pPr>
    </w:p>
    <w:p>
      <w:pPr>
        <w:keepNext w:val="0"/>
        <w:keepLines w:val="0"/>
        <w:pageBreakBefore w:val="0"/>
        <w:widowControl w:val="0"/>
        <w:numPr>
          <w:ilvl w:val="0"/>
          <w:numId w:val="1"/>
        </w:numPr>
        <w:tabs>
          <w:tab w:val="left" w:pos="898"/>
        </w:tabs>
        <w:kinsoku/>
        <w:wordWrap/>
        <w:overflowPunct/>
        <w:topLinePunct w:val="0"/>
        <w:autoSpaceDE/>
        <w:autoSpaceDN/>
        <w:bidi w:val="0"/>
        <w:adjustRightInd/>
        <w:snapToGrid/>
        <w:spacing w:line="480" w:lineRule="auto"/>
        <w:ind w:left="0" w:leftChars="0" w:firstLine="0" w:firstLineChars="0"/>
        <w:textAlignment w:val="auto"/>
        <w:outlineLvl w:val="0"/>
        <w:rPr>
          <w:rFonts w:hint="default" w:ascii="Arial" w:hAnsi="Arial" w:cs="Arial"/>
          <w:color w:val="000000" w:themeColor="text1"/>
          <w:sz w:val="24"/>
          <w:szCs w:val="24"/>
          <w:lang w:val="en-US" w:eastAsia="zh-CN"/>
          <w14:textFill>
            <w14:solidFill>
              <w14:schemeClr w14:val="tx1"/>
            </w14:solidFill>
          </w14:textFill>
        </w:rPr>
      </w:pPr>
      <w:r>
        <w:rPr>
          <w:rFonts w:hint="eastAsia" w:ascii="Arial" w:hAnsi="Arial" w:cs="Arial"/>
          <w:color w:val="000000" w:themeColor="text1"/>
          <w:sz w:val="24"/>
          <w:szCs w:val="24"/>
          <w:lang w:val="en-US" w:eastAsia="zh-CN"/>
          <w14:textFill>
            <w14:solidFill>
              <w14:schemeClr w14:val="tx1"/>
            </w14:solidFill>
          </w14:textFill>
        </w:rPr>
        <w:t xml:space="preserve"> </w:t>
      </w:r>
      <w:bookmarkStart w:id="13" w:name="_Toc5027"/>
      <w:r>
        <w:rPr>
          <w:rFonts w:hint="default" w:ascii="Arial" w:hAnsi="Arial" w:cs="Arial"/>
          <w:color w:val="000000" w:themeColor="text1"/>
          <w:sz w:val="24"/>
          <w:szCs w:val="24"/>
          <w:lang w:val="en-US" w:eastAsia="zh-CN"/>
          <w14:textFill>
            <w14:solidFill>
              <w14:schemeClr w14:val="tx1"/>
            </w14:solidFill>
          </w14:textFill>
        </w:rPr>
        <w:t>The SWOT analysis</w:t>
      </w:r>
      <w:bookmarkEnd w:id="13"/>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It is a strategic planning tool used to measure a company's strengths, weaknesses, opportunities, and threats (Jackson et al., 2003; Kim, 2005). Shang et al. (2014) believe that SWOT is an excellent research tool widely used for effective planning. Use this tool to predict internal and external factors (Rozmi et al., 2018; Wu, 2020). One advantage of SWOT analysis is that it can be used for critical decision-making (Pajni, N.S. et al., 2022)</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Strengths：</w:t>
      </w:r>
    </w:p>
    <w:p>
      <w:pPr>
        <w:keepNext w:val="0"/>
        <w:keepLines w:val="0"/>
        <w:pageBreakBefore w:val="0"/>
        <w:widowControl w:val="0"/>
        <w:numPr>
          <w:ilvl w:val="0"/>
          <w:numId w:val="6"/>
        </w:numPr>
        <w:kinsoku/>
        <w:wordWrap/>
        <w:overflowPunct/>
        <w:topLinePunct w:val="0"/>
        <w:autoSpaceDE/>
        <w:autoSpaceDN/>
        <w:bidi w:val="0"/>
        <w:adjustRightInd/>
        <w:snapToGrid/>
        <w:spacing w:line="480" w:lineRule="auto"/>
        <w:ind w:left="425" w:leftChars="0" w:hanging="425" w:firstLineChars="0"/>
        <w:textAlignment w:val="auto"/>
        <w:rPr>
          <w:rFonts w:hint="default" w:ascii="Arial" w:hAnsi="Arial" w:eastAsia="宋体" w:cs="Arial"/>
          <w:sz w:val="24"/>
          <w:szCs w:val="24"/>
          <w:lang w:val="en-US" w:eastAsia="zh-CN"/>
        </w:rPr>
      </w:pPr>
      <w:r>
        <w:rPr>
          <w:rFonts w:hint="eastAsia" w:ascii="Arial" w:hAnsi="Arial" w:eastAsia="宋体" w:cs="Arial"/>
          <w:sz w:val="24"/>
          <w:szCs w:val="24"/>
          <w:lang w:val="en-US" w:eastAsia="zh-CN"/>
        </w:rPr>
        <w:t>W</w:t>
      </w:r>
      <w:r>
        <w:rPr>
          <w:rFonts w:hint="default" w:ascii="Arial" w:hAnsi="Arial" w:eastAsia="宋体" w:cs="Arial"/>
          <w:sz w:val="24"/>
          <w:szCs w:val="24"/>
          <w:lang w:val="en-US" w:eastAsia="zh-CN"/>
        </w:rPr>
        <w:t>ell-known brand</w:t>
      </w:r>
      <w:r>
        <w:rPr>
          <w:rFonts w:hint="eastAsia" w:ascii="Arial" w:hAnsi="Arial" w:eastAsia="宋体" w:cs="Arial"/>
          <w:sz w:val="24"/>
          <w:szCs w:val="24"/>
          <w:lang w:val="en-US" w:eastAsia="zh-CN"/>
        </w:rPr>
        <w:t>:</w:t>
      </w:r>
      <w:r>
        <w:rPr>
          <w:rFonts w:hint="default" w:ascii="Arial" w:hAnsi="Arial" w:eastAsia="宋体" w:cs="Arial"/>
          <w:sz w:val="24"/>
          <w:szCs w:val="24"/>
          <w:lang w:val="en-US" w:eastAsia="zh-CN"/>
        </w:rPr>
        <w:t>The biggest advantage of Tesco lies in its well-known brand, known for its extensive product supply, efficient supply chain management, and commitment to customer satisfaction (Gennaro, 2024), with a market share of 27.9% and 4673 stores worldwide (Gan, W.&amp;Yan, C., 2023).</w:t>
      </w:r>
    </w:p>
    <w:p>
      <w:pPr>
        <w:keepNext w:val="0"/>
        <w:keepLines w:val="0"/>
        <w:pageBreakBefore w:val="0"/>
        <w:widowControl w:val="0"/>
        <w:numPr>
          <w:ilvl w:val="0"/>
          <w:numId w:val="6"/>
        </w:numPr>
        <w:kinsoku/>
        <w:wordWrap/>
        <w:overflowPunct/>
        <w:topLinePunct w:val="0"/>
        <w:autoSpaceDE/>
        <w:autoSpaceDN/>
        <w:bidi w:val="0"/>
        <w:adjustRightInd/>
        <w:snapToGrid/>
        <w:spacing w:line="480" w:lineRule="auto"/>
        <w:ind w:left="425" w:leftChars="0" w:hanging="425"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Tesco has achieved stores and diversified products: including food, financial services and brand joint programs and its own brands (Sou, H., 2023).</w:t>
      </w:r>
    </w:p>
    <w:p>
      <w:pPr>
        <w:keepNext w:val="0"/>
        <w:keepLines w:val="0"/>
        <w:pageBreakBefore w:val="0"/>
        <w:widowControl w:val="0"/>
        <w:numPr>
          <w:ilvl w:val="0"/>
          <w:numId w:val="7"/>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Weakness：</w:t>
      </w:r>
    </w:p>
    <w:p>
      <w:pPr>
        <w:keepNext w:val="0"/>
        <w:keepLines w:val="0"/>
        <w:pageBreakBefore w:val="0"/>
        <w:widowControl w:val="0"/>
        <w:numPr>
          <w:ilvl w:val="0"/>
          <w:numId w:val="8"/>
        </w:numPr>
        <w:kinsoku/>
        <w:wordWrap/>
        <w:overflowPunct/>
        <w:topLinePunct w:val="0"/>
        <w:autoSpaceDE/>
        <w:autoSpaceDN/>
        <w:bidi w:val="0"/>
        <w:adjustRightInd/>
        <w:snapToGrid/>
        <w:spacing w:line="480" w:lineRule="auto"/>
        <w:ind w:left="425" w:leftChars="0" w:hanging="425"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Its biggest weakness lies in its performance on the global stage, especially in the US and Asia, where it has not met expectations, has not adapted and has not started its business and customers have high bargaining power, making it easy for them to choose products from other companies (Time Online, 2009).</w:t>
      </w:r>
    </w:p>
    <w:p>
      <w:pPr>
        <w:keepNext w:val="0"/>
        <w:keepLines w:val="0"/>
        <w:pageBreakBefore w:val="0"/>
        <w:widowControl w:val="0"/>
        <w:numPr>
          <w:ilvl w:val="0"/>
          <w:numId w:val="9"/>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rPr>
        <w:t>Threat</w:t>
      </w:r>
      <w:r>
        <w:rPr>
          <w:rFonts w:hint="default" w:ascii="Arial" w:hAnsi="Arial" w:eastAsia="宋体" w:cs="Arial"/>
          <w:sz w:val="24"/>
          <w:szCs w:val="24"/>
          <w:lang w:val="en-US" w:eastAsia="zh-CN"/>
        </w:rPr>
        <w:t>s：</w:t>
      </w:r>
    </w:p>
    <w:p>
      <w:pPr>
        <w:keepNext w:val="0"/>
        <w:keepLines w:val="0"/>
        <w:pageBreakBefore w:val="0"/>
        <w:widowControl w:val="0"/>
        <w:numPr>
          <w:ilvl w:val="0"/>
          <w:numId w:val="10"/>
        </w:numPr>
        <w:tabs>
          <w:tab w:val="left" w:pos="898"/>
        </w:tabs>
        <w:kinsoku/>
        <w:wordWrap/>
        <w:overflowPunct/>
        <w:topLinePunct w:val="0"/>
        <w:autoSpaceDE/>
        <w:autoSpaceDN/>
        <w:bidi w:val="0"/>
        <w:adjustRightInd/>
        <w:snapToGrid/>
        <w:spacing w:line="480" w:lineRule="auto"/>
        <w:ind w:left="425" w:leftChars="0" w:hanging="425"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The decline in reputation：It has violated its corporate social responsibility, violated the law and damaged the company's reputation. The food expiration event between 2015 and 2017, the audit fraud scandal in 2017, and the negative publicity from senior management all had a serious negative impact on the company's reputation (Gan, W. and Yan, C. 2023). In addition, the controversy over the arbitrary adjustment of Clubcard membership cards and the alleged exploitation of migrant workers have further exacerbated the decline in Tesco's reputation, sending it to rock bottom.</w:t>
      </w:r>
    </w:p>
    <w:p>
      <w:pPr>
        <w:keepNext w:val="0"/>
        <w:keepLines w:val="0"/>
        <w:pageBreakBefore w:val="0"/>
        <w:widowControl w:val="0"/>
        <w:numPr>
          <w:ilvl w:val="0"/>
          <w:numId w:val="10"/>
        </w:numPr>
        <w:tabs>
          <w:tab w:val="left" w:pos="898"/>
        </w:tabs>
        <w:kinsoku/>
        <w:wordWrap/>
        <w:overflowPunct/>
        <w:topLinePunct w:val="0"/>
        <w:autoSpaceDE/>
        <w:autoSpaceDN/>
        <w:bidi w:val="0"/>
        <w:adjustRightInd/>
        <w:snapToGrid/>
        <w:spacing w:line="480" w:lineRule="auto"/>
        <w:ind w:left="425" w:leftChars="0" w:hanging="425"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The global economy is unstable</w:t>
      </w:r>
      <w:r>
        <w:rPr>
          <w:rFonts w:hint="eastAsia" w:ascii="Arial" w:hAnsi="Arial" w:eastAsia="宋体" w:cs="Arial"/>
          <w:sz w:val="24"/>
          <w:szCs w:val="24"/>
          <w:lang w:val="en-US" w:eastAsia="zh-CN"/>
        </w:rPr>
        <w:t>：Global economic uncertainty and exchange rate fluctuations may affect commodity import prices</w:t>
      </w:r>
    </w:p>
    <w:p>
      <w:pPr>
        <w:keepNext w:val="0"/>
        <w:keepLines w:val="0"/>
        <w:pageBreakBefore w:val="0"/>
        <w:widowControl w:val="0"/>
        <w:numPr>
          <w:ilvl w:val="0"/>
          <w:numId w:val="11"/>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eastAsia" w:ascii="Arial" w:hAnsi="Arial" w:eastAsia="宋体" w:cs="Arial"/>
          <w:sz w:val="24"/>
          <w:szCs w:val="24"/>
          <w:lang w:val="en-US" w:eastAsia="zh-CN"/>
        </w:rPr>
      </w:pPr>
      <w:r>
        <w:rPr>
          <w:rFonts w:hint="default" w:ascii="Arial" w:hAnsi="Arial" w:eastAsia="宋体" w:cs="Arial"/>
          <w:sz w:val="24"/>
          <w:szCs w:val="24"/>
          <w:lang w:val="en-US" w:eastAsia="zh-CN"/>
        </w:rPr>
        <w:t>Opportunity</w:t>
      </w:r>
      <w:r>
        <w:rPr>
          <w:rFonts w:hint="eastAsia" w:ascii="Arial" w:hAnsi="Arial" w:eastAsia="宋体" w:cs="Arial"/>
          <w:sz w:val="24"/>
          <w:szCs w:val="24"/>
          <w:lang w:val="en-US" w:eastAsia="zh-CN"/>
        </w:rPr>
        <w:t>：</w:t>
      </w:r>
    </w:p>
    <w:p>
      <w:pPr>
        <w:keepNext w:val="0"/>
        <w:keepLines w:val="0"/>
        <w:pageBreakBefore w:val="0"/>
        <w:widowControl w:val="0"/>
        <w:numPr>
          <w:ilvl w:val="0"/>
          <w:numId w:val="12"/>
        </w:numPr>
        <w:tabs>
          <w:tab w:val="left" w:pos="898"/>
        </w:tabs>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eastAsia="宋体" w:cs="Arial"/>
          <w:sz w:val="24"/>
          <w:szCs w:val="24"/>
          <w:lang w:val="en-US" w:eastAsia="zh-CN"/>
        </w:rPr>
      </w:pPr>
      <w:r>
        <w:rPr>
          <w:rFonts w:hint="eastAsia" w:ascii="Arial" w:hAnsi="Arial" w:eastAsia="宋体" w:cs="Arial"/>
          <w:sz w:val="24"/>
          <w:szCs w:val="24"/>
          <w:lang w:val="en-US" w:eastAsia="zh-CN"/>
        </w:rPr>
        <w:t>Tesco's biggest opportunity lies in online grocery sales. Taking advantage of the impact of the epidemic, they have introduced door-to-door delivery services and plan to expand their store numbers to attract more customers</w:t>
      </w:r>
      <w:r>
        <w:rPr>
          <w:rFonts w:hint="default" w:ascii="Arial" w:hAnsi="Arial" w:eastAsia="宋体" w:cs="Arial"/>
          <w:sz w:val="24"/>
          <w:szCs w:val="24"/>
          <w:lang w:val="en-US" w:eastAsia="zh-CN"/>
        </w:rPr>
        <w:t>(Gan, W. and Yan, C. 2023)</w:t>
      </w:r>
      <w:r>
        <w:rPr>
          <w:rFonts w:hint="eastAsia" w:ascii="Arial" w:hAnsi="Arial" w:eastAsia="宋体" w:cs="Arial"/>
          <w:sz w:val="24"/>
          <w:szCs w:val="24"/>
          <w:lang w:val="en-US" w:eastAsia="zh-CN"/>
        </w:rPr>
        <w:t>.</w:t>
      </w:r>
    </w:p>
    <w:p>
      <w:pPr>
        <w:keepNext w:val="0"/>
        <w:keepLines w:val="0"/>
        <w:pageBreakBefore w:val="0"/>
        <w:widowControl w:val="0"/>
        <w:numPr>
          <w:ilvl w:val="0"/>
          <w:numId w:val="12"/>
        </w:numPr>
        <w:tabs>
          <w:tab w:val="left" w:pos="898"/>
        </w:tabs>
        <w:kinsoku/>
        <w:wordWrap/>
        <w:overflowPunct/>
        <w:topLinePunct w:val="0"/>
        <w:autoSpaceDE/>
        <w:autoSpaceDN/>
        <w:bidi w:val="0"/>
        <w:adjustRightInd/>
        <w:snapToGrid/>
        <w:spacing w:line="480" w:lineRule="auto"/>
        <w:ind w:left="425" w:leftChars="0" w:hanging="425"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Tesco has also responded to competition by introducing new store discounts and price matches, and has gained the qualifications and ability to enter emerging markets to further grow (Gan, W. and Yan, C. 2023).</w:t>
      </w:r>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rPr>
          <w:rFonts w:hint="default" w:ascii="Arial" w:hAnsi="Arial" w:eastAsia="宋体" w:cs="Arial"/>
          <w:sz w:val="24"/>
          <w:szCs w:val="24"/>
          <w:lang w:val="en-US" w:eastAsia="zh-CN"/>
        </w:rPr>
      </w:pPr>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outlineLvl w:val="1"/>
        <w:rPr>
          <w:rFonts w:hint="eastAsia" w:ascii="Arial" w:hAnsi="Arial" w:eastAsia="宋体" w:cs="Arial"/>
          <w:sz w:val="24"/>
          <w:szCs w:val="24"/>
          <w:lang w:val="en-US" w:eastAsia="zh-CN"/>
        </w:rPr>
      </w:pPr>
      <w:bookmarkStart w:id="14" w:name="_Toc17690"/>
      <w:r>
        <w:rPr>
          <w:rFonts w:hint="eastAsia" w:ascii="Arial" w:hAnsi="Arial" w:eastAsia="宋体" w:cs="Arial"/>
          <w:sz w:val="24"/>
          <w:szCs w:val="24"/>
          <w:lang w:val="en-US" w:eastAsia="zh-CN"/>
        </w:rPr>
        <w:t>5.1 Finding 5：</w:t>
      </w:r>
      <w:bookmarkEnd w:id="14"/>
      <w:r>
        <w:rPr>
          <w:rFonts w:hint="eastAsia" w:ascii="Arial" w:hAnsi="Arial" w:eastAsia="宋体" w:cs="Arial"/>
          <w:sz w:val="24"/>
          <w:szCs w:val="24"/>
          <w:lang w:val="en-US" w:eastAsia="zh-CN"/>
        </w:rPr>
        <w:t xml:space="preserve">The impact of tesco's </w:t>
      </w:r>
      <w:bookmarkStart w:id="15" w:name="OLE_LINK5"/>
      <w:r>
        <w:rPr>
          <w:rFonts w:hint="eastAsia" w:ascii="Arial" w:hAnsi="Arial" w:eastAsia="宋体" w:cs="Arial"/>
          <w:sz w:val="24"/>
          <w:szCs w:val="24"/>
          <w:lang w:val="en-US" w:eastAsia="zh-CN"/>
        </w:rPr>
        <w:t>own products</w:t>
      </w:r>
      <w:bookmarkEnd w:id="15"/>
      <w:r>
        <w:rPr>
          <w:rFonts w:hint="eastAsia" w:ascii="Arial" w:hAnsi="Arial" w:eastAsia="宋体" w:cs="Arial"/>
          <w:sz w:val="24"/>
          <w:szCs w:val="24"/>
          <w:lang w:val="en-US" w:eastAsia="zh-CN"/>
        </w:rPr>
        <w:t xml:space="preserve"> on future growth</w:t>
      </w:r>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Tesco is a multinational food and consumer goods retailer headquartered in the UK, but there are many competitors competing in terms of price and quality in food retail (Rajasekar, J.2022). With the same quality, Aldi and Lidl products are cheaper, while their food varieties are more diverse.</w:t>
      </w:r>
      <w:r>
        <w:rPr>
          <w:rFonts w:hint="eastAsia" w:ascii="Arial" w:hAnsi="Arial" w:eastAsia="宋体" w:cs="Arial"/>
          <w:sz w:val="24"/>
          <w:szCs w:val="24"/>
          <w:lang w:val="en-US" w:eastAsia="zh-CN"/>
        </w:rPr>
        <w:t xml:space="preserve"> However, to enhance market competitiveness, Tesco has introduced a joint branding program that combines multiple strong brands into a customer loyalty program. One such program is 'MeTime' for housewives, allowing them to earn points on their daily purchases that can be redeemed for high-end beauty and hair products or company discount coupons (Carers, M.Y., 2021). </w:t>
      </w:r>
      <w:r>
        <w:rPr>
          <w:rFonts w:hint="default" w:ascii="Arial" w:hAnsi="Arial" w:eastAsia="宋体" w:cs="Arial"/>
          <w:sz w:val="24"/>
          <w:szCs w:val="24"/>
          <w:lang w:val="en-US" w:eastAsia="zh-CN"/>
        </w:rPr>
        <w:t>Tesco and the collaborating brands achieved a mutually beneficial outcome in these activities. Additionally, Tesco has launched many independent brand products that offer significant price advantages compared to branded products due to lower promotional expenses and simpler packaging (Sou, H., 2023).</w:t>
      </w:r>
      <w:r>
        <w:rPr>
          <w:rFonts w:hint="eastAsia" w:ascii="Arial" w:hAnsi="Arial" w:eastAsia="宋体" w:cs="Arial"/>
          <w:sz w:val="24"/>
          <w:szCs w:val="24"/>
          <w:lang w:val="en-US" w:eastAsia="zh-CN"/>
        </w:rPr>
        <w:t>It</w:t>
      </w:r>
      <w:r>
        <w:rPr>
          <w:rFonts w:hint="default" w:ascii="Arial" w:hAnsi="Arial" w:eastAsia="宋体" w:cs="Arial"/>
          <w:sz w:val="24"/>
          <w:szCs w:val="24"/>
          <w:lang w:val="en-US" w:eastAsia="zh-CN"/>
        </w:rPr>
        <w:t xml:space="preserve"> can be seen tha</w:t>
      </w:r>
      <w:r>
        <w:rPr>
          <w:rFonts w:hint="eastAsia" w:ascii="Arial" w:hAnsi="Arial" w:eastAsia="宋体" w:cs="Arial"/>
          <w:sz w:val="24"/>
          <w:szCs w:val="24"/>
          <w:lang w:val="en-US" w:eastAsia="zh-CN"/>
        </w:rPr>
        <w:t xml:space="preserve">t, </w:t>
      </w:r>
      <w:r>
        <w:rPr>
          <w:rFonts w:hint="default" w:ascii="Arial" w:hAnsi="Arial" w:eastAsia="宋体" w:cs="Arial"/>
          <w:sz w:val="24"/>
          <w:szCs w:val="24"/>
          <w:lang w:val="en-US" w:eastAsia="zh-CN"/>
        </w:rPr>
        <w:t xml:space="preserve">tesco's </w:t>
      </w:r>
      <w:r>
        <w:rPr>
          <w:rFonts w:hint="eastAsia" w:ascii="Arial" w:hAnsi="Arial" w:eastAsia="宋体" w:cs="Arial"/>
          <w:sz w:val="24"/>
          <w:szCs w:val="24"/>
          <w:lang w:val="en-US" w:eastAsia="zh-CN"/>
        </w:rPr>
        <w:t>own products</w:t>
      </w:r>
      <w:r>
        <w:rPr>
          <w:rFonts w:hint="default" w:ascii="Arial" w:hAnsi="Arial" w:eastAsia="宋体" w:cs="Arial"/>
          <w:sz w:val="24"/>
          <w:szCs w:val="24"/>
          <w:lang w:val="en-US" w:eastAsia="zh-CN"/>
        </w:rPr>
        <w:t xml:space="preserve"> products are play</w:t>
      </w:r>
      <w:r>
        <w:rPr>
          <w:rFonts w:hint="eastAsia" w:ascii="Arial" w:hAnsi="Arial" w:eastAsia="宋体" w:cs="Arial"/>
          <w:sz w:val="24"/>
          <w:szCs w:val="24"/>
          <w:lang w:val="en-US" w:eastAsia="zh-CN"/>
        </w:rPr>
        <w:t>ing</w:t>
      </w:r>
      <w:r>
        <w:rPr>
          <w:rFonts w:hint="default" w:ascii="Arial" w:hAnsi="Arial" w:eastAsia="宋体" w:cs="Arial"/>
          <w:sz w:val="24"/>
          <w:szCs w:val="24"/>
          <w:lang w:val="en-US" w:eastAsia="zh-CN"/>
        </w:rPr>
        <w:t xml:space="preserve"> an active role </w:t>
      </w:r>
      <w:r>
        <w:rPr>
          <w:rFonts w:hint="eastAsia" w:ascii="Arial" w:hAnsi="Arial" w:eastAsia="宋体" w:cs="Arial"/>
          <w:sz w:val="24"/>
          <w:szCs w:val="24"/>
          <w:lang w:val="en-US" w:eastAsia="zh-CN"/>
        </w:rPr>
        <w:t>to</w:t>
      </w:r>
      <w:r>
        <w:rPr>
          <w:rFonts w:hint="default" w:ascii="Arial" w:hAnsi="Arial" w:eastAsia="宋体" w:cs="Arial"/>
          <w:sz w:val="24"/>
          <w:szCs w:val="24"/>
          <w:lang w:val="en-US" w:eastAsia="zh-CN"/>
        </w:rPr>
        <w:t xml:space="preserve"> the future sustainability and stability of </w:t>
      </w:r>
      <w:r>
        <w:rPr>
          <w:rFonts w:hint="eastAsia" w:ascii="Arial" w:hAnsi="Arial" w:eastAsia="宋体" w:cs="Arial"/>
          <w:sz w:val="24"/>
          <w:szCs w:val="24"/>
          <w:lang w:val="en-US" w:eastAsia="zh-CN"/>
        </w:rPr>
        <w:t>T</w:t>
      </w:r>
      <w:r>
        <w:rPr>
          <w:rFonts w:hint="default" w:ascii="Arial" w:hAnsi="Arial" w:eastAsia="宋体" w:cs="Arial"/>
          <w:sz w:val="24"/>
          <w:szCs w:val="24"/>
          <w:lang w:val="en-US" w:eastAsia="zh-CN"/>
        </w:rPr>
        <w:t>esco.</w:t>
      </w:r>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rPr>
          <w:rFonts w:hint="default" w:ascii="Arial" w:hAnsi="Arial" w:eastAsia="宋体" w:cs="Arial"/>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outlineLvl w:val="0"/>
        <w:rPr>
          <w:rFonts w:hint="eastAsia" w:ascii="Arial" w:hAnsi="Arial" w:cs="Arial"/>
          <w:b w:val="0"/>
          <w:bCs w:val="0"/>
          <w:sz w:val="24"/>
          <w:szCs w:val="24"/>
          <w:u w:val="none"/>
          <w:lang w:val="en-US" w:eastAsia="zh-CN"/>
        </w:rPr>
      </w:pPr>
      <w:bookmarkStart w:id="16" w:name="_Toc8361"/>
      <w:r>
        <w:rPr>
          <w:rFonts w:hint="default" w:ascii="Arial" w:hAnsi="Arial" w:cs="Arial"/>
          <w:b w:val="0"/>
          <w:bCs w:val="0"/>
          <w:sz w:val="24"/>
          <w:szCs w:val="24"/>
          <w:u w:val="none"/>
        </w:rPr>
        <w:t>Recommendations</w:t>
      </w:r>
      <w:r>
        <w:rPr>
          <w:rFonts w:hint="eastAsia" w:ascii="Arial" w:hAnsi="Arial" w:cs="Arial"/>
          <w:b w:val="0"/>
          <w:bCs w:val="0"/>
          <w:sz w:val="24"/>
          <w:szCs w:val="24"/>
          <w:u w:val="none"/>
          <w:lang w:val="en-US" w:eastAsia="zh-CN"/>
        </w:rPr>
        <w:t>:</w:t>
      </w:r>
      <w:bookmarkEnd w:id="16"/>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eastAsia" w:ascii="Arial" w:hAnsi="Arial" w:cs="Arial"/>
          <w:b w:val="0"/>
          <w:bCs w:val="0"/>
          <w:sz w:val="24"/>
          <w:szCs w:val="24"/>
          <w:u w:val="none"/>
          <w:lang w:val="en-US" w:eastAsia="zh-CN"/>
        </w:rPr>
      </w:pPr>
      <w:r>
        <w:rPr>
          <w:rFonts w:hint="eastAsia" w:ascii="Arial" w:hAnsi="Arial" w:cs="Arial"/>
          <w:b w:val="0"/>
          <w:bCs w:val="0"/>
          <w:sz w:val="24"/>
          <w:szCs w:val="24"/>
          <w:u w:val="none"/>
          <w:lang w:val="en-US" w:eastAsia="zh-CN"/>
        </w:rPr>
        <w:t>Based on the above analysis, the following are the recommendations for Tesco:</w:t>
      </w:r>
    </w:p>
    <w:p>
      <w:pPr>
        <w:numPr>
          <w:ilvl w:val="0"/>
          <w:numId w:val="0"/>
        </w:numPr>
        <w:ind w:leftChars="0"/>
        <w:rPr>
          <w:rFonts w:hint="eastAsia" w:ascii="Arial" w:hAnsi="Arial" w:cs="Arial"/>
          <w:b w:val="0"/>
          <w:bCs w:val="0"/>
          <w:sz w:val="24"/>
          <w:szCs w:val="24"/>
          <w:u w:val="none"/>
          <w:lang w:val="en-US" w:eastAsia="zh-CN"/>
        </w:rPr>
      </w:pP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0" w:leftChars="0" w:firstLine="0" w:firstLineChars="0"/>
        <w:textAlignment w:val="auto"/>
        <w:rPr>
          <w:rFonts w:hint="eastAsia" w:ascii="Arial" w:hAnsi="Arial" w:cs="Arial"/>
          <w:b w:val="0"/>
          <w:bCs w:val="0"/>
          <w:sz w:val="24"/>
          <w:szCs w:val="24"/>
          <w:u w:val="none"/>
          <w:lang w:val="en-US" w:eastAsia="zh-CN"/>
        </w:rPr>
      </w:pPr>
      <w:r>
        <w:rPr>
          <w:rFonts w:hint="eastAsia" w:ascii="Arial" w:hAnsi="Arial" w:cs="Arial"/>
          <w:b w:val="0"/>
          <w:bCs w:val="0"/>
          <w:sz w:val="24"/>
          <w:szCs w:val="24"/>
          <w:u w:val="none"/>
          <w:lang w:val="en-US" w:eastAsia="zh-CN"/>
        </w:rPr>
        <w:t>Strengthen compliance and ethical standards: Tesco must strictly adhere to legal and ethical standards, especially in terms of food safety, labor rights, and environmental protection. Establish a stricter internal audit supervision mechanism to ensure that employees comply with regulations, actively participate in social responsibility activities, and enhance brand image and public confidence.</w:t>
      </w: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0" w:leftChars="0" w:firstLine="0" w:firstLineChars="0"/>
        <w:textAlignment w:val="auto"/>
        <w:rPr>
          <w:rFonts w:hint="default" w:ascii="Arial" w:hAnsi="Arial" w:eastAsia="宋体" w:cs="Arial"/>
          <w:sz w:val="24"/>
          <w:szCs w:val="24"/>
          <w:lang w:val="en-US" w:eastAsia="zh-CN"/>
        </w:rPr>
      </w:pPr>
      <w:r>
        <w:rPr>
          <w:rFonts w:hint="eastAsia" w:ascii="Arial" w:hAnsi="Arial" w:cs="Arial"/>
          <w:b w:val="0"/>
          <w:bCs w:val="0"/>
          <w:sz w:val="24"/>
          <w:szCs w:val="24"/>
          <w:u w:val="none"/>
          <w:lang w:val="en-US" w:eastAsia="zh-CN"/>
        </w:rPr>
        <w:t>Strengthen compliance and ethical standards: October must strictly comply with legal and ethical standards, especially in the areas of food safety, labor rights, and environmental protection. Establish a stricter internal audit supervision mechanism to ensure that employees comply with regulations, actively participate in social responsibility activities, and enhance brand image and public confidence.</w:t>
      </w: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0" w:leftChars="0" w:firstLine="0" w:firstLineChars="0"/>
        <w:jc w:val="both"/>
        <w:textAlignment w:val="auto"/>
        <w:rPr>
          <w:rFonts w:hint="default" w:ascii="Arial" w:hAnsi="Arial" w:eastAsia="宋体" w:cs="Arial"/>
          <w:sz w:val="24"/>
          <w:szCs w:val="24"/>
          <w:highlight w:val="none"/>
          <w:lang w:val="en-US" w:eastAsia="zh-CN"/>
        </w:rPr>
      </w:pPr>
      <w:r>
        <w:rPr>
          <w:rFonts w:hint="default" w:ascii="Arial" w:hAnsi="Arial" w:eastAsia="宋体" w:cs="Arial"/>
          <w:sz w:val="24"/>
          <w:szCs w:val="24"/>
          <w:highlight w:val="none"/>
          <w:lang w:val="en-US" w:eastAsia="zh-CN"/>
        </w:rPr>
        <w:t>Optimize the product portfolio and pricing strategy by continuously meeting the needs of different consumers. Adjust the pricing strategy, offer competitive prices, and launch discounts and promotions to enhance purchase intention and loyalty.</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eastAsia" w:ascii="Arial" w:hAnsi="Arial" w:cs="Arial"/>
          <w:b w:val="0"/>
          <w:bCs w:val="0"/>
          <w:sz w:val="24"/>
          <w:szCs w:val="24"/>
          <w:u w:val="none"/>
          <w:lang w:val="en-US" w:eastAsia="zh-CN"/>
        </w:rPr>
      </w:pPr>
      <w:r>
        <w:rPr>
          <w:rFonts w:hint="eastAsia" w:ascii="Arial" w:hAnsi="Arial" w:cs="Arial"/>
          <w:b w:val="0"/>
          <w:bCs w:val="0"/>
          <w:sz w:val="24"/>
          <w:szCs w:val="24"/>
          <w:u w:val="none"/>
          <w:lang w:val="en-US" w:eastAsia="zh-CN"/>
        </w:rPr>
        <w:t>Through the above suggestions, Tesco can better cope with the challenges of the external environment, give full play to its own advantages, improve its market competitiveness, and achieve sustainable growth and development.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outlineLvl w:val="0"/>
        <w:rPr>
          <w:rFonts w:hint="default" w:ascii="Arial" w:hAnsi="Arial" w:eastAsia="宋体" w:cs="Arial"/>
          <w:b w:val="0"/>
          <w:bCs w:val="0"/>
          <w:sz w:val="24"/>
          <w:szCs w:val="24"/>
          <w:u w:val="none"/>
          <w:lang w:val="en-US" w:eastAsia="zh-CN"/>
        </w:rPr>
      </w:pPr>
      <w:bookmarkStart w:id="17" w:name="_Toc25681"/>
      <w:r>
        <w:rPr>
          <w:rFonts w:hint="default" w:ascii="Arial" w:hAnsi="Arial" w:eastAsia="宋体" w:cs="Arial"/>
          <w:b w:val="0"/>
          <w:bCs w:val="0"/>
          <w:sz w:val="24"/>
          <w:szCs w:val="24"/>
          <w:u w:val="none"/>
          <w:lang w:val="en-US" w:eastAsia="zh-CN"/>
        </w:rPr>
        <w:t>Conclusion：</w:t>
      </w:r>
      <w:bookmarkEnd w:id="17"/>
    </w:p>
    <w:bookmarkEnd w:id="1"/>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Arial" w:hAnsi="Arial" w:eastAsia="宋体" w:cs="Arial"/>
          <w:b w:val="0"/>
          <w:bCs w:val="0"/>
          <w:sz w:val="24"/>
          <w:szCs w:val="24"/>
          <w:highlight w:val="none"/>
          <w:u w:val="none"/>
          <w:lang w:val="en-US" w:eastAsia="zh-CN"/>
        </w:rPr>
      </w:pPr>
      <w:r>
        <w:rPr>
          <w:rFonts w:hint="default" w:ascii="Arial" w:hAnsi="Arial" w:eastAsia="宋体" w:cs="Arial"/>
          <w:b w:val="0"/>
          <w:bCs w:val="0"/>
          <w:sz w:val="24"/>
          <w:szCs w:val="24"/>
          <w:highlight w:val="none"/>
          <w:u w:val="none"/>
          <w:lang w:val="en-US" w:eastAsia="zh-CN"/>
        </w:rPr>
        <w:t>In summary, this strategic review thoroughly analyzes Tesco's current and future business environment. Global economic challenges, such as trade tensions and the impact of COVID-19, have significantly affected Tesco's operations.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Arial" w:hAnsi="Arial" w:eastAsia="宋体" w:cs="Arial"/>
          <w:b w:val="0"/>
          <w:bCs w:val="0"/>
          <w:sz w:val="24"/>
          <w:szCs w:val="24"/>
          <w:highlight w:val="none"/>
          <w:u w:val="none"/>
          <w:lang w:val="en-US" w:eastAsia="zh-CN"/>
        </w:rPr>
      </w:pPr>
      <w:r>
        <w:rPr>
          <w:rFonts w:hint="default" w:ascii="Arial" w:hAnsi="Arial" w:eastAsia="宋体" w:cs="Arial"/>
          <w:b w:val="0"/>
          <w:bCs w:val="0"/>
          <w:sz w:val="24"/>
          <w:szCs w:val="24"/>
          <w:highlight w:val="none"/>
          <w:u w:val="none"/>
          <w:lang w:val="en-US" w:eastAsia="zh-CN"/>
        </w:rPr>
        <w:t>By utilizing frameworks like PESTEL, Porter's Five Forces, McKinsey's 7S, and SWOT analysis, we have identified the key factors that affect Tesco's competitiveness. These factors include regulatory compliance, market dynamics, technological advances, and changes in consumer behavior.</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Arial" w:hAnsi="Arial" w:eastAsia="宋体" w:cs="Arial"/>
          <w:b w:val="0"/>
          <w:bCs w:val="0"/>
          <w:sz w:val="24"/>
          <w:szCs w:val="24"/>
          <w:highlight w:val="none"/>
          <w:u w:val="none"/>
          <w:lang w:val="en-US" w:eastAsia="zh-CN"/>
        </w:rPr>
      </w:pPr>
      <w:r>
        <w:rPr>
          <w:rFonts w:hint="eastAsia" w:ascii="Arial" w:hAnsi="Arial" w:eastAsia="宋体" w:cs="Arial"/>
          <w:b w:val="0"/>
          <w:bCs w:val="0"/>
          <w:sz w:val="24"/>
          <w:szCs w:val="24"/>
          <w:highlight w:val="none"/>
          <w:u w:val="none"/>
          <w:lang w:val="en-US" w:eastAsia="zh-CN"/>
        </w:rPr>
        <w:t>By implementing the above strategy，</w:t>
      </w:r>
      <w:r>
        <w:rPr>
          <w:rFonts w:hint="default" w:ascii="Arial" w:hAnsi="Arial" w:eastAsia="宋体" w:cs="Arial"/>
          <w:b w:val="0"/>
          <w:bCs w:val="0"/>
          <w:sz w:val="24"/>
          <w:szCs w:val="24"/>
          <w:highlight w:val="none"/>
          <w:u w:val="none"/>
          <w:lang w:val="en-US" w:eastAsia="zh-CN"/>
        </w:rPr>
        <w:t xml:space="preserve"> Tesco can navigate the complexities of the retail industry and sustain growth despite evolving market conditions.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outlineLvl w:val="0"/>
        <w:rPr>
          <w:rFonts w:hint="default" w:ascii="Arial" w:hAnsi="Arial" w:eastAsia="宋体" w:cs="Arial"/>
          <w:b w:val="0"/>
          <w:bCs w:val="0"/>
          <w:sz w:val="24"/>
          <w:szCs w:val="24"/>
          <w:u w:val="none"/>
          <w:lang w:val="en-US" w:eastAsia="zh-CN"/>
        </w:rPr>
      </w:pPr>
      <w:bookmarkStart w:id="18" w:name="_Toc25548"/>
      <w:r>
        <w:rPr>
          <w:rFonts w:hint="eastAsia" w:ascii="Arial" w:hAnsi="Arial" w:eastAsia="宋体" w:cs="Arial"/>
          <w:b w:val="0"/>
          <w:bCs w:val="0"/>
          <w:sz w:val="24"/>
          <w:szCs w:val="24"/>
          <w:u w:val="none"/>
          <w:lang w:val="en-US" w:eastAsia="zh-CN"/>
        </w:rPr>
        <w:t>8.</w:t>
      </w:r>
      <w:r>
        <w:rPr>
          <w:rFonts w:hint="default" w:ascii="Arial" w:hAnsi="Arial" w:eastAsia="宋体" w:cs="Arial"/>
          <w:b w:val="0"/>
          <w:bCs w:val="0"/>
          <w:sz w:val="24"/>
          <w:szCs w:val="24"/>
          <w:u w:val="none"/>
          <w:lang w:val="en-US" w:eastAsia="zh-CN"/>
        </w:rPr>
        <w:t>Reference</w:t>
      </w:r>
      <w:r>
        <w:rPr>
          <w:rFonts w:hint="eastAsia" w:ascii="Arial" w:hAnsi="Arial" w:eastAsia="宋体" w:cs="Arial"/>
          <w:b w:val="0"/>
          <w:bCs w:val="0"/>
          <w:sz w:val="24"/>
          <w:szCs w:val="24"/>
          <w:u w:val="none"/>
          <w:lang w:val="en-US" w:eastAsia="zh-CN"/>
        </w:rPr>
        <w:t>s</w:t>
      </w:r>
      <w:r>
        <w:rPr>
          <w:rFonts w:hint="default" w:ascii="Arial" w:hAnsi="Arial" w:eastAsia="宋体" w:cs="Arial"/>
          <w:b w:val="0"/>
          <w:bCs w:val="0"/>
          <w:sz w:val="24"/>
          <w:szCs w:val="24"/>
          <w:u w:val="none"/>
          <w:lang w:val="en-US" w:eastAsia="zh-CN"/>
        </w:rPr>
        <w:t xml:space="preserve"> ：</w:t>
      </w:r>
      <w:bookmarkEnd w:id="18"/>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Benzaghta, M.A. </w:t>
      </w:r>
      <w:r>
        <w:rPr>
          <w:rFonts w:hint="default" w:ascii="Arial" w:hAnsi="Arial" w:cs="Arial"/>
          <w:i/>
          <w:iCs/>
        </w:rPr>
        <w:t>et al.</w:t>
      </w:r>
      <w:r>
        <w:rPr>
          <w:rFonts w:hint="default" w:ascii="Arial" w:hAnsi="Arial" w:cs="Arial"/>
        </w:rPr>
        <w:t xml:space="preserve"> (2021) ‘SWOT analysis applications: An integrative literature review’, </w:t>
      </w:r>
      <w:r>
        <w:rPr>
          <w:rFonts w:hint="default" w:ascii="Arial" w:hAnsi="Arial" w:cs="Arial"/>
          <w:i/>
          <w:iCs/>
        </w:rPr>
        <w:t>Journal of Global Business Insights</w:t>
      </w:r>
      <w:r>
        <w:rPr>
          <w:rFonts w:hint="default" w:ascii="Arial" w:hAnsi="Arial" w:cs="Arial"/>
        </w:rPr>
        <w:t xml:space="preserve">, 6(1), pp. 55–73. doi:10.5038/2640-6489.6.1.1148.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Carers, M.Y. (2021) </w:t>
      </w:r>
      <w:r>
        <w:rPr>
          <w:rFonts w:hint="default" w:ascii="Arial" w:hAnsi="Arial" w:cs="Arial"/>
          <w:i/>
          <w:iCs/>
        </w:rPr>
        <w:t>Can you help? vote for MYTIME at your nearest Tesco Store!</w:t>
      </w:r>
      <w:r>
        <w:rPr>
          <w:rFonts w:hint="default" w:ascii="Arial" w:hAnsi="Arial" w:cs="Arial"/>
        </w:rPr>
        <w:t xml:space="preserve"> Available at: https://www.mytimeyoungcarers.org/can-you-help-vote-for-mytime-at-your-nearest-tesco-store (Accessed: 21 March 2024).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Chmielewska, M. </w:t>
      </w:r>
      <w:r>
        <w:rPr>
          <w:rFonts w:hint="default" w:ascii="Arial" w:hAnsi="Arial" w:cs="Arial"/>
          <w:i/>
          <w:iCs/>
        </w:rPr>
        <w:t>et al.</w:t>
      </w:r>
      <w:r>
        <w:rPr>
          <w:rFonts w:hint="default" w:ascii="Arial" w:hAnsi="Arial" w:cs="Arial"/>
        </w:rPr>
        <w:t xml:space="preserve"> (2022) ‘Evaluating organizational performance of public hospitals using the mckinsey 7-S framework’, </w:t>
      </w:r>
      <w:r>
        <w:rPr>
          <w:rFonts w:hint="default" w:ascii="Arial" w:hAnsi="Arial" w:cs="Arial"/>
          <w:i/>
          <w:iCs/>
        </w:rPr>
        <w:t>BMC Health Services Research</w:t>
      </w:r>
      <w:r>
        <w:rPr>
          <w:rFonts w:hint="default" w:ascii="Arial" w:hAnsi="Arial" w:cs="Arial"/>
        </w:rPr>
        <w:t xml:space="preserve">, 22(1). doi:10.1186/s12913-021-07402-3. </w:t>
      </w:r>
    </w:p>
    <w:p>
      <w:pPr>
        <w:pStyle w:val="4"/>
        <w:keepNext w:val="0"/>
        <w:keepLines w:val="0"/>
        <w:widowControl/>
        <w:suppressLineNumbers w:val="0"/>
        <w:ind w:left="567" w:hanging="567"/>
        <w:rPr>
          <w:rFonts w:hint="default" w:ascii="Arial" w:hAnsi="Arial" w:cs="Arial"/>
        </w:rPr>
      </w:pPr>
      <w:r>
        <w:rPr>
          <w:rFonts w:hint="default" w:ascii="Arial" w:hAnsi="Arial" w:cs="Arial"/>
        </w:rPr>
        <w:t>Curr, H. (2023)</w:t>
      </w:r>
      <w:r>
        <w:rPr>
          <w:rFonts w:hint="default" w:ascii="Arial" w:hAnsi="Arial" w:cs="Arial"/>
          <w:i/>
          <w:iCs/>
        </w:rPr>
        <w:t xml:space="preserve"> Don’t count on a soft landing for the World Economy, The Economist</w:t>
      </w:r>
      <w:r>
        <w:rPr>
          <w:rFonts w:hint="default" w:ascii="Arial" w:hAnsi="Arial" w:cs="Arial"/>
        </w:rPr>
        <w:t>. Available at: https://www.economist.com/the-world-ahead/2023/11/13/dont-count-on-a-soft-landing-for-the-world-economy (Accessed: 20 March 2024).</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Gan, W. and Yan, C. (2023) ‘Financial Analysis and Development Study of Tesco plc’, </w:t>
      </w:r>
      <w:r>
        <w:rPr>
          <w:rFonts w:hint="default" w:ascii="Arial" w:hAnsi="Arial" w:cs="Arial"/>
          <w:i/>
          <w:iCs/>
        </w:rPr>
        <w:t>Highlights in Business, Economics and Management</w:t>
      </w:r>
      <w:r>
        <w:rPr>
          <w:rFonts w:hint="default" w:ascii="Arial" w:hAnsi="Arial" w:cs="Arial"/>
        </w:rPr>
        <w:t xml:space="preserve">, 10, pp. 167–172. doi:10.54097/hbem.v10i.8035.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Gennaro (2024) </w:t>
      </w:r>
      <w:r>
        <w:rPr>
          <w:rFonts w:hint="default" w:ascii="Arial" w:hAnsi="Arial" w:cs="Arial"/>
          <w:i/>
          <w:iCs/>
        </w:rPr>
        <w:t>什么是 Pestel 分析及其重要性</w:t>
      </w:r>
      <w:r>
        <w:rPr>
          <w:rFonts w:hint="default" w:ascii="Arial" w:hAnsi="Arial" w:cs="Arial"/>
        </w:rPr>
        <w:t xml:space="preserve">, </w:t>
      </w:r>
      <w:r>
        <w:rPr>
          <w:rFonts w:hint="default" w:ascii="Arial" w:hAnsi="Arial" w:cs="Arial"/>
          <w:i/>
          <w:iCs/>
        </w:rPr>
        <w:t>FourWeekMBA</w:t>
      </w:r>
      <w:r>
        <w:rPr>
          <w:rFonts w:hint="default" w:ascii="Arial" w:hAnsi="Arial" w:cs="Arial"/>
        </w:rPr>
        <w:t xml:space="preserve">. Available at: https://fourweekmba.com/zh-CN/%E6%9D%B5%E5%88%86%E6%9E%90/ (Accessed: 22 March 2024). </w:t>
      </w:r>
    </w:p>
    <w:p>
      <w:pPr>
        <w:pStyle w:val="4"/>
        <w:keepNext w:val="0"/>
        <w:keepLines w:val="0"/>
        <w:widowControl/>
        <w:suppressLineNumbers w:val="0"/>
        <w:ind w:left="567" w:hanging="567"/>
        <w:rPr>
          <w:rFonts w:hint="default" w:ascii="Arial" w:hAnsi="Arial" w:cs="Arial"/>
        </w:rPr>
      </w:pPr>
      <w:r>
        <w:t xml:space="preserve">Gennaro (2024) </w:t>
      </w:r>
      <w:r>
        <w:rPr>
          <w:i/>
          <w:iCs/>
        </w:rPr>
        <w:t>简而言之，乐购 swot 分析</w:t>
      </w:r>
      <w:r>
        <w:t xml:space="preserve">, </w:t>
      </w:r>
      <w:r>
        <w:rPr>
          <w:i/>
          <w:iCs/>
        </w:rPr>
        <w:t>FourWeekMBA</w:t>
      </w:r>
      <w:r>
        <w:t xml:space="preserve">. Available at: https://fourweekmba.com/zh-CN/%E4%B9%90%E8%B4%ADswot%E5%88%86%E6%9E%90/ (Accessed: 20 March 2024).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Grundy, T. (2006) ‘Rethinking and reinventing Michael Porter’s five forces model’, </w:t>
      </w:r>
      <w:r>
        <w:rPr>
          <w:rFonts w:hint="default" w:ascii="Arial" w:hAnsi="Arial" w:cs="Arial"/>
          <w:i/>
          <w:iCs/>
        </w:rPr>
        <w:t>Strategic Change</w:t>
      </w:r>
      <w:r>
        <w:rPr>
          <w:rFonts w:hint="default" w:ascii="Arial" w:hAnsi="Arial" w:cs="Arial"/>
        </w:rPr>
        <w:t>, 15(5), pp. 213–229. doi:10.1002/jsc.764.</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Harrington, H.J. (2014) </w:t>
      </w:r>
      <w:r>
        <w:rPr>
          <w:rFonts w:hint="default" w:ascii="Arial" w:hAnsi="Arial" w:cs="Arial"/>
          <w:i/>
          <w:iCs/>
        </w:rPr>
        <w:t>Organizational Change Management</w:t>
      </w:r>
      <w:r>
        <w:rPr>
          <w:rFonts w:hint="default" w:ascii="Arial" w:hAnsi="Arial" w:cs="Arial"/>
        </w:rPr>
        <w:t xml:space="preserve">. New York: Productivity Press. </w:t>
      </w:r>
    </w:p>
    <w:p>
      <w:pPr>
        <w:pStyle w:val="4"/>
        <w:keepNext w:val="0"/>
        <w:keepLines w:val="0"/>
        <w:widowControl/>
        <w:suppressLineNumbers w:val="0"/>
        <w:ind w:left="567" w:hanging="567"/>
        <w:rPr>
          <w:rFonts w:hint="default" w:ascii="Arial" w:hAnsi="Arial" w:cs="Arial"/>
        </w:rPr>
      </w:pPr>
      <w:r>
        <w:rPr>
          <w:rFonts w:hint="eastAsia" w:ascii="Arial" w:hAnsi="Arial" w:cs="Arial"/>
          <w:lang w:val="en-US" w:eastAsia="zh-CN"/>
        </w:rPr>
        <w:t>Danlin H</w:t>
      </w:r>
      <w:r>
        <w:rPr>
          <w:rFonts w:hint="default" w:ascii="Arial" w:hAnsi="Arial" w:cs="Arial"/>
        </w:rPr>
        <w:t xml:space="preserve">. (2015) </w:t>
      </w:r>
      <w:r>
        <w:rPr>
          <w:rFonts w:hint="default" w:ascii="Arial" w:hAnsi="Arial" w:cs="Arial"/>
          <w:i/>
          <w:iCs/>
        </w:rPr>
        <w:t>连英国本土市场都要亏损了 Tesco决意改变供应商合作方式</w:t>
      </w:r>
      <w:r>
        <w:rPr>
          <w:rFonts w:hint="default" w:ascii="Arial" w:hAnsi="Arial" w:cs="Arial"/>
        </w:rPr>
        <w:t xml:space="preserve">, </w:t>
      </w:r>
      <w:r>
        <w:rPr>
          <w:rFonts w:hint="default" w:ascii="Arial" w:hAnsi="Arial" w:cs="Arial"/>
          <w:i/>
          <w:iCs/>
        </w:rPr>
        <w:t>连英国本土市场都要亏损了 TESCO决意改变供应商合作方式|界面新闻 · 商业</w:t>
      </w:r>
      <w:r>
        <w:rPr>
          <w:rFonts w:hint="default" w:ascii="Arial" w:hAnsi="Arial" w:cs="Arial"/>
        </w:rPr>
        <w:t xml:space="preserve">. Available at: https://www.jiemian.com/article/221597.html (Accessed: 22 March 2024).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Hopkin, P. (2012) </w:t>
      </w:r>
      <w:r>
        <w:rPr>
          <w:rFonts w:hint="default" w:ascii="Arial" w:hAnsi="Arial" w:cs="Arial"/>
          <w:i/>
          <w:iCs/>
        </w:rPr>
        <w:t xml:space="preserve">Fundamentals of Risk Management Understanding, evaluating and implementing effective risk management. Kogan Page Publishers, London. - references - scientific research publishing. </w:t>
      </w:r>
      <w:r>
        <w:rPr>
          <w:rFonts w:hint="default" w:ascii="Arial" w:hAnsi="Arial" w:cs="Arial"/>
        </w:rPr>
        <w:t>Available at:</w:t>
      </w:r>
      <w:r>
        <w:rPr>
          <w:rFonts w:hint="eastAsia" w:ascii="Arial" w:hAnsi="Arial" w:cs="Arial"/>
          <w:lang w:val="en-US" w:eastAsia="zh-CN"/>
        </w:rPr>
        <w:t xml:space="preserve"> </w:t>
      </w:r>
      <w:r>
        <w:rPr>
          <w:rFonts w:hint="default" w:ascii="Arial" w:hAnsi="Arial" w:cs="Arial"/>
        </w:rPr>
        <w:t>https://scirp.org/reference/referencespapers?referenceid=1152778 (Accessed: 21 March 2024).</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International, E. (2010) </w:t>
      </w:r>
      <w:r>
        <w:rPr>
          <w:rFonts w:hint="default" w:ascii="Arial" w:hAnsi="Arial" w:cs="Arial"/>
          <w:i/>
          <w:iCs/>
        </w:rPr>
        <w:t>Euromonitor</w:t>
      </w:r>
      <w:r>
        <w:rPr>
          <w:rFonts w:hint="default" w:ascii="Arial" w:hAnsi="Arial" w:cs="Arial"/>
        </w:rPr>
        <w:t xml:space="preserve">. Available at: https://www.euromonitor.com/ (Accessed: 22 March 2024). </w:t>
      </w:r>
    </w:p>
    <w:p>
      <w:pPr>
        <w:pStyle w:val="4"/>
        <w:keepNext w:val="0"/>
        <w:keepLines w:val="0"/>
        <w:widowControl/>
        <w:suppressLineNumbers w:val="0"/>
        <w:ind w:left="567" w:hanging="567"/>
        <w:rPr>
          <w:rFonts w:hint="default" w:ascii="Arial" w:hAnsi="Arial" w:cs="Arial"/>
          <w:i/>
          <w:iCs/>
        </w:rPr>
      </w:pPr>
      <w:r>
        <w:rPr>
          <w:rFonts w:hint="default" w:ascii="Arial" w:hAnsi="Arial" w:cs="Arial"/>
        </w:rPr>
        <w:t>Issa, T., &amp; Issa, T. (2014). Sustainable business strategies and PESTEL framework. </w:t>
      </w:r>
      <w:r>
        <w:rPr>
          <w:rFonts w:hint="default" w:ascii="Arial" w:hAnsi="Arial" w:cs="Arial"/>
          <w:i/>
          <w:iCs/>
        </w:rPr>
        <w:t>GSTF Journal on Computing (JoC), 1(1).</w:t>
      </w:r>
    </w:p>
    <w:p>
      <w:pPr>
        <w:pStyle w:val="4"/>
        <w:keepNext w:val="0"/>
        <w:keepLines w:val="0"/>
        <w:widowControl/>
        <w:suppressLineNumbers w:val="0"/>
        <w:ind w:left="567" w:hanging="567"/>
        <w:rPr>
          <w:rFonts w:hint="default" w:ascii="Arial" w:hAnsi="Arial" w:cs="Arial"/>
          <w:i w:val="0"/>
          <w:iCs w:val="0"/>
        </w:rPr>
      </w:pPr>
      <w:r>
        <w:rPr>
          <w:rFonts w:hint="default" w:ascii="Arial" w:hAnsi="Arial" w:cs="Arial"/>
          <w:i w:val="0"/>
          <w:iCs w:val="0"/>
        </w:rPr>
        <w:t xml:space="preserve">Jackson, S. E., Joshi, A., &amp; Erhardt, N. L. (2003). Recent research on team and organizational diversity: SWOT analysis and implications. </w:t>
      </w:r>
      <w:r>
        <w:rPr>
          <w:rFonts w:hint="default" w:ascii="Arial" w:hAnsi="Arial" w:cs="Arial"/>
          <w:i/>
          <w:iCs/>
        </w:rPr>
        <w:t>Journal of Management</w:t>
      </w:r>
      <w:r>
        <w:rPr>
          <w:rFonts w:hint="default" w:ascii="Arial" w:hAnsi="Arial" w:cs="Arial"/>
          <w:i w:val="0"/>
          <w:iCs w:val="0"/>
        </w:rPr>
        <w:t>, 29(6), 801-830</w:t>
      </w:r>
    </w:p>
    <w:p>
      <w:pPr>
        <w:pStyle w:val="4"/>
        <w:keepNext w:val="0"/>
        <w:keepLines w:val="0"/>
        <w:widowControl/>
        <w:suppressLineNumbers w:val="0"/>
        <w:ind w:left="567" w:hanging="567"/>
        <w:rPr>
          <w:rFonts w:hint="default" w:ascii="Arial" w:hAnsi="Arial" w:cs="Arial"/>
          <w:i w:val="0"/>
          <w:iCs w:val="0"/>
        </w:rPr>
      </w:pPr>
      <w:r>
        <w:rPr>
          <w:rFonts w:hint="default" w:ascii="Arial" w:hAnsi="Arial" w:cs="Arial"/>
          <w:i w:val="0"/>
          <w:iCs w:val="0"/>
        </w:rPr>
        <w:t xml:space="preserve">Kulikowska-Pawlak, M. and Bratnicki, M. (2014) </w:t>
      </w:r>
      <w:r>
        <w:rPr>
          <w:rFonts w:hint="default" w:ascii="Arial" w:hAnsi="Arial" w:cs="Arial"/>
          <w:i/>
          <w:iCs/>
        </w:rPr>
        <w:t>Politykowanie organizacyjne I Przedsiębiorczość Strategiczna, Organizacja i Kierowanie</w:t>
      </w:r>
      <w:r>
        <w:rPr>
          <w:rFonts w:hint="default" w:ascii="Arial" w:hAnsi="Arial" w:cs="Arial"/>
          <w:i w:val="0"/>
          <w:iCs w:val="0"/>
        </w:rPr>
        <w:t>. Available at: http://yadda.icm.edu.pl/yadda/element/bwmeta1.element.ekon-element-000171324361 (Accessed: 21 March 2024).</w:t>
      </w:r>
    </w:p>
    <w:p>
      <w:pPr>
        <w:pStyle w:val="4"/>
        <w:keepNext w:val="0"/>
        <w:keepLines w:val="0"/>
        <w:widowControl/>
        <w:suppressLineNumbers w:val="0"/>
        <w:ind w:left="567" w:hanging="567"/>
        <w:rPr>
          <w:rFonts w:hint="eastAsia" w:ascii="Arial" w:hAnsi="Arial" w:cs="Arial" w:eastAsiaTheme="minorEastAsia"/>
          <w:i w:val="0"/>
          <w:iCs w:val="0"/>
          <w:lang w:val="en-US" w:eastAsia="zh-CN"/>
        </w:rPr>
      </w:pPr>
      <w:r>
        <w:rPr>
          <w:rFonts w:hint="default" w:ascii="Arial" w:hAnsi="Arial" w:cs="Arial"/>
          <w:i w:val="0"/>
          <w:iCs w:val="0"/>
        </w:rPr>
        <w:t xml:space="preserve">Office for National Statistics, 2010, Keynote, 2010, The Guardian </w:t>
      </w:r>
      <w:r>
        <w:rPr>
          <w:rFonts w:hint="eastAsia" w:ascii="Arial" w:hAnsi="Arial" w:cs="Arial"/>
          <w:i w:val="0"/>
          <w:iCs w:val="0"/>
          <w:lang w:val="en-US" w:eastAsia="zh-CN"/>
        </w:rPr>
        <w:t>.</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Pajni, N.S., Sharmaa, A. and Jain, R. (2022) ‘Risk identification techniques in retail industry: A case study of tesco plc’, </w:t>
      </w:r>
      <w:r>
        <w:rPr>
          <w:rFonts w:hint="default" w:ascii="Arial" w:hAnsi="Arial" w:cs="Arial"/>
          <w:i/>
          <w:iCs/>
        </w:rPr>
        <w:t>Journal of Corporate Governance, Insurance, and Risk Management</w:t>
      </w:r>
      <w:r>
        <w:rPr>
          <w:rFonts w:hint="default" w:ascii="Arial" w:hAnsi="Arial" w:cs="Arial"/>
        </w:rPr>
        <w:t xml:space="preserve">, 9(1), pp. 201–214. doi:10.51410/jcgirm.9.1.13. </w:t>
      </w:r>
    </w:p>
    <w:p>
      <w:pPr>
        <w:pStyle w:val="4"/>
        <w:keepNext w:val="0"/>
        <w:keepLines w:val="0"/>
        <w:widowControl/>
        <w:suppressLineNumbers w:val="0"/>
        <w:ind w:left="567" w:hanging="567"/>
        <w:rPr>
          <w:rFonts w:hint="default" w:ascii="Arial" w:hAnsi="Arial" w:cs="Arial"/>
          <w:i/>
          <w:iCs/>
        </w:rPr>
      </w:pPr>
      <w:r>
        <w:rPr>
          <w:rFonts w:hint="default" w:ascii="Arial" w:hAnsi="Arial" w:cs="Arial"/>
        </w:rPr>
        <w:t>Peters TJ, Waterman RH（2015）.In search of excellence. London: </w:t>
      </w:r>
      <w:r>
        <w:rPr>
          <w:rFonts w:hint="default" w:ascii="Arial" w:hAnsi="Arial" w:cs="Arial"/>
          <w:i/>
          <w:iCs/>
        </w:rPr>
        <w:t>Profile Books</w:t>
      </w:r>
    </w:p>
    <w:p>
      <w:pPr>
        <w:pStyle w:val="4"/>
        <w:keepNext w:val="0"/>
        <w:keepLines w:val="0"/>
        <w:widowControl/>
        <w:suppressLineNumbers w:val="0"/>
        <w:ind w:left="567" w:hanging="567"/>
        <w:rPr>
          <w:rFonts w:hint="default" w:ascii="Arial" w:hAnsi="Arial" w:cs="Arial"/>
          <w:i w:val="0"/>
          <w:iCs w:val="0"/>
        </w:rPr>
      </w:pPr>
      <w:r>
        <w:rPr>
          <w:rFonts w:hint="default" w:ascii="Arial" w:hAnsi="Arial" w:cs="Arial"/>
          <w:i w:val="0"/>
          <w:iCs w:val="0"/>
        </w:rPr>
        <w:t xml:space="preserve">Rozmi, A. N. A., Nordin, A., &amp; Bakar, M. I. A. (2018). The perception of ICT adoption in small medium enterprise: A SWOT analysis. </w:t>
      </w:r>
      <w:r>
        <w:rPr>
          <w:rFonts w:hint="default" w:ascii="Arial" w:hAnsi="Arial" w:cs="Arial"/>
          <w:i/>
          <w:iCs/>
        </w:rPr>
        <w:t>International Journal of Innovation Business Strategy</w:t>
      </w:r>
      <w:r>
        <w:rPr>
          <w:rFonts w:hint="default" w:ascii="Arial" w:hAnsi="Arial" w:cs="Arial"/>
          <w:i w:val="0"/>
          <w:iCs w:val="0"/>
        </w:rPr>
        <w:t>, 19(1), 69-79.</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Sou, H. (2023) </w:t>
      </w:r>
      <w:r>
        <w:rPr>
          <w:rFonts w:hint="default" w:ascii="Arial" w:hAnsi="Arial" w:cs="Arial"/>
          <w:i/>
          <w:iCs/>
        </w:rPr>
        <w:t>Tesco是什么牌子？Tesco的业务主要在哪些国家？</w:t>
      </w:r>
      <w:r>
        <w:rPr>
          <w:rFonts w:hint="default" w:ascii="Arial" w:hAnsi="Arial" w:cs="Arial"/>
        </w:rPr>
        <w:t xml:space="preserve">, </w:t>
      </w:r>
      <w:r>
        <w:rPr>
          <w:rFonts w:hint="default" w:ascii="Arial" w:hAnsi="Arial" w:cs="Arial"/>
          <w:i/>
          <w:iCs/>
        </w:rPr>
        <w:t>AMZ123跨境导航</w:t>
      </w:r>
      <w:r>
        <w:rPr>
          <w:rFonts w:hint="default" w:ascii="Arial" w:hAnsi="Arial" w:cs="Arial"/>
        </w:rPr>
        <w:t xml:space="preserve">. Available at: https://www.amz123.com/t/aqBahdtt (Accessed: 21 March 2024). </w:t>
      </w:r>
    </w:p>
    <w:p>
      <w:pPr>
        <w:pStyle w:val="4"/>
        <w:keepNext w:val="0"/>
        <w:keepLines w:val="0"/>
        <w:widowControl/>
        <w:suppressLineNumbers w:val="0"/>
        <w:ind w:left="567" w:hanging="567"/>
        <w:rPr>
          <w:rFonts w:hint="default" w:ascii="Arial" w:hAnsi="Arial" w:cs="Arial"/>
        </w:rPr>
      </w:pPr>
      <w:r>
        <w:rPr>
          <w:rFonts w:hint="default" w:ascii="Arial" w:hAnsi="Arial" w:cs="Arial"/>
          <w:i/>
          <w:iCs/>
        </w:rPr>
        <w:t>Tesco</w:t>
      </w:r>
      <w:r>
        <w:rPr>
          <w:rFonts w:hint="default" w:ascii="Arial" w:hAnsi="Arial" w:cs="Arial"/>
        </w:rPr>
        <w:t xml:space="preserve"> (2024) </w:t>
      </w:r>
      <w:r>
        <w:rPr>
          <w:rFonts w:hint="default" w:ascii="Arial" w:hAnsi="Arial" w:cs="Arial"/>
          <w:i/>
          <w:iCs/>
        </w:rPr>
        <w:t>Wikipedia</w:t>
      </w:r>
      <w:r>
        <w:rPr>
          <w:rFonts w:hint="default" w:ascii="Arial" w:hAnsi="Arial" w:cs="Arial"/>
        </w:rPr>
        <w:t xml:space="preserve">. Available at: https://en.wikipedia.org/wiki/Tesco (Accessed: 22 March 2024).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Tesco Plc (2023) </w:t>
      </w:r>
      <w:r>
        <w:rPr>
          <w:rFonts w:hint="default" w:ascii="Arial" w:hAnsi="Arial" w:cs="Arial"/>
          <w:i/>
          <w:iCs/>
        </w:rPr>
        <w:t>Tesco plc - Digital Transformation Strategies</w:t>
      </w:r>
      <w:r>
        <w:rPr>
          <w:rFonts w:hint="default" w:ascii="Arial" w:hAnsi="Arial" w:cs="Arial"/>
        </w:rPr>
        <w:t xml:space="preserve">, </w:t>
      </w:r>
      <w:r>
        <w:rPr>
          <w:rFonts w:hint="default" w:ascii="Arial" w:hAnsi="Arial" w:cs="Arial"/>
          <w:i/>
          <w:iCs/>
        </w:rPr>
        <w:t>Market Research Reports &amp; Consulting | GlobalData UK Ltd.</w:t>
      </w:r>
      <w:r>
        <w:rPr>
          <w:rFonts w:hint="default" w:ascii="Arial" w:hAnsi="Arial" w:cs="Arial"/>
        </w:rPr>
        <w:t xml:space="preserve"> Available at: https://www.globaldata.com/store/report/tesco-plc-enterprise-tech-analysis/ (Accessed: 22 March 2024).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Times online (2009) </w:t>
      </w:r>
      <w:r>
        <w:rPr>
          <w:rFonts w:hint="default" w:ascii="Arial" w:hAnsi="Arial" w:cs="Arial"/>
          <w:i/>
          <w:iCs/>
        </w:rPr>
        <w:t>Tesco暗战供应商</w:t>
      </w:r>
      <w:r>
        <w:rPr>
          <w:rFonts w:hint="default" w:ascii="Arial" w:hAnsi="Arial" w:cs="Arial"/>
        </w:rPr>
        <w:t xml:space="preserve">, </w:t>
      </w:r>
      <w:r>
        <w:rPr>
          <w:rFonts w:hint="default" w:ascii="Arial" w:hAnsi="Arial" w:cs="Arial"/>
          <w:i/>
          <w:iCs/>
        </w:rPr>
        <w:t>Times online</w:t>
      </w:r>
      <w:r>
        <w:rPr>
          <w:rFonts w:hint="default" w:ascii="Arial" w:hAnsi="Arial" w:cs="Arial"/>
        </w:rPr>
        <w:t xml:space="preserve">. Available at: https://www.time-weekly.com/wap-article/3408 (Accessed: 21 March 2024).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Witcher, BJ &amp; Chau </w:t>
      </w:r>
      <w:r>
        <w:rPr>
          <w:rFonts w:hint="eastAsia" w:ascii="Arial" w:hAnsi="Arial" w:cs="Arial"/>
          <w:lang w:val="en-US" w:eastAsia="zh-CN"/>
        </w:rPr>
        <w:t>(</w:t>
      </w:r>
      <w:r>
        <w:rPr>
          <w:rFonts w:hint="default" w:ascii="Arial" w:hAnsi="Arial" w:cs="Arial"/>
        </w:rPr>
        <w:t>2010</w:t>
      </w:r>
      <w:r>
        <w:rPr>
          <w:rFonts w:hint="eastAsia" w:ascii="Arial" w:hAnsi="Arial" w:cs="Arial"/>
          <w:lang w:val="en-US" w:eastAsia="zh-CN"/>
        </w:rPr>
        <w:t>)</w:t>
      </w:r>
      <w:r>
        <w:rPr>
          <w:rFonts w:hint="default" w:ascii="Arial" w:hAnsi="Arial" w:cs="Arial"/>
        </w:rPr>
        <w:t xml:space="preserve">, </w:t>
      </w:r>
      <w:r>
        <w:rPr>
          <w:rFonts w:hint="default" w:ascii="Arial" w:hAnsi="Arial" w:cs="Arial"/>
          <w:i/>
          <w:iCs/>
        </w:rPr>
        <w:t>Strategic Management Principles and Practice</w:t>
      </w:r>
      <w:r>
        <w:rPr>
          <w:rFonts w:hint="default" w:ascii="Arial" w:hAnsi="Arial" w:cs="Arial"/>
        </w:rPr>
        <w:t>, Cengage Learning EMEA, United Kingdom</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Wu, G., Thomas Stanley and Kang, Y. (2023) 一文带你看懂疫情对各行业的影响和未来发展趋势, </w:t>
      </w:r>
      <w:r>
        <w:rPr>
          <w:rFonts w:hint="default" w:ascii="Arial" w:hAnsi="Arial" w:cs="Arial"/>
          <w:i/>
          <w:iCs/>
        </w:rPr>
        <w:t>KPMG</w:t>
      </w:r>
      <w:r>
        <w:rPr>
          <w:rFonts w:hint="default" w:ascii="Arial" w:hAnsi="Arial" w:cs="Arial"/>
        </w:rPr>
        <w:t xml:space="preserve">. Available at: https://kpmg.com/cn/zh/home/social/2020/02/how-novel-coronavirus-affects-various-industries-and-future-development-trends.html (Accessed: 20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u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8CD09"/>
    <w:multiLevelType w:val="singleLevel"/>
    <w:tmpl w:val="80C8CD09"/>
    <w:lvl w:ilvl="0" w:tentative="0">
      <w:start w:val="1"/>
      <w:numFmt w:val="bullet"/>
      <w:lvlText w:val=""/>
      <w:lvlJc w:val="left"/>
      <w:pPr>
        <w:ind w:left="420" w:hanging="420"/>
      </w:pPr>
      <w:rPr>
        <w:rFonts w:hint="default" w:ascii="Wingdings" w:hAnsi="Wingdings"/>
      </w:rPr>
    </w:lvl>
  </w:abstractNum>
  <w:abstractNum w:abstractNumId="1">
    <w:nsid w:val="A16D77FF"/>
    <w:multiLevelType w:val="singleLevel"/>
    <w:tmpl w:val="A16D77FF"/>
    <w:lvl w:ilvl="0" w:tentative="0">
      <w:start w:val="1"/>
      <w:numFmt w:val="decimal"/>
      <w:suff w:val="space"/>
      <w:lvlText w:val="%1."/>
      <w:lvlJc w:val="left"/>
    </w:lvl>
  </w:abstractNum>
  <w:abstractNum w:abstractNumId="2">
    <w:nsid w:val="A7529F50"/>
    <w:multiLevelType w:val="singleLevel"/>
    <w:tmpl w:val="A7529F50"/>
    <w:lvl w:ilvl="0" w:tentative="0">
      <w:start w:val="1"/>
      <w:numFmt w:val="bullet"/>
      <w:lvlText w:val=""/>
      <w:lvlJc w:val="left"/>
      <w:pPr>
        <w:ind w:left="420" w:hanging="420"/>
      </w:pPr>
      <w:rPr>
        <w:rFonts w:hint="default" w:ascii="Wingdings" w:hAnsi="Wingdings"/>
      </w:rPr>
    </w:lvl>
  </w:abstractNum>
  <w:abstractNum w:abstractNumId="3">
    <w:nsid w:val="BF90E978"/>
    <w:multiLevelType w:val="singleLevel"/>
    <w:tmpl w:val="BF90E978"/>
    <w:lvl w:ilvl="0" w:tentative="0">
      <w:start w:val="1"/>
      <w:numFmt w:val="bullet"/>
      <w:lvlText w:val=""/>
      <w:lvlJc w:val="left"/>
      <w:pPr>
        <w:ind w:left="420" w:hanging="420"/>
      </w:pPr>
      <w:rPr>
        <w:rFonts w:hint="default" w:ascii="Wingdings" w:hAnsi="Wingdings"/>
      </w:rPr>
    </w:lvl>
  </w:abstractNum>
  <w:abstractNum w:abstractNumId="4">
    <w:nsid w:val="C1E960DF"/>
    <w:multiLevelType w:val="multilevel"/>
    <w:tmpl w:val="C1E960DF"/>
    <w:lvl w:ilvl="0" w:tentative="0">
      <w:start w:val="1"/>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5">
    <w:nsid w:val="C3966FF2"/>
    <w:multiLevelType w:val="singleLevel"/>
    <w:tmpl w:val="C3966FF2"/>
    <w:lvl w:ilvl="0" w:tentative="0">
      <w:start w:val="1"/>
      <w:numFmt w:val="bullet"/>
      <w:lvlText w:val=""/>
      <w:lvlJc w:val="left"/>
      <w:pPr>
        <w:ind w:left="420" w:hanging="420"/>
      </w:pPr>
      <w:rPr>
        <w:rFonts w:hint="default" w:ascii="Wingdings" w:hAnsi="Wingdings"/>
      </w:rPr>
    </w:lvl>
  </w:abstractNum>
  <w:abstractNum w:abstractNumId="6">
    <w:nsid w:val="C9A61047"/>
    <w:multiLevelType w:val="singleLevel"/>
    <w:tmpl w:val="C9A61047"/>
    <w:lvl w:ilvl="0" w:tentative="0">
      <w:start w:val="1"/>
      <w:numFmt w:val="decimal"/>
      <w:lvlText w:val="%1."/>
      <w:lvlJc w:val="left"/>
      <w:pPr>
        <w:ind w:left="425" w:hanging="425"/>
      </w:pPr>
      <w:rPr>
        <w:rFonts w:hint="default"/>
      </w:rPr>
    </w:lvl>
  </w:abstractNum>
  <w:abstractNum w:abstractNumId="7">
    <w:nsid w:val="D492AF6A"/>
    <w:multiLevelType w:val="singleLevel"/>
    <w:tmpl w:val="D492AF6A"/>
    <w:lvl w:ilvl="0" w:tentative="0">
      <w:start w:val="1"/>
      <w:numFmt w:val="decimal"/>
      <w:lvlText w:val="%1."/>
      <w:lvlJc w:val="left"/>
      <w:pPr>
        <w:ind w:left="425" w:hanging="425"/>
      </w:pPr>
      <w:rPr>
        <w:rFonts w:hint="default"/>
      </w:rPr>
    </w:lvl>
  </w:abstractNum>
  <w:abstractNum w:abstractNumId="8">
    <w:nsid w:val="E67A50D6"/>
    <w:multiLevelType w:val="singleLevel"/>
    <w:tmpl w:val="E67A50D6"/>
    <w:lvl w:ilvl="0" w:tentative="0">
      <w:start w:val="1"/>
      <w:numFmt w:val="decimal"/>
      <w:lvlText w:val="%1."/>
      <w:lvlJc w:val="left"/>
      <w:pPr>
        <w:ind w:left="425" w:hanging="425"/>
      </w:pPr>
      <w:rPr>
        <w:rFonts w:hint="default"/>
      </w:rPr>
    </w:lvl>
  </w:abstractNum>
  <w:abstractNum w:abstractNumId="9">
    <w:nsid w:val="08754A63"/>
    <w:multiLevelType w:val="singleLevel"/>
    <w:tmpl w:val="08754A63"/>
    <w:lvl w:ilvl="0" w:tentative="0">
      <w:start w:val="1"/>
      <w:numFmt w:val="bullet"/>
      <w:lvlText w:val=""/>
      <w:lvlJc w:val="left"/>
      <w:pPr>
        <w:ind w:left="420" w:hanging="420"/>
      </w:pPr>
      <w:rPr>
        <w:rFonts w:hint="default" w:ascii="Wingdings" w:hAnsi="Wingdings"/>
      </w:rPr>
    </w:lvl>
  </w:abstractNum>
  <w:abstractNum w:abstractNumId="10">
    <w:nsid w:val="54B1F0FF"/>
    <w:multiLevelType w:val="singleLevel"/>
    <w:tmpl w:val="54B1F0FF"/>
    <w:lvl w:ilvl="0" w:tentative="0">
      <w:start w:val="1"/>
      <w:numFmt w:val="decimal"/>
      <w:lvlText w:val="%1."/>
      <w:lvlJc w:val="left"/>
      <w:pPr>
        <w:ind w:left="425" w:hanging="425"/>
      </w:pPr>
      <w:rPr>
        <w:rFonts w:hint="default"/>
      </w:rPr>
    </w:lvl>
  </w:abstractNum>
  <w:abstractNum w:abstractNumId="11">
    <w:nsid w:val="6AF9105B"/>
    <w:multiLevelType w:val="singleLevel"/>
    <w:tmpl w:val="6AF9105B"/>
    <w:lvl w:ilvl="0" w:tentative="0">
      <w:start w:val="1"/>
      <w:numFmt w:val="bullet"/>
      <w:lvlText w:val=""/>
      <w:lvlJc w:val="left"/>
      <w:pPr>
        <w:ind w:left="420" w:hanging="420"/>
      </w:pPr>
      <w:rPr>
        <w:rFonts w:hint="default" w:ascii="Wingdings" w:hAnsi="Wingdings"/>
      </w:rPr>
    </w:lvl>
  </w:abstractNum>
  <w:abstractNum w:abstractNumId="12">
    <w:nsid w:val="6AFEB7FA"/>
    <w:multiLevelType w:val="singleLevel"/>
    <w:tmpl w:val="6AFEB7FA"/>
    <w:lvl w:ilvl="0" w:tentative="0">
      <w:start w:val="1"/>
      <w:numFmt w:val="bullet"/>
      <w:lvlText w:val=""/>
      <w:lvlJc w:val="left"/>
      <w:pPr>
        <w:ind w:left="420" w:hanging="420"/>
      </w:pPr>
      <w:rPr>
        <w:rFonts w:hint="default" w:ascii="Wingdings" w:hAnsi="Wingdings"/>
      </w:rPr>
    </w:lvl>
  </w:abstractNum>
  <w:num w:numId="1">
    <w:abstractNumId w:val="1"/>
  </w:num>
  <w:num w:numId="2">
    <w:abstractNumId w:val="11"/>
  </w:num>
  <w:num w:numId="3">
    <w:abstractNumId w:val="12"/>
  </w:num>
  <w:num w:numId="4">
    <w:abstractNumId w:val="3"/>
  </w:num>
  <w:num w:numId="5">
    <w:abstractNumId w:val="2"/>
  </w:num>
  <w:num w:numId="6">
    <w:abstractNumId w:val="6"/>
  </w:num>
  <w:num w:numId="7">
    <w:abstractNumId w:val="5"/>
  </w:num>
  <w:num w:numId="8">
    <w:abstractNumId w:val="10"/>
  </w:num>
  <w:num w:numId="9">
    <w:abstractNumId w:val="9"/>
  </w:num>
  <w:num w:numId="10">
    <w:abstractNumId w:val="8"/>
  </w:num>
  <w:num w:numId="11">
    <w:abstractNumId w:val="0"/>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02AB40A2"/>
    <w:rsid w:val="008528E0"/>
    <w:rsid w:val="025F3693"/>
    <w:rsid w:val="02AB40A2"/>
    <w:rsid w:val="02C51382"/>
    <w:rsid w:val="02DD1A2B"/>
    <w:rsid w:val="03474FAE"/>
    <w:rsid w:val="04743C3E"/>
    <w:rsid w:val="080C703A"/>
    <w:rsid w:val="088215D2"/>
    <w:rsid w:val="0AB71FF4"/>
    <w:rsid w:val="0B061AD5"/>
    <w:rsid w:val="0C4A6AFE"/>
    <w:rsid w:val="0C66480D"/>
    <w:rsid w:val="0F3D58B6"/>
    <w:rsid w:val="103A670E"/>
    <w:rsid w:val="12132A21"/>
    <w:rsid w:val="14605689"/>
    <w:rsid w:val="150863F7"/>
    <w:rsid w:val="18FE652B"/>
    <w:rsid w:val="20C0056A"/>
    <w:rsid w:val="217F6677"/>
    <w:rsid w:val="26431A21"/>
    <w:rsid w:val="27541A0C"/>
    <w:rsid w:val="2D5E35E4"/>
    <w:rsid w:val="2F2D7712"/>
    <w:rsid w:val="341E3ACD"/>
    <w:rsid w:val="34EB78DC"/>
    <w:rsid w:val="38A61C0E"/>
    <w:rsid w:val="392A6A70"/>
    <w:rsid w:val="3B1A3241"/>
    <w:rsid w:val="3B9F54F4"/>
    <w:rsid w:val="3BD17FFE"/>
    <w:rsid w:val="3BDD426E"/>
    <w:rsid w:val="410D44E5"/>
    <w:rsid w:val="41DF709A"/>
    <w:rsid w:val="422E596D"/>
    <w:rsid w:val="43AA05AA"/>
    <w:rsid w:val="442C1D3F"/>
    <w:rsid w:val="44CB1108"/>
    <w:rsid w:val="46B04A59"/>
    <w:rsid w:val="46B5206F"/>
    <w:rsid w:val="46E2098A"/>
    <w:rsid w:val="4B4C7022"/>
    <w:rsid w:val="53933738"/>
    <w:rsid w:val="579B45E8"/>
    <w:rsid w:val="58DB0B5B"/>
    <w:rsid w:val="59285338"/>
    <w:rsid w:val="61B71D7D"/>
    <w:rsid w:val="6B3C7DBA"/>
    <w:rsid w:val="6DA975BC"/>
    <w:rsid w:val="6FC767EC"/>
    <w:rsid w:val="75DA08FB"/>
    <w:rsid w:val="77D73344"/>
    <w:rsid w:val="790A14F7"/>
    <w:rsid w:val="7EEF71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autoRedefine/>
    <w:qFormat/>
    <w:uiPriority w:val="0"/>
  </w:style>
  <w:style w:type="paragraph" w:styleId="3">
    <w:name w:val="toc 2"/>
    <w:basedOn w:val="1"/>
    <w:next w:val="1"/>
    <w:autoRedefine/>
    <w:qFormat/>
    <w:uiPriority w:val="0"/>
    <w:pPr>
      <w:ind w:left="420" w:leftChars="200"/>
    </w:pPr>
  </w:style>
  <w:style w:type="paragraph" w:styleId="4">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7">
    <w:name w:val="Strong"/>
    <w:basedOn w:val="6"/>
    <w:autoRedefine/>
    <w:qFormat/>
    <w:uiPriority w:val="0"/>
    <w:rPr>
      <w:b/>
    </w:rPr>
  </w:style>
  <w:style w:type="paragraph" w:customStyle="1" w:styleId="8">
    <w:name w:val="WPSOffice手动目录 1"/>
    <w:autoRedefine/>
    <w:qFormat/>
    <w:uiPriority w:val="0"/>
    <w:pPr>
      <w:ind w:leftChars="0"/>
    </w:pPr>
    <w:rPr>
      <w:rFonts w:ascii="Times New Roman" w:hAnsi="Times New Roman" w:eastAsia="宋体" w:cs="Times New Roman"/>
      <w:sz w:val="20"/>
      <w:szCs w:val="20"/>
    </w:rPr>
  </w:style>
  <w:style w:type="paragraph" w:customStyle="1" w:styleId="9">
    <w:name w:val="WPSOffice手动目录 2"/>
    <w:autoRedefine/>
    <w:qFormat/>
    <w:uiPriority w:val="0"/>
    <w:pPr>
      <w:ind w:leftChars="200"/>
    </w:pPr>
    <w:rPr>
      <w:rFonts w:ascii="Times New Roman" w:hAnsi="Times New Roman" w:eastAsia="宋体" w:cs="Times New Roman"/>
      <w:sz w:val="20"/>
      <w:szCs w:val="20"/>
    </w:rPr>
  </w:style>
  <w:style w:type="paragraph" w:styleId="10">
    <w:name w:val="No Spacing"/>
    <w:autoRedefine/>
    <w:qFormat/>
    <w:uiPriority w:val="1"/>
    <w:pPr>
      <w:spacing w:after="0" w:line="240"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2024-03-20T23:06:00Z</dcterms:created>
  <dc:creator>龚洁</dc:creator>
  <cp:lastModifiedBy>龚洁</cp:lastModifiedBy>
  <dcterms:modified xsi:type="dcterms:W3CDTF">2024-03-22T22:07:25Z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F2FB9BCA50144CD486AE7AF51CBFE6D5_11</vt:lpwstr>
  </property>
</Properties>
</file>