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5A453747" w:rsidRDefault="00012B16">
      <w:r>
        <w:rPr>
          <w:noProof/>
          <w:lang w:val="en-US" w:eastAsia="en-US"/>
        </w:rPr>
        <w:drawing>
          <wp:inline distT="0" distB="0" distL="0" distR="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roofErr w:type="spellStart"/>
            <w:r w:rsidR="00D21E6F">
              <w:rPr>
                <w:rFonts w:ascii="Times New Roman" w:hAnsi="Times New Roman" w:cs="Times New Roman"/>
                <w:b/>
                <w:color w:val="auto"/>
                <w:sz w:val="48"/>
              </w:rPr>
              <w:t>Awel</w:t>
            </w:r>
            <w:proofErr w:type="spellEnd"/>
            <w:r w:rsidR="00D21E6F">
              <w:rPr>
                <w:rFonts w:ascii="Times New Roman" w:hAnsi="Times New Roman" w:cs="Times New Roman"/>
                <w:b/>
                <w:color w:val="auto"/>
                <w:sz w:val="48"/>
              </w:rPr>
              <w:t xml:space="preserve"> </w:t>
            </w:r>
            <w:proofErr w:type="spellStart"/>
            <w:r w:rsidR="00D21E6F">
              <w:rPr>
                <w:rFonts w:ascii="Times New Roman" w:hAnsi="Times New Roman" w:cs="Times New Roman"/>
                <w:b/>
                <w:color w:val="auto"/>
                <w:sz w:val="48"/>
              </w:rPr>
              <w:t>Haf</w:t>
            </w:r>
            <w:proofErr w:type="spellEnd"/>
            <w:r w:rsidR="00D21E6F">
              <w:rPr>
                <w:rFonts w:ascii="Times New Roman" w:hAnsi="Times New Roman" w:cs="Times New Roman"/>
                <w:b/>
                <w:color w:val="auto"/>
                <w:sz w:val="48"/>
              </w:rPr>
              <w:t xml:space="preserve"> Pritchard Jones</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21E6F">
              <w:rPr>
                <w:rFonts w:ascii="Times New Roman" w:hAnsi="Times New Roman" w:cs="Times New Roman"/>
                <w:b/>
                <w:color w:val="auto"/>
                <w:sz w:val="48"/>
              </w:rPr>
              <w:t xml:space="preserve"> 2219667@student.uwtsd.ac.uk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D21E6F" w:rsidRPr="005D3F07" w:rsidRDefault="00D21E6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2219667</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7F312E" w:rsidRDefault="007F312E" w:rsidP="005F64AA">
      <w:pPr>
        <w:jc w:val="center"/>
        <w:rPr>
          <w:b/>
          <w:sz w:val="28"/>
          <w:szCs w:val="28"/>
        </w:rPr>
      </w:pPr>
    </w:p>
    <w:p w:rsidR="00D3203C" w:rsidRDefault="00D3203C" w:rsidP="00EE5BC3">
      <w:pPr>
        <w:jc w:val="center"/>
        <w:rPr>
          <w:b/>
          <w:sz w:val="24"/>
          <w:szCs w:val="24"/>
        </w:rPr>
      </w:pPr>
    </w:p>
    <w:p w:rsidR="000D0BB6" w:rsidRPr="00EE5BC3" w:rsidRDefault="00337FEF" w:rsidP="00EE5BC3">
      <w:pPr>
        <w:jc w:val="center"/>
        <w:rPr>
          <w:b/>
          <w:sz w:val="28"/>
          <w:szCs w:val="28"/>
        </w:rPr>
      </w:pPr>
      <w:r w:rsidRPr="00EE5BC3">
        <w:rPr>
          <w:b/>
          <w:sz w:val="28"/>
          <w:szCs w:val="28"/>
        </w:rPr>
        <w:t>Task 4</w:t>
      </w:r>
    </w:p>
    <w:p w:rsidR="00002C7A" w:rsidRPr="00EE5BC3" w:rsidRDefault="00002C7A" w:rsidP="00EE5BC3">
      <w:pPr>
        <w:jc w:val="center"/>
        <w:rPr>
          <w:b/>
          <w:sz w:val="28"/>
          <w:szCs w:val="28"/>
        </w:rPr>
      </w:pPr>
    </w:p>
    <w:p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rsidR="000D0BB6" w:rsidRPr="008B28E7" w:rsidRDefault="000D0BB6" w:rsidP="00FF7EBB">
      <w:pPr>
        <w:jc w:val="both"/>
        <w:rPr>
          <w:b/>
          <w:sz w:val="24"/>
          <w:szCs w:val="24"/>
        </w:rPr>
      </w:pPr>
    </w:p>
    <w:p w:rsidR="00337FEF" w:rsidRPr="00EE5BC3" w:rsidRDefault="008B28E7" w:rsidP="00FF7EBB">
      <w:pPr>
        <w:ind w:left="-90"/>
        <w:jc w:val="both"/>
        <w:rPr>
          <w:b/>
          <w:i/>
          <w:sz w:val="24"/>
          <w:szCs w:val="24"/>
        </w:rPr>
      </w:pPr>
      <w:r w:rsidRPr="00EE5BC3">
        <w:rPr>
          <w:b/>
          <w:i/>
          <w:sz w:val="24"/>
          <w:szCs w:val="24"/>
        </w:rPr>
        <w:t xml:space="preserve">Guidance: </w:t>
      </w:r>
    </w:p>
    <w:p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88"/>
      </w:tblGrid>
      <w:tr w:rsidR="005A545C" w:rsidRPr="008B28E7" w:rsidTr="006108C9">
        <w:tc>
          <w:tcPr>
            <w:tcW w:w="10188" w:type="dxa"/>
            <w:shd w:val="clear" w:color="auto" w:fill="auto"/>
          </w:tcPr>
          <w:p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(see guidance above)</w:t>
            </w:r>
            <w:proofErr w:type="gramStart"/>
            <w:r>
              <w:rPr>
                <w:sz w:val="24"/>
                <w:szCs w:val="24"/>
              </w:rPr>
              <w:t>,</w:t>
            </w:r>
            <w:proofErr w:type="gramEnd"/>
            <w:r>
              <w:rPr>
                <w:sz w:val="24"/>
                <w:szCs w:val="24"/>
              </w:rPr>
              <w:t xml:space="preser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Default="006108C9" w:rsidP="00FF7EBB">
            <w:pPr>
              <w:jc w:val="both"/>
              <w:rPr>
                <w:sz w:val="24"/>
                <w:szCs w:val="24"/>
              </w:rPr>
            </w:pPr>
          </w:p>
          <w:p w:rsidR="00FC0334" w:rsidRDefault="00FC0334" w:rsidP="00FF7EBB">
            <w:pPr>
              <w:jc w:val="both"/>
              <w:rPr>
                <w:sz w:val="24"/>
                <w:szCs w:val="24"/>
              </w:rPr>
            </w:pPr>
          </w:p>
          <w:p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rsidR="00DA3BC4" w:rsidRDefault="00DA3BC4" w:rsidP="00FF7EBB">
            <w:pPr>
              <w:jc w:val="both"/>
              <w:rPr>
                <w:sz w:val="24"/>
                <w:szCs w:val="24"/>
              </w:rPr>
            </w:pPr>
          </w:p>
          <w:p w:rsidR="00DA3BC4" w:rsidRDefault="00DA3BC4" w:rsidP="00FF7EBB">
            <w:pPr>
              <w:jc w:val="both"/>
              <w:rPr>
                <w:sz w:val="24"/>
                <w:szCs w:val="24"/>
              </w:rPr>
            </w:pP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r w:rsidRPr="00DA3BC4">
              <w:rPr>
                <w:sz w:val="24"/>
                <w:szCs w:val="24"/>
                <w:lang w:val="en-US" w:eastAsia="en-US"/>
              </w:rPr>
              <w:t>Children’s safeguarding has evolved, due to serious case reviews, Laws and Acts. The Social Services and Wellbeing (Wales) Act 2014 (SSWWA) have replaced other Laws and Acts that have been repealed, such as the Chronically sick and disabled person’s Act 1970 in Wales and the Children Act 1989  (SCW,2024). However, Section 47 of the Children Act 1989 (CA) is still relevant today. It states that professionals must intervene if a child is at risk or is being ‘significantly harmed’. According to the ‘Working Together to Safeguard people’ document by the Welsh Government (2022) safeguarding is ‘everyone’s responsibility’. This means that if anyone is concerned about a child’s welfare, they have a duty to report it to the appointed safeguarding officer, who will then report it to social services. The social worker will follow the Wales Safeguarding Procedures 2019 which outlines the policy and procedures professionals must follow in Wales to keep children and young people safe.</w:t>
            </w: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r w:rsidRPr="00DA3BC4">
              <w:rPr>
                <w:sz w:val="24"/>
                <w:szCs w:val="24"/>
                <w:lang w:val="en-US" w:eastAsia="en-US"/>
              </w:rPr>
              <w:t>Until completion of the case, the social worker must uphold the United Nations Convention on the Rights of the Child (UNCRC) 1990. UNCRC</w:t>
            </w:r>
            <w:proofErr w:type="gramStart"/>
            <w:r w:rsidRPr="00DA3BC4">
              <w:rPr>
                <w:sz w:val="24"/>
                <w:szCs w:val="24"/>
                <w:lang w:val="en-US" w:eastAsia="en-US"/>
              </w:rPr>
              <w:t>  gives</w:t>
            </w:r>
            <w:proofErr w:type="gramEnd"/>
            <w:r w:rsidRPr="00DA3BC4">
              <w:rPr>
                <w:sz w:val="24"/>
                <w:szCs w:val="24"/>
                <w:lang w:val="en-US" w:eastAsia="en-US"/>
              </w:rPr>
              <w:t xml:space="preserve"> children a voice and a recognition that they have the right to be protected, ‘grow, participate and </w:t>
            </w:r>
            <w:proofErr w:type="spellStart"/>
            <w:r w:rsidRPr="00DA3BC4">
              <w:rPr>
                <w:sz w:val="24"/>
                <w:szCs w:val="24"/>
                <w:lang w:val="en-US" w:eastAsia="en-US"/>
              </w:rPr>
              <w:t>fulfil</w:t>
            </w:r>
            <w:proofErr w:type="spellEnd"/>
            <w:r w:rsidRPr="00DA3BC4">
              <w:rPr>
                <w:sz w:val="24"/>
                <w:szCs w:val="24"/>
                <w:lang w:val="en-US" w:eastAsia="en-US"/>
              </w:rPr>
              <w:t xml:space="preserve"> their potential.’ (NSPCC</w:t>
            </w:r>
            <w:proofErr w:type="gramStart"/>
            <w:r w:rsidRPr="00DA3BC4">
              <w:rPr>
                <w:sz w:val="24"/>
                <w:szCs w:val="24"/>
                <w:lang w:val="en-US" w:eastAsia="en-US"/>
              </w:rPr>
              <w:t>,2024</w:t>
            </w:r>
            <w:proofErr w:type="gramEnd"/>
            <w:r w:rsidRPr="00DA3BC4">
              <w:rPr>
                <w:sz w:val="24"/>
                <w:szCs w:val="24"/>
                <w:lang w:val="en-US" w:eastAsia="en-US"/>
              </w:rPr>
              <w:t xml:space="preserve">). It is important that the social worker listens to the child’s opinion and includes this in single </w:t>
            </w:r>
            <w:r w:rsidRPr="00DA3BC4">
              <w:rPr>
                <w:sz w:val="24"/>
                <w:szCs w:val="24"/>
                <w:lang w:val="en-US" w:eastAsia="en-US"/>
              </w:rPr>
              <w:lastRenderedPageBreak/>
              <w:t>assessments and strategy discussions. This upholds SCW Code of Professional Practice Parts 2 and 3. (SCW</w:t>
            </w:r>
            <w:proofErr w:type="gramStart"/>
            <w:r w:rsidRPr="00DA3BC4">
              <w:rPr>
                <w:sz w:val="24"/>
                <w:szCs w:val="24"/>
                <w:lang w:val="en-US" w:eastAsia="en-US"/>
              </w:rPr>
              <w:t>,2017</w:t>
            </w:r>
            <w:proofErr w:type="gramEnd"/>
            <w:r w:rsidRPr="00DA3BC4">
              <w:rPr>
                <w:sz w:val="24"/>
                <w:szCs w:val="24"/>
                <w:lang w:val="en-US" w:eastAsia="en-US"/>
              </w:rPr>
              <w:t>). The Single Assessment that is completed by the Local Authority is based on the SSWWA 2014 Part 3. </w:t>
            </w: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r w:rsidRPr="00DA3BC4">
              <w:rPr>
                <w:sz w:val="24"/>
                <w:szCs w:val="24"/>
                <w:lang w:val="en-US" w:eastAsia="en-US"/>
              </w:rPr>
              <w:t>A social worker’s role when there is a safeguarding concern is to gather information and be the point of contact for the family and other professionals. They will gather information from a multi-disciplinary team and record information on a secure database while carrying out assessments. If it is under Section 47 of CA (1989) a child protection conference will be held 15 days after the initial strategy discussion. (SCW</w:t>
            </w:r>
            <w:proofErr w:type="gramStart"/>
            <w:r w:rsidRPr="00DA3BC4">
              <w:rPr>
                <w:sz w:val="24"/>
                <w:szCs w:val="24"/>
                <w:lang w:val="en-US" w:eastAsia="en-US"/>
              </w:rPr>
              <w:t>,2024</w:t>
            </w:r>
            <w:proofErr w:type="gramEnd"/>
            <w:r w:rsidRPr="00DA3BC4">
              <w:rPr>
                <w:sz w:val="24"/>
                <w:szCs w:val="24"/>
                <w:lang w:val="en-US" w:eastAsia="en-US"/>
              </w:rPr>
              <w:t>). If there are concerns but no immediate risk, a case planning meeting will be held to discuss concerns and next steps. </w:t>
            </w: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r w:rsidRPr="00DA3BC4">
              <w:rPr>
                <w:sz w:val="24"/>
                <w:szCs w:val="24"/>
                <w:lang w:val="en-US" w:eastAsia="en-US"/>
              </w:rPr>
              <w:t xml:space="preserve"> In either of these meetings, a multi-disciplinary approach will be used to discuss the risks while using the signs of safety model. According to </w:t>
            </w:r>
            <w:proofErr w:type="spellStart"/>
            <w:r w:rsidRPr="00DA3BC4">
              <w:rPr>
                <w:sz w:val="24"/>
                <w:szCs w:val="24"/>
                <w:lang w:val="en-US" w:eastAsia="en-US"/>
              </w:rPr>
              <w:t>Turnell</w:t>
            </w:r>
            <w:proofErr w:type="spellEnd"/>
            <w:r w:rsidRPr="00DA3BC4">
              <w:rPr>
                <w:sz w:val="24"/>
                <w:szCs w:val="24"/>
                <w:lang w:val="en-US" w:eastAsia="en-US"/>
              </w:rPr>
              <w:t xml:space="preserve"> (1997) the model is used to encourage professionals and families to work together and come up with an agreed plan. This model is an example of solution-focused practice, (Lee,2011) as it encourages families to record what is working well and what can be done to further safeguard the child. </w:t>
            </w: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r w:rsidRPr="00DA3BC4">
              <w:rPr>
                <w:sz w:val="24"/>
                <w:szCs w:val="24"/>
                <w:lang w:val="en-US" w:eastAsia="en-US"/>
              </w:rPr>
              <w:t>For the parent to positively contribute to the safety plan, It is important, that the parent receive the support they need to provide for their child, such as advice on parenting classes. This ensures that the parent’s rights are being upheld, and this links to National Occupational Standards (NOS) key role 3. </w:t>
            </w: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p>
          <w:p w:rsidR="00DA3BC4" w:rsidRPr="00DA3BC4" w:rsidRDefault="00DA3BC4" w:rsidP="00DA3BC4">
            <w:pPr>
              <w:overflowPunct/>
              <w:autoSpaceDE/>
              <w:autoSpaceDN/>
              <w:adjustRightInd/>
              <w:spacing w:line="360" w:lineRule="auto"/>
              <w:jc w:val="both"/>
              <w:textAlignment w:val="auto"/>
              <w:rPr>
                <w:color w:val="auto"/>
                <w:sz w:val="24"/>
                <w:szCs w:val="24"/>
                <w:lang w:val="en-US" w:eastAsia="en-US"/>
              </w:rPr>
            </w:pPr>
            <w:r w:rsidRPr="00DA3BC4">
              <w:rPr>
                <w:sz w:val="24"/>
                <w:szCs w:val="24"/>
                <w:lang w:val="en-US" w:eastAsia="en-US"/>
              </w:rPr>
              <w:t>The safeguarding plan will be reviewed as often as needed to ensure the agreed outcomes are met and if not, what can be done to ensure they are. A decision will be made on whether the child should be placed on the child protection register, ‘child in need’ or all outcomes are met and the risk of harm has significantly reduced.</w:t>
            </w:r>
          </w:p>
          <w:p w:rsidR="00DA3BC4" w:rsidRDefault="00DA3BC4" w:rsidP="00FF7EBB">
            <w:pPr>
              <w:jc w:val="both"/>
              <w:rPr>
                <w:sz w:val="24"/>
                <w:szCs w:val="24"/>
              </w:rPr>
            </w:pPr>
          </w:p>
          <w:p w:rsidR="00DA3BC4" w:rsidRDefault="00DA3BC4" w:rsidP="00FF7EBB">
            <w:pPr>
              <w:jc w:val="both"/>
              <w:rPr>
                <w:sz w:val="24"/>
                <w:szCs w:val="24"/>
              </w:rPr>
            </w:pPr>
          </w:p>
          <w:p w:rsidR="00DA3BC4" w:rsidRDefault="00DA3BC4" w:rsidP="00FF7EBB">
            <w:pPr>
              <w:jc w:val="both"/>
              <w:rPr>
                <w:sz w:val="24"/>
                <w:szCs w:val="24"/>
              </w:rPr>
            </w:pPr>
          </w:p>
          <w:p w:rsidR="00DA3BC4" w:rsidRDefault="00DA3BC4" w:rsidP="00FF7EBB">
            <w:pPr>
              <w:jc w:val="both"/>
              <w:rPr>
                <w:sz w:val="24"/>
                <w:szCs w:val="24"/>
              </w:rPr>
            </w:pPr>
            <w:r>
              <w:rPr>
                <w:sz w:val="24"/>
                <w:szCs w:val="24"/>
              </w:rPr>
              <w:t>Word count - 529</w:t>
            </w:r>
          </w:p>
          <w:p w:rsidR="00DA3BC4" w:rsidRDefault="00DA3BC4" w:rsidP="00FF7EBB">
            <w:pPr>
              <w:jc w:val="both"/>
              <w:rPr>
                <w:sz w:val="24"/>
                <w:szCs w:val="24"/>
              </w:rPr>
            </w:pPr>
          </w:p>
          <w:p w:rsidR="00DA3BC4" w:rsidRDefault="00DA3BC4" w:rsidP="00FF7EBB">
            <w:pPr>
              <w:jc w:val="both"/>
              <w:rPr>
                <w:sz w:val="24"/>
                <w:szCs w:val="24"/>
              </w:rPr>
            </w:pPr>
          </w:p>
          <w:p w:rsidR="00DA3BC4" w:rsidRDefault="00DA3BC4" w:rsidP="00FF7EBB">
            <w:pPr>
              <w:jc w:val="both"/>
              <w:rPr>
                <w:sz w:val="24"/>
                <w:szCs w:val="24"/>
              </w:rPr>
            </w:pPr>
          </w:p>
          <w:p w:rsidR="00DA3BC4" w:rsidRDefault="00DA3BC4" w:rsidP="00FF7EBB">
            <w:pPr>
              <w:jc w:val="both"/>
              <w:rPr>
                <w:sz w:val="24"/>
                <w:szCs w:val="24"/>
              </w:rPr>
            </w:pPr>
          </w:p>
          <w:p w:rsidR="00DA3BC4" w:rsidRDefault="00DA3BC4" w:rsidP="00FF7EBB">
            <w:pPr>
              <w:jc w:val="both"/>
              <w:rPr>
                <w:sz w:val="24"/>
                <w:szCs w:val="24"/>
                <w:u w:val="single"/>
              </w:rPr>
            </w:pPr>
            <w:r w:rsidRPr="00DA3BC4">
              <w:rPr>
                <w:sz w:val="24"/>
                <w:szCs w:val="24"/>
                <w:u w:val="single"/>
              </w:rPr>
              <w:t>Reference List</w:t>
            </w:r>
          </w:p>
          <w:p w:rsidR="00DA3BC4" w:rsidRDefault="00DA3BC4" w:rsidP="00FF7EBB">
            <w:pPr>
              <w:jc w:val="both"/>
              <w:rPr>
                <w:sz w:val="24"/>
                <w:szCs w:val="24"/>
                <w:u w:val="single"/>
              </w:rPr>
            </w:pPr>
          </w:p>
          <w:p w:rsidR="00DA3BC4" w:rsidRDefault="00DA3BC4" w:rsidP="00DA3BC4">
            <w:pPr>
              <w:pStyle w:val="NormalWeb"/>
              <w:spacing w:before="0" w:beforeAutospacing="0" w:after="0" w:afterAutospacing="0"/>
            </w:pPr>
            <w:r>
              <w:rPr>
                <w:rFonts w:ascii="Arial" w:hAnsi="Arial" w:cs="Arial"/>
                <w:color w:val="222222"/>
                <w:shd w:val="clear" w:color="auto" w:fill="FFFFFF"/>
              </w:rPr>
              <w:t>Lee, M.Y., (2011)</w:t>
            </w:r>
            <w:proofErr w:type="gramStart"/>
            <w:r>
              <w:rPr>
                <w:rFonts w:ascii="Arial" w:hAnsi="Arial" w:cs="Arial"/>
                <w:color w:val="222222"/>
                <w:shd w:val="clear" w:color="auto" w:fill="FFFFFF"/>
              </w:rPr>
              <w:t>  Solution</w:t>
            </w:r>
            <w:proofErr w:type="gramEnd"/>
            <w:r>
              <w:rPr>
                <w:rFonts w:ascii="Arial" w:hAnsi="Arial" w:cs="Arial"/>
                <w:color w:val="222222"/>
                <w:shd w:val="clear" w:color="auto" w:fill="FFFFFF"/>
              </w:rPr>
              <w:t xml:space="preserve">-focused theory. </w:t>
            </w:r>
            <w:r>
              <w:rPr>
                <w:rFonts w:ascii="Arial" w:hAnsi="Arial" w:cs="Arial"/>
                <w:i/>
                <w:iCs/>
                <w:color w:val="222222"/>
                <w:shd w:val="clear" w:color="auto" w:fill="FFFFFF"/>
              </w:rPr>
              <w:t>Social work treatment: Interlocking theoretical approaches</w:t>
            </w:r>
            <w:r>
              <w:rPr>
                <w:rFonts w:ascii="Arial" w:hAnsi="Arial" w:cs="Arial"/>
                <w:color w:val="222222"/>
                <w:shd w:val="clear" w:color="auto" w:fill="FFFFFF"/>
              </w:rPr>
              <w:t>, pp.460-476.</w:t>
            </w:r>
          </w:p>
          <w:p w:rsidR="00DA3BC4" w:rsidRDefault="00DA3BC4" w:rsidP="00DA3BC4"/>
          <w:p w:rsidR="00DA3BC4" w:rsidRDefault="00DA3BC4" w:rsidP="00DA3BC4">
            <w:pPr>
              <w:pStyle w:val="NormalWeb"/>
              <w:spacing w:before="0" w:beforeAutospacing="0" w:after="0" w:afterAutospacing="0"/>
            </w:pPr>
            <w:r>
              <w:rPr>
                <w:rFonts w:ascii="Arial" w:hAnsi="Arial" w:cs="Arial"/>
                <w:color w:val="000000"/>
              </w:rPr>
              <w:t xml:space="preserve">NSPCC. (2024)  History of Child protection in the UK. Available at: </w:t>
            </w:r>
            <w:hyperlink r:id="rId11" w:history="1">
              <w:r>
                <w:rPr>
                  <w:rStyle w:val="Hyperlink"/>
                  <w:rFonts w:ascii="Arial" w:hAnsi="Arial" w:cs="Arial"/>
                  <w:color w:val="1155CC"/>
                </w:rPr>
                <w:t>https://learning.nspcc.org.uk/child-protection-system/history-of-child-protection-in-the-uk</w:t>
              </w:r>
            </w:hyperlink>
            <w:r>
              <w:rPr>
                <w:rFonts w:ascii="Arial" w:hAnsi="Arial" w:cs="Arial"/>
                <w:color w:val="000000"/>
              </w:rPr>
              <w:t xml:space="preserve"> (Accessed: 10th of February 20240.</w:t>
            </w:r>
          </w:p>
          <w:p w:rsidR="00DA3BC4" w:rsidRDefault="00DA3BC4" w:rsidP="00DA3BC4"/>
          <w:p w:rsidR="00DA3BC4" w:rsidRDefault="00DA3BC4" w:rsidP="00DA3BC4">
            <w:pPr>
              <w:pStyle w:val="NormalWeb"/>
              <w:spacing w:before="0" w:beforeAutospacing="0" w:after="0" w:afterAutospacing="0"/>
            </w:pPr>
            <w:r>
              <w:rPr>
                <w:rFonts w:ascii="Arial" w:hAnsi="Arial" w:cs="Arial"/>
                <w:color w:val="000000"/>
              </w:rPr>
              <w:t xml:space="preserve">Social Care Wales. (2024)  Table of Amendments and Repeals. Available at: </w:t>
            </w:r>
            <w:hyperlink r:id="rId12" w:history="1">
              <w:r>
                <w:rPr>
                  <w:rStyle w:val="Hyperlink"/>
                  <w:rFonts w:ascii="Arial" w:hAnsi="Arial" w:cs="Arial"/>
                  <w:color w:val="1155CC"/>
                </w:rPr>
                <w:t>https://socialcare.wales/cms-assets/documents/hub-downloads/Table_of_Amendments_and_Repeals.pdf</w:t>
              </w:r>
            </w:hyperlink>
            <w:r>
              <w:rPr>
                <w:rFonts w:ascii="Arial" w:hAnsi="Arial" w:cs="Arial"/>
                <w:color w:val="000000"/>
              </w:rPr>
              <w:t xml:space="preserve">   (Accessed: 10th of February 2024).</w:t>
            </w:r>
          </w:p>
          <w:p w:rsidR="00DA3BC4" w:rsidRDefault="00DA3BC4" w:rsidP="00DA3BC4"/>
          <w:p w:rsidR="00DA3BC4" w:rsidRDefault="00DA3BC4" w:rsidP="00DA3BC4">
            <w:pPr>
              <w:pStyle w:val="NormalWeb"/>
              <w:spacing w:before="240" w:beforeAutospacing="0" w:after="240" w:afterAutospacing="0"/>
            </w:pPr>
            <w:r>
              <w:rPr>
                <w:rFonts w:ascii="Arial" w:hAnsi="Arial" w:cs="Arial"/>
                <w:color w:val="000000"/>
              </w:rPr>
              <w:t>Social Care Wales. (2011) National Occupational Standards for social work. Cardiff: Social Care Wales.</w:t>
            </w:r>
          </w:p>
          <w:p w:rsidR="00DA3BC4" w:rsidRDefault="00DA3BC4" w:rsidP="00DA3BC4">
            <w:pPr>
              <w:pStyle w:val="NormalWeb"/>
              <w:spacing w:before="240" w:beforeAutospacing="0" w:after="240" w:afterAutospacing="0"/>
            </w:pPr>
            <w:r>
              <w:rPr>
                <w:rFonts w:ascii="Arial" w:hAnsi="Arial" w:cs="Arial"/>
                <w:color w:val="000000"/>
              </w:rPr>
              <w:t xml:space="preserve">Social Care Wales. (2017)  </w:t>
            </w:r>
            <w:r>
              <w:rPr>
                <w:rFonts w:ascii="Arial" w:hAnsi="Arial" w:cs="Arial"/>
                <w:i/>
                <w:iCs/>
                <w:color w:val="000000"/>
              </w:rPr>
              <w:t>Code of professional practice for social care</w:t>
            </w:r>
            <w:r>
              <w:rPr>
                <w:rFonts w:ascii="Arial" w:hAnsi="Arial" w:cs="Arial"/>
                <w:color w:val="000000"/>
              </w:rPr>
              <w:t>. Cardiff: Social Care Wales </w:t>
            </w:r>
          </w:p>
          <w:p w:rsidR="00DA3BC4" w:rsidRDefault="00DA3BC4" w:rsidP="00DA3BC4">
            <w:pPr>
              <w:pStyle w:val="NormalWeb"/>
              <w:spacing w:before="240" w:beforeAutospacing="0" w:after="240" w:afterAutospacing="0"/>
            </w:pPr>
            <w:proofErr w:type="spellStart"/>
            <w:r>
              <w:rPr>
                <w:rFonts w:ascii="Arial" w:hAnsi="Arial" w:cs="Arial"/>
                <w:color w:val="000000"/>
                <w:shd w:val="clear" w:color="auto" w:fill="FFFFFF"/>
              </w:rPr>
              <w:t>Turnell</w:t>
            </w:r>
            <w:proofErr w:type="spellEnd"/>
            <w:r>
              <w:rPr>
                <w:rFonts w:ascii="Arial" w:hAnsi="Arial" w:cs="Arial"/>
                <w:color w:val="000000"/>
                <w:shd w:val="clear" w:color="auto" w:fill="FFFFFF"/>
              </w:rPr>
              <w:t xml:space="preserve">, A. and Edwards, S., (1997) Aspiring to Partnership. The Signs of Safety approach to child protection. </w:t>
            </w:r>
            <w:r>
              <w:rPr>
                <w:rFonts w:ascii="Arial" w:hAnsi="Arial" w:cs="Arial"/>
                <w:i/>
                <w:iCs/>
                <w:color w:val="000000"/>
                <w:shd w:val="clear" w:color="auto" w:fill="FFFFFF"/>
              </w:rPr>
              <w:t>Child Abuse Review: Journal of the British Association for the Study and Prevention of Child Abuse and Neglect</w:t>
            </w:r>
            <w:r>
              <w:rPr>
                <w:rFonts w:ascii="Arial" w:hAnsi="Arial" w:cs="Arial"/>
                <w:color w:val="000000"/>
                <w:shd w:val="clear" w:color="auto" w:fill="FFFFFF"/>
              </w:rPr>
              <w:t xml:space="preserve">, </w:t>
            </w:r>
            <w:r>
              <w:rPr>
                <w:rFonts w:ascii="Arial" w:hAnsi="Arial" w:cs="Arial"/>
                <w:i/>
                <w:iCs/>
                <w:color w:val="000000"/>
                <w:shd w:val="clear" w:color="auto" w:fill="FFFFFF"/>
              </w:rPr>
              <w:t>6</w:t>
            </w:r>
            <w:r>
              <w:rPr>
                <w:rFonts w:ascii="Arial" w:hAnsi="Arial" w:cs="Arial"/>
                <w:color w:val="000000"/>
                <w:shd w:val="clear" w:color="auto" w:fill="FFFFFF"/>
              </w:rPr>
              <w:t>(3), pp.179-190.</w:t>
            </w:r>
            <w:r>
              <w:rPr>
                <w:rFonts w:ascii="Arial" w:hAnsi="Arial" w:cs="Arial"/>
                <w:color w:val="222222"/>
                <w:shd w:val="clear" w:color="auto" w:fill="FFFFFF"/>
              </w:rPr>
              <w:t> </w:t>
            </w:r>
          </w:p>
          <w:p w:rsidR="00DA3BC4" w:rsidRDefault="00DA3BC4" w:rsidP="00DA3BC4">
            <w:pPr>
              <w:pStyle w:val="NormalWeb"/>
              <w:spacing w:before="240" w:beforeAutospacing="0" w:after="240" w:afterAutospacing="0"/>
            </w:pPr>
            <w:r>
              <w:rPr>
                <w:rFonts w:ascii="Arial" w:hAnsi="Arial" w:cs="Arial"/>
                <w:color w:val="000000"/>
              </w:rPr>
              <w:t xml:space="preserve">Wales Safeguarding procedures. (2024) The initial child protection conference. Available at: </w:t>
            </w:r>
            <w:hyperlink r:id="rId13" w:history="1">
              <w:r>
                <w:rPr>
                  <w:rStyle w:val="Hyperlink"/>
                  <w:rFonts w:ascii="Arial" w:hAnsi="Arial" w:cs="Arial"/>
                  <w:color w:val="1155CC"/>
                </w:rPr>
                <w:t>https://www.safeguarding.wales/en/chi-i/chi-i-c3pt2/c3pt2-p4/</w:t>
              </w:r>
            </w:hyperlink>
            <w:r>
              <w:rPr>
                <w:rFonts w:ascii="Arial" w:hAnsi="Arial" w:cs="Arial"/>
                <w:color w:val="000000"/>
              </w:rPr>
              <w:t xml:space="preserve"> (Accessed: 10th of February 2024).</w:t>
            </w:r>
          </w:p>
          <w:p w:rsidR="00DA3BC4" w:rsidRDefault="00DA3BC4" w:rsidP="00DA3BC4">
            <w:pPr>
              <w:pStyle w:val="NormalWeb"/>
              <w:spacing w:before="240" w:beforeAutospacing="0" w:after="240" w:afterAutospacing="0"/>
            </w:pPr>
            <w:r>
              <w:rPr>
                <w:rFonts w:ascii="Arial" w:hAnsi="Arial" w:cs="Arial"/>
                <w:color w:val="000000"/>
              </w:rPr>
              <w:t xml:space="preserve">Welsh Assembly Government. (2022) Social Services and Well-being (Wales) Act 2014: Working Together to Safeguard People: Code of Safeguarding Practice. </w:t>
            </w:r>
            <w:hyperlink r:id="rId14" w:history="1">
              <w:r>
                <w:rPr>
                  <w:rStyle w:val="Hyperlink"/>
                  <w:rFonts w:ascii="Arial" w:hAnsi="Arial" w:cs="Arial"/>
                  <w:color w:val="1155CC"/>
                </w:rPr>
                <w:t>https://www.gov.wales/sites/default/files/publications/2022-01/working-together-to-safeguard-people--code-of-safeguarding-practice_0.pdf</w:t>
              </w:r>
            </w:hyperlink>
            <w:r>
              <w:rPr>
                <w:rFonts w:ascii="Arial" w:hAnsi="Arial" w:cs="Arial"/>
                <w:color w:val="000000"/>
              </w:rPr>
              <w:t xml:space="preserve"> (Accessed: 10th of February 2024).</w:t>
            </w:r>
          </w:p>
          <w:p w:rsidR="00DA3BC4" w:rsidRPr="00DA3BC4" w:rsidRDefault="00DA3BC4" w:rsidP="00FF7EBB">
            <w:pPr>
              <w:jc w:val="both"/>
              <w:rPr>
                <w:sz w:val="24"/>
                <w:szCs w:val="24"/>
              </w:rPr>
            </w:pPr>
          </w:p>
          <w:p w:rsidR="007A628F" w:rsidRPr="008B28E7" w:rsidRDefault="007A628F" w:rsidP="00FF7EBB">
            <w:pPr>
              <w:jc w:val="both"/>
              <w:rPr>
                <w:b/>
                <w:sz w:val="24"/>
                <w:szCs w:val="24"/>
              </w:rPr>
            </w:pP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96"/>
      </w:tblGrid>
      <w:tr w:rsidR="00FC0334" w:rsidRPr="008B28E7" w:rsidTr="00FC0334">
        <w:tc>
          <w:tcPr>
            <w:tcW w:w="10278" w:type="dxa"/>
            <w:shd w:val="clear" w:color="auto" w:fill="auto"/>
          </w:tcPr>
          <w:p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rsidR="00FC0334" w:rsidRDefault="00FC0334" w:rsidP="00FC0334">
            <w:pPr>
              <w:jc w:val="both"/>
              <w:rPr>
                <w:sz w:val="24"/>
                <w:szCs w:val="24"/>
              </w:rPr>
            </w:pPr>
          </w:p>
          <w:p w:rsidR="00D21E6F" w:rsidRDefault="00D21E6F" w:rsidP="00FC0334">
            <w:pPr>
              <w:jc w:val="both"/>
              <w:rPr>
                <w:sz w:val="24"/>
                <w:szCs w:val="24"/>
              </w:rPr>
            </w:pPr>
          </w:p>
          <w:p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rsidR="00FC0334" w:rsidRDefault="00FC0334" w:rsidP="00FC0334">
            <w:pPr>
              <w:jc w:val="both"/>
              <w:rPr>
                <w:sz w:val="24"/>
                <w:szCs w:val="24"/>
              </w:rPr>
            </w:pPr>
          </w:p>
          <w:p w:rsidR="00D21E6F" w:rsidRDefault="00D21E6F" w:rsidP="00FC0334">
            <w:pPr>
              <w:jc w:val="both"/>
              <w:rPr>
                <w:sz w:val="24"/>
                <w:szCs w:val="24"/>
              </w:rPr>
            </w:pPr>
          </w:p>
          <w:p w:rsidR="00D21E6F" w:rsidRDefault="00D21E6F" w:rsidP="00FC0334">
            <w:pPr>
              <w:jc w:val="both"/>
              <w:rPr>
                <w:sz w:val="24"/>
                <w:szCs w:val="24"/>
              </w:rPr>
            </w:pPr>
          </w:p>
          <w:p w:rsidR="00D21E6F" w:rsidRDefault="00D21E6F" w:rsidP="00FC0334">
            <w:pPr>
              <w:jc w:val="both"/>
              <w:rPr>
                <w:sz w:val="24"/>
                <w:szCs w:val="24"/>
              </w:rPr>
            </w:pPr>
          </w:p>
          <w:p w:rsidR="00D21E6F" w:rsidRPr="00D21E6F" w:rsidRDefault="00D21E6F" w:rsidP="00D21E6F">
            <w:pPr>
              <w:spacing w:line="360" w:lineRule="auto"/>
              <w:jc w:val="both"/>
              <w:rPr>
                <w:color w:val="auto"/>
                <w:sz w:val="24"/>
                <w:szCs w:val="24"/>
              </w:rPr>
            </w:pPr>
          </w:p>
          <w:p w:rsidR="00D21E6F" w:rsidRPr="00D21E6F" w:rsidRDefault="00D21E6F" w:rsidP="00D21E6F">
            <w:pPr>
              <w:overflowPunct/>
              <w:autoSpaceDE/>
              <w:autoSpaceDN/>
              <w:adjustRightInd/>
              <w:spacing w:line="360" w:lineRule="auto"/>
              <w:jc w:val="both"/>
              <w:textAlignment w:val="auto"/>
              <w:rPr>
                <w:color w:val="auto"/>
                <w:sz w:val="24"/>
                <w:szCs w:val="24"/>
                <w:lang w:val="en-US" w:eastAsia="en-US"/>
              </w:rPr>
            </w:pPr>
            <w:r w:rsidRPr="00D21E6F">
              <w:rPr>
                <w:color w:val="auto"/>
                <w:sz w:val="24"/>
                <w:szCs w:val="24"/>
                <w:lang w:val="en-US" w:eastAsia="en-US"/>
              </w:rPr>
              <w:t xml:space="preserve">There are several key differences between adult and child safeguarding. However, two key themes that differentiate are capacity and ability to consent. This is woven throughout several legislations and Acts. If adults are assessed as having capacity, under the Mental Capacity Act (2015) they are allowed to make a decision that is not recommended, Such as refusing treatment or care and support. However, if a child under 16 wants to make an unwise decision, their parents and professionals must step in and protect the child.  Considering whether </w:t>
            </w:r>
            <w:proofErr w:type="spellStart"/>
            <w:r w:rsidRPr="00D21E6F">
              <w:rPr>
                <w:color w:val="auto"/>
                <w:sz w:val="24"/>
                <w:szCs w:val="24"/>
                <w:lang w:val="en-US" w:eastAsia="en-US"/>
              </w:rPr>
              <w:t>Gillick</w:t>
            </w:r>
            <w:proofErr w:type="spellEnd"/>
            <w:r w:rsidRPr="00D21E6F">
              <w:rPr>
                <w:color w:val="auto"/>
                <w:sz w:val="24"/>
                <w:szCs w:val="24"/>
                <w:lang w:val="en-US" w:eastAsia="en-US"/>
              </w:rPr>
              <w:t xml:space="preserve"> Competence is suitable to determine whether they can make their own decision, this links to Article 5 of the UNCRC (Unicef</w:t>
            </w:r>
            <w:proofErr w:type="gramStart"/>
            <w:r w:rsidRPr="00D21E6F">
              <w:rPr>
                <w:color w:val="auto"/>
                <w:sz w:val="24"/>
                <w:szCs w:val="24"/>
                <w:lang w:val="en-US" w:eastAsia="en-US"/>
              </w:rPr>
              <w:t>,2024</w:t>
            </w:r>
            <w:proofErr w:type="gramEnd"/>
            <w:r w:rsidRPr="00D21E6F">
              <w:rPr>
                <w:color w:val="auto"/>
                <w:sz w:val="24"/>
                <w:szCs w:val="24"/>
                <w:lang w:val="en-US" w:eastAsia="en-US"/>
              </w:rPr>
              <w:t>).</w:t>
            </w:r>
          </w:p>
          <w:p w:rsidR="00D21E6F" w:rsidRPr="00D21E6F" w:rsidRDefault="00D21E6F" w:rsidP="00D21E6F">
            <w:pPr>
              <w:overflowPunct/>
              <w:autoSpaceDE/>
              <w:autoSpaceDN/>
              <w:adjustRightInd/>
              <w:spacing w:line="360" w:lineRule="auto"/>
              <w:jc w:val="both"/>
              <w:textAlignment w:val="auto"/>
              <w:rPr>
                <w:color w:val="auto"/>
                <w:sz w:val="24"/>
                <w:szCs w:val="24"/>
                <w:lang w:val="en-US" w:eastAsia="en-US"/>
              </w:rPr>
            </w:pPr>
          </w:p>
          <w:p w:rsidR="00D21E6F" w:rsidRPr="00D21E6F" w:rsidRDefault="00D21E6F" w:rsidP="00D21E6F">
            <w:pPr>
              <w:overflowPunct/>
              <w:autoSpaceDE/>
              <w:autoSpaceDN/>
              <w:adjustRightInd/>
              <w:spacing w:line="360" w:lineRule="auto"/>
              <w:jc w:val="both"/>
              <w:textAlignment w:val="auto"/>
              <w:rPr>
                <w:color w:val="auto"/>
                <w:sz w:val="24"/>
                <w:szCs w:val="24"/>
                <w:lang w:val="en-US" w:eastAsia="en-US"/>
              </w:rPr>
            </w:pPr>
            <w:r w:rsidRPr="00D21E6F">
              <w:rPr>
                <w:color w:val="auto"/>
                <w:sz w:val="24"/>
                <w:szCs w:val="24"/>
                <w:lang w:val="en-US" w:eastAsia="en-US"/>
              </w:rPr>
              <w:t xml:space="preserve">According to Griffith (2016), the factors they consider when carrying out the assessment are the child’s level of maturity, and their life experiences e.g. trauma that may impact their ability to make a capacitated decision. They also assess whether the child understands the risks and consequences. If the result is the child is not able to make the decision, the appropriate adult or professional must decide on their behalf, </w:t>
            </w:r>
            <w:proofErr w:type="spellStart"/>
            <w:r w:rsidRPr="00D21E6F">
              <w:rPr>
                <w:color w:val="auto"/>
                <w:sz w:val="24"/>
                <w:szCs w:val="24"/>
                <w:lang w:val="en-US" w:eastAsia="en-US"/>
              </w:rPr>
              <w:t>prioritising</w:t>
            </w:r>
            <w:proofErr w:type="spellEnd"/>
            <w:r w:rsidRPr="00D21E6F">
              <w:rPr>
                <w:color w:val="auto"/>
                <w:sz w:val="24"/>
                <w:szCs w:val="24"/>
                <w:lang w:val="en-US" w:eastAsia="en-US"/>
              </w:rPr>
              <w:t xml:space="preserve"> the child’s right to be safe UNCRC Article 19 (Unicef,2024)  while considering their wishes UNCRC Article 12 (Unicef,2024).</w:t>
            </w:r>
          </w:p>
          <w:p w:rsidR="00D21E6F" w:rsidRPr="00D21E6F" w:rsidRDefault="00D21E6F" w:rsidP="00D21E6F">
            <w:pPr>
              <w:overflowPunct/>
              <w:autoSpaceDE/>
              <w:autoSpaceDN/>
              <w:adjustRightInd/>
              <w:spacing w:line="360" w:lineRule="auto"/>
              <w:jc w:val="both"/>
              <w:textAlignment w:val="auto"/>
              <w:rPr>
                <w:color w:val="auto"/>
                <w:sz w:val="24"/>
                <w:szCs w:val="24"/>
                <w:lang w:val="en-US" w:eastAsia="en-US"/>
              </w:rPr>
            </w:pPr>
          </w:p>
          <w:p w:rsidR="00D21E6F" w:rsidRPr="00D21E6F" w:rsidRDefault="00D21E6F" w:rsidP="00D21E6F">
            <w:pPr>
              <w:overflowPunct/>
              <w:autoSpaceDE/>
              <w:autoSpaceDN/>
              <w:adjustRightInd/>
              <w:spacing w:line="360" w:lineRule="auto"/>
              <w:jc w:val="both"/>
              <w:textAlignment w:val="auto"/>
              <w:rPr>
                <w:color w:val="auto"/>
                <w:sz w:val="24"/>
                <w:szCs w:val="24"/>
                <w:lang w:val="en-US" w:eastAsia="en-US"/>
              </w:rPr>
            </w:pPr>
            <w:r w:rsidRPr="00D21E6F">
              <w:rPr>
                <w:color w:val="auto"/>
                <w:sz w:val="24"/>
                <w:szCs w:val="24"/>
                <w:lang w:val="en-US" w:eastAsia="en-US"/>
              </w:rPr>
              <w:t xml:space="preserve">According to World Health Organization (2024) the common age range that girls are abused through Female Genital Mutilation (FGM) is under 15. Under no circumstances, children can consent to FGM and any other abuse, such as forced marriage, trafficking or any sexual relations. If a child was subject to FGM, Section 47 of the Children Act 1989 would be triggered and the Serious Crime Act 2015 would be implemented for the child’s safety. However, adults can consent to FGM and forced marriage, if they have capacity. It’s important that the adults have all the information on FGM and forced marriage, so they can make an informed decision. The complexities of abuse suggest that even if an adult consents to these acts, it does not mean this is their wish, they could have been coerced into it, which is now </w:t>
            </w:r>
            <w:proofErr w:type="spellStart"/>
            <w:r w:rsidRPr="00D21E6F">
              <w:rPr>
                <w:color w:val="auto"/>
                <w:sz w:val="24"/>
                <w:szCs w:val="24"/>
                <w:lang w:val="en-US" w:eastAsia="en-US"/>
              </w:rPr>
              <w:t>recognised</w:t>
            </w:r>
            <w:proofErr w:type="spellEnd"/>
            <w:r w:rsidRPr="00D21E6F">
              <w:rPr>
                <w:color w:val="auto"/>
                <w:sz w:val="24"/>
                <w:szCs w:val="24"/>
                <w:lang w:val="en-US" w:eastAsia="en-US"/>
              </w:rPr>
              <w:t xml:space="preserve"> as abuse and upheld in the Wales Safeguarding Procedures (2024).</w:t>
            </w:r>
          </w:p>
          <w:p w:rsidR="00D21E6F" w:rsidRPr="00D21E6F" w:rsidRDefault="00D21E6F" w:rsidP="00D21E6F">
            <w:pPr>
              <w:overflowPunct/>
              <w:autoSpaceDE/>
              <w:autoSpaceDN/>
              <w:adjustRightInd/>
              <w:spacing w:line="360" w:lineRule="auto"/>
              <w:jc w:val="both"/>
              <w:textAlignment w:val="auto"/>
              <w:rPr>
                <w:color w:val="auto"/>
                <w:sz w:val="24"/>
                <w:szCs w:val="24"/>
                <w:lang w:val="en-US" w:eastAsia="en-US"/>
              </w:rPr>
            </w:pPr>
          </w:p>
          <w:p w:rsidR="00D21E6F" w:rsidRDefault="00D21E6F" w:rsidP="00D21E6F">
            <w:pPr>
              <w:overflowPunct/>
              <w:autoSpaceDE/>
              <w:autoSpaceDN/>
              <w:adjustRightInd/>
              <w:spacing w:line="360" w:lineRule="auto"/>
              <w:jc w:val="both"/>
              <w:textAlignment w:val="auto"/>
              <w:rPr>
                <w:color w:val="auto"/>
                <w:sz w:val="24"/>
                <w:szCs w:val="24"/>
                <w:lang w:val="en-US" w:eastAsia="en-US"/>
              </w:rPr>
            </w:pPr>
            <w:r w:rsidRPr="00D21E6F">
              <w:rPr>
                <w:color w:val="auto"/>
                <w:sz w:val="24"/>
                <w:szCs w:val="24"/>
                <w:lang w:val="en-US" w:eastAsia="en-US"/>
              </w:rPr>
              <w:lastRenderedPageBreak/>
              <w:t>The Social Services and Wellbeing Wales Act (2014) Part 7 explains there are separate procedures for when there is concern for abuse. According to Wales Safeguarding Procedures (2024), the practitioner must gain the adult’s consent before reporting ‘wherever possible’, however with a child, the practitioner must report the abuse and if suitable, report to the child’s parents. The practitioner's professional judgment should be used to determine whether this is suitable.</w:t>
            </w:r>
          </w:p>
          <w:p w:rsidR="00851EBE" w:rsidRDefault="00851EBE" w:rsidP="00D21E6F">
            <w:pPr>
              <w:overflowPunct/>
              <w:autoSpaceDE/>
              <w:autoSpaceDN/>
              <w:adjustRightInd/>
              <w:spacing w:line="360" w:lineRule="auto"/>
              <w:jc w:val="both"/>
              <w:textAlignment w:val="auto"/>
              <w:rPr>
                <w:color w:val="auto"/>
                <w:sz w:val="24"/>
                <w:szCs w:val="24"/>
                <w:lang w:val="en-US" w:eastAsia="en-US"/>
              </w:rPr>
            </w:pPr>
          </w:p>
          <w:p w:rsidR="00851EBE" w:rsidRDefault="00851EBE" w:rsidP="00D21E6F">
            <w:pPr>
              <w:overflowPunct/>
              <w:autoSpaceDE/>
              <w:autoSpaceDN/>
              <w:adjustRightInd/>
              <w:spacing w:line="360" w:lineRule="auto"/>
              <w:jc w:val="both"/>
              <w:textAlignment w:val="auto"/>
              <w:rPr>
                <w:color w:val="auto"/>
                <w:sz w:val="24"/>
                <w:szCs w:val="24"/>
                <w:lang w:val="en-US" w:eastAsia="en-US"/>
              </w:rPr>
            </w:pPr>
            <w:r>
              <w:rPr>
                <w:color w:val="auto"/>
                <w:sz w:val="24"/>
                <w:szCs w:val="24"/>
                <w:lang w:val="en-US" w:eastAsia="en-US"/>
              </w:rPr>
              <w:t>Word count - 417</w:t>
            </w:r>
          </w:p>
          <w:p w:rsidR="00851EBE" w:rsidRPr="00D21E6F" w:rsidRDefault="00851EBE" w:rsidP="00D21E6F">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D21E6F" w:rsidRPr="00D21E6F" w:rsidRDefault="00D21E6F" w:rsidP="00FC0334">
            <w:pPr>
              <w:jc w:val="both"/>
              <w:rPr>
                <w:sz w:val="24"/>
                <w:szCs w:val="24"/>
                <w:u w:val="single"/>
              </w:rPr>
            </w:pPr>
            <w:r w:rsidRPr="00D21E6F">
              <w:rPr>
                <w:sz w:val="24"/>
                <w:szCs w:val="24"/>
                <w:u w:val="single"/>
              </w:rPr>
              <w:t>Reference List</w:t>
            </w:r>
          </w:p>
          <w:p w:rsidR="00D21E6F" w:rsidRDefault="00D21E6F" w:rsidP="00FC0334">
            <w:pPr>
              <w:jc w:val="both"/>
              <w:rPr>
                <w:sz w:val="24"/>
                <w:szCs w:val="24"/>
              </w:rPr>
            </w:pPr>
          </w:p>
          <w:p w:rsidR="00D21E6F" w:rsidRDefault="00D21E6F" w:rsidP="00FC0334">
            <w:pPr>
              <w:jc w:val="both"/>
              <w:rPr>
                <w:sz w:val="24"/>
                <w:szCs w:val="24"/>
              </w:rPr>
            </w:pPr>
          </w:p>
          <w:p w:rsidR="00D21E6F" w:rsidRPr="00D21E6F" w:rsidRDefault="00D21E6F" w:rsidP="00D21E6F">
            <w:pPr>
              <w:pStyle w:val="NormalWeb"/>
              <w:spacing w:before="0" w:beforeAutospacing="0" w:after="0" w:afterAutospacing="0"/>
            </w:pPr>
            <w:r w:rsidRPr="00D21E6F">
              <w:rPr>
                <w:rFonts w:ascii="Arial" w:hAnsi="Arial" w:cs="Arial"/>
                <w:color w:val="000000"/>
              </w:rPr>
              <w:t xml:space="preserve">Departments for Constitutional affairs. (2007)  </w:t>
            </w:r>
            <w:r w:rsidRPr="00D21E6F">
              <w:rPr>
                <w:rFonts w:ascii="Arial" w:hAnsi="Arial" w:cs="Arial"/>
                <w:i/>
                <w:iCs/>
                <w:color w:val="000000"/>
              </w:rPr>
              <w:t>Mental Capacity Act 2005: Code of professional practice.</w:t>
            </w:r>
            <w:r w:rsidRPr="00D21E6F">
              <w:rPr>
                <w:rFonts w:ascii="Arial" w:hAnsi="Arial" w:cs="Arial"/>
                <w:color w:val="000000"/>
              </w:rPr>
              <w:t xml:space="preserve"> London: The stationary office.</w:t>
            </w:r>
          </w:p>
          <w:p w:rsidR="00D21E6F" w:rsidRPr="00D21E6F" w:rsidRDefault="00D21E6F" w:rsidP="00D21E6F">
            <w:pPr>
              <w:spacing w:after="240"/>
              <w:rPr>
                <w:sz w:val="24"/>
                <w:szCs w:val="24"/>
              </w:rPr>
            </w:pPr>
          </w:p>
          <w:p w:rsidR="00D21E6F" w:rsidRPr="00D21E6F" w:rsidRDefault="00D21E6F" w:rsidP="00D21E6F">
            <w:pPr>
              <w:pStyle w:val="NormalWeb"/>
              <w:spacing w:before="0" w:beforeAutospacing="0" w:after="0" w:afterAutospacing="0"/>
            </w:pPr>
            <w:r w:rsidRPr="00D21E6F">
              <w:rPr>
                <w:rFonts w:ascii="Arial" w:hAnsi="Arial" w:cs="Arial"/>
                <w:color w:val="222222"/>
                <w:shd w:val="clear" w:color="auto" w:fill="FFFFFF"/>
              </w:rPr>
              <w:t xml:space="preserve">Griffith, R., 2016. What is </w:t>
            </w:r>
            <w:proofErr w:type="spellStart"/>
            <w:r w:rsidRPr="00D21E6F">
              <w:rPr>
                <w:rFonts w:ascii="Arial" w:hAnsi="Arial" w:cs="Arial"/>
                <w:color w:val="222222"/>
                <w:shd w:val="clear" w:color="auto" w:fill="FFFFFF"/>
              </w:rPr>
              <w:t>Gillick</w:t>
            </w:r>
            <w:proofErr w:type="spellEnd"/>
            <w:r w:rsidRPr="00D21E6F">
              <w:rPr>
                <w:rFonts w:ascii="Arial" w:hAnsi="Arial" w:cs="Arial"/>
                <w:color w:val="222222"/>
                <w:shd w:val="clear" w:color="auto" w:fill="FFFFFF"/>
              </w:rPr>
              <w:t xml:space="preserve"> competence</w:t>
            </w:r>
            <w:proofErr w:type="gramStart"/>
            <w:r w:rsidRPr="00D21E6F">
              <w:rPr>
                <w:rFonts w:ascii="Arial" w:hAnsi="Arial" w:cs="Arial"/>
                <w:color w:val="222222"/>
                <w:shd w:val="clear" w:color="auto" w:fill="FFFFFF"/>
              </w:rPr>
              <w:t>?.</w:t>
            </w:r>
            <w:proofErr w:type="gramEnd"/>
            <w:r w:rsidRPr="00D21E6F">
              <w:rPr>
                <w:rFonts w:ascii="Arial" w:hAnsi="Arial" w:cs="Arial"/>
                <w:color w:val="222222"/>
                <w:shd w:val="clear" w:color="auto" w:fill="FFFFFF"/>
              </w:rPr>
              <w:t xml:space="preserve"> </w:t>
            </w:r>
            <w:r w:rsidRPr="00D21E6F">
              <w:rPr>
                <w:rFonts w:ascii="Arial" w:hAnsi="Arial" w:cs="Arial"/>
                <w:i/>
                <w:iCs/>
                <w:color w:val="222222"/>
                <w:shd w:val="clear" w:color="auto" w:fill="FFFFFF"/>
              </w:rPr>
              <w:t xml:space="preserve">Human vaccines &amp; </w:t>
            </w:r>
            <w:proofErr w:type="spellStart"/>
            <w:r w:rsidRPr="00D21E6F">
              <w:rPr>
                <w:rFonts w:ascii="Arial" w:hAnsi="Arial" w:cs="Arial"/>
                <w:i/>
                <w:iCs/>
                <w:color w:val="222222"/>
                <w:shd w:val="clear" w:color="auto" w:fill="FFFFFF"/>
              </w:rPr>
              <w:t>immunotherapeutics</w:t>
            </w:r>
            <w:proofErr w:type="spellEnd"/>
            <w:r w:rsidRPr="00D21E6F">
              <w:rPr>
                <w:rFonts w:ascii="Arial" w:hAnsi="Arial" w:cs="Arial"/>
                <w:color w:val="222222"/>
                <w:shd w:val="clear" w:color="auto" w:fill="FFFFFF"/>
              </w:rPr>
              <w:t xml:space="preserve">, </w:t>
            </w:r>
            <w:r w:rsidRPr="00D21E6F">
              <w:rPr>
                <w:rFonts w:ascii="Arial" w:hAnsi="Arial" w:cs="Arial"/>
                <w:i/>
                <w:iCs/>
                <w:color w:val="222222"/>
                <w:shd w:val="clear" w:color="auto" w:fill="FFFFFF"/>
              </w:rPr>
              <w:t>12</w:t>
            </w:r>
            <w:r w:rsidRPr="00D21E6F">
              <w:rPr>
                <w:rFonts w:ascii="Arial" w:hAnsi="Arial" w:cs="Arial"/>
                <w:color w:val="222222"/>
                <w:shd w:val="clear" w:color="auto" w:fill="FFFFFF"/>
              </w:rPr>
              <w:t>(1), pp.244-247.</w:t>
            </w:r>
          </w:p>
          <w:p w:rsidR="00D21E6F" w:rsidRPr="00D21E6F" w:rsidRDefault="00D21E6F" w:rsidP="00D21E6F">
            <w:pPr>
              <w:rPr>
                <w:sz w:val="24"/>
                <w:szCs w:val="24"/>
              </w:rPr>
            </w:pPr>
          </w:p>
          <w:p w:rsidR="00D21E6F" w:rsidRPr="00D21E6F" w:rsidRDefault="00D21E6F" w:rsidP="00D21E6F">
            <w:pPr>
              <w:pStyle w:val="NormalWeb"/>
              <w:spacing w:before="0" w:beforeAutospacing="0" w:after="0" w:afterAutospacing="0"/>
            </w:pPr>
            <w:proofErr w:type="spellStart"/>
            <w:r w:rsidRPr="00D21E6F">
              <w:rPr>
                <w:rFonts w:ascii="Arial" w:hAnsi="Arial" w:cs="Arial"/>
                <w:color w:val="222222"/>
                <w:shd w:val="clear" w:color="auto" w:fill="FFFFFF"/>
              </w:rPr>
              <w:t>Unicef</w:t>
            </w:r>
            <w:proofErr w:type="spellEnd"/>
            <w:r w:rsidRPr="00D21E6F">
              <w:rPr>
                <w:rFonts w:ascii="Arial" w:hAnsi="Arial" w:cs="Arial"/>
                <w:color w:val="222222"/>
                <w:shd w:val="clear" w:color="auto" w:fill="FFFFFF"/>
              </w:rPr>
              <w:t xml:space="preserve">. (2024). What is the UN Convention? Available at: </w:t>
            </w:r>
            <w:hyperlink r:id="rId15" w:history="1">
              <w:r w:rsidRPr="00D21E6F">
                <w:rPr>
                  <w:rStyle w:val="Hyperlink"/>
                  <w:rFonts w:ascii="Arial" w:hAnsi="Arial" w:cs="Arial"/>
                  <w:color w:val="1155CC"/>
                  <w:shd w:val="clear" w:color="auto" w:fill="FFFFFF"/>
                </w:rPr>
                <w:t>https://www.unicef.org.uk/wp-content/uploads/2019/10/UNCRC_summary-1_1.pdf</w:t>
              </w:r>
            </w:hyperlink>
            <w:r w:rsidRPr="00D21E6F">
              <w:rPr>
                <w:rFonts w:ascii="Arial" w:hAnsi="Arial" w:cs="Arial"/>
                <w:color w:val="222222"/>
                <w:shd w:val="clear" w:color="auto" w:fill="FFFFFF"/>
              </w:rPr>
              <w:t xml:space="preserve"> (Accessed: 5th of February 2024).</w:t>
            </w:r>
          </w:p>
          <w:p w:rsidR="00D21E6F" w:rsidRPr="00D21E6F" w:rsidRDefault="00D21E6F" w:rsidP="00D21E6F">
            <w:pPr>
              <w:rPr>
                <w:sz w:val="24"/>
                <w:szCs w:val="24"/>
              </w:rPr>
            </w:pPr>
          </w:p>
          <w:p w:rsidR="00D21E6F" w:rsidRPr="00D21E6F" w:rsidRDefault="00D21E6F" w:rsidP="00D21E6F">
            <w:pPr>
              <w:pStyle w:val="NormalWeb"/>
              <w:spacing w:before="240" w:beforeAutospacing="0" w:after="240" w:afterAutospacing="0"/>
            </w:pPr>
            <w:r w:rsidRPr="00D21E6F">
              <w:rPr>
                <w:rFonts w:ascii="Arial" w:hAnsi="Arial" w:cs="Arial"/>
                <w:color w:val="222222"/>
                <w:shd w:val="clear" w:color="auto" w:fill="FFFFFF"/>
              </w:rPr>
              <w:t>Wales Safeguarding Procedures. (2024) Seeking consent to a report</w:t>
            </w:r>
            <w:proofErr w:type="gramStart"/>
            <w:r w:rsidRPr="00D21E6F">
              <w:rPr>
                <w:rFonts w:ascii="Arial" w:hAnsi="Arial" w:cs="Arial"/>
                <w:color w:val="222222"/>
                <w:shd w:val="clear" w:color="auto" w:fill="FFFFFF"/>
              </w:rPr>
              <w:t>.</w:t>
            </w:r>
            <w:r w:rsidRPr="00D21E6F">
              <w:rPr>
                <w:rFonts w:ascii="Arial" w:hAnsi="Arial" w:cs="Arial"/>
                <w:color w:val="37394C"/>
                <w:shd w:val="clear" w:color="auto" w:fill="FFFFFF"/>
              </w:rPr>
              <w:t>.</w:t>
            </w:r>
            <w:proofErr w:type="gramEnd"/>
            <w:r w:rsidRPr="00D21E6F">
              <w:rPr>
                <w:rFonts w:ascii="Arial" w:hAnsi="Arial" w:cs="Arial"/>
                <w:color w:val="37394C"/>
                <w:shd w:val="clear" w:color="auto" w:fill="FFFFFF"/>
              </w:rPr>
              <w:t xml:space="preserve"> Available at: </w:t>
            </w:r>
            <w:hyperlink r:id="rId16" w:anchor=":~:text=The%20interests%20of%20the%20adult,from%20the%20adult%20where%20possible" w:history="1">
              <w:r w:rsidRPr="00D21E6F">
                <w:rPr>
                  <w:rStyle w:val="Hyperlink"/>
                  <w:rFonts w:ascii="Arial" w:hAnsi="Arial" w:cs="Arial"/>
                  <w:color w:val="1155CC"/>
                  <w:shd w:val="clear" w:color="auto" w:fill="FFFFFF"/>
                </w:rPr>
                <w:t>https://safeguarding.wales/en/adu-i/adu-i-a2/a2-p13/#:~:text=The%20interests%20of%20the%20adult,from%20the%20adult%20where%20possible</w:t>
              </w:r>
            </w:hyperlink>
            <w:r w:rsidRPr="00D21E6F">
              <w:rPr>
                <w:rFonts w:ascii="Arial" w:hAnsi="Arial" w:cs="Arial"/>
                <w:color w:val="37394C"/>
                <w:shd w:val="clear" w:color="auto" w:fill="FFFFFF"/>
              </w:rPr>
              <w:t>. (Accessed: 5th of February 2024).</w:t>
            </w:r>
          </w:p>
          <w:p w:rsidR="00D21E6F" w:rsidRPr="00D21E6F" w:rsidRDefault="00D21E6F" w:rsidP="00D21E6F">
            <w:pPr>
              <w:rPr>
                <w:sz w:val="24"/>
                <w:szCs w:val="24"/>
              </w:rPr>
            </w:pPr>
          </w:p>
          <w:p w:rsidR="00D21E6F" w:rsidRPr="00D21E6F" w:rsidRDefault="00D21E6F" w:rsidP="00D21E6F">
            <w:pPr>
              <w:pStyle w:val="NormalWeb"/>
              <w:spacing w:before="0" w:beforeAutospacing="0" w:after="0" w:afterAutospacing="0"/>
            </w:pPr>
            <w:r w:rsidRPr="00D21E6F">
              <w:rPr>
                <w:rFonts w:ascii="Arial" w:hAnsi="Arial" w:cs="Arial"/>
                <w:color w:val="222222"/>
                <w:shd w:val="clear" w:color="auto" w:fill="FFFFFF"/>
              </w:rPr>
              <w:t xml:space="preserve">World Health Organization. (2024). Female Genital Mutilation. Available at: </w:t>
            </w:r>
            <w:hyperlink r:id="rId17" w:anchor=":~:text=Overview,organs%20for%20non%2Dmedical%20reasons" w:history="1">
              <w:r w:rsidRPr="00D21E6F">
                <w:rPr>
                  <w:rStyle w:val="Hyperlink"/>
                  <w:rFonts w:ascii="Arial" w:hAnsi="Arial" w:cs="Arial"/>
                  <w:color w:val="1155CC"/>
                  <w:shd w:val="clear" w:color="auto" w:fill="FFFFFF"/>
                </w:rPr>
                <w:t>https://www.who.int/news-room/fact-sheets/detail/female-genital-mutilation#:~:text=Overview,organs%20for%20non%2Dmedical%20reasons</w:t>
              </w:r>
            </w:hyperlink>
            <w:r w:rsidRPr="00D21E6F">
              <w:rPr>
                <w:rFonts w:ascii="Arial" w:hAnsi="Arial" w:cs="Arial"/>
                <w:color w:val="222222"/>
                <w:shd w:val="clear" w:color="auto" w:fill="FFFFFF"/>
              </w:rPr>
              <w:t>.   (Accessed: 5th of February 2024). </w:t>
            </w:r>
          </w:p>
          <w:p w:rsidR="00D21E6F" w:rsidRPr="006108C9" w:rsidRDefault="00D21E6F" w:rsidP="00FC0334">
            <w:pPr>
              <w:jc w:val="both"/>
              <w:rPr>
                <w:sz w:val="24"/>
                <w:szCs w:val="24"/>
              </w:rPr>
            </w:pPr>
          </w:p>
        </w:tc>
      </w:tr>
    </w:tbl>
    <w:p w:rsidR="00FC0334" w:rsidRDefault="00FC0334" w:rsidP="00FC0334">
      <w:pPr>
        <w:rPr>
          <w:sz w:val="24"/>
          <w:szCs w:val="24"/>
        </w:rPr>
      </w:pPr>
    </w:p>
    <w:sectPr w:rsidR="00FC0334" w:rsidSect="00F15354">
      <w:headerReference w:type="default" r:id="rId18"/>
      <w:footerReference w:type="default" r:id="rId19"/>
      <w:pgSz w:w="12240" w:h="15840"/>
      <w:pgMar w:top="1440" w:right="1080" w:bottom="1440" w:left="108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268" w:rsidRDefault="00EC5268">
      <w:r>
        <w:separator/>
      </w:r>
    </w:p>
  </w:endnote>
  <w:endnote w:type="continuationSeparator" w:id="0">
    <w:p w:rsidR="00EC5268" w:rsidRDefault="00EC52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6A" w:rsidRDefault="00945789">
    <w:pPr>
      <w:pStyle w:val="Footer"/>
      <w:jc w:val="right"/>
    </w:pPr>
    <w:r>
      <w:fldChar w:fldCharType="begin"/>
    </w:r>
    <w:r w:rsidR="00A5656A">
      <w:instrText xml:space="preserve"> PAGE   \* MERGEFORMAT </w:instrText>
    </w:r>
    <w:r>
      <w:fldChar w:fldCharType="separate"/>
    </w:r>
    <w:r w:rsidR="00851EBE">
      <w:rPr>
        <w:noProof/>
      </w:rPr>
      <w:t>1</w:t>
    </w:r>
    <w:r>
      <w:rPr>
        <w:noProof/>
      </w:rPr>
      <w:fldChar w:fldCharType="end"/>
    </w:r>
  </w:p>
  <w:p w:rsidR="00A5656A" w:rsidRPr="00E60F42" w:rsidRDefault="00A5656A" w:rsidP="004C2D3A">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268" w:rsidRDefault="00EC5268">
      <w:r>
        <w:separator/>
      </w:r>
    </w:p>
  </w:footnote>
  <w:footnote w:type="continuationSeparator" w:id="0">
    <w:p w:rsidR="00EC5268" w:rsidRDefault="00EC52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6A" w:rsidRDefault="00A5656A">
    <w:pPr>
      <w:pStyle w:val="Header"/>
    </w:pPr>
    <w:r>
      <w:t xml:space="preserve">Version </w:t>
    </w:r>
    <w:r w:rsidR="00DC2924">
      <w:t>1_Cohort 15</w:t>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5842"/>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6751"/>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B5D"/>
    <w:rsid w:val="00841F9D"/>
    <w:rsid w:val="008420E1"/>
    <w:rsid w:val="00844D98"/>
    <w:rsid w:val="00846D84"/>
    <w:rsid w:val="00850233"/>
    <w:rsid w:val="00851EBE"/>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5789"/>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3BA2"/>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2827"/>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1E6F"/>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3BC4"/>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268"/>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rsid w:val="00837B5D"/>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837B5D"/>
    <w:pPr>
      <w:tabs>
        <w:tab w:val="center" w:pos="4320"/>
        <w:tab w:val="right" w:pos="8640"/>
      </w:tabs>
    </w:pPr>
  </w:style>
  <w:style w:type="paragraph" w:styleId="Footer">
    <w:name w:val="footer"/>
    <w:basedOn w:val="Normal"/>
    <w:link w:val="FooterChar"/>
    <w:uiPriority w:val="99"/>
    <w:rsid w:val="00837B5D"/>
    <w:pPr>
      <w:tabs>
        <w:tab w:val="center" w:pos="4320"/>
        <w:tab w:val="right" w:pos="8640"/>
      </w:tabs>
    </w:pPr>
    <w:rPr>
      <w:rFonts w:cs="Times New Roman"/>
    </w:rPr>
  </w:style>
  <w:style w:type="character" w:styleId="PageNumber">
    <w:name w:val="page number"/>
    <w:semiHidden/>
    <w:rsid w:val="00837B5D"/>
  </w:style>
  <w:style w:type="paragraph" w:styleId="BodyText">
    <w:name w:val="Body Text"/>
    <w:basedOn w:val="Normal"/>
    <w:semiHidden/>
    <w:rsid w:val="00837B5D"/>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D21E6F"/>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77085029">
      <w:bodyDiv w:val="1"/>
      <w:marLeft w:val="0"/>
      <w:marRight w:val="0"/>
      <w:marTop w:val="0"/>
      <w:marBottom w:val="0"/>
      <w:divBdr>
        <w:top w:val="none" w:sz="0" w:space="0" w:color="auto"/>
        <w:left w:val="none" w:sz="0" w:space="0" w:color="auto"/>
        <w:bottom w:val="none" w:sz="0" w:space="0" w:color="auto"/>
        <w:right w:val="none" w:sz="0" w:space="0" w:color="auto"/>
      </w:divBdr>
    </w:div>
    <w:div w:id="20784242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188103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328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feguarding.wales/en/chi-i/chi-i-c3pt2/c3pt2-p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socialcare.wales/cms-assets/documents/hub-downloads/Table_of_Amendments_and_Repeals.pdf" TargetMode="External"/><Relationship Id="rId17" Type="http://schemas.openxmlformats.org/officeDocument/2006/relationships/hyperlink" Target="https://www.who.int/news-room/fact-sheets/detail/female-genital-mutilation" TargetMode="External"/><Relationship Id="rId2" Type="http://schemas.openxmlformats.org/officeDocument/2006/relationships/customXml" Target="../customXml/item2.xml"/><Relationship Id="rId16" Type="http://schemas.openxmlformats.org/officeDocument/2006/relationships/hyperlink" Target="https://safeguarding.wales/en/adu-i/adu-i-a2/a2-p1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ing.nspcc.org.uk/child-protection-system/history-of-child-protection-in-the-uk" TargetMode="External"/><Relationship Id="rId5" Type="http://schemas.openxmlformats.org/officeDocument/2006/relationships/styles" Target="styles.xml"/><Relationship Id="rId15" Type="http://schemas.openxmlformats.org/officeDocument/2006/relationships/hyperlink" Target="https://www.unicef.org.uk/wp-content/uploads/2019/10/UNCRC_summary-1_1.pdf"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wales/sites/default/files/publications/2022-01/working-together-to-safeguard-people--code-of-safeguarding-practice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D654E008-27B0-47B2-90AE-D11B5EA6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Windows User</cp:lastModifiedBy>
  <cp:revision>4</cp:revision>
  <cp:lastPrinted>2020-02-11T19:20:00Z</cp:lastPrinted>
  <dcterms:created xsi:type="dcterms:W3CDTF">2024-02-09T16:08:00Z</dcterms:created>
  <dcterms:modified xsi:type="dcterms:W3CDTF">2024-02-14T09:58:00Z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