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6="http://schemas.microsoft.com/office/drawing/2014/main" xmlns:c="http://schemas.openxmlformats.org/drawingml/2006/chart" xmlns:a14="http://schemas.microsoft.com/office/drawing/2010/main" mc:Ignorable="w14 w15 w16se w16cid w16 w16cex w16sdtdh w16sdtfl w16du wp14">
  <w:body>
    <w:p w:rsidRPr="0044301B" w:rsidR="0044301B" w:rsidP="00EB62EF" w:rsidRDefault="0044301B" w14:paraId="1A45437B" w14:textId="50C91831">
      <w:pPr>
        <w:jc w:val="center"/>
        <w:rPr>
          <w:sz w:val="32"/>
          <w:szCs w:val="30"/>
        </w:rPr>
      </w:pPr>
      <w:r w:rsidRPr="0044301B">
        <w:rPr>
          <w:sz w:val="32"/>
          <w:szCs w:val="30"/>
        </w:rPr>
        <w:t xml:space="preserve">Module Name: </w:t>
      </w:r>
      <w:r w:rsidRPr="00EB62EF" w:rsidR="00EB62EF">
        <w:rPr>
          <w:sz w:val="32"/>
          <w:szCs w:val="30"/>
        </w:rPr>
        <w:t>Project Management</w:t>
      </w:r>
    </w:p>
    <w:p w:rsidR="0044301B" w:rsidP="00EB62EF" w:rsidRDefault="0044301B" w14:paraId="17F456D7" w14:textId="4C2BF2F3">
      <w:pPr>
        <w:jc w:val="center"/>
        <w:rPr>
          <w:sz w:val="32"/>
          <w:szCs w:val="30"/>
        </w:rPr>
      </w:pPr>
      <w:r w:rsidRPr="04C8B898" w:rsidR="0044301B">
        <w:rPr>
          <w:sz w:val="32"/>
          <w:szCs w:val="32"/>
        </w:rPr>
        <w:t xml:space="preserve">Module Code: </w:t>
      </w:r>
      <w:r w:rsidRPr="04C8B898" w:rsidR="00EB62EF">
        <w:rPr>
          <w:sz w:val="32"/>
          <w:szCs w:val="32"/>
        </w:rPr>
        <w:t>ACHA7025</w:t>
      </w:r>
    </w:p>
    <w:p w:rsidR="567AF0E9" w:rsidP="04C8B898" w:rsidRDefault="567AF0E9" w14:paraId="179A4D8E" w14:textId="05B9E444">
      <w:pPr>
        <w:jc w:val="center"/>
        <w:rPr>
          <w:sz w:val="32"/>
          <w:szCs w:val="32"/>
        </w:rPr>
      </w:pPr>
      <w:r w:rsidRPr="04C8B898" w:rsidR="567AF0E9">
        <w:rPr>
          <w:sz w:val="32"/>
          <w:szCs w:val="32"/>
        </w:rPr>
        <w:t>Submitted By,</w:t>
      </w:r>
    </w:p>
    <w:p w:rsidR="567AF0E9" w:rsidP="04C8B898" w:rsidRDefault="567AF0E9" w14:paraId="28AB9B38" w14:textId="45EFD002">
      <w:pPr>
        <w:jc w:val="center"/>
        <w:rPr>
          <w:sz w:val="32"/>
          <w:szCs w:val="32"/>
        </w:rPr>
      </w:pPr>
      <w:r w:rsidRPr="04C8B898" w:rsidR="567AF0E9">
        <w:rPr>
          <w:sz w:val="32"/>
          <w:szCs w:val="32"/>
        </w:rPr>
        <w:t>MD Tuhidul Islam Tuhin</w:t>
      </w:r>
    </w:p>
    <w:p w:rsidR="567AF0E9" w:rsidP="04C8B898" w:rsidRDefault="567AF0E9" w14:paraId="54235C72" w14:textId="2CE3BE6C">
      <w:pPr>
        <w:jc w:val="center"/>
        <w:rPr>
          <w:sz w:val="32"/>
          <w:szCs w:val="32"/>
        </w:rPr>
      </w:pPr>
      <w:r w:rsidRPr="04C8B898" w:rsidR="567AF0E9">
        <w:rPr>
          <w:sz w:val="32"/>
          <w:szCs w:val="32"/>
        </w:rPr>
        <w:t>ID:2425623</w:t>
      </w:r>
    </w:p>
    <w:p w:rsidR="567AF0E9" w:rsidP="04C8B898" w:rsidRDefault="567AF0E9" w14:paraId="65E30BA9" w14:textId="4C278453">
      <w:pPr>
        <w:jc w:val="center"/>
        <w:rPr>
          <w:sz w:val="32"/>
          <w:szCs w:val="32"/>
        </w:rPr>
      </w:pPr>
      <w:r w:rsidRPr="04C8B898" w:rsidR="567AF0E9">
        <w:rPr>
          <w:sz w:val="32"/>
          <w:szCs w:val="32"/>
        </w:rPr>
        <w:t>MSC INDUSTRIAL ENGINEERING</w:t>
      </w:r>
    </w:p>
    <w:p w:rsidR="04C8B898" w:rsidP="04C8B898" w:rsidRDefault="04C8B898" w14:paraId="7C4EBA78" w14:textId="1AFF301E">
      <w:pPr>
        <w:jc w:val="center"/>
        <w:rPr>
          <w:sz w:val="32"/>
          <w:szCs w:val="32"/>
        </w:rPr>
      </w:pPr>
    </w:p>
    <w:p w:rsidRPr="0044301B" w:rsidR="00EB62EF" w:rsidP="0044301B" w:rsidRDefault="00EB62EF" w14:paraId="60D3FDE8" w14:textId="77777777">
      <w:pPr>
        <w:rPr>
          <w:sz w:val="32"/>
          <w:szCs w:val="30"/>
        </w:rPr>
      </w:pPr>
    </w:p>
    <w:p w:rsidRPr="0044301B" w:rsidR="0044301B" w:rsidP="0044301B" w:rsidRDefault="0044301B" w14:paraId="3CC72243" w14:textId="5B3F4529">
      <w:pPr>
        <w:rPr>
          <w:sz w:val="32"/>
          <w:szCs w:val="30"/>
        </w:rPr>
      </w:pPr>
    </w:p>
    <w:p w:rsidRPr="0044301B" w:rsidR="001834FC" w:rsidRDefault="001834FC" w14:paraId="57E2CD9E" w14:textId="3B2959D1">
      <w:pPr>
        <w:rPr>
          <w:sz w:val="32"/>
          <w:szCs w:val="30"/>
        </w:rPr>
      </w:pPr>
    </w:p>
    <w:p w:rsidR="001834FC" w:rsidRDefault="001834FC" w14:paraId="3C67747A" w14:textId="77777777">
      <w:r>
        <w:br w:type="page"/>
      </w:r>
    </w:p>
    <w:sdt>
      <w:sdtPr>
        <w:id w:val="1042171579"/>
        <w:docPartObj>
          <w:docPartGallery w:val="Table of Contents"/>
          <w:docPartUnique/>
        </w:docPartObj>
        <w:rPr>
          <w:rFonts w:ascii="Times New Roman" w:hAnsi="Times New Roman" w:eastAsia="Calibri" w:cs="Vrinda" w:eastAsiaTheme="minorAscii" w:cstheme="minorBidi"/>
          <w:color w:val="000000" w:themeColor="text1"/>
          <w:sz w:val="24"/>
          <w:szCs w:val="24"/>
          <w:lang w:val="en-GB"/>
        </w:rPr>
      </w:sdtPr>
      <w:sdtEndPr>
        <w:rPr>
          <w:rFonts w:ascii="Times New Roman" w:hAnsi="Times New Roman" w:eastAsia="Calibri" w:cs="Vrinda" w:eastAsiaTheme="minorAscii" w:cstheme="minorBidi"/>
          <w:b w:val="1"/>
          <w:bCs w:val="1"/>
          <w:noProof/>
          <w:color w:val="000000" w:themeColor="text1" w:themeTint="FF" w:themeShade="FF"/>
          <w:sz w:val="24"/>
          <w:szCs w:val="24"/>
          <w:lang w:val="en-GB"/>
        </w:rPr>
      </w:sdtEndPr>
      <w:sdtContent>
        <w:p w:rsidR="001834FC" w:rsidRDefault="001834FC" w14:paraId="5358D54C" w14:textId="28855B5F">
          <w:pPr>
            <w:pStyle w:val="TOCHeading"/>
          </w:pPr>
          <w:r>
            <w:t>Table of Contents</w:t>
          </w:r>
        </w:p>
        <w:p w:rsidR="00F17377" w:rsidRDefault="001834FC" w14:paraId="42189E4F" w14:textId="127BBEE1">
          <w:pPr>
            <w:pStyle w:val="TOC1"/>
            <w:tabs>
              <w:tab w:val="right" w:leader="dot" w:pos="9016"/>
            </w:tabs>
            <w:rPr>
              <w:rFonts w:asciiTheme="minorHAnsi" w:hAnsiTheme="minorHAnsi" w:eastAsiaTheme="minorEastAsia"/>
              <w:noProof/>
              <w:color w:val="auto"/>
              <w:kern w:val="2"/>
              <w:szCs w:val="24"/>
              <w:lang w:eastAsia="en-GB"/>
              <w14:ligatures w14:val="standardContextual"/>
            </w:rPr>
          </w:pPr>
          <w:r>
            <w:rPr>
              <w:b/>
              <w:bCs/>
              <w:noProof/>
            </w:rPr>
            <w:fldChar w:fldCharType="begin"/>
          </w:r>
          <w:r>
            <w:rPr>
              <w:b/>
              <w:bCs/>
              <w:noProof/>
            </w:rPr>
            <w:instrText xml:space="preserve"> TOC \o "1-3" \h \z \u </w:instrText>
          </w:r>
          <w:r>
            <w:rPr>
              <w:b/>
              <w:bCs/>
              <w:noProof/>
            </w:rPr>
            <w:fldChar w:fldCharType="separate"/>
          </w:r>
          <w:hyperlink w:history="1" w:anchor="_Toc220506677">
            <w:r w:rsidRPr="00953E1F" w:rsidR="00F17377">
              <w:rPr>
                <w:rStyle w:val="Hyperlink"/>
                <w:noProof/>
              </w:rPr>
              <w:t>Introduction</w:t>
            </w:r>
            <w:r w:rsidR="00F17377">
              <w:rPr>
                <w:noProof/>
                <w:webHidden/>
              </w:rPr>
              <w:tab/>
            </w:r>
            <w:r w:rsidR="00F17377">
              <w:rPr>
                <w:noProof/>
                <w:webHidden/>
              </w:rPr>
              <w:fldChar w:fldCharType="begin"/>
            </w:r>
            <w:r w:rsidR="00F17377">
              <w:rPr>
                <w:noProof/>
                <w:webHidden/>
              </w:rPr>
              <w:instrText xml:space="preserve"> PAGEREF _Toc220506677 \h </w:instrText>
            </w:r>
            <w:r w:rsidR="00F17377">
              <w:rPr>
                <w:noProof/>
                <w:webHidden/>
              </w:rPr>
            </w:r>
            <w:r w:rsidR="00F17377">
              <w:rPr>
                <w:noProof/>
                <w:webHidden/>
              </w:rPr>
              <w:fldChar w:fldCharType="separate"/>
            </w:r>
            <w:r w:rsidR="00F17377">
              <w:rPr>
                <w:noProof/>
                <w:webHidden/>
              </w:rPr>
              <w:t>1</w:t>
            </w:r>
            <w:r w:rsidR="00F17377">
              <w:rPr>
                <w:noProof/>
                <w:webHidden/>
              </w:rPr>
              <w:fldChar w:fldCharType="end"/>
            </w:r>
          </w:hyperlink>
        </w:p>
        <w:p w:rsidR="00F17377" w:rsidRDefault="00F17377" w14:paraId="457E1CE8" w14:textId="7DA70F24">
          <w:pPr>
            <w:pStyle w:val="TOC1"/>
            <w:tabs>
              <w:tab w:val="right" w:leader="dot" w:pos="9016"/>
            </w:tabs>
            <w:rPr>
              <w:rFonts w:asciiTheme="minorHAnsi" w:hAnsiTheme="minorHAnsi" w:eastAsiaTheme="minorEastAsia"/>
              <w:noProof/>
              <w:color w:val="auto"/>
              <w:kern w:val="2"/>
              <w:szCs w:val="24"/>
              <w:lang w:eastAsia="en-GB"/>
              <w14:ligatures w14:val="standardContextual"/>
            </w:rPr>
          </w:pPr>
          <w:hyperlink w:history="1" w:anchor="_Toc220506678">
            <w:r w:rsidRPr="00953E1F">
              <w:rPr>
                <w:rStyle w:val="Hyperlink"/>
                <w:noProof/>
              </w:rPr>
              <w:t>Project Scope and Work Breakdown Overview</w:t>
            </w:r>
            <w:r>
              <w:rPr>
                <w:noProof/>
                <w:webHidden/>
              </w:rPr>
              <w:tab/>
            </w:r>
            <w:r>
              <w:rPr>
                <w:noProof/>
                <w:webHidden/>
              </w:rPr>
              <w:fldChar w:fldCharType="begin"/>
            </w:r>
            <w:r>
              <w:rPr>
                <w:noProof/>
                <w:webHidden/>
              </w:rPr>
              <w:instrText xml:space="preserve"> PAGEREF _Toc220506678 \h </w:instrText>
            </w:r>
            <w:r>
              <w:rPr>
                <w:noProof/>
                <w:webHidden/>
              </w:rPr>
            </w:r>
            <w:r>
              <w:rPr>
                <w:noProof/>
                <w:webHidden/>
              </w:rPr>
              <w:fldChar w:fldCharType="separate"/>
            </w:r>
            <w:r>
              <w:rPr>
                <w:noProof/>
                <w:webHidden/>
              </w:rPr>
              <w:t>1</w:t>
            </w:r>
            <w:r>
              <w:rPr>
                <w:noProof/>
                <w:webHidden/>
              </w:rPr>
              <w:fldChar w:fldCharType="end"/>
            </w:r>
          </w:hyperlink>
        </w:p>
        <w:p w:rsidR="00F17377" w:rsidRDefault="00F17377" w14:paraId="1227D2D1" w14:textId="5D049CD4">
          <w:pPr>
            <w:pStyle w:val="TOC1"/>
            <w:tabs>
              <w:tab w:val="right" w:leader="dot" w:pos="9016"/>
            </w:tabs>
            <w:rPr>
              <w:rFonts w:asciiTheme="minorHAnsi" w:hAnsiTheme="minorHAnsi" w:eastAsiaTheme="minorEastAsia"/>
              <w:noProof/>
              <w:color w:val="auto"/>
              <w:kern w:val="2"/>
              <w:szCs w:val="24"/>
              <w:lang w:eastAsia="en-GB"/>
              <w14:ligatures w14:val="standardContextual"/>
            </w:rPr>
          </w:pPr>
          <w:hyperlink w:history="1" w:anchor="_Toc220506679">
            <w:r w:rsidRPr="00953E1F">
              <w:rPr>
                <w:rStyle w:val="Hyperlink"/>
                <w:noProof/>
              </w:rPr>
              <w:t>Construction of Network Diagram, Gantt Chart, and Critical Path</w:t>
            </w:r>
            <w:r>
              <w:rPr>
                <w:noProof/>
                <w:webHidden/>
              </w:rPr>
              <w:tab/>
            </w:r>
            <w:r>
              <w:rPr>
                <w:noProof/>
                <w:webHidden/>
              </w:rPr>
              <w:fldChar w:fldCharType="begin"/>
            </w:r>
            <w:r>
              <w:rPr>
                <w:noProof/>
                <w:webHidden/>
              </w:rPr>
              <w:instrText xml:space="preserve"> PAGEREF _Toc220506679 \h </w:instrText>
            </w:r>
            <w:r>
              <w:rPr>
                <w:noProof/>
                <w:webHidden/>
              </w:rPr>
            </w:r>
            <w:r>
              <w:rPr>
                <w:noProof/>
                <w:webHidden/>
              </w:rPr>
              <w:fldChar w:fldCharType="separate"/>
            </w:r>
            <w:r>
              <w:rPr>
                <w:noProof/>
                <w:webHidden/>
              </w:rPr>
              <w:t>2</w:t>
            </w:r>
            <w:r>
              <w:rPr>
                <w:noProof/>
                <w:webHidden/>
              </w:rPr>
              <w:fldChar w:fldCharType="end"/>
            </w:r>
          </w:hyperlink>
        </w:p>
        <w:p w:rsidR="00F17377" w:rsidRDefault="00F17377" w14:paraId="1CCF49EF" w14:textId="6E569D15">
          <w:pPr>
            <w:pStyle w:val="TOC1"/>
            <w:tabs>
              <w:tab w:val="right" w:leader="dot" w:pos="9016"/>
            </w:tabs>
            <w:rPr>
              <w:rFonts w:asciiTheme="minorHAnsi" w:hAnsiTheme="minorHAnsi" w:eastAsiaTheme="minorEastAsia"/>
              <w:noProof/>
              <w:color w:val="auto"/>
              <w:kern w:val="2"/>
              <w:szCs w:val="24"/>
              <w:lang w:eastAsia="en-GB"/>
              <w14:ligatures w14:val="standardContextual"/>
            </w:rPr>
          </w:pPr>
          <w:hyperlink w:history="1" w:anchor="_Toc220506680">
            <w:r w:rsidRPr="00953E1F">
              <w:rPr>
                <w:rStyle w:val="Hyperlink"/>
                <w:noProof/>
              </w:rPr>
              <w:t>Role of Communication in Project Management</w:t>
            </w:r>
            <w:r>
              <w:rPr>
                <w:noProof/>
                <w:webHidden/>
              </w:rPr>
              <w:tab/>
            </w:r>
            <w:r>
              <w:rPr>
                <w:noProof/>
                <w:webHidden/>
              </w:rPr>
              <w:fldChar w:fldCharType="begin"/>
            </w:r>
            <w:r>
              <w:rPr>
                <w:noProof/>
                <w:webHidden/>
              </w:rPr>
              <w:instrText xml:space="preserve"> PAGEREF _Toc220506680 \h </w:instrText>
            </w:r>
            <w:r>
              <w:rPr>
                <w:noProof/>
                <w:webHidden/>
              </w:rPr>
            </w:r>
            <w:r>
              <w:rPr>
                <w:noProof/>
                <w:webHidden/>
              </w:rPr>
              <w:fldChar w:fldCharType="separate"/>
            </w:r>
            <w:r>
              <w:rPr>
                <w:noProof/>
                <w:webHidden/>
              </w:rPr>
              <w:t>5</w:t>
            </w:r>
            <w:r>
              <w:rPr>
                <w:noProof/>
                <w:webHidden/>
              </w:rPr>
              <w:fldChar w:fldCharType="end"/>
            </w:r>
          </w:hyperlink>
        </w:p>
        <w:p w:rsidR="00F17377" w:rsidRDefault="00F17377" w14:paraId="57541D88" w14:textId="07F786A8">
          <w:pPr>
            <w:pStyle w:val="TOC1"/>
            <w:tabs>
              <w:tab w:val="right" w:leader="dot" w:pos="9016"/>
            </w:tabs>
            <w:rPr>
              <w:rFonts w:asciiTheme="minorHAnsi" w:hAnsiTheme="minorHAnsi" w:eastAsiaTheme="minorEastAsia"/>
              <w:noProof/>
              <w:color w:val="auto"/>
              <w:kern w:val="2"/>
              <w:szCs w:val="24"/>
              <w:lang w:eastAsia="en-GB"/>
              <w14:ligatures w14:val="standardContextual"/>
            </w:rPr>
          </w:pPr>
          <w:hyperlink w:history="1" w:anchor="_Toc220506681">
            <w:r w:rsidRPr="00953E1F">
              <w:rPr>
                <w:rStyle w:val="Hyperlink"/>
                <w:noProof/>
              </w:rPr>
              <w:t>Application of PERT Analysis and Risk Management Techniques</w:t>
            </w:r>
            <w:r>
              <w:rPr>
                <w:noProof/>
                <w:webHidden/>
              </w:rPr>
              <w:tab/>
            </w:r>
            <w:r>
              <w:rPr>
                <w:noProof/>
                <w:webHidden/>
              </w:rPr>
              <w:fldChar w:fldCharType="begin"/>
            </w:r>
            <w:r>
              <w:rPr>
                <w:noProof/>
                <w:webHidden/>
              </w:rPr>
              <w:instrText xml:space="preserve"> PAGEREF _Toc220506681 \h </w:instrText>
            </w:r>
            <w:r>
              <w:rPr>
                <w:noProof/>
                <w:webHidden/>
              </w:rPr>
            </w:r>
            <w:r>
              <w:rPr>
                <w:noProof/>
                <w:webHidden/>
              </w:rPr>
              <w:fldChar w:fldCharType="separate"/>
            </w:r>
            <w:r>
              <w:rPr>
                <w:noProof/>
                <w:webHidden/>
              </w:rPr>
              <w:t>6</w:t>
            </w:r>
            <w:r>
              <w:rPr>
                <w:noProof/>
                <w:webHidden/>
              </w:rPr>
              <w:fldChar w:fldCharType="end"/>
            </w:r>
          </w:hyperlink>
        </w:p>
        <w:p w:rsidR="00F17377" w:rsidRDefault="00F17377" w14:paraId="50FDBDBA" w14:textId="0F8B8CDC">
          <w:pPr>
            <w:pStyle w:val="TOC1"/>
            <w:tabs>
              <w:tab w:val="right" w:leader="dot" w:pos="9016"/>
            </w:tabs>
            <w:rPr>
              <w:rFonts w:asciiTheme="minorHAnsi" w:hAnsiTheme="minorHAnsi" w:eastAsiaTheme="minorEastAsia"/>
              <w:noProof/>
              <w:color w:val="auto"/>
              <w:kern w:val="2"/>
              <w:szCs w:val="24"/>
              <w:lang w:eastAsia="en-GB"/>
              <w14:ligatures w14:val="standardContextual"/>
            </w:rPr>
          </w:pPr>
          <w:hyperlink w:history="1" w:anchor="_Toc220506682">
            <w:r w:rsidRPr="00953E1F">
              <w:rPr>
                <w:rStyle w:val="Hyperlink"/>
                <w:noProof/>
              </w:rPr>
              <w:t>Costs of Individual Activities and Total Project Cost</w:t>
            </w:r>
            <w:r>
              <w:rPr>
                <w:noProof/>
                <w:webHidden/>
              </w:rPr>
              <w:tab/>
            </w:r>
            <w:r>
              <w:rPr>
                <w:noProof/>
                <w:webHidden/>
              </w:rPr>
              <w:fldChar w:fldCharType="begin"/>
            </w:r>
            <w:r>
              <w:rPr>
                <w:noProof/>
                <w:webHidden/>
              </w:rPr>
              <w:instrText xml:space="preserve"> PAGEREF _Toc220506682 \h </w:instrText>
            </w:r>
            <w:r>
              <w:rPr>
                <w:noProof/>
                <w:webHidden/>
              </w:rPr>
            </w:r>
            <w:r>
              <w:rPr>
                <w:noProof/>
                <w:webHidden/>
              </w:rPr>
              <w:fldChar w:fldCharType="separate"/>
            </w:r>
            <w:r>
              <w:rPr>
                <w:noProof/>
                <w:webHidden/>
              </w:rPr>
              <w:t>8</w:t>
            </w:r>
            <w:r>
              <w:rPr>
                <w:noProof/>
                <w:webHidden/>
              </w:rPr>
              <w:fldChar w:fldCharType="end"/>
            </w:r>
          </w:hyperlink>
        </w:p>
        <w:p w:rsidR="00F17377" w:rsidRDefault="00F17377" w14:paraId="316461D0" w14:textId="72807486">
          <w:pPr>
            <w:pStyle w:val="TOC1"/>
            <w:tabs>
              <w:tab w:val="right" w:leader="dot" w:pos="9016"/>
            </w:tabs>
            <w:rPr>
              <w:rFonts w:asciiTheme="minorHAnsi" w:hAnsiTheme="minorHAnsi" w:eastAsiaTheme="minorEastAsia"/>
              <w:noProof/>
              <w:color w:val="auto"/>
              <w:kern w:val="2"/>
              <w:szCs w:val="24"/>
              <w:lang w:eastAsia="en-GB"/>
              <w14:ligatures w14:val="standardContextual"/>
            </w:rPr>
          </w:pPr>
          <w:hyperlink w:history="1" w:anchor="_Toc220506683">
            <w:r w:rsidRPr="00953E1F">
              <w:rPr>
                <w:rStyle w:val="Hyperlink"/>
                <w:noProof/>
              </w:rPr>
              <w:t>Application of Crash Costing Techniques</w:t>
            </w:r>
            <w:r>
              <w:rPr>
                <w:noProof/>
                <w:webHidden/>
              </w:rPr>
              <w:tab/>
            </w:r>
            <w:r>
              <w:rPr>
                <w:noProof/>
                <w:webHidden/>
              </w:rPr>
              <w:fldChar w:fldCharType="begin"/>
            </w:r>
            <w:r>
              <w:rPr>
                <w:noProof/>
                <w:webHidden/>
              </w:rPr>
              <w:instrText xml:space="preserve"> PAGEREF _Toc220506683 \h </w:instrText>
            </w:r>
            <w:r>
              <w:rPr>
                <w:noProof/>
                <w:webHidden/>
              </w:rPr>
            </w:r>
            <w:r>
              <w:rPr>
                <w:noProof/>
                <w:webHidden/>
              </w:rPr>
              <w:fldChar w:fldCharType="separate"/>
            </w:r>
            <w:r>
              <w:rPr>
                <w:noProof/>
                <w:webHidden/>
              </w:rPr>
              <w:t>9</w:t>
            </w:r>
            <w:r>
              <w:rPr>
                <w:noProof/>
                <w:webHidden/>
              </w:rPr>
              <w:fldChar w:fldCharType="end"/>
            </w:r>
          </w:hyperlink>
        </w:p>
        <w:p w:rsidR="00F17377" w:rsidRDefault="00F17377" w14:paraId="730928D9" w14:textId="25F51B82">
          <w:pPr>
            <w:pStyle w:val="TOC1"/>
            <w:tabs>
              <w:tab w:val="right" w:leader="dot" w:pos="9016"/>
            </w:tabs>
            <w:rPr>
              <w:rFonts w:asciiTheme="minorHAnsi" w:hAnsiTheme="minorHAnsi" w:eastAsiaTheme="minorEastAsia"/>
              <w:noProof/>
              <w:color w:val="auto"/>
              <w:kern w:val="2"/>
              <w:szCs w:val="24"/>
              <w:lang w:eastAsia="en-GB"/>
              <w14:ligatures w14:val="standardContextual"/>
            </w:rPr>
          </w:pPr>
          <w:hyperlink w:history="1" w:anchor="_Toc220506684">
            <w:r w:rsidRPr="00953E1F">
              <w:rPr>
                <w:rStyle w:val="Hyperlink"/>
                <w:noProof/>
              </w:rPr>
              <w:t>Project Handover Issues</w:t>
            </w:r>
            <w:r>
              <w:rPr>
                <w:noProof/>
                <w:webHidden/>
              </w:rPr>
              <w:tab/>
            </w:r>
            <w:r>
              <w:rPr>
                <w:noProof/>
                <w:webHidden/>
              </w:rPr>
              <w:fldChar w:fldCharType="begin"/>
            </w:r>
            <w:r>
              <w:rPr>
                <w:noProof/>
                <w:webHidden/>
              </w:rPr>
              <w:instrText xml:space="preserve"> PAGEREF _Toc220506684 \h </w:instrText>
            </w:r>
            <w:r>
              <w:rPr>
                <w:noProof/>
                <w:webHidden/>
              </w:rPr>
            </w:r>
            <w:r>
              <w:rPr>
                <w:noProof/>
                <w:webHidden/>
              </w:rPr>
              <w:fldChar w:fldCharType="separate"/>
            </w:r>
            <w:r>
              <w:rPr>
                <w:noProof/>
                <w:webHidden/>
              </w:rPr>
              <w:t>12</w:t>
            </w:r>
            <w:r>
              <w:rPr>
                <w:noProof/>
                <w:webHidden/>
              </w:rPr>
              <w:fldChar w:fldCharType="end"/>
            </w:r>
          </w:hyperlink>
        </w:p>
        <w:p w:rsidR="00F17377" w:rsidRDefault="00F17377" w14:paraId="41710731" w14:textId="26EAB316">
          <w:pPr>
            <w:pStyle w:val="TOC1"/>
            <w:tabs>
              <w:tab w:val="right" w:leader="dot" w:pos="9016"/>
            </w:tabs>
            <w:rPr>
              <w:rFonts w:asciiTheme="minorHAnsi" w:hAnsiTheme="minorHAnsi" w:eastAsiaTheme="minorEastAsia"/>
              <w:noProof/>
              <w:color w:val="auto"/>
              <w:kern w:val="2"/>
              <w:szCs w:val="24"/>
              <w:lang w:eastAsia="en-GB"/>
              <w14:ligatures w14:val="standardContextual"/>
            </w:rPr>
          </w:pPr>
          <w:hyperlink w:history="1" w:anchor="_Toc220506685">
            <w:r w:rsidRPr="00953E1F">
              <w:rPr>
                <w:rStyle w:val="Hyperlink"/>
                <w:noProof/>
              </w:rPr>
              <w:t>Conclusion</w:t>
            </w:r>
            <w:r>
              <w:rPr>
                <w:noProof/>
                <w:webHidden/>
              </w:rPr>
              <w:tab/>
            </w:r>
            <w:r>
              <w:rPr>
                <w:noProof/>
                <w:webHidden/>
              </w:rPr>
              <w:fldChar w:fldCharType="begin"/>
            </w:r>
            <w:r>
              <w:rPr>
                <w:noProof/>
                <w:webHidden/>
              </w:rPr>
              <w:instrText xml:space="preserve"> PAGEREF _Toc220506685 \h </w:instrText>
            </w:r>
            <w:r>
              <w:rPr>
                <w:noProof/>
                <w:webHidden/>
              </w:rPr>
            </w:r>
            <w:r>
              <w:rPr>
                <w:noProof/>
                <w:webHidden/>
              </w:rPr>
              <w:fldChar w:fldCharType="separate"/>
            </w:r>
            <w:r>
              <w:rPr>
                <w:noProof/>
                <w:webHidden/>
              </w:rPr>
              <w:t>12</w:t>
            </w:r>
            <w:r>
              <w:rPr>
                <w:noProof/>
                <w:webHidden/>
              </w:rPr>
              <w:fldChar w:fldCharType="end"/>
            </w:r>
          </w:hyperlink>
        </w:p>
        <w:p w:rsidR="00F17377" w:rsidRDefault="00F17377" w14:paraId="282DAE1B" w14:textId="34A2B3D2">
          <w:pPr>
            <w:pStyle w:val="TOC1"/>
            <w:tabs>
              <w:tab w:val="right" w:leader="dot" w:pos="9016"/>
            </w:tabs>
            <w:rPr>
              <w:rFonts w:asciiTheme="minorHAnsi" w:hAnsiTheme="minorHAnsi" w:eastAsiaTheme="minorEastAsia"/>
              <w:noProof/>
              <w:color w:val="auto"/>
              <w:kern w:val="2"/>
              <w:szCs w:val="24"/>
              <w:lang w:eastAsia="en-GB"/>
              <w14:ligatures w14:val="standardContextual"/>
            </w:rPr>
          </w:pPr>
          <w:hyperlink w:history="1" w:anchor="_Toc220506686">
            <w:r w:rsidRPr="00953E1F">
              <w:rPr>
                <w:rStyle w:val="Hyperlink"/>
                <w:noProof/>
              </w:rPr>
              <w:t>References</w:t>
            </w:r>
            <w:r>
              <w:rPr>
                <w:noProof/>
                <w:webHidden/>
              </w:rPr>
              <w:tab/>
            </w:r>
            <w:r>
              <w:rPr>
                <w:noProof/>
                <w:webHidden/>
              </w:rPr>
              <w:fldChar w:fldCharType="begin"/>
            </w:r>
            <w:r>
              <w:rPr>
                <w:noProof/>
                <w:webHidden/>
              </w:rPr>
              <w:instrText xml:space="preserve"> PAGEREF _Toc220506686 \h </w:instrText>
            </w:r>
            <w:r>
              <w:rPr>
                <w:noProof/>
                <w:webHidden/>
              </w:rPr>
            </w:r>
            <w:r>
              <w:rPr>
                <w:noProof/>
                <w:webHidden/>
              </w:rPr>
              <w:fldChar w:fldCharType="separate"/>
            </w:r>
            <w:r>
              <w:rPr>
                <w:noProof/>
                <w:webHidden/>
              </w:rPr>
              <w:t>14</w:t>
            </w:r>
            <w:r>
              <w:rPr>
                <w:noProof/>
                <w:webHidden/>
              </w:rPr>
              <w:fldChar w:fldCharType="end"/>
            </w:r>
          </w:hyperlink>
        </w:p>
        <w:p w:rsidR="001834FC" w:rsidRDefault="001834FC" w14:paraId="11FB9FCD" w14:textId="7B7D0A56">
          <w:r>
            <w:rPr>
              <w:b/>
              <w:bCs/>
              <w:noProof/>
            </w:rPr>
            <w:fldChar w:fldCharType="end"/>
          </w:r>
        </w:p>
      </w:sdtContent>
    </w:sdt>
    <w:p w:rsidR="001834FC" w:rsidRDefault="001834FC" w14:paraId="0E64312A" w14:textId="73F329D3"/>
    <w:p w:rsidR="001834FC" w:rsidP="001834FC" w:rsidRDefault="001834FC" w14:paraId="0BEB37EE" w14:textId="10F4B18D">
      <w:pPr>
        <w:pStyle w:val="Heading1"/>
        <w:sectPr w:rsidR="001834FC" w:rsidSect="00731705">
          <w:footerReference w:type="default" r:id="rId8"/>
          <w:pgSz w:w="11906" w:h="16838" w:orient="portrait" w:code="9"/>
          <w:pgMar w:top="1440" w:right="1440" w:bottom="1440" w:left="1440" w:header="720" w:footer="720" w:gutter="0"/>
          <w:pgNumType w:fmt="lowerRoman"/>
          <w:cols w:space="720"/>
          <w:docGrid w:linePitch="360"/>
        </w:sectPr>
      </w:pPr>
    </w:p>
    <w:p w:rsidRPr="00EB62EF" w:rsidR="00EB62EF" w:rsidP="00EB62EF" w:rsidRDefault="00EB62EF" w14:paraId="363BA6A0" w14:textId="77777777">
      <w:pPr>
        <w:jc w:val="center"/>
        <w:rPr>
          <w:sz w:val="32"/>
          <w:szCs w:val="28"/>
        </w:rPr>
      </w:pPr>
      <w:r w:rsidRPr="00EB62EF">
        <w:rPr>
          <w:b/>
          <w:bCs/>
          <w:sz w:val="32"/>
          <w:szCs w:val="28"/>
        </w:rPr>
        <w:t>Application of Project Management Techniques to Improve Logistics Process Performance</w:t>
      </w:r>
    </w:p>
    <w:p w:rsidR="00EB62EF" w:rsidP="00EB62EF" w:rsidRDefault="00EB62EF" w14:paraId="51DFAD6F" w14:textId="77777777"/>
    <w:p w:rsidR="001834FC" w:rsidP="001834FC" w:rsidRDefault="001834FC" w14:paraId="194129F4" w14:textId="2D73E332">
      <w:pPr>
        <w:pStyle w:val="Heading1"/>
      </w:pPr>
      <w:bookmarkStart w:name="_Toc220506677" w:id="0"/>
      <w:r>
        <w:t>Introduction</w:t>
      </w:r>
      <w:bookmarkEnd w:id="0"/>
      <w:r>
        <w:t xml:space="preserve"> </w:t>
      </w:r>
    </w:p>
    <w:p w:rsidR="00FF7222" w:rsidP="00FF7222" w:rsidRDefault="00FF7222" w14:paraId="1D677E6E" w14:textId="37AD8D4B">
      <w:r>
        <w:t>This is a project aimed at improving processes in a distribution logistics centre in the UK that deals with daily orders by customers. In the recent past, the organisation has been recording high levels of order fulfilment lead times in various operations that the organisation operates. These delays also lower the service reliability and have adverse impacts on customer experience and the level of satisfaction. Low level of customer satisfaction and brand strength is closely associated with poor service experiences (</w:t>
      </w:r>
      <w:proofErr w:type="spellStart"/>
      <w:r>
        <w:t>Bodaghi</w:t>
      </w:r>
      <w:proofErr w:type="spellEnd"/>
      <w:r>
        <w:t xml:space="preserve"> Khajeh Nobar and Rostamzadeh, 2018). Long lead times in fulfilment also enhance the cost of operation due to overtime working and poor use of resources. Variation of lead times also interferes with the coordination in the supply chains and reduces the overall performance of the operation (Mohammed and Mandal, 2024).</w:t>
      </w:r>
    </w:p>
    <w:p w:rsidR="00FF7222" w:rsidP="00FF7222" w:rsidRDefault="00FF7222" w14:paraId="49ABFEDA" w14:textId="214ECA71">
      <w:r>
        <w:t>The prime project goal is to minimise the order fulfilment lead time by twenty per cent. The other goal is to enhance the cooperation between the information technology teams, transport, and warehouse teams. Another focus of the project is to bring in organised process changes within a stipulated time of delivery. The use of continuous improvement methods is appropriate as it assists in promoting efficiency, consistency, and the improvement of performance over the long run (Khan et al., 2019).</w:t>
      </w:r>
    </w:p>
    <w:p w:rsidR="003130C4" w:rsidP="00FF7222" w:rsidRDefault="00FF7222" w14:paraId="7625C9F5" w14:textId="3645C522">
      <w:r>
        <w:t>The reason why this project is a suitable project management analysis is that it is complex in terms of its operations. The work entails various stakeholders, interrelated activities, scarce resources and diversity in the implementation. These states mandate well-laid-out planning, scheduling, risk management and effective cost control. Practical implementation of the network planning, critical path analysis and risk management techniques is made possible through the project. These points are directly related to learning module outcomes and transferable professional management skills.</w:t>
      </w:r>
    </w:p>
    <w:p w:rsidR="00537F1D" w:rsidP="00537F1D" w:rsidRDefault="00B75CF5" w14:paraId="318D9941" w14:textId="180D013B">
      <w:pPr>
        <w:pStyle w:val="Heading1"/>
      </w:pPr>
      <w:bookmarkStart w:name="_Toc220506678" w:id="1"/>
      <w:r w:rsidRPr="00B75CF5">
        <w:t>Project Scope and Work Breakdown Overview</w:t>
      </w:r>
      <w:bookmarkEnd w:id="1"/>
    </w:p>
    <w:p w:rsidR="00537F1D" w:rsidP="00537F1D" w:rsidRDefault="00537F1D" w14:paraId="65DC4FF1" w14:textId="3A28D9BD">
      <w:r>
        <w:t xml:space="preserve">The project scope aims at enhancing order fulfilment business at an already established logistics distribution centre. In-scope activities involve process mapping in detail to detect </w:t>
      </w:r>
      <w:r>
        <w:t xml:space="preserve">delays and inefficiencies </w:t>
      </w:r>
      <w:r w:rsidR="00C620BC">
        <w:t>in</w:t>
      </w:r>
      <w:r>
        <w:t xml:space="preserve"> the existing workflows. Upgrades of the systems are also provided to enhance the flow of information between transport and warehouse activities. Training also accompanies the staff to guarantee that the employees know and implement new processes appropriately</w:t>
      </w:r>
      <w:r w:rsidRPr="00537F1D">
        <w:t xml:space="preserve"> (</w:t>
      </w:r>
      <w:proofErr w:type="spellStart"/>
      <w:r w:rsidRPr="00537F1D">
        <w:t>Nzimakwe</w:t>
      </w:r>
      <w:proofErr w:type="spellEnd"/>
      <w:r w:rsidRPr="00537F1D">
        <w:t xml:space="preserve"> and Utete, 2024)</w:t>
      </w:r>
      <w:r>
        <w:t>. This set of activities promotes operational enhancement and does not interfere with the regular distribution services.</w:t>
      </w:r>
    </w:p>
    <w:p w:rsidR="00537F1D" w:rsidP="00537F1D" w:rsidRDefault="00537F1D" w14:paraId="526969AA" w14:textId="0A8D7380">
      <w:r>
        <w:t>Several tasks are identified as out of scope to manage complexity and project risk. Construction of new warehouses is not an option as it involves a large capital formation and future consideration. Replacement of suppliers is also not given as the project focuses on improving internal processes. The specific lines of scope control and stay focused.</w:t>
      </w:r>
    </w:p>
    <w:p w:rsidR="00537F1D" w:rsidP="00537F1D" w:rsidRDefault="00537F1D" w14:paraId="0515097E" w14:textId="35DB5F36">
      <w:r>
        <w:t>The project is run on time, cost, resource and operation constraints. An established delivery period restricts the scheduling and sequencing of activities. The budget constraints will limit the level of the technology upgrades and the external consultancy support. The scarcity of resources means that the employees must juggle between project activities and normal operational functions. These assumptions of scheduling and costing are anchored on the standard working hours as well as existing systems.</w:t>
      </w:r>
    </w:p>
    <w:p w:rsidR="00B75CF5" w:rsidP="00537F1D" w:rsidRDefault="00537F1D" w14:paraId="49229253" w14:textId="2B86509C">
      <w:r>
        <w:t xml:space="preserve">A structured work breakdown approach is used in decomposing the project into thirty or forty activities. The phases are used to group activities and enhance control and visibility in the planning phase. Parallel running of some activities helps reduce the time frame and </w:t>
      </w:r>
      <w:r w:rsidR="008C18BE">
        <w:t>enhances</w:t>
      </w:r>
      <w:r>
        <w:t xml:space="preserve"> </w:t>
      </w:r>
      <w:r w:rsidR="008C18BE">
        <w:t xml:space="preserve">the </w:t>
      </w:r>
      <w:r>
        <w:t>usage of resources.</w:t>
      </w:r>
    </w:p>
    <w:p w:rsidR="008C18BE" w:rsidP="008C18BE" w:rsidRDefault="008C18BE" w14:paraId="59A08BBE" w14:textId="059FDBC6">
      <w:pPr>
        <w:pStyle w:val="Heading1"/>
      </w:pPr>
      <w:bookmarkStart w:name="_Toc220506679" w:id="2"/>
      <w:r w:rsidRPr="008C18BE">
        <w:t>Construction of Network Diagram, Gantt Chart, and Critical Path</w:t>
      </w:r>
      <w:bookmarkEnd w:id="2"/>
      <w:r w:rsidRPr="008C18BE">
        <w:t xml:space="preserve"> </w:t>
      </w:r>
    </w:p>
    <w:p w:rsidRPr="008C18BE" w:rsidR="008C18BE" w:rsidP="008C18BE" w:rsidRDefault="008C18BE" w14:paraId="02A25F81" w14:textId="60BEF034">
      <w:pPr>
        <w:rPr>
          <w:b/>
          <w:bCs/>
        </w:rPr>
      </w:pPr>
      <w:r w:rsidRPr="008C18BE">
        <w:rPr>
          <w:b/>
          <w:bCs/>
        </w:rPr>
        <w:t>Activity Identification</w:t>
      </w:r>
    </w:p>
    <w:p w:rsidR="008C18BE" w:rsidP="008C18BE" w:rsidRDefault="007A2D9D" w14:paraId="09167F96" w14:textId="65E43659">
      <w:r w:rsidRPr="007A2D9D">
        <w:t>The project activities were divided into six main phases to give the project lifecycle some structure and clarity. The initiation phase involves project approval and definition of initial requirements confirmation. The planning phase includes planning of schedule, resources, identification of risks. Design activities are regarding technical design, layout preparation and specification development. The implementation phase is the primary phase of execution of the project and involves system development and operational changes. The testing phase includes aspects of quality assurance, system testing, and required corrections. The closure phase includes documentation, approvals and handover. This phased structure enhances control, coordination and effective monitoring of project progress</w:t>
      </w:r>
      <w:r w:rsidR="008C18BE">
        <w:t>.</w:t>
      </w:r>
    </w:p>
    <w:p w:rsidR="007A2D9D" w:rsidP="008C18BE" w:rsidRDefault="007A2D9D" w14:paraId="07629922" w14:textId="77777777">
      <w:pPr>
        <w:rPr>
          <w:b/>
          <w:bCs/>
        </w:rPr>
      </w:pPr>
    </w:p>
    <w:p w:rsidRPr="008C18BE" w:rsidR="008C18BE" w:rsidP="008C18BE" w:rsidRDefault="008C18BE" w14:paraId="3F2950AB" w14:textId="1CB92F91">
      <w:pPr>
        <w:rPr>
          <w:b/>
          <w:bCs/>
        </w:rPr>
      </w:pPr>
      <w:r w:rsidRPr="008C18BE">
        <w:rPr>
          <w:b/>
          <w:bCs/>
        </w:rPr>
        <w:t>Network Diagram Development.</w:t>
      </w:r>
    </w:p>
    <w:p w:rsidR="008C18BE" w:rsidP="008C18BE" w:rsidRDefault="00992A4D" w14:paraId="2F088C49" w14:textId="1E71E72F">
      <w:r w:rsidRPr="00992A4D">
        <w:rPr>
          <w:noProof/>
        </w:rPr>
        <w:drawing>
          <wp:inline distT="0" distB="0" distL="0" distR="0" wp14:anchorId="31712309" wp14:editId="03BA5595">
            <wp:extent cx="5731510" cy="3884930"/>
            <wp:effectExtent l="0" t="0" r="2540" b="1270"/>
            <wp:docPr id="192663322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26633227" name=""/>
                    <pic:cNvPicPr/>
                  </pic:nvPicPr>
                  <pic:blipFill>
                    <a:blip r:embed="rId9"/>
                    <a:stretch>
                      <a:fillRect/>
                    </a:stretch>
                  </pic:blipFill>
                  <pic:spPr>
                    <a:xfrm>
                      <a:off x="0" y="0"/>
                      <a:ext cx="5731510" cy="3884930"/>
                    </a:xfrm>
                    <a:prstGeom prst="rect">
                      <a:avLst/>
                    </a:prstGeom>
                  </pic:spPr>
                </pic:pic>
              </a:graphicData>
            </a:graphic>
          </wp:inline>
        </w:drawing>
      </w:r>
    </w:p>
    <w:p w:rsidRPr="008C18BE" w:rsidR="008C18BE" w:rsidP="008C18BE" w:rsidRDefault="008C18BE" w14:paraId="790BB061" w14:textId="7DD9265C">
      <w:pPr>
        <w:jc w:val="center"/>
        <w:rPr>
          <w:i/>
          <w:iCs/>
        </w:rPr>
      </w:pPr>
      <w:r w:rsidRPr="008C18BE">
        <w:rPr>
          <w:b/>
          <w:bCs/>
          <w:i/>
          <w:iCs/>
        </w:rPr>
        <w:t xml:space="preserve">Figure </w:t>
      </w:r>
      <w:r w:rsidR="00814D58">
        <w:rPr>
          <w:b/>
          <w:bCs/>
          <w:i/>
          <w:iCs/>
        </w:rPr>
        <w:t>1</w:t>
      </w:r>
      <w:r w:rsidRPr="008C18BE">
        <w:rPr>
          <w:b/>
          <w:bCs/>
          <w:i/>
          <w:iCs/>
        </w:rPr>
        <w:t>: Project Network Diagram Showing Activity Dependencies</w:t>
      </w:r>
    </w:p>
    <w:p w:rsidR="008C18BE" w:rsidP="008C18BE" w:rsidRDefault="00992A4D" w14:paraId="28744FA2" w14:textId="0B45E424">
      <w:r w:rsidRPr="00992A4D">
        <w:t>Slack values are brought in Network Diagram to differentiate the critical and non-critical activities in the project. Activities having zero slack compose the critical path.</w:t>
      </w:r>
      <w:r>
        <w:t xml:space="preserve"> </w:t>
      </w:r>
      <w:r w:rsidRPr="00992A4D">
        <w:t>The network diagram of the project displays the logical sequence of activities and their interdependencies (using the Critical Path Method approach). Earliest Start, Earliest Finish, Latest Start, and the Latest Finish times are given for each activity to facilitate the proper analysis of the schedule. Total float values are presented to differentiate the critical and non-critical activities from each other. Activities that have zero slack comprise the critical path and directly affect the overall project completion time. Non-critical activities have scheduling flexibility which do not impact the final deadline. The updated diagram helps to improve schedule visibility, effective monitoring and helps in better control over project risks and resources</w:t>
      </w:r>
      <w:r w:rsidR="008C18BE">
        <w:t>.</w:t>
      </w:r>
    </w:p>
    <w:p w:rsidR="007A2D9D" w:rsidP="008C18BE" w:rsidRDefault="008C18BE" w14:paraId="320A61E7" w14:textId="77777777">
      <w:r w:rsidRPr="008C18BE">
        <w:rPr>
          <w:b/>
          <w:bCs/>
        </w:rPr>
        <w:t>Critical Path Analysis</w:t>
      </w:r>
      <w:r w:rsidR="006E3A22">
        <w:rPr>
          <w:b/>
          <w:bCs/>
        </w:rPr>
        <w:t xml:space="preserve">: </w:t>
      </w:r>
      <w:r w:rsidR="006E3A22">
        <w:t xml:space="preserve">The network diagram of the project determines the vital path calculated based on the earliest and latest activity lengths. Activities that have a total float of zero will become the critical path as indicated by the slack values in the diagram. Any delay in these activities will directly delay completion time of the entire project. The critical path is the longest path of dependent activities and dictates the shortest project duration. Activities outside </w:t>
      </w:r>
      <w:r w:rsidR="006E3A22">
        <w:t xml:space="preserve">of the critical path have positive slack and allow for some flexibility in scheduling the activities without changing the final deadline of the project. </w:t>
      </w:r>
      <w:r w:rsidRPr="007A2D9D" w:rsidR="007A2D9D">
        <w:t>The inclusion of Earliest Start, Earliest Finish, Latest Start and Latest Finish values enhances the visibility and control of the critical activities in a schedule.</w:t>
      </w:r>
    </w:p>
    <w:p w:rsidRPr="008C18BE" w:rsidR="008C18BE" w:rsidP="008C18BE" w:rsidRDefault="008C18BE" w14:paraId="501C5933" w14:textId="0C0835F3">
      <w:pPr>
        <w:rPr>
          <w:b/>
          <w:bCs/>
        </w:rPr>
      </w:pPr>
      <w:r w:rsidRPr="008C18BE">
        <w:rPr>
          <w:b/>
          <w:bCs/>
        </w:rPr>
        <w:t>Gantt Chart Interpretation</w:t>
      </w:r>
    </w:p>
    <w:p w:rsidR="008C18BE" w:rsidP="008C18BE" w:rsidRDefault="008C18BE" w14:paraId="6A96EBDE" w14:textId="334DBC31">
      <w:r>
        <w:rPr>
          <w:noProof/>
        </w:rPr>
        <w:drawing>
          <wp:inline distT="0" distB="0" distL="0" distR="0" wp14:anchorId="483972B3" wp14:editId="4D8EF265">
            <wp:extent cx="5601970" cy="3529965"/>
            <wp:effectExtent l="0" t="0" r="17780" b="13335"/>
            <wp:docPr id="972096863" name="Chart 1">
              <a:extLst xmlns:a="http://schemas.openxmlformats.org/drawingml/2006/main">
                <a:ext uri="{FF2B5EF4-FFF2-40B4-BE49-F238E27FC236}">
                  <a16:creationId xmlns:a16="http://schemas.microsoft.com/office/drawing/2014/main" id="{56AC0A79-1A55-D30B-56BA-F78E2A183FC9}"/>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0"/>
              </a:graphicData>
            </a:graphic>
          </wp:inline>
        </w:drawing>
      </w:r>
    </w:p>
    <w:p w:rsidR="008C18BE" w:rsidP="008C18BE" w:rsidRDefault="008C18BE" w14:paraId="7A9EA8F3" w14:textId="6742D274">
      <w:pPr>
        <w:jc w:val="center"/>
      </w:pPr>
      <w:r w:rsidRPr="008C18BE">
        <w:t xml:space="preserve">Figure </w:t>
      </w:r>
      <w:r w:rsidR="00814D58">
        <w:t>2</w:t>
      </w:r>
      <w:r w:rsidRPr="008C18BE">
        <w:t>: Gantt Chart Highlighting the Project Critical Path</w:t>
      </w:r>
    </w:p>
    <w:p w:rsidR="008C18BE" w:rsidP="008C18BE" w:rsidRDefault="008C18BE" w14:paraId="431F8990" w14:textId="77777777">
      <w:r>
        <w:t>The Gantt chart is also a good visual representation of the project schedule over time. The horizontal axis shows the project days, whereas the vertical axis represents all the project activities. The initiations, period, and completion of an activity is depicted by each bar. The critical path activities are brought into focus using red colour, and the non-critical activities are indicated using green colour, and that is where there can be a visual distinction at first glance. The activities overlap, they are carried out concurrently, and sequenced among phases, which are evident in the chart. The main milestones are observed where several activities come to an end. This graphic software helps in tracking progress, managing time and can be used to communicate with the stakeholders. All in all, the Gantt chart does make good job of connecting the theory of planning with the actual implementation of the project, and it successfully incorporates the use of scheduling strategies.</w:t>
      </w:r>
    </w:p>
    <w:p w:rsidRPr="003278B0" w:rsidR="003278B0" w:rsidP="00EB62EF" w:rsidRDefault="003278B0" w14:paraId="2A67F94D" w14:textId="19B922C3">
      <w:pPr>
        <w:pStyle w:val="Heading1"/>
      </w:pPr>
      <w:bookmarkStart w:name="_Toc220506680" w:id="3"/>
      <w:r w:rsidRPr="003278B0">
        <w:t>Role of Communication in Project Management</w:t>
      </w:r>
      <w:bookmarkEnd w:id="3"/>
    </w:p>
    <w:p w:rsidR="003278B0" w:rsidP="003278B0" w:rsidRDefault="003278B0" w14:paraId="6BC5FADB" w14:textId="77777777">
      <w:pPr>
        <w:rPr>
          <w:b/>
          <w:bCs/>
        </w:rPr>
      </w:pPr>
      <w:r w:rsidRPr="003278B0">
        <w:rPr>
          <w:b/>
          <w:bCs/>
        </w:rPr>
        <w:t>Importance of Communication in Projects</w:t>
      </w:r>
    </w:p>
    <w:p w:rsidRPr="003278B0" w:rsidR="003278B0" w:rsidP="003278B0" w:rsidRDefault="003278B0" w14:paraId="71D3DAFB" w14:textId="7472B674">
      <w:r w:rsidRPr="003278B0">
        <w:t xml:space="preserve">Communication is a major centre of control and coordination in complicated projects. Effective communication assists in task coordination, project </w:t>
      </w:r>
      <w:r>
        <w:t>updates</w:t>
      </w:r>
      <w:r w:rsidRPr="003278B0">
        <w:t xml:space="preserve">, and contributes to timely </w:t>
      </w:r>
      <w:r>
        <w:t>decision-making</w:t>
      </w:r>
      <w:r w:rsidRPr="003278B0">
        <w:t xml:space="preserve">. Communication assists in enhancing group insight and minimising the level of </w:t>
      </w:r>
      <w:r>
        <w:t>uncertainty</w:t>
      </w:r>
      <w:r w:rsidRPr="003278B0">
        <w:t xml:space="preserve"> in undertaking a project. </w:t>
      </w:r>
      <w:r>
        <w:t>Well-developed</w:t>
      </w:r>
      <w:r w:rsidRPr="003278B0">
        <w:t xml:space="preserve"> communication </w:t>
      </w:r>
      <w:r>
        <w:t>practices</w:t>
      </w:r>
      <w:r w:rsidRPr="003278B0">
        <w:t xml:space="preserve"> also minimise operational risks by having mutual expectations and obligations. According to the research, communication has a direct impact on the project performance and the effectiveness of the coordination between the teams (</w:t>
      </w:r>
      <w:proofErr w:type="spellStart"/>
      <w:r w:rsidRPr="003278B0">
        <w:t>Dietrichson</w:t>
      </w:r>
      <w:proofErr w:type="spellEnd"/>
      <w:r w:rsidRPr="003278B0">
        <w:t xml:space="preserve"> et al., 2022). Formal communication facilitates cooperation among functions and enhances the general project governance.</w:t>
      </w:r>
    </w:p>
    <w:p w:rsidR="003278B0" w:rsidP="003278B0" w:rsidRDefault="003278B0" w14:paraId="4277AF12" w14:textId="77777777">
      <w:pPr>
        <w:rPr>
          <w:b/>
          <w:bCs/>
        </w:rPr>
      </w:pPr>
      <w:r w:rsidRPr="003278B0">
        <w:rPr>
          <w:b/>
          <w:bCs/>
        </w:rPr>
        <w:t>Communication Challenges in the Current Project</w:t>
      </w:r>
    </w:p>
    <w:p w:rsidRPr="003278B0" w:rsidR="003278B0" w:rsidP="003278B0" w:rsidRDefault="003278B0" w14:paraId="6784D17B" w14:textId="4559D809">
      <w:r w:rsidRPr="003278B0">
        <w:t xml:space="preserve">The present project entails </w:t>
      </w:r>
      <w:r>
        <w:t>cross-functional</w:t>
      </w:r>
      <w:r w:rsidRPr="003278B0">
        <w:t xml:space="preserve"> </w:t>
      </w:r>
      <w:r>
        <w:t xml:space="preserve">teams </w:t>
      </w:r>
      <w:r w:rsidRPr="003278B0">
        <w:t xml:space="preserve">of the warehouse, IT and transport teams. Every operation requires the availability of information on time to ensure that operations are not delayed. The delay of information among teams leads to the high likelihood of schedule gaps and resource wastage. The misunderstandings can lead to rework, cost overruns and even missed milestones. The challenges of </w:t>
      </w:r>
      <w:r>
        <w:t>cross-functional</w:t>
      </w:r>
      <w:r w:rsidRPr="003278B0">
        <w:t xml:space="preserve"> collaboration usually occur in cases where communication lines are not apparent or official (APAC Business Standard, 2024). Ineffective coordination can also raise a problem of uncertainty in terms of cost and schedule control (Judson and Paul, 2019).</w:t>
      </w:r>
    </w:p>
    <w:p w:rsidR="003278B0" w:rsidP="003278B0" w:rsidRDefault="003278B0" w14:paraId="513DBCCE" w14:textId="77777777">
      <w:pPr>
        <w:rPr>
          <w:b/>
          <w:bCs/>
        </w:rPr>
      </w:pPr>
      <w:r w:rsidRPr="003278B0">
        <w:rPr>
          <w:b/>
          <w:bCs/>
        </w:rPr>
        <w:t>Communication Improvement Strategies</w:t>
      </w:r>
    </w:p>
    <w:p w:rsidR="003278B0" w:rsidP="003278B0" w:rsidRDefault="003278B0" w14:paraId="0CDC7EB9" w14:textId="1F909321">
      <w:r w:rsidRPr="003278B0">
        <w:t xml:space="preserve">An organised stakeholder communication plan facilitates transparency, responsibility and uniformity of information. Clear reporting lines assist in proper tracking of progress and </w:t>
      </w:r>
      <w:r>
        <w:t xml:space="preserve">the </w:t>
      </w:r>
      <w:r w:rsidRPr="003278B0">
        <w:t xml:space="preserve">raising of problems. It should involve regular meetings that allow reviewing risks, schedules, and dependencies between functions. Dashboards promote real </w:t>
      </w:r>
      <w:r>
        <w:t>real-time</w:t>
      </w:r>
      <w:r w:rsidRPr="003278B0">
        <w:t xml:space="preserve"> status view of project status and major milestones. Documentation standards guarantee the consistency of information and minimise errors in the interpretation. Formal communication planning enhances coordination and alignment of the stakeholders (Brown et al., 2021). </w:t>
      </w:r>
    </w:p>
    <w:p w:rsidR="00814D58" w:rsidRDefault="00814D58" w14:paraId="62F0C94E" w14:textId="77777777">
      <w:pPr>
        <w:spacing w:line="259" w:lineRule="auto"/>
        <w:jc w:val="left"/>
        <w:rPr>
          <w:b/>
          <w:bCs/>
        </w:rPr>
      </w:pPr>
      <w:r>
        <w:rPr>
          <w:b/>
          <w:bCs/>
        </w:rPr>
        <w:br w:type="page"/>
      </w:r>
    </w:p>
    <w:p w:rsidR="003278B0" w:rsidP="008C18BE" w:rsidRDefault="003278B0" w14:paraId="6107E882" w14:textId="7920307B">
      <w:pPr>
        <w:rPr>
          <w:b/>
          <w:bCs/>
        </w:rPr>
      </w:pPr>
      <w:r w:rsidRPr="003278B0">
        <w:rPr>
          <w:b/>
          <w:bCs/>
        </w:rPr>
        <w:t>Impact on Project Performance</w:t>
      </w:r>
    </w:p>
    <w:p w:rsidR="003278B0" w:rsidP="008C18BE" w:rsidRDefault="003278B0" w14:paraId="4CACCA6D" w14:textId="43EE8DD3">
      <w:r w:rsidRPr="003278B0">
        <w:t xml:space="preserve">Better communication benefits better time, cost and quality outcomes control. The exchange of information in time saves time and makes it possible to forecast and be </w:t>
      </w:r>
      <w:proofErr w:type="gramStart"/>
      <w:r>
        <w:t>risk-averse</w:t>
      </w:r>
      <w:proofErr w:type="gramEnd"/>
      <w:r w:rsidRPr="003278B0">
        <w:t>. Effective communication enhances coordination and efficiency and ensures the delivery of the project.</w:t>
      </w:r>
    </w:p>
    <w:p w:rsidRPr="00B60F0B" w:rsidR="00B60F0B" w:rsidP="00EB62EF" w:rsidRDefault="00B60F0B" w14:paraId="09FCAC51" w14:textId="47A8EAD4">
      <w:pPr>
        <w:pStyle w:val="Heading1"/>
      </w:pPr>
      <w:bookmarkStart w:name="_Toc220506681" w:id="4"/>
      <w:r w:rsidRPr="00B60F0B">
        <w:t>Application of PERT Analysis and Risk Management Techniques</w:t>
      </w:r>
      <w:bookmarkEnd w:id="4"/>
    </w:p>
    <w:p w:rsidR="00B5526C" w:rsidP="00B60F0B" w:rsidRDefault="00B60F0B" w14:paraId="4DA81881" w14:textId="1078A66B">
      <w:r w:rsidRPr="00B60F0B">
        <w:rPr>
          <w:b/>
          <w:bCs/>
        </w:rPr>
        <w:t>Identification of Project Risks</w:t>
      </w:r>
      <w:r w:rsidRPr="00B60F0B">
        <w:br/>
      </w:r>
      <w:r w:rsidRPr="006E3A22" w:rsidR="006E3A22">
        <w:t xml:space="preserve">The logistics process improvement project is subject to </w:t>
      </w:r>
      <w:proofErr w:type="gramStart"/>
      <w:r w:rsidRPr="006E3A22" w:rsidR="006E3A22">
        <w:t>a number of</w:t>
      </w:r>
      <w:proofErr w:type="gramEnd"/>
      <w:r w:rsidRPr="006E3A22" w:rsidR="006E3A22">
        <w:t xml:space="preserve"> categories of risk that can impact successful delivery. Operational risks such as warehouse congestion, disruption in transport schedules and process breakdowns may cause a delay in order fulfilment. Technical risks concern upgrades to the system, issues with integrating data, and possible failures of warehouse management systems. Some of the risks associated with human resource issues </w:t>
      </w:r>
      <w:r w:rsidRPr="006E3A22" w:rsidR="0044224A">
        <w:t>include</w:t>
      </w:r>
      <w:r w:rsidRPr="006E3A22" w:rsidR="006E3A22">
        <w:t xml:space="preserve"> resistance of employees to change, skills deficit, and low staff availability at critical implementation time. The external risks are third-party logistics providers, supplier reliability problems, and potential law changes that could potentially disrupt the coordination and planned activities (Volkov, 2022)</w:t>
      </w:r>
      <w:r w:rsidRPr="00B5526C" w:rsidR="00B5526C">
        <w:t xml:space="preserve">. </w:t>
      </w:r>
    </w:p>
    <w:p w:rsidRPr="00B60F0B" w:rsidR="00B60F0B" w:rsidP="00B60F0B" w:rsidRDefault="00B60F0B" w14:paraId="5901FD78" w14:textId="22659103">
      <w:r w:rsidRPr="00B60F0B">
        <w:rPr>
          <w:b/>
          <w:bCs/>
        </w:rPr>
        <w:t>PERT Analysis Application</w:t>
      </w:r>
      <w:r w:rsidRPr="00B60F0B">
        <w:br/>
      </w:r>
      <w:r w:rsidRPr="0044224A" w:rsidR="0044224A">
        <w:t xml:space="preserve">PERT analysis only considers the activities that lie on the critical path because delays in these activities have a direct impact on the duration of the project. For each of the critical activities, time estimates are provided (optimistic, most likely, and pessimistic) to capture uncertainty in the logistics operations. The optimistic estimates rely on efficient coordination and stable systems, while the pessimist estimates consider potential delays that may occur due to technical failures or lack of resources. The most likely estimate represents normal operating conditions. Expected activity duration is calculated using the PERT formula TE = (O + 4M + P) / 6, while variance is calculated using ((P − O) / </w:t>
      </w:r>
      <w:r w:rsidRPr="0044224A" w:rsidR="0044224A">
        <w:t>6) ²</w:t>
      </w:r>
      <w:r w:rsidRPr="0044224A" w:rsidR="0044224A">
        <w:t>. Activities with higher variance contain higher risks to schedule and need to be monitored more closely. Applying PERT is only on the critical activities to provide better idea of forecasting and better reliability of the schedule in the complex logistic environments (Majka, 2024).</w:t>
      </w:r>
    </w:p>
    <w:p w:rsidRPr="0044224A" w:rsidR="0044224A" w:rsidP="0044224A" w:rsidRDefault="0044224A" w14:paraId="44226293" w14:textId="77777777">
      <w:pPr>
        <w:rPr>
          <w:b/>
          <w:bCs/>
        </w:rPr>
      </w:pPr>
      <w:r w:rsidRPr="0044224A">
        <w:rPr>
          <w:b/>
          <w:bCs/>
        </w:rPr>
        <w:t>Comparison of Project Duration</w:t>
      </w:r>
    </w:p>
    <w:p w:rsidR="0044224A" w:rsidP="0044224A" w:rsidRDefault="0044224A" w14:paraId="1A553A8F" w14:textId="12E05646">
      <w:r w:rsidRPr="0044224A">
        <w:t xml:space="preserve">The project duration computed </w:t>
      </w:r>
      <w:r w:rsidRPr="0044224A">
        <w:t>based on</w:t>
      </w:r>
      <w:r w:rsidRPr="0044224A">
        <w:t xml:space="preserve"> most-likely activity times is 112 days, as can be seen in the deterministic project schedule. With PERT expected times applied to the critical path activities, the total project duration is higher than the most-likely estimate of the project. This </w:t>
      </w:r>
      <w:r w:rsidRPr="0044224A">
        <w:t>increases is the result of the impact of uncertainty in the form of optimism, most likely, and pessimistic time estimates for critical activities. The PERT-based duration permits a more realistic scheduling, as it does consider potential delays that have to do with operational, technical, and resource related risks. Comparing the two durations points out that basing completion time on the most likely times can possibly underestimate the completion time; however, PERT analysis aids more risk-wary and dependable project planning.</w:t>
      </w:r>
    </w:p>
    <w:p w:rsidR="00B5526C" w:rsidP="00B60F0B" w:rsidRDefault="00B60F0B" w14:paraId="1317E1D8" w14:textId="33AD4C4F">
      <w:r w:rsidRPr="00B60F0B">
        <w:rPr>
          <w:b/>
          <w:bCs/>
        </w:rPr>
        <w:t>Risk Assessment Models</w:t>
      </w:r>
      <w:r w:rsidRPr="00B60F0B">
        <w:br/>
      </w:r>
      <w:r w:rsidRPr="0044224A" w:rsidR="0044224A">
        <w:t>A structured risk register is created to record identified risks, risk causes, likelihood of risk, impact of risk and risk ownership. This tool supports continuous monitoring during the life of the project. Risks are further prioritised in a probability-impact matrix, making it feasible to concentrate on high probability and high impact risks. High-risk critical activities are identified with the use of PERT variances and wide optimistic-pessimistic time ranges. Qualitative assessment is useful for making effective judgements when there is a lack of extensive numerical information in early stages of a project (Alexander, 2025).</w:t>
      </w:r>
    </w:p>
    <w:p w:rsidRPr="0044224A" w:rsidR="0044224A" w:rsidP="0044224A" w:rsidRDefault="0044224A" w14:paraId="123434FD" w14:textId="4C1AABBC">
      <w:pPr>
        <w:rPr>
          <w:b/>
          <w:bCs/>
        </w:rPr>
      </w:pPr>
      <w:r w:rsidRPr="0044224A">
        <w:rPr>
          <w:b/>
          <w:bCs/>
        </w:rPr>
        <w:t>Risk Identification</w:t>
      </w:r>
    </w:p>
    <w:p w:rsidR="0044224A" w:rsidP="0044224A" w:rsidRDefault="0044224A" w14:paraId="73AA5DF2" w14:textId="77E17ACA">
      <w:r>
        <w:t>Based on the PERT analysis, some critical path activities have high uncertainty and are, therefore, seen as high-risk activities. These activities have massive differences between optimistic and pessimistic time estimation, so they have higher variance value. Such variance means a higher probability of delays over the most-likely duration. Since these activities are on the critical path, any delay in these activities would effectively affect the overall completion time of the project. Identifying high-risk activities using the variance of PERT helps recognise schedule threats in advance and focus on them for monitoring and proactive risk management.</w:t>
      </w:r>
    </w:p>
    <w:p w:rsidRPr="00B60F0B" w:rsidR="00B60F0B" w:rsidP="04C8B898" w:rsidRDefault="00B60F0B" w14:paraId="277DEC08" w14:textId="01DA2ED2">
      <w:pPr>
        <w:jc w:val="left"/>
      </w:pPr>
      <w:r w:rsidRPr="04C8B898" w:rsidR="00B60F0B">
        <w:rPr>
          <w:b w:val="1"/>
          <w:bCs w:val="1"/>
        </w:rPr>
        <w:t>Risk Mitigation Strategies</w:t>
      </w:r>
      <w:r>
        <w:br/>
      </w:r>
      <w:r w:rsidR="00C933F9">
        <w:rPr/>
        <w:t xml:space="preserve">Risk mitigation strategies specifically are created for activities with high risks on the critical path as </w:t>
      </w:r>
      <w:r w:rsidR="00C933F9">
        <w:rPr/>
        <w:t>determined</w:t>
      </w:r>
      <w:r w:rsidR="00C933F9">
        <w:rPr/>
        <w:t xml:space="preserve"> by the PERT variance analysis. </w:t>
      </w:r>
      <w:r w:rsidR="00C933F9">
        <w:rPr/>
        <w:t>Additional</w:t>
      </w:r>
      <w:r w:rsidR="00C933F9">
        <w:rPr/>
        <w:t xml:space="preserve"> skilled resources are assigned to key activities with </w:t>
      </w:r>
      <w:r w:rsidR="00C933F9">
        <w:rPr/>
        <w:t>a high level</w:t>
      </w:r>
      <w:r w:rsidR="00C933F9">
        <w:rPr/>
        <w:t xml:space="preserve"> of uncertainty that can delay the activities </w:t>
      </w:r>
      <w:r w:rsidR="00C933F9">
        <w:rPr/>
        <w:t>as a result of</w:t>
      </w:r>
      <w:r w:rsidR="00C933F9">
        <w:rPr/>
        <w:t xml:space="preserve"> technical or operational problems. Schedule buffers are incorporated to absorb potential overruns on high variance critical activities without an impact on the overall completion of a project. Where this is possible, the selected tasks are run in parallel to reduce dependency delays and provide improved schedule flexibility. Continuous monitoring of critical activities is done through frequent progress reviews and tracking of milestones </w:t>
      </w:r>
      <w:r w:rsidR="00C933F9">
        <w:rPr/>
        <w:t>in order to</w:t>
      </w:r>
      <w:r w:rsidR="00C933F9">
        <w:rPr/>
        <w:t xml:space="preserve"> ensure that any deviations from the schedule are detected early. Lower impact risks are accepted but </w:t>
      </w:r>
      <w:r w:rsidR="00C933F9">
        <w:rPr/>
        <w:t>closely monitored and human resource risks are managed through staff involvement and targeted skills to support stable project implementation (Weiwei, 2018)</w:t>
      </w:r>
      <w:r w:rsidR="0044224A">
        <w:rPr/>
        <w:t>.</w:t>
      </w:r>
    </w:p>
    <w:p w:rsidR="00B60F0B" w:rsidP="00B60F0B" w:rsidRDefault="00B60F0B" w14:paraId="24D4B138" w14:textId="10D8CBA0">
      <w:r w:rsidRPr="00B60F0B">
        <w:rPr>
          <w:b/>
          <w:bCs/>
        </w:rPr>
        <w:t>Impact on Business Performance</w:t>
      </w:r>
      <w:r w:rsidRPr="00B60F0B">
        <w:br/>
      </w:r>
      <w:r w:rsidRPr="00B5526C" w:rsidR="00B5526C">
        <w:t xml:space="preserve">Risks that are not controlled may have a serious impact on the delivery reliability, cost, and reputation of the organisation. Risk management has a beneficial effect on the level of constant services, the cost, </w:t>
      </w:r>
      <w:r w:rsidR="00C620BC">
        <w:t>and</w:t>
      </w:r>
      <w:r w:rsidRPr="00B5526C" w:rsidR="00B5526C">
        <w:t xml:space="preserve"> the increase in operational resilience, which leads to sustainable business performance and customer trust (Stryker, 2024).</w:t>
      </w:r>
    </w:p>
    <w:p w:rsidRPr="00C620BC" w:rsidR="00C620BC" w:rsidP="00C620BC" w:rsidRDefault="00C620BC" w14:paraId="50A5E008" w14:textId="7EFADFB7">
      <w:pPr>
        <w:pStyle w:val="Heading1"/>
      </w:pPr>
      <w:bookmarkStart w:name="_Toc220506682" w:id="5"/>
      <w:r w:rsidRPr="00C620BC">
        <w:t>Costs of Individual Activities and Total Project Cost</w:t>
      </w:r>
      <w:bookmarkEnd w:id="5"/>
    </w:p>
    <w:p w:rsidRPr="00C620BC" w:rsidR="00C620BC" w:rsidP="00C620BC" w:rsidRDefault="00C620BC" w14:paraId="7DF89414" w14:textId="7212EF46">
      <w:r w:rsidRPr="00C620BC">
        <w:rPr>
          <w:b/>
          <w:bCs/>
        </w:rPr>
        <w:t>Cost Estimation Approach</w:t>
      </w:r>
      <w:r w:rsidRPr="00C620BC">
        <w:br/>
      </w:r>
      <w:r w:rsidRPr="00C620BC">
        <w:t xml:space="preserve">The total cost of the project was estimated through </w:t>
      </w:r>
      <w:r>
        <w:t xml:space="preserve">a </w:t>
      </w:r>
      <w:r w:rsidRPr="00C620BC">
        <w:t>bottom-up method</w:t>
      </w:r>
      <w:r>
        <w:t>,</w:t>
      </w:r>
      <w:r w:rsidRPr="00C620BC">
        <w:t xml:space="preserve"> depending on individual activities. The larger percentage of the budget is made up of labour costs and was estimated as </w:t>
      </w:r>
      <w:r>
        <w:t>on</w:t>
      </w:r>
      <w:r w:rsidRPr="00C620BC">
        <w:t xml:space="preserve"> the daily rates and working time. Estimates were made on warehouse staff and project coordination to be in the range of 250 per day</w:t>
      </w:r>
      <w:r>
        <w:t>,</w:t>
      </w:r>
      <w:r w:rsidRPr="00C620BC">
        <w:t xml:space="preserve"> and IT specialists at 400 per day. As an example, an implementation task that would take four days </w:t>
      </w:r>
      <w:r>
        <w:t>costs</w:t>
      </w:r>
      <w:r w:rsidRPr="00C620BC">
        <w:t xml:space="preserve"> the organisation 1,600 pounds of the IT labour. Technology and systems charges are system integration and software </w:t>
      </w:r>
      <w:r w:rsidRPr="00C620BC" w:rsidR="0044224A">
        <w:t>upgrades</w:t>
      </w:r>
      <w:r w:rsidR="0044224A">
        <w:t xml:space="preserve"> and</w:t>
      </w:r>
      <w:r w:rsidRPr="00C620BC">
        <w:t xml:space="preserve"> are projected as a fixed cost of £6,000. The estimated cost of training and consultancy was 3,500 pounds</w:t>
      </w:r>
      <w:r>
        <w:t>,</w:t>
      </w:r>
      <w:r w:rsidRPr="00C620BC">
        <w:t xml:space="preserve"> </w:t>
      </w:r>
      <w:r>
        <w:t>which</w:t>
      </w:r>
      <w:r w:rsidRPr="00C620BC">
        <w:t xml:space="preserve"> would help train the </w:t>
      </w:r>
      <w:r>
        <w:t>staff</w:t>
      </w:r>
      <w:r w:rsidRPr="00C620BC">
        <w:t xml:space="preserve"> and standardise the processes within the staff. To reflect the current cost management </w:t>
      </w:r>
      <w:r>
        <w:t>practice</w:t>
      </w:r>
      <w:r w:rsidRPr="00C620BC">
        <w:t xml:space="preserve"> in terms of control and flexibility, a contingency allowance of ten </w:t>
      </w:r>
      <w:r>
        <w:t>per cent</w:t>
      </w:r>
      <w:r w:rsidRPr="00C620BC">
        <w:t xml:space="preserve"> was included to reflect uncertainty and the unexpected costs (Chang, 2024).</w:t>
      </w:r>
    </w:p>
    <w:p w:rsidRPr="00C620BC" w:rsidR="00C620BC" w:rsidP="00C620BC" w:rsidRDefault="00C620BC" w14:paraId="0693A36A" w14:textId="2F170760">
      <w:r w:rsidRPr="00C620BC">
        <w:rPr>
          <w:b/>
          <w:bCs/>
        </w:rPr>
        <w:t>Activity-Based Costing</w:t>
      </w:r>
      <w:r w:rsidRPr="00C620BC">
        <w:br/>
      </w:r>
      <w:r w:rsidRPr="00C620BC">
        <w:t>Costs were allocated by individual project activities using the Activity-Based Costing</w:t>
      </w:r>
      <w:r>
        <w:t>.</w:t>
      </w:r>
      <w:r w:rsidRPr="00C620BC">
        <w:t xml:space="preserve"> Both activities were allocated a cost of labour, technology, and training depending on the real use of resources. Indicatively, design activities used larger IT </w:t>
      </w:r>
      <w:r>
        <w:t>resources</w:t>
      </w:r>
      <w:r w:rsidRPr="00C620BC">
        <w:t xml:space="preserve"> when compared to training activities, which used consultancy resources. The method enhances visibility of cost throughout a project lifecycle and facilitates proper comparison of planned and actual costs. Activity-Based Costing allows the managers to recognise high-cost activities and implement specific control measures in the necessary cases (Kenton, 2024).</w:t>
      </w:r>
    </w:p>
    <w:p w:rsidRPr="00C620BC" w:rsidR="00C620BC" w:rsidP="04C8B898" w:rsidRDefault="00C620BC" w14:paraId="68F0D633" w14:textId="6677245B">
      <w:pPr>
        <w:jc w:val="left"/>
      </w:pPr>
      <w:r w:rsidRPr="04C8B898" w:rsidR="00C620BC">
        <w:rPr>
          <w:b w:val="1"/>
          <w:bCs w:val="1"/>
        </w:rPr>
        <w:t>Total Project Cost Calculation</w:t>
      </w:r>
      <w:r>
        <w:br/>
      </w:r>
      <w:r w:rsidR="00C620BC">
        <w:rPr/>
        <w:t xml:space="preserve">The overall project cost was obtained by summing up all the activity costs. The cost of labour in all the activities was 28,000. The sum of money spent on technology and systems was a cost </w:t>
      </w:r>
      <w:r w:rsidR="00C620BC">
        <w:rPr/>
        <w:t>of £6,000, and training</w:t>
      </w:r>
      <w:r w:rsidR="00C620BC">
        <w:rPr/>
        <w:t>,</w:t>
      </w:r>
      <w:r w:rsidR="00C620BC">
        <w:rPr/>
        <w:t xml:space="preserve"> as well as consultancy</w:t>
      </w:r>
      <w:r w:rsidR="00C620BC">
        <w:rPr/>
        <w:t>,</w:t>
      </w:r>
      <w:r w:rsidR="00C620BC">
        <w:rPr/>
        <w:t xml:space="preserve"> came to a total cost of £3,500. There was hence a subtotal project cost of £37,500. A ten </w:t>
      </w:r>
      <w:r w:rsidR="00C620BC">
        <w:rPr/>
        <w:t>per cent</w:t>
      </w:r>
      <w:r w:rsidR="00C620BC">
        <w:rPr/>
        <w:t xml:space="preserve"> contingency was added to give a total project cost of 41250. Cost aggregation </w:t>
      </w:r>
      <w:r w:rsidR="00C620BC">
        <w:rPr/>
        <w:t>facilitates</w:t>
      </w:r>
      <w:r w:rsidR="00C620BC">
        <w:rPr/>
        <w:t xml:space="preserve"> </w:t>
      </w:r>
      <w:r w:rsidR="00C620BC">
        <w:rPr/>
        <w:t xml:space="preserve">a </w:t>
      </w:r>
      <w:r w:rsidR="00C620BC">
        <w:rPr/>
        <w:t xml:space="preserve">sizeable budget perspective and expenses activities of individuals on projects </w:t>
      </w:r>
      <w:r w:rsidR="00C620BC">
        <w:rPr/>
        <w:t>in accordance with</w:t>
      </w:r>
      <w:r w:rsidR="00C620BC">
        <w:rPr/>
        <w:t xml:space="preserve"> project goals at large (</w:t>
      </w:r>
      <w:r w:rsidR="00C620BC">
        <w:rPr/>
        <w:t>KnowledgeHut</w:t>
      </w:r>
      <w:r w:rsidR="00C620BC">
        <w:rPr/>
        <w:t>, 2024).</w:t>
      </w:r>
    </w:p>
    <w:p w:rsidR="00C620BC" w:rsidP="00C620BC" w:rsidRDefault="00C620BC" w14:paraId="4F87F10E" w14:textId="46B779B1">
      <w:r w:rsidRPr="00C620BC">
        <w:rPr>
          <w:noProof/>
        </w:rPr>
        <w:drawing>
          <wp:inline distT="0" distB="0" distL="0" distR="0" wp14:anchorId="07C466D4" wp14:editId="6BC9BD7E">
            <wp:extent cx="5731510" cy="4457700"/>
            <wp:effectExtent l="0" t="0" r="2540" b="0"/>
            <wp:docPr id="8231438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2314386" name=""/>
                    <pic:cNvPicPr/>
                  </pic:nvPicPr>
                  <pic:blipFill rotWithShape="1">
                    <a:blip r:embed="rId11"/>
                    <a:srcRect b="2283"/>
                    <a:stretch>
                      <a:fillRect/>
                    </a:stretch>
                  </pic:blipFill>
                  <pic:spPr bwMode="auto">
                    <a:xfrm>
                      <a:off x="0" y="0"/>
                      <a:ext cx="5731510" cy="4457700"/>
                    </a:xfrm>
                    <a:prstGeom prst="rect">
                      <a:avLst/>
                    </a:prstGeom>
                    <a:ln>
                      <a:noFill/>
                    </a:ln>
                    <a:extLst>
                      <a:ext uri="{53640926-AAD7-44D8-BBD7-CCE9431645EC}">
                        <a14:shadowObscured xmlns:a14="http://schemas.microsoft.com/office/drawing/2010/main"/>
                      </a:ext>
                    </a:extLst>
                  </pic:spPr>
                </pic:pic>
              </a:graphicData>
            </a:graphic>
          </wp:inline>
        </w:drawing>
      </w:r>
    </w:p>
    <w:p w:rsidRPr="00C620BC" w:rsidR="00C620BC" w:rsidP="00C620BC" w:rsidRDefault="00C620BC" w14:paraId="208296E4" w14:textId="1F3B67DC">
      <w:pPr>
        <w:jc w:val="center"/>
        <w:rPr>
          <w:b/>
          <w:bCs/>
          <w:i/>
          <w:iCs/>
        </w:rPr>
      </w:pPr>
      <w:r w:rsidRPr="00C620BC">
        <w:rPr>
          <w:b/>
          <w:bCs/>
          <w:i/>
          <w:iCs/>
        </w:rPr>
        <w:t>Table 1: Detailed Project Cost Calculations</w:t>
      </w:r>
    </w:p>
    <w:p w:rsidR="00C620BC" w:rsidP="00C620BC" w:rsidRDefault="00C620BC" w14:paraId="1BC4AF4A" w14:textId="77777777"/>
    <w:p w:rsidR="00C620BC" w:rsidP="00C620BC" w:rsidRDefault="00C620BC" w14:paraId="7A56414F" w14:textId="103B5711">
      <w:r w:rsidRPr="00C620BC">
        <w:rPr>
          <w:b/>
          <w:bCs/>
        </w:rPr>
        <w:t>Cost Control Considerations</w:t>
      </w:r>
      <w:r w:rsidRPr="00C620BC">
        <w:br/>
      </w:r>
      <w:r w:rsidRPr="00C620BC">
        <w:t>This was developed as a baseline cost of £41,250 as a guide to continued cost control. Planned costs are compared to actual costs on a regular basis to detect variances at an early stage. The use of simple cost tracking methods can ensure corrective measures and minimise the chances of cost overruns when implementing the project (Fanny, 2019).</w:t>
      </w:r>
    </w:p>
    <w:p w:rsidRPr="000B454D" w:rsidR="000B454D" w:rsidP="000B454D" w:rsidRDefault="000B454D" w14:paraId="17E444FB" w14:textId="516540BB">
      <w:pPr>
        <w:pStyle w:val="Heading1"/>
      </w:pPr>
      <w:bookmarkStart w:name="_Toc220506683" w:id="6"/>
      <w:r w:rsidRPr="000B454D">
        <w:t>Application of Crash Costing Techniques</w:t>
      </w:r>
      <w:bookmarkEnd w:id="6"/>
    </w:p>
    <w:p w:rsidR="0092393C" w:rsidP="000B454D" w:rsidRDefault="000B454D" w14:paraId="044C4183" w14:textId="1235E100">
      <w:r w:rsidRPr="000B454D">
        <w:rPr>
          <w:b/>
          <w:bCs/>
        </w:rPr>
        <w:t>Need for Schedule Compression</w:t>
      </w:r>
      <w:r w:rsidRPr="000B454D">
        <w:br/>
      </w:r>
      <w:r w:rsidRPr="0092393C" w:rsidR="0092393C">
        <w:t xml:space="preserve">The project necessitated schedule compression to attain </w:t>
      </w:r>
      <w:r w:rsidR="0092393C">
        <w:t xml:space="preserve">the </w:t>
      </w:r>
      <w:r w:rsidRPr="0092393C" w:rsidR="0092393C">
        <w:t xml:space="preserve">previous benefit of operation and </w:t>
      </w:r>
      <w:r w:rsidR="00EB62EF">
        <w:t>responsiveness</w:t>
      </w:r>
      <w:r w:rsidRPr="0092393C" w:rsidR="0092393C">
        <w:t xml:space="preserve"> in services. The fact that the total project time has been shortened by seven days helps in accelerating the process improvements and enhancing competitiveness. A shorter schedule will lower the likelihood of exposure to uncertainty and indirect overheads as well. Crash costing was thus chosen as a reasonable management reaction to time strain and</w:t>
      </w:r>
      <w:r w:rsidR="0092393C">
        <w:t>,</w:t>
      </w:r>
      <w:r w:rsidRPr="0092393C" w:rsidR="0092393C">
        <w:t xml:space="preserve"> at the same time</w:t>
      </w:r>
      <w:r w:rsidR="0092393C">
        <w:t>,</w:t>
      </w:r>
      <w:r w:rsidRPr="0092393C" w:rsidR="0092393C">
        <w:t xml:space="preserve"> </w:t>
      </w:r>
      <w:r w:rsidR="0092393C">
        <w:t xml:space="preserve">to </w:t>
      </w:r>
      <w:r w:rsidRPr="0092393C" w:rsidR="0092393C">
        <w:t>control the total project spending (Staff, 2025).</w:t>
      </w:r>
    </w:p>
    <w:p w:rsidR="0092393C" w:rsidP="0092393C" w:rsidRDefault="000B454D" w14:paraId="3B93952A" w14:textId="4AE6FC80">
      <w:r w:rsidRPr="000B454D">
        <w:rPr>
          <w:b/>
          <w:bCs/>
        </w:rPr>
        <w:t xml:space="preserve">Identification of </w:t>
      </w:r>
      <w:proofErr w:type="spellStart"/>
      <w:r w:rsidRPr="000B454D">
        <w:rPr>
          <w:b/>
          <w:bCs/>
        </w:rPr>
        <w:t>Crashable</w:t>
      </w:r>
      <w:proofErr w:type="spellEnd"/>
      <w:r w:rsidRPr="000B454D">
        <w:rPr>
          <w:b/>
          <w:bCs/>
        </w:rPr>
        <w:t xml:space="preserve"> Activities</w:t>
      </w:r>
      <w:r w:rsidRPr="000B454D">
        <w:br/>
      </w:r>
      <w:proofErr w:type="spellStart"/>
      <w:r w:rsidRPr="00F17377" w:rsidR="00F17377">
        <w:t>Crashable</w:t>
      </w:r>
      <w:proofErr w:type="spellEnd"/>
      <w:r w:rsidRPr="00F17377" w:rsidR="00F17377">
        <w:t xml:space="preserve"> activities were identified based on those from the critical path activity only, as the non-critical activities can shorten, but it would not decrease overall project duration. The selected activities were labour intensive implementation, testing activities that permitted additional resources to be applied without changing technical scope. These activities could be brought forward by overtime, extra staffing or parallel execution of tasks. Selection was based on the activities having the lowest incremental cost per day to satisfy schedule reduction in the most cost-effective way (Aayush Koirala, 2026)</w:t>
      </w:r>
      <w:r w:rsidRPr="0092393C" w:rsidR="0092393C">
        <w:t xml:space="preserve">. </w:t>
      </w:r>
    </w:p>
    <w:p w:rsidR="0092393C" w:rsidP="000B454D" w:rsidRDefault="000B454D" w14:paraId="2C90C708" w14:textId="3B84C4FB">
      <w:r w:rsidRPr="000B454D">
        <w:rPr>
          <w:b/>
          <w:bCs/>
        </w:rPr>
        <w:t>Crash Cost Calculations</w:t>
      </w:r>
      <w:r w:rsidRPr="000B454D">
        <w:br/>
      </w:r>
      <w:r w:rsidRPr="00F17377" w:rsidR="00F17377">
        <w:t xml:space="preserve">Under normal conditions, </w:t>
      </w:r>
      <w:r w:rsidRPr="00F17377" w:rsidR="00F17377">
        <w:t>several</w:t>
      </w:r>
      <w:r w:rsidRPr="00F17377" w:rsidR="00F17377">
        <w:t xml:space="preserve"> critical activities selected required several days for execution at a mean daily labour cost. Through an increase in labour input, durations of activities were reduced, leading to additional crash costs per day. Implementation and testing activities together were reduced by seven days altogether, resulting in incremental costs linked with overtime and temporary resources assignment. The total cost of the crash was acceptable when it was compared to the time savings on the time spent, which has demonstrated a favourable time-cost trade-off (</w:t>
      </w:r>
      <w:proofErr w:type="spellStart"/>
      <w:r w:rsidRPr="00F17377" w:rsidR="00F17377">
        <w:t>Alavipour</w:t>
      </w:r>
      <w:proofErr w:type="spellEnd"/>
      <w:r w:rsidRPr="00F17377" w:rsidR="00F17377">
        <w:t xml:space="preserve"> and Arditi, 2019).</w:t>
      </w:r>
    </w:p>
    <w:p w:rsidR="00F17377" w:rsidP="000B454D" w:rsidRDefault="00F17377" w14:paraId="53AB663B" w14:textId="77777777">
      <w:pPr>
        <w:rPr>
          <w:noProof/>
        </w:rPr>
      </w:pPr>
    </w:p>
    <w:p w:rsidR="00F17377" w:rsidP="000B454D" w:rsidRDefault="00F17377" w14:paraId="724947F5" w14:textId="77777777"/>
    <w:p w:rsidR="00F17377" w:rsidP="000B454D" w:rsidRDefault="00F17377" w14:paraId="2F7885C1" w14:textId="77777777">
      <w:pPr>
        <w:rPr>
          <w:noProof/>
        </w:rPr>
      </w:pPr>
    </w:p>
    <w:p w:rsidR="00F17377" w:rsidP="000B454D" w:rsidRDefault="00F17377" w14:paraId="5A20FBDD" w14:textId="77777777"/>
    <w:p w:rsidR="00F17377" w:rsidP="000B454D" w:rsidRDefault="00F17377" w14:paraId="32A00794" w14:textId="77777777"/>
    <w:p w:rsidR="00F17377" w:rsidP="000B454D" w:rsidRDefault="00F17377" w14:paraId="46A14286" w14:textId="77777777"/>
    <w:p w:rsidR="00F17377" w:rsidP="000B454D" w:rsidRDefault="00F17377" w14:paraId="1C1ACCF6" w14:textId="77777777"/>
    <w:p w:rsidR="00F17377" w:rsidP="000B454D" w:rsidRDefault="00F17377" w14:paraId="01A57840" w14:textId="77777777"/>
    <w:p w:rsidR="00F17377" w:rsidP="000B454D" w:rsidRDefault="00F17377" w14:paraId="22ECB42D" w14:textId="0578AD85">
      <w:r w:rsidRPr="00F17377">
        <w:t>For purpose of costing clarity, internal activity codes are used in the crash costing table, although the labels for the activities are not displayed in the revised network diagram.</w:t>
      </w:r>
    </w:p>
    <w:p w:rsidR="0092393C" w:rsidP="000B454D" w:rsidRDefault="0092393C" w14:paraId="5ECECA1C" w14:textId="3DAFF8E8">
      <w:r>
        <w:rPr>
          <w:noProof/>
        </w:rPr>
        <w:drawing>
          <wp:inline distT="0" distB="0" distL="0" distR="0" wp14:anchorId="1083BD25" wp14:editId="7DA4F366">
            <wp:extent cx="5730875" cy="3316605"/>
            <wp:effectExtent l="0" t="0" r="3175" b="0"/>
            <wp:docPr id="71974972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5730875" cy="3316605"/>
                    </a:xfrm>
                    <a:prstGeom prst="rect">
                      <a:avLst/>
                    </a:prstGeom>
                    <a:noFill/>
                  </pic:spPr>
                </pic:pic>
              </a:graphicData>
            </a:graphic>
          </wp:inline>
        </w:drawing>
      </w:r>
    </w:p>
    <w:p w:rsidRPr="0092393C" w:rsidR="0092393C" w:rsidP="0092393C" w:rsidRDefault="0092393C" w14:paraId="2D01DEBF" w14:textId="77777777">
      <w:pPr>
        <w:jc w:val="center"/>
        <w:rPr>
          <w:b/>
          <w:bCs/>
          <w:i/>
          <w:iCs/>
        </w:rPr>
      </w:pPr>
      <w:r w:rsidRPr="0092393C">
        <w:rPr>
          <w:b/>
          <w:bCs/>
          <w:i/>
          <w:iCs/>
        </w:rPr>
        <w:t>Table 2: Crash Costing Calculations and Schedule Reduction</w:t>
      </w:r>
    </w:p>
    <w:p w:rsidR="0092393C" w:rsidP="000B454D" w:rsidRDefault="000B454D" w14:paraId="5E7449E8" w14:textId="5405D108">
      <w:r w:rsidRPr="000B454D">
        <w:rPr>
          <w:b/>
          <w:bCs/>
        </w:rPr>
        <w:t>Revised Project Duration and Cost</w:t>
      </w:r>
      <w:r w:rsidRPr="000B454D">
        <w:br/>
      </w:r>
      <w:r w:rsidRPr="007542B3" w:rsidR="007542B3">
        <w:t>The crash costing analysis is focused on an important phase of the project implementation while the full improvement of the logistics programme takes a total duration of 112 days.</w:t>
      </w:r>
      <w:r w:rsidR="007542B3">
        <w:t xml:space="preserve"> </w:t>
      </w:r>
      <w:r w:rsidRPr="0092393C" w:rsidR="0092393C">
        <w:t xml:space="preserve">The initial schedule of thirty-two days of the project was cut to twenty-five days. It cost the original </w:t>
      </w:r>
      <w:r w:rsidR="0092393C">
        <w:t>project's</w:t>
      </w:r>
      <w:r w:rsidRPr="0092393C" w:rsidR="0092393C">
        <w:t xml:space="preserve"> typical cost of 41250</w:t>
      </w:r>
      <w:r w:rsidR="0092393C">
        <w:t>;</w:t>
      </w:r>
      <w:r w:rsidRPr="0092393C" w:rsidR="0092393C">
        <w:t xml:space="preserve"> crash costs were applied</w:t>
      </w:r>
      <w:r w:rsidR="0092393C">
        <w:t>,</w:t>
      </w:r>
      <w:r w:rsidRPr="0092393C" w:rsidR="0092393C">
        <w:t xml:space="preserve"> and the project cost was increased to 43600. The updated cost was also found to be reasonable in comparison with </w:t>
      </w:r>
      <w:r w:rsidR="0092393C">
        <w:t xml:space="preserve">the </w:t>
      </w:r>
      <w:r w:rsidRPr="0092393C" w:rsidR="0092393C">
        <w:t>time saved.</w:t>
      </w:r>
    </w:p>
    <w:tbl>
      <w:tblPr>
        <w:tblStyle w:val="GridTable4-Accent6"/>
        <w:tblW w:w="0" w:type="auto"/>
        <w:jc w:val="center"/>
        <w:tblLook w:val="04A0" w:firstRow="1" w:lastRow="0" w:firstColumn="1" w:lastColumn="0" w:noHBand="0" w:noVBand="1"/>
      </w:tblPr>
      <w:tblGrid>
        <w:gridCol w:w="2682"/>
        <w:gridCol w:w="1903"/>
        <w:gridCol w:w="1770"/>
      </w:tblGrid>
      <w:tr w:rsidRPr="0092393C" w:rsidR="0092393C" w:rsidTr="00A7640E" w14:paraId="6CBCEDFE" w14:textId="77777777">
        <w:trPr>
          <w:cnfStyle w:val="100000000000" w:firstRow="1" w:lastRow="0" w:firstColumn="0" w:lastColumn="0" w:oddVBand="0" w:evenVBand="0" w:oddHBand="0" w:evenHBand="0"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0" w:type="auto"/>
            <w:hideMark/>
          </w:tcPr>
          <w:p w:rsidRPr="0092393C" w:rsidR="0092393C" w:rsidP="0092393C" w:rsidRDefault="0092393C" w14:paraId="347DE7BB" w14:textId="77777777">
            <w:pPr>
              <w:spacing w:after="160"/>
            </w:pPr>
            <w:r w:rsidRPr="0092393C">
              <w:t>Item</w:t>
            </w:r>
          </w:p>
        </w:tc>
        <w:tc>
          <w:tcPr>
            <w:tcW w:w="0" w:type="auto"/>
            <w:hideMark/>
          </w:tcPr>
          <w:p w:rsidRPr="0092393C" w:rsidR="0092393C" w:rsidP="0092393C" w:rsidRDefault="0092393C" w14:paraId="5D2FCF1E" w14:textId="77777777">
            <w:pPr>
              <w:spacing w:after="160"/>
              <w:cnfStyle w:val="100000000000" w:firstRow="1" w:lastRow="0" w:firstColumn="0" w:lastColumn="0" w:oddVBand="0" w:evenVBand="0" w:oddHBand="0" w:evenHBand="0" w:firstRowFirstColumn="0" w:firstRowLastColumn="0" w:lastRowFirstColumn="0" w:lastRowLastColumn="0"/>
            </w:pPr>
            <w:r w:rsidRPr="0092393C">
              <w:t>Before Crashing</w:t>
            </w:r>
          </w:p>
        </w:tc>
        <w:tc>
          <w:tcPr>
            <w:tcW w:w="0" w:type="auto"/>
            <w:hideMark/>
          </w:tcPr>
          <w:p w:rsidRPr="0092393C" w:rsidR="0092393C" w:rsidP="0092393C" w:rsidRDefault="0092393C" w14:paraId="0E29981B" w14:textId="77777777">
            <w:pPr>
              <w:spacing w:after="160"/>
              <w:cnfStyle w:val="100000000000" w:firstRow="1" w:lastRow="0" w:firstColumn="0" w:lastColumn="0" w:oddVBand="0" w:evenVBand="0" w:oddHBand="0" w:evenHBand="0" w:firstRowFirstColumn="0" w:firstRowLastColumn="0" w:lastRowFirstColumn="0" w:lastRowLastColumn="0"/>
            </w:pPr>
            <w:r w:rsidRPr="0092393C">
              <w:t>After Crashing</w:t>
            </w:r>
          </w:p>
        </w:tc>
      </w:tr>
      <w:tr w:rsidRPr="0092393C" w:rsidR="0092393C" w:rsidTr="00A7640E" w14:paraId="7A5D1251" w14:textId="77777777">
        <w:trPr>
          <w:cnfStyle w:val="000000100000" w:firstRow="0" w:lastRow="0" w:firstColumn="0" w:lastColumn="0" w:oddVBand="0" w:evenVBand="0" w:oddHBand="1" w:evenHBand="0"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0" w:type="auto"/>
            <w:hideMark/>
          </w:tcPr>
          <w:p w:rsidRPr="0092393C" w:rsidR="0092393C" w:rsidP="0092393C" w:rsidRDefault="0092393C" w14:paraId="27030D3B" w14:textId="77777777">
            <w:pPr>
              <w:spacing w:after="160"/>
            </w:pPr>
            <w:r w:rsidRPr="0092393C">
              <w:t>Project Duration (Days)</w:t>
            </w:r>
          </w:p>
        </w:tc>
        <w:tc>
          <w:tcPr>
            <w:tcW w:w="0" w:type="auto"/>
            <w:hideMark/>
          </w:tcPr>
          <w:p w:rsidRPr="0092393C" w:rsidR="0092393C" w:rsidP="0092393C" w:rsidRDefault="0092393C" w14:paraId="3B1F4FE6" w14:textId="77777777">
            <w:pPr>
              <w:spacing w:after="160"/>
              <w:cnfStyle w:val="000000100000" w:firstRow="0" w:lastRow="0" w:firstColumn="0" w:lastColumn="0" w:oddVBand="0" w:evenVBand="0" w:oddHBand="1" w:evenHBand="0" w:firstRowFirstColumn="0" w:firstRowLastColumn="0" w:lastRowFirstColumn="0" w:lastRowLastColumn="0"/>
            </w:pPr>
            <w:r w:rsidRPr="0092393C">
              <w:t>32</w:t>
            </w:r>
          </w:p>
        </w:tc>
        <w:tc>
          <w:tcPr>
            <w:tcW w:w="0" w:type="auto"/>
            <w:hideMark/>
          </w:tcPr>
          <w:p w:rsidRPr="0092393C" w:rsidR="0092393C" w:rsidP="0092393C" w:rsidRDefault="0092393C" w14:paraId="3B48FEA0" w14:textId="77777777">
            <w:pPr>
              <w:spacing w:after="160"/>
              <w:cnfStyle w:val="000000100000" w:firstRow="0" w:lastRow="0" w:firstColumn="0" w:lastColumn="0" w:oddVBand="0" w:evenVBand="0" w:oddHBand="1" w:evenHBand="0" w:firstRowFirstColumn="0" w:firstRowLastColumn="0" w:lastRowFirstColumn="0" w:lastRowLastColumn="0"/>
            </w:pPr>
            <w:r w:rsidRPr="0092393C">
              <w:t>25</w:t>
            </w:r>
          </w:p>
        </w:tc>
      </w:tr>
      <w:tr w:rsidRPr="0092393C" w:rsidR="0092393C" w:rsidTr="00A7640E" w14:paraId="3A1312B7" w14:textId="77777777">
        <w:trPr>
          <w:jc w:val="center"/>
        </w:trPr>
        <w:tc>
          <w:tcPr>
            <w:cnfStyle w:val="001000000000" w:firstRow="0" w:lastRow="0" w:firstColumn="1" w:lastColumn="0" w:oddVBand="0" w:evenVBand="0" w:oddHBand="0" w:evenHBand="0" w:firstRowFirstColumn="0" w:firstRowLastColumn="0" w:lastRowFirstColumn="0" w:lastRowLastColumn="0"/>
            <w:tcW w:w="0" w:type="auto"/>
            <w:hideMark/>
          </w:tcPr>
          <w:p w:rsidRPr="0092393C" w:rsidR="0092393C" w:rsidP="0092393C" w:rsidRDefault="0092393C" w14:paraId="5F94B798" w14:textId="77777777">
            <w:pPr>
              <w:spacing w:after="160"/>
            </w:pPr>
            <w:r w:rsidRPr="0092393C">
              <w:t>Base Project Cost (£)</w:t>
            </w:r>
          </w:p>
        </w:tc>
        <w:tc>
          <w:tcPr>
            <w:tcW w:w="0" w:type="auto"/>
            <w:hideMark/>
          </w:tcPr>
          <w:p w:rsidRPr="0092393C" w:rsidR="0092393C" w:rsidP="0092393C" w:rsidRDefault="0092393C" w14:paraId="675419F5" w14:textId="77777777">
            <w:pPr>
              <w:spacing w:after="160"/>
              <w:cnfStyle w:val="000000000000" w:firstRow="0" w:lastRow="0" w:firstColumn="0" w:lastColumn="0" w:oddVBand="0" w:evenVBand="0" w:oddHBand="0" w:evenHBand="0" w:firstRowFirstColumn="0" w:firstRowLastColumn="0" w:lastRowFirstColumn="0" w:lastRowLastColumn="0"/>
            </w:pPr>
            <w:r w:rsidRPr="0092393C">
              <w:t>41,250</w:t>
            </w:r>
          </w:p>
        </w:tc>
        <w:tc>
          <w:tcPr>
            <w:tcW w:w="0" w:type="auto"/>
            <w:hideMark/>
          </w:tcPr>
          <w:p w:rsidRPr="0092393C" w:rsidR="0092393C" w:rsidP="0092393C" w:rsidRDefault="0092393C" w14:paraId="2074C0BF" w14:textId="77777777">
            <w:pPr>
              <w:spacing w:after="160"/>
              <w:cnfStyle w:val="000000000000" w:firstRow="0" w:lastRow="0" w:firstColumn="0" w:lastColumn="0" w:oddVBand="0" w:evenVBand="0" w:oddHBand="0" w:evenHBand="0" w:firstRowFirstColumn="0" w:firstRowLastColumn="0" w:lastRowFirstColumn="0" w:lastRowLastColumn="0"/>
            </w:pPr>
            <w:r w:rsidRPr="0092393C">
              <w:t>41,250</w:t>
            </w:r>
          </w:p>
        </w:tc>
      </w:tr>
      <w:tr w:rsidRPr="0092393C" w:rsidR="0092393C" w:rsidTr="00A7640E" w14:paraId="2B5BF163" w14:textId="77777777">
        <w:trPr>
          <w:cnfStyle w:val="000000100000" w:firstRow="0" w:lastRow="0" w:firstColumn="0" w:lastColumn="0" w:oddVBand="0" w:evenVBand="0" w:oddHBand="1" w:evenHBand="0"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0" w:type="auto"/>
            <w:hideMark/>
          </w:tcPr>
          <w:p w:rsidRPr="0092393C" w:rsidR="0092393C" w:rsidP="0092393C" w:rsidRDefault="0092393C" w14:paraId="08C1BA38" w14:textId="77777777">
            <w:pPr>
              <w:spacing w:after="160"/>
            </w:pPr>
            <w:r w:rsidRPr="0092393C">
              <w:t>Total Crash Cost (£)</w:t>
            </w:r>
          </w:p>
        </w:tc>
        <w:tc>
          <w:tcPr>
            <w:tcW w:w="0" w:type="auto"/>
            <w:hideMark/>
          </w:tcPr>
          <w:p w:rsidRPr="0092393C" w:rsidR="0092393C" w:rsidP="0092393C" w:rsidRDefault="0092393C" w14:paraId="0B11B19E" w14:textId="77777777">
            <w:pPr>
              <w:spacing w:after="160"/>
              <w:cnfStyle w:val="000000100000" w:firstRow="0" w:lastRow="0" w:firstColumn="0" w:lastColumn="0" w:oddVBand="0" w:evenVBand="0" w:oddHBand="1" w:evenHBand="0" w:firstRowFirstColumn="0" w:firstRowLastColumn="0" w:lastRowFirstColumn="0" w:lastRowLastColumn="0"/>
            </w:pPr>
            <w:r w:rsidRPr="0092393C">
              <w:t>—</w:t>
            </w:r>
          </w:p>
        </w:tc>
        <w:tc>
          <w:tcPr>
            <w:tcW w:w="0" w:type="auto"/>
            <w:hideMark/>
          </w:tcPr>
          <w:p w:rsidRPr="0092393C" w:rsidR="0092393C" w:rsidP="0092393C" w:rsidRDefault="0092393C" w14:paraId="40D7A183" w14:textId="77777777">
            <w:pPr>
              <w:spacing w:after="160"/>
              <w:cnfStyle w:val="000000100000" w:firstRow="0" w:lastRow="0" w:firstColumn="0" w:lastColumn="0" w:oddVBand="0" w:evenVBand="0" w:oddHBand="1" w:evenHBand="0" w:firstRowFirstColumn="0" w:firstRowLastColumn="0" w:lastRowFirstColumn="0" w:lastRowLastColumn="0"/>
            </w:pPr>
            <w:r w:rsidRPr="0092393C">
              <w:t>1,700</w:t>
            </w:r>
          </w:p>
        </w:tc>
      </w:tr>
      <w:tr w:rsidRPr="0092393C" w:rsidR="0092393C" w:rsidTr="00A7640E" w14:paraId="2D0F5948" w14:textId="77777777">
        <w:trPr>
          <w:jc w:val="center"/>
        </w:trPr>
        <w:tc>
          <w:tcPr>
            <w:cnfStyle w:val="001000000000" w:firstRow="0" w:lastRow="0" w:firstColumn="1" w:lastColumn="0" w:oddVBand="0" w:evenVBand="0" w:oddHBand="0" w:evenHBand="0" w:firstRowFirstColumn="0" w:firstRowLastColumn="0" w:lastRowFirstColumn="0" w:lastRowLastColumn="0"/>
            <w:tcW w:w="0" w:type="auto"/>
            <w:hideMark/>
          </w:tcPr>
          <w:p w:rsidRPr="0092393C" w:rsidR="0092393C" w:rsidP="0092393C" w:rsidRDefault="0092393C" w14:paraId="014831CB" w14:textId="77777777">
            <w:pPr>
              <w:spacing w:after="160"/>
            </w:pPr>
            <w:r w:rsidRPr="0092393C">
              <w:t>Final Project Cost (£)</w:t>
            </w:r>
          </w:p>
        </w:tc>
        <w:tc>
          <w:tcPr>
            <w:tcW w:w="0" w:type="auto"/>
            <w:hideMark/>
          </w:tcPr>
          <w:p w:rsidRPr="0092393C" w:rsidR="0092393C" w:rsidP="0092393C" w:rsidRDefault="0092393C" w14:paraId="49AAEF85" w14:textId="77777777">
            <w:pPr>
              <w:spacing w:after="160"/>
              <w:cnfStyle w:val="000000000000" w:firstRow="0" w:lastRow="0" w:firstColumn="0" w:lastColumn="0" w:oddVBand="0" w:evenVBand="0" w:oddHBand="0" w:evenHBand="0" w:firstRowFirstColumn="0" w:firstRowLastColumn="0" w:lastRowFirstColumn="0" w:lastRowLastColumn="0"/>
            </w:pPr>
            <w:r w:rsidRPr="0092393C">
              <w:rPr>
                <w:b/>
                <w:bCs/>
              </w:rPr>
              <w:t>41,250</w:t>
            </w:r>
          </w:p>
        </w:tc>
        <w:tc>
          <w:tcPr>
            <w:tcW w:w="0" w:type="auto"/>
            <w:hideMark/>
          </w:tcPr>
          <w:p w:rsidRPr="0092393C" w:rsidR="0092393C" w:rsidP="0092393C" w:rsidRDefault="0092393C" w14:paraId="3DB392B1" w14:textId="77777777">
            <w:pPr>
              <w:spacing w:after="160"/>
              <w:cnfStyle w:val="000000000000" w:firstRow="0" w:lastRow="0" w:firstColumn="0" w:lastColumn="0" w:oddVBand="0" w:evenVBand="0" w:oddHBand="0" w:evenHBand="0" w:firstRowFirstColumn="0" w:firstRowLastColumn="0" w:lastRowFirstColumn="0" w:lastRowLastColumn="0"/>
            </w:pPr>
            <w:r w:rsidRPr="0092393C">
              <w:rPr>
                <w:b/>
                <w:bCs/>
              </w:rPr>
              <w:t>42,950</w:t>
            </w:r>
          </w:p>
        </w:tc>
      </w:tr>
    </w:tbl>
    <w:p w:rsidRPr="0092393C" w:rsidR="000B454D" w:rsidP="0092393C" w:rsidRDefault="0092393C" w14:paraId="0C691753" w14:textId="72918F15">
      <w:pPr>
        <w:jc w:val="center"/>
        <w:rPr>
          <w:b/>
          <w:bCs/>
          <w:i/>
          <w:iCs/>
        </w:rPr>
      </w:pPr>
      <w:r w:rsidRPr="0092393C">
        <w:rPr>
          <w:b/>
          <w:bCs/>
          <w:i/>
          <w:iCs/>
        </w:rPr>
        <w:t>Table 3: Project Duration and Cost Comparison</w:t>
      </w:r>
    </w:p>
    <w:p w:rsidRPr="0092393C" w:rsidR="0092393C" w:rsidP="0092393C" w:rsidRDefault="000B454D" w14:paraId="71F8D340" w14:textId="1FBD64C9">
      <w:r w:rsidRPr="000B454D">
        <w:rPr>
          <w:b/>
          <w:bCs/>
        </w:rPr>
        <w:t>Evaluation of Trade-offs</w:t>
      </w:r>
      <w:r w:rsidRPr="000B454D">
        <w:br/>
      </w:r>
      <w:r w:rsidRPr="0092393C" w:rsidR="0092393C">
        <w:t xml:space="preserve">Analysis of </w:t>
      </w:r>
      <w:r w:rsidR="0092393C">
        <w:t xml:space="preserve">the </w:t>
      </w:r>
      <w:r w:rsidRPr="0092393C" w:rsidR="0092393C">
        <w:t xml:space="preserve">time costs trade-off indicates that even a moderate rise in costs can provide </w:t>
      </w:r>
      <w:r w:rsidRPr="0092393C" w:rsidR="0092393C">
        <w:t>substantial schedule cuts. Nevertheless, crashing also poses threats like employee fatigue and coordination stress, which should be addressed thoroughly to safeguard the quality and safety results (Mohamed et al., 2021).</w:t>
      </w:r>
    </w:p>
    <w:p w:rsidRPr="00814D58" w:rsidR="00814D58" w:rsidP="00814D58" w:rsidRDefault="00814D58" w14:paraId="36CBE422" w14:textId="7CFF6988">
      <w:pPr>
        <w:pStyle w:val="Heading1"/>
      </w:pPr>
      <w:bookmarkStart w:name="_Toc220506684" w:id="7"/>
      <w:r w:rsidRPr="00814D58">
        <w:t>Project Handover Issues</w:t>
      </w:r>
      <w:bookmarkEnd w:id="7"/>
    </w:p>
    <w:p w:rsidRPr="00814D58" w:rsidR="00814D58" w:rsidP="00814D58" w:rsidRDefault="00814D58" w14:paraId="46FBC9C9" w14:textId="4A88831F">
      <w:r w:rsidRPr="00814D58">
        <w:rPr>
          <w:b/>
          <w:bCs/>
        </w:rPr>
        <w:t>Handover Process</w:t>
      </w:r>
      <w:r w:rsidRPr="00814D58">
        <w:br/>
      </w:r>
      <w:r w:rsidRPr="00814D58">
        <w:t xml:space="preserve">The project handover is the effective reporting of the project team to the operational teams. Control, systems, and processes ownership are handed over to </w:t>
      </w:r>
      <w:r>
        <w:t>ensure</w:t>
      </w:r>
      <w:r w:rsidRPr="00814D58">
        <w:t xml:space="preserve"> continuity in the daily operations. John suggests that proper documentation is needed </w:t>
      </w:r>
      <w:r>
        <w:t>to support</w:t>
      </w:r>
      <w:r w:rsidRPr="00814D58">
        <w:t xml:space="preserve"> good knowledge transfer and </w:t>
      </w:r>
      <w:r>
        <w:t>lessen</w:t>
      </w:r>
      <w:r w:rsidRPr="00814D58">
        <w:t xml:space="preserve"> the reliance on the project staff. Training programmes are also provided to the operational users so that they will be confident and competent to handle the new processes. Organised handover strategy promotes responsibility and sustainability of operations (Aion Law Partners, 2024). </w:t>
      </w:r>
    </w:p>
    <w:p w:rsidRPr="00814D58" w:rsidR="00814D58" w:rsidP="00814D58" w:rsidRDefault="00814D58" w14:paraId="44791144" w14:textId="09B461A1">
      <w:r w:rsidRPr="00814D58">
        <w:rPr>
          <w:b/>
          <w:bCs/>
        </w:rPr>
        <w:t>Key Handover Risks</w:t>
      </w:r>
      <w:r w:rsidRPr="00814D58">
        <w:br/>
      </w:r>
      <w:r w:rsidRPr="00814D58">
        <w:t xml:space="preserve">Unless handled closely, several risks can impact on successful handover. The loss of knowledge may take place when a </w:t>
      </w:r>
      <w:r>
        <w:t>project's</w:t>
      </w:r>
      <w:r w:rsidRPr="00814D58">
        <w:t xml:space="preserve"> expertise is not documented or shared completely. Change resistance can also be experienced when operational employees are too late or feel that they were disregarded during the initial phases of the project. The failure to accept completely might be caused by the inability of users to realise new duties or the system operation. These risks might decrease project value and alter </w:t>
      </w:r>
      <w:r>
        <w:t>post-project</w:t>
      </w:r>
      <w:r w:rsidRPr="00814D58">
        <w:t xml:space="preserve"> performance.</w:t>
      </w:r>
    </w:p>
    <w:p w:rsidRPr="00C620BC" w:rsidR="00C620BC" w:rsidP="04C8B898" w:rsidRDefault="00814D58" w14:paraId="35FF5C31" w14:textId="59054EFF">
      <w:pPr>
        <w:jc w:val="left"/>
      </w:pPr>
      <w:r w:rsidRPr="04C8B898" w:rsidR="00814D58">
        <w:rPr>
          <w:b w:val="1"/>
          <w:bCs w:val="1"/>
        </w:rPr>
        <w:t>Client Awareness and Controls</w:t>
      </w:r>
      <w:r>
        <w:br/>
      </w:r>
      <w:r w:rsidR="00814D58">
        <w:rPr/>
        <w:t xml:space="preserve">There are clear acceptance criteria that are used to verify that the deliverables are in the agreed requirements. The understanding of the clients is </w:t>
      </w:r>
      <w:r w:rsidR="00814D58">
        <w:rPr/>
        <w:t>assisted</w:t>
      </w:r>
      <w:r w:rsidR="00814D58">
        <w:rPr/>
        <w:t xml:space="preserve"> by briefings, user guides, and demonstration sessions. The </w:t>
      </w:r>
      <w:r w:rsidR="00814D58">
        <w:rPr/>
        <w:t>post-implementation</w:t>
      </w:r>
      <w:r w:rsidR="00814D58">
        <w:rPr/>
        <w:t xml:space="preserve"> reviews </w:t>
      </w:r>
      <w:r w:rsidR="00814D58">
        <w:rPr/>
        <w:t>assist</w:t>
      </w:r>
      <w:r w:rsidR="00814D58">
        <w:rPr/>
        <w:t xml:space="preserve"> in </w:t>
      </w:r>
      <w:r w:rsidR="00814D58">
        <w:rPr/>
        <w:t xml:space="preserve">the </w:t>
      </w:r>
      <w:r w:rsidR="00814D58">
        <w:rPr/>
        <w:t>measurement of problems and benefits realisation. Short-term support helps to achieve quick resolution of problems and builds confidence among the users on the transition side</w:t>
      </w:r>
      <w:r w:rsidR="00EB62EF">
        <w:rPr/>
        <w:t>,</w:t>
      </w:r>
      <w:r w:rsidR="00814D58">
        <w:rPr/>
        <w:t xml:space="preserve"> making the handover more effective and adopted in the long-term (Legaspi et al., 2022).</w:t>
      </w:r>
    </w:p>
    <w:p w:rsidR="00814D58" w:rsidP="00814D58" w:rsidRDefault="00814D58" w14:paraId="67FFECFC" w14:textId="5437CA32">
      <w:pPr>
        <w:pStyle w:val="Heading1"/>
      </w:pPr>
      <w:bookmarkStart w:name="_Toc220506685" w:id="8"/>
      <w:r>
        <w:t>Conclusion</w:t>
      </w:r>
      <w:bookmarkEnd w:id="8"/>
    </w:p>
    <w:p w:rsidRPr="00B60F0B" w:rsidR="00C620BC" w:rsidP="00814D58" w:rsidRDefault="00814D58" w14:paraId="741DF813" w14:textId="2B741D67">
      <w:r>
        <w:t xml:space="preserve">The project has shown how structured project management skills could be used successfully in an intricate operational setting. Such tools as network </w:t>
      </w:r>
      <w:r w:rsidR="00EB62EF">
        <w:t>diagrams</w:t>
      </w:r>
      <w:r>
        <w:t>, critical path analysis, Gantt charts, risk management, cost estimation, and crash costing were used consistently to help in planning and control. Project objectives were largely reached</w:t>
      </w:r>
      <w:r w:rsidR="00EB62EF">
        <w:t>,</w:t>
      </w:r>
      <w:r>
        <w:t xml:space="preserve"> where improvements were </w:t>
      </w:r>
      <w:r>
        <w:t>explicit and schedule</w:t>
      </w:r>
      <w:r w:rsidR="00EB62EF">
        <w:t>,</w:t>
      </w:r>
      <w:r>
        <w:t xml:space="preserve"> and costs became more transparent, and risk visibility was also improved. Crash costing was effective in </w:t>
      </w:r>
      <w:r w:rsidR="00EB62EF">
        <w:t xml:space="preserve">the </w:t>
      </w:r>
      <w:r>
        <w:t>project</w:t>
      </w:r>
      <w:r w:rsidR="00EB62EF">
        <w:t>,</w:t>
      </w:r>
      <w:r>
        <w:t xml:space="preserve"> reducing the project duration, whereas the cost impacts were properly considered and explained. The management of risk and communication planning were helpful in the coordination and minimising team uncertainty. By and large, this project brings out the importance of systematic project management methodologies in reducing complexities, aiding decision making processes and contributing to the performance outcome in the initiative of operational improvements.</w:t>
      </w:r>
    </w:p>
    <w:p w:rsidRPr="003278B0" w:rsidR="001834FC" w:rsidP="008C18BE" w:rsidRDefault="001834FC" w14:paraId="3681A04B" w14:textId="414344A2">
      <w:pPr>
        <w:rPr>
          <w:b/>
          <w:bCs/>
        </w:rPr>
      </w:pPr>
      <w:r>
        <w:br w:type="page"/>
      </w:r>
    </w:p>
    <w:p w:rsidRPr="000F02BF" w:rsidR="00814D58" w:rsidP="00814D58" w:rsidRDefault="001834FC" w14:paraId="79206C9C" w14:textId="26A1491D">
      <w:pPr>
        <w:pStyle w:val="Heading1"/>
      </w:pPr>
      <w:bookmarkStart w:name="_Toc220506686" w:id="9"/>
      <w:r>
        <w:t>Reference</w:t>
      </w:r>
      <w:r w:rsidR="00814D58">
        <w:t>s</w:t>
      </w:r>
      <w:bookmarkEnd w:id="9"/>
      <w:r>
        <w:t xml:space="preserve"> </w:t>
      </w:r>
    </w:p>
    <w:p w:rsidRPr="000B454D" w:rsidR="00814D58" w:rsidP="00814D58" w:rsidRDefault="00814D58" w14:paraId="7F11D4EB" w14:textId="77777777">
      <w:r w:rsidRPr="000B454D">
        <w:t xml:space="preserve">Aayush Koirala (2026). </w:t>
      </w:r>
      <w:r w:rsidRPr="00814D58">
        <w:rPr>
          <w:i/>
          <w:iCs/>
        </w:rPr>
        <w:t>Project Crash Slide</w:t>
      </w:r>
      <w:r w:rsidRPr="000B454D">
        <w:t>. [online] Scribd. Available at: https://www.scribd.com/presentation/372166069/Project-Crash-Slide [Accessed 9 Jan. 2026].</w:t>
      </w:r>
    </w:p>
    <w:p w:rsidRPr="000B454D" w:rsidR="00814D58" w:rsidP="00814D58" w:rsidRDefault="00814D58" w14:paraId="6A223F9E" w14:textId="3B34B2A2">
      <w:proofErr w:type="spellStart"/>
      <w:r w:rsidRPr="000B454D">
        <w:t>Alavipour</w:t>
      </w:r>
      <w:proofErr w:type="spellEnd"/>
      <w:r w:rsidRPr="000B454D">
        <w:t xml:space="preserve">, S.M.R. and Arditi, D. (2019). Time-cost </w:t>
      </w:r>
      <w:proofErr w:type="spellStart"/>
      <w:r w:rsidRPr="000B454D">
        <w:t>tradeoff</w:t>
      </w:r>
      <w:proofErr w:type="spellEnd"/>
      <w:r w:rsidRPr="000B454D">
        <w:t xml:space="preserve"> analysis with </w:t>
      </w:r>
      <w:r>
        <w:t>minimised</w:t>
      </w:r>
      <w:r w:rsidRPr="000B454D">
        <w:t xml:space="preserve"> project financing cost. </w:t>
      </w:r>
      <w:r w:rsidRPr="00814D58">
        <w:rPr>
          <w:i/>
          <w:iCs/>
        </w:rPr>
        <w:t>Automation in Construction</w:t>
      </w:r>
      <w:r w:rsidRPr="000B454D">
        <w:t xml:space="preserve">, 98, pp.110–121. </w:t>
      </w:r>
      <w:proofErr w:type="spellStart"/>
      <w:r w:rsidRPr="000B454D">
        <w:t>doi</w:t>
      </w:r>
      <w:proofErr w:type="spellEnd"/>
      <w:r w:rsidRPr="000B454D">
        <w:t>: https://doi.org/10.1016/j.autcon.2018.09.009.</w:t>
      </w:r>
    </w:p>
    <w:p w:rsidRPr="00B60F0B" w:rsidR="00814D58" w:rsidP="00814D58" w:rsidRDefault="00814D58" w14:paraId="3EEF812A" w14:textId="77777777">
      <w:r w:rsidRPr="00B60F0B">
        <w:t xml:space="preserve">Alexander, L. (2025). </w:t>
      </w:r>
      <w:r w:rsidRPr="00814D58">
        <w:rPr>
          <w:i/>
          <w:iCs/>
        </w:rPr>
        <w:t>RISK REGISTER DEVELOPMENT AND IMPLEMENTATION: A PRACTICAL GUIDE FOR CONSTRUCTION PROJECT TEAMS</w:t>
      </w:r>
      <w:r w:rsidRPr="00B60F0B">
        <w:t>. [online] Available at: https://www.researchgate.net/publication/392666205_RISK_REGISTER_DEVELOPMENT_AND_IMPLEMENTATION_A_PRACTICAL_GUIDE_FOR_CONSTRUCTION_PROJECT_TEAMS.</w:t>
      </w:r>
    </w:p>
    <w:p w:rsidRPr="003278B0" w:rsidR="00814D58" w:rsidP="00814D58" w:rsidRDefault="00814D58" w14:paraId="053B1043" w14:textId="77777777">
      <w:r w:rsidRPr="003278B0">
        <w:t xml:space="preserve">APAC Business Standard (2024). </w:t>
      </w:r>
      <w:r w:rsidRPr="00814D58">
        <w:rPr>
          <w:i/>
          <w:iCs/>
        </w:rPr>
        <w:t>APAC Business Standard</w:t>
      </w:r>
      <w:r w:rsidRPr="003278B0">
        <w:t>. [online] Business Publishers in APAC. Available at: https://apacbusinessstandard.com/challenges-of-cross-functional-collaboration-and-solutions-to-fix-them/.</w:t>
      </w:r>
    </w:p>
    <w:p w:rsidRPr="003278B0" w:rsidR="00814D58" w:rsidP="00814D58" w:rsidRDefault="00814D58" w14:paraId="45EB9250" w14:textId="3E0C9F5A">
      <w:r w:rsidRPr="003278B0">
        <w:t xml:space="preserve">Brown, H., Jacobson, S., Cockrell, M., Sutt, J., Allen, K. and Copeland, A. (2021). A Five-Step Stakeholder Communication Plan for More Effective Natural Resource Management. </w:t>
      </w:r>
      <w:r w:rsidRPr="00814D58">
        <w:rPr>
          <w:i/>
          <w:iCs/>
        </w:rPr>
        <w:t>Journal of Extension</w:t>
      </w:r>
      <w:r w:rsidRPr="003278B0">
        <w:t xml:space="preserve">, 59(Autumn 2021). </w:t>
      </w:r>
      <w:proofErr w:type="spellStart"/>
      <w:r w:rsidRPr="003278B0">
        <w:t>doi</w:t>
      </w:r>
      <w:proofErr w:type="spellEnd"/>
      <w:r w:rsidRPr="003278B0">
        <w:t>: https://doi.org/10.34068/joe.59.04.06.</w:t>
      </w:r>
    </w:p>
    <w:p w:rsidRPr="00B5526C" w:rsidR="00814D58" w:rsidP="04C8B898" w:rsidRDefault="00814D58" w14:paraId="7958D4D6" w14:textId="77777777">
      <w:pPr>
        <w:jc w:val="left"/>
      </w:pPr>
      <w:r w:rsidR="00814D58">
        <w:rPr/>
        <w:t xml:space="preserve">Chang, M. (2024). </w:t>
      </w:r>
      <w:r w:rsidRPr="04C8B898" w:rsidR="00814D58">
        <w:rPr>
          <w:i w:val="1"/>
          <w:iCs w:val="1"/>
        </w:rPr>
        <w:t>Research on Modern Corporate Cost Management and Cost Control Methods</w:t>
      </w:r>
      <w:r w:rsidR="00814D58">
        <w:rPr/>
        <w:t>. [online] ResearchGate. Available at: https://www.researchgate.net/publication/380148088_Research_on_Modern_Corporate_Cost_Management_and_Cost_Control_Methods.</w:t>
      </w:r>
    </w:p>
    <w:p w:rsidRPr="003278B0" w:rsidR="00814D58" w:rsidP="00814D58" w:rsidRDefault="00814D58" w14:paraId="5FEA0469" w14:textId="58B17E7B">
      <w:proofErr w:type="spellStart"/>
      <w:r w:rsidRPr="003278B0">
        <w:t>Dietrichson</w:t>
      </w:r>
      <w:proofErr w:type="spellEnd"/>
      <w:r w:rsidRPr="003278B0">
        <w:t xml:space="preserve">, J., Gudmundsson, J. and Jochem, T. (2022). Why don’t we talk about it? Communication and coordination in teams. </w:t>
      </w:r>
      <w:r w:rsidRPr="00814D58">
        <w:rPr>
          <w:i/>
          <w:iCs/>
        </w:rPr>
        <w:t>Journal of Economic Behaviour &amp; Organisation</w:t>
      </w:r>
      <w:r w:rsidRPr="003278B0">
        <w:t xml:space="preserve">, 197, pp.257–278. </w:t>
      </w:r>
      <w:proofErr w:type="spellStart"/>
      <w:r w:rsidRPr="003278B0">
        <w:t>doi</w:t>
      </w:r>
      <w:proofErr w:type="spellEnd"/>
      <w:r w:rsidRPr="003278B0">
        <w:t>: https://doi.org/10.1016/j.jebo.2022.02.018.</w:t>
      </w:r>
    </w:p>
    <w:p w:rsidRPr="00B5526C" w:rsidR="00814D58" w:rsidP="00814D58" w:rsidRDefault="00814D58" w14:paraId="2FB814ED" w14:textId="27EB1547">
      <w:r w:rsidRPr="00B5526C">
        <w:t xml:space="preserve">Fanny, F. (2019). A Simple Method for Cost Estimating and Controlling. </w:t>
      </w:r>
      <w:r w:rsidRPr="00814D58">
        <w:rPr>
          <w:i/>
          <w:iCs/>
        </w:rPr>
        <w:t>International Journal of New Media Technology</w:t>
      </w:r>
      <w:r w:rsidRPr="00B5526C">
        <w:t xml:space="preserve">, 5(2), pp.58–61. </w:t>
      </w:r>
      <w:proofErr w:type="spellStart"/>
      <w:r w:rsidRPr="00B5526C">
        <w:t>doi</w:t>
      </w:r>
      <w:proofErr w:type="spellEnd"/>
      <w:r w:rsidRPr="00B5526C">
        <w:t>: https://doi.org/10.31937/ijnmt.v5i2.833.</w:t>
      </w:r>
    </w:p>
    <w:p w:rsidRPr="00FF7222" w:rsidR="00814D58" w:rsidP="04C8B898" w:rsidRDefault="00814D58" w14:paraId="44078756" w14:textId="77777777">
      <w:pPr>
        <w:jc w:val="left"/>
      </w:pPr>
      <w:r w:rsidR="00814D58">
        <w:rPr/>
        <w:t xml:space="preserve">Hossein </w:t>
      </w:r>
      <w:r w:rsidR="00814D58">
        <w:rPr/>
        <w:t>Bodaghi</w:t>
      </w:r>
      <w:r w:rsidR="00814D58">
        <w:rPr/>
        <w:t xml:space="preserve"> Khajeh </w:t>
      </w:r>
      <w:r w:rsidR="00814D58">
        <w:rPr/>
        <w:t>Nobar</w:t>
      </w:r>
      <w:r w:rsidR="00814D58">
        <w:rPr/>
        <w:t xml:space="preserve"> and Reza Rostamzadeh (2018). </w:t>
      </w:r>
      <w:r w:rsidRPr="04C8B898" w:rsidR="00814D58">
        <w:rPr>
          <w:i w:val="1"/>
          <w:iCs w:val="1"/>
        </w:rPr>
        <w:t xml:space="preserve">The impact of customer satisfaction, customer </w:t>
      </w:r>
      <w:r w:rsidRPr="04C8B898" w:rsidR="00814D58">
        <w:rPr>
          <w:i w:val="1"/>
          <w:iCs w:val="1"/>
        </w:rPr>
        <w:t>experience</w:t>
      </w:r>
      <w:r w:rsidRPr="04C8B898" w:rsidR="00814D58">
        <w:rPr>
          <w:i w:val="1"/>
          <w:iCs w:val="1"/>
        </w:rPr>
        <w:t xml:space="preserve"> and customer loyalty on brand power: Empirical...</w:t>
      </w:r>
      <w:r w:rsidR="00814D58">
        <w:rPr/>
        <w:t xml:space="preserve"> [online] ResearchGate. Available at: https://www.researchgate.net/publication/328219595_The_impact_of_customer_satisfaction_</w:t>
      </w:r>
      <w:r w:rsidR="00814D58">
        <w:rPr/>
        <w:t>customer_experience_and_customer_loyalty_on_brand_power_Empirical_evidence_from_hotel_industry.</w:t>
      </w:r>
    </w:p>
    <w:p w:rsidRPr="0092393C" w:rsidR="00814D58" w:rsidP="00814D58" w:rsidRDefault="00814D58" w14:paraId="6FDFD3C4" w14:textId="77777777">
      <w:r w:rsidRPr="0092393C">
        <w:t xml:space="preserve">https://www.facebook.com/aionlawpartners (2024). </w:t>
      </w:r>
      <w:r w:rsidRPr="00814D58">
        <w:rPr>
          <w:i/>
          <w:iCs/>
        </w:rPr>
        <w:t>A Guide to Transferring Business Ownership</w:t>
      </w:r>
      <w:r w:rsidRPr="0092393C">
        <w:t>. [online] Aion Law Partners LLP. Available at: https://www.aionlaw.ca/a-guide-to-transferring-business-ownership/ [Accessed 9 Jan. 2026].</w:t>
      </w:r>
    </w:p>
    <w:p w:rsidRPr="003278B0" w:rsidR="00814D58" w:rsidP="00814D58" w:rsidRDefault="00814D58" w14:paraId="78CC0B1F" w14:textId="77777777">
      <w:r w:rsidRPr="003278B0">
        <w:t xml:space="preserve">Judson, L. and Virendra Kumar Paul (2019). </w:t>
      </w:r>
      <w:r w:rsidRPr="00814D58">
        <w:rPr>
          <w:i/>
          <w:iCs/>
        </w:rPr>
        <w:t>Uncertainty Factors Affecting Construction Project Cost</w:t>
      </w:r>
      <w:r w:rsidRPr="003278B0">
        <w:t>. [online] ResearchGate. Available at: https://www.researchgate.net/publication/357504962_Uncertainty_Factors_Affecting_Construction_Project_Cost.</w:t>
      </w:r>
    </w:p>
    <w:p w:rsidRPr="00B5526C" w:rsidR="00814D58" w:rsidP="00814D58" w:rsidRDefault="00814D58" w14:paraId="46D3AD75" w14:textId="77777777">
      <w:r w:rsidRPr="00B5526C">
        <w:t xml:space="preserve">Kenton, W. (2024). </w:t>
      </w:r>
      <w:r w:rsidRPr="00814D58">
        <w:rPr>
          <w:i/>
          <w:iCs/>
        </w:rPr>
        <w:t>Activity-Based Costing (ABC): Method and Advantages Defined with Example</w:t>
      </w:r>
      <w:r w:rsidRPr="00B5526C">
        <w:t>. [online] Investopedia. Available at: https://www.investopedia.com/terms/a/abc.asp.</w:t>
      </w:r>
    </w:p>
    <w:p w:rsidRPr="00FF7222" w:rsidR="00814D58" w:rsidP="00814D58" w:rsidRDefault="00814D58" w14:paraId="41B22B75" w14:textId="0AF14EF3">
      <w:r w:rsidRPr="00FF7222">
        <w:t xml:space="preserve">Khan, S.A., Kaviani, M.A., J. Galli, B. and Ishtiaq, P. (2019). Application of continuous improvement techniques to improve organization performance. </w:t>
      </w:r>
      <w:r w:rsidRPr="00814D58">
        <w:rPr>
          <w:i/>
          <w:iCs/>
        </w:rPr>
        <w:t>International Journal of Lean Six Sigma</w:t>
      </w:r>
      <w:r w:rsidRPr="00FF7222">
        <w:t xml:space="preserve">, 10(2), pp.542–565. </w:t>
      </w:r>
      <w:proofErr w:type="spellStart"/>
      <w:r w:rsidRPr="00FF7222">
        <w:t>doi</w:t>
      </w:r>
      <w:proofErr w:type="spellEnd"/>
      <w:r w:rsidRPr="00FF7222">
        <w:t>: https://doi.org/10.1108/ijlss-05-2017-0048.</w:t>
      </w:r>
    </w:p>
    <w:p w:rsidRPr="00B5526C" w:rsidR="00814D58" w:rsidP="00814D58" w:rsidRDefault="00814D58" w14:paraId="6B3A0C0E" w14:textId="77777777">
      <w:proofErr w:type="spellStart"/>
      <w:r w:rsidRPr="00B5526C">
        <w:t>KnowledgeHut</w:t>
      </w:r>
      <w:proofErr w:type="spellEnd"/>
      <w:r w:rsidRPr="00B5526C">
        <w:t xml:space="preserve">. (2024). </w:t>
      </w:r>
      <w:r w:rsidRPr="00814D58">
        <w:rPr>
          <w:i/>
          <w:iCs/>
        </w:rPr>
        <w:t>Cost Aggregation in Project Management: Examples, Uses &amp; Tools</w:t>
      </w:r>
      <w:r w:rsidRPr="00B5526C">
        <w:t>. [online] Available at: https://www.knowledgehut.com/blog/project-management/cost-aggregation.</w:t>
      </w:r>
    </w:p>
    <w:p w:rsidRPr="0092393C" w:rsidR="00814D58" w:rsidP="00814D58" w:rsidRDefault="00814D58" w14:paraId="2CED6C26" w14:textId="744C28F6">
      <w:r w:rsidRPr="0092393C">
        <w:t xml:space="preserve">Legaspi, C.J.B., Legaspi, </w:t>
      </w:r>
      <w:proofErr w:type="spellStart"/>
      <w:r w:rsidRPr="0092393C">
        <w:t>Ma.J.B</w:t>
      </w:r>
      <w:proofErr w:type="spellEnd"/>
      <w:r w:rsidRPr="0092393C">
        <w:t xml:space="preserve">. and Jr., C.E.I.L. (2022). Client Awareness and Effectiveness of the Information Dissemination Strategies of a Prosecution Office in Negros Occidental. </w:t>
      </w:r>
      <w:r w:rsidRPr="00814D58">
        <w:rPr>
          <w:i/>
          <w:iCs/>
        </w:rPr>
        <w:t>Asian Research Journal of Arts &amp; Social Sciences</w:t>
      </w:r>
      <w:r w:rsidRPr="0092393C">
        <w:t xml:space="preserve">, pp.20–33. </w:t>
      </w:r>
      <w:proofErr w:type="spellStart"/>
      <w:r w:rsidRPr="0092393C">
        <w:t>doi</w:t>
      </w:r>
      <w:proofErr w:type="spellEnd"/>
      <w:r w:rsidRPr="0092393C">
        <w:t>: https://doi.org/10.9734/arjass/2022/v18i4400.</w:t>
      </w:r>
    </w:p>
    <w:p w:rsidRPr="00B60F0B" w:rsidR="00814D58" w:rsidP="00814D58" w:rsidRDefault="00814D58" w14:paraId="2B5AB969" w14:textId="77777777">
      <w:r w:rsidRPr="00B60F0B">
        <w:t xml:space="preserve">Majka, M. (2024). </w:t>
      </w:r>
      <w:r w:rsidRPr="00814D58">
        <w:rPr>
          <w:i/>
          <w:iCs/>
        </w:rPr>
        <w:t>Introduction to Risk Mitigation Strategies</w:t>
      </w:r>
      <w:r w:rsidRPr="00B60F0B">
        <w:t>. [online] ResearchGate. Available at: https://www.researchgate.net/publication/383498744_Introduction_to_Risk_Mitigation_Strategies.</w:t>
      </w:r>
    </w:p>
    <w:p w:rsidRPr="000B454D" w:rsidR="00814D58" w:rsidP="00814D58" w:rsidRDefault="00814D58" w14:paraId="5287AF2F" w14:textId="51B3B845">
      <w:r w:rsidRPr="000B454D">
        <w:t xml:space="preserve">Mohamed, H.H., Ibrahim, A.H. and Soliman, A.A. (2021). Toward Reducing Construction Project Delivery Time under Limited Resources. </w:t>
      </w:r>
      <w:r w:rsidRPr="00814D58">
        <w:rPr>
          <w:i/>
          <w:iCs/>
        </w:rPr>
        <w:t>Sustainability</w:t>
      </w:r>
      <w:r w:rsidRPr="000B454D">
        <w:t xml:space="preserve">, 13(19), p.11035. </w:t>
      </w:r>
      <w:proofErr w:type="spellStart"/>
      <w:r w:rsidRPr="000B454D">
        <w:t>doi</w:t>
      </w:r>
      <w:proofErr w:type="spellEnd"/>
      <w:r w:rsidRPr="000B454D">
        <w:t>: https://doi.org/10.3390/su131911035.</w:t>
      </w:r>
    </w:p>
    <w:p w:rsidRPr="00FF7222" w:rsidR="00814D58" w:rsidP="00814D58" w:rsidRDefault="00814D58" w14:paraId="3A588733" w14:textId="440CA6D0">
      <w:r w:rsidRPr="00FF7222">
        <w:t xml:space="preserve">Mohammed, I. and Mandal, J. (2024). The Impact of Lead Time Variability on Supply Chain Management. </w:t>
      </w:r>
      <w:r w:rsidRPr="00814D58">
        <w:rPr>
          <w:i/>
          <w:iCs/>
        </w:rPr>
        <w:t>International Journal of Supply Chain Management</w:t>
      </w:r>
      <w:r w:rsidRPr="00FF7222">
        <w:t xml:space="preserve">, [online] 8(2), pp.41–55. </w:t>
      </w:r>
      <w:proofErr w:type="spellStart"/>
      <w:r w:rsidRPr="00FF7222">
        <w:t>doi</w:t>
      </w:r>
      <w:proofErr w:type="spellEnd"/>
      <w:r w:rsidRPr="00FF7222">
        <w:t>: https://doi.org/10.47604/ijscm.3075.</w:t>
      </w:r>
    </w:p>
    <w:p w:rsidRPr="00537F1D" w:rsidR="00814D58" w:rsidP="00814D58" w:rsidRDefault="00814D58" w14:paraId="7147834B" w14:textId="77777777">
      <w:proofErr w:type="spellStart"/>
      <w:r w:rsidRPr="00537F1D">
        <w:t>Nzimakwe</w:t>
      </w:r>
      <w:proofErr w:type="spellEnd"/>
      <w:r w:rsidRPr="00537F1D">
        <w:t xml:space="preserve">, T.I. and Utete, R. (2024). </w:t>
      </w:r>
      <w:r w:rsidRPr="00814D58">
        <w:rPr>
          <w:i/>
          <w:iCs/>
        </w:rPr>
        <w:t>Staff training and employee performance: Perspectives of the workplace</w:t>
      </w:r>
      <w:r w:rsidRPr="00537F1D">
        <w:t>. [online] ResearchGate. Available at: https://www.researchgate.net/publication/379232587_Staff_training_and_employee_performance_Perspectives_of_the_workplace.</w:t>
      </w:r>
    </w:p>
    <w:p w:rsidRPr="000B454D" w:rsidR="00814D58" w:rsidP="00814D58" w:rsidRDefault="00814D58" w14:paraId="5F84D74B" w14:textId="77777777">
      <w:r w:rsidRPr="000B454D">
        <w:t xml:space="preserve">Staff, E. (2025). </w:t>
      </w:r>
      <w:r w:rsidRPr="00814D58">
        <w:rPr>
          <w:i/>
          <w:iCs/>
        </w:rPr>
        <w:t>Crashing a Project: When and How to Do It Right</w:t>
      </w:r>
      <w:r w:rsidRPr="000B454D">
        <w:t>. [online] Tackle. Available at: https://www.timetackle.com/crashing-a-project/.</w:t>
      </w:r>
    </w:p>
    <w:p w:rsidRPr="00B60F0B" w:rsidR="00814D58" w:rsidP="00814D58" w:rsidRDefault="00814D58" w14:paraId="06444C9D" w14:textId="77777777">
      <w:r w:rsidRPr="00B60F0B">
        <w:t xml:space="preserve">Stryker, C. (2024). </w:t>
      </w:r>
      <w:r w:rsidRPr="00814D58">
        <w:rPr>
          <w:i/>
          <w:iCs/>
        </w:rPr>
        <w:t>Operational risk</w:t>
      </w:r>
      <w:r w:rsidRPr="00B60F0B">
        <w:t>. [online] Ibm.com. Available at: https://www.ibm.com/think/topics/operational-risk.</w:t>
      </w:r>
    </w:p>
    <w:p w:rsidRPr="00B60F0B" w:rsidR="00814D58" w:rsidP="00814D58" w:rsidRDefault="00814D58" w14:paraId="053BD9E3" w14:textId="77777777">
      <w:r w:rsidRPr="00B60F0B">
        <w:t xml:space="preserve">Volkov, M. (2022). </w:t>
      </w:r>
      <w:r w:rsidRPr="00814D58">
        <w:rPr>
          <w:i/>
          <w:iCs/>
        </w:rPr>
        <w:t>Unmanaged Third-Party Risk Causing Dysfunction in Your Organisation?</w:t>
      </w:r>
      <w:r w:rsidRPr="00B60F0B">
        <w:t xml:space="preserve"> [online] Ganintegrity.com. Available at: https://www.ganintegrity.com/resources/blog/is-unmanaged-third-party-risk-causing-dysfunction-in-your-organization/ [Accessed 9 Jan. 2026].</w:t>
      </w:r>
    </w:p>
    <w:p w:rsidRPr="00B60F0B" w:rsidR="00814D58" w:rsidP="00814D58" w:rsidRDefault="00814D58" w14:paraId="64228B71" w14:textId="49FFE5D0">
      <w:r w:rsidRPr="00B60F0B">
        <w:t xml:space="preserve">Weiwei, H. (2018). Human Resource Risk Identification and Prevention. </w:t>
      </w:r>
      <w:r w:rsidRPr="00814D58">
        <w:rPr>
          <w:i/>
          <w:iCs/>
        </w:rPr>
        <w:t>Control and Systems Engineering</w:t>
      </w:r>
      <w:r w:rsidRPr="00B60F0B">
        <w:t xml:space="preserve">, 1(1). </w:t>
      </w:r>
      <w:proofErr w:type="spellStart"/>
      <w:r w:rsidRPr="00B60F0B">
        <w:t>doi</w:t>
      </w:r>
      <w:proofErr w:type="spellEnd"/>
      <w:r w:rsidRPr="00B60F0B">
        <w:t>: https://doi.org/10.18063/cse.v1i1.484.</w:t>
      </w:r>
    </w:p>
    <w:sectPr w:rsidRPr="00B60F0B" w:rsidR="00814D58" w:rsidSect="00731705">
      <w:pgSz w:w="11906" w:h="16838" w:orient="portrait" w:code="9"/>
      <w:pgMar w:top="1440" w:right="1440" w:bottom="1440" w:left="1440" w:header="720" w:footer="720" w:gutter="0"/>
      <w:pgNumType w:start="1"/>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rsidR="00447B98" w:rsidP="001834FC" w:rsidRDefault="00447B98" w14:paraId="2DD60A09" w14:textId="77777777">
      <w:pPr>
        <w:spacing w:after="0" w:line="240" w:lineRule="auto"/>
      </w:pPr>
      <w:r>
        <w:separator/>
      </w:r>
    </w:p>
  </w:endnote>
  <w:endnote w:type="continuationSeparator" w:id="0">
    <w:p w:rsidR="00447B98" w:rsidP="001834FC" w:rsidRDefault="00447B98" w14:paraId="036962C7" w14:textId="7777777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alibri">
    <w:panose1 w:val="020F0502020204030204"/>
    <w:charset w:val="00"/>
    <w:family w:val="swiss"/>
    <w:pitch w:val="variable"/>
    <w:sig w:usb0="E4002EFF" w:usb1="C200247B" w:usb2="00000009" w:usb3="00000000" w:csb0="000001FF" w:csb1="00000000"/>
  </w:font>
  <w:font w:name="Vrinda">
    <w:panose1 w:val="00000400000000000000"/>
    <w:charset w:val="00"/>
    <w:family w:val="swiss"/>
    <w:pitch w:val="variable"/>
    <w:sig w:usb0="00010003" w:usb1="00000000" w:usb2="00000000" w:usb3="00000000" w:csb0="00000001"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470564993"/>
      <w:docPartObj>
        <w:docPartGallery w:val="Page Numbers (Bottom of Page)"/>
        <w:docPartUnique/>
      </w:docPartObj>
    </w:sdtPr>
    <w:sdtEndPr>
      <w:rPr>
        <w:noProof/>
      </w:rPr>
    </w:sdtEndPr>
    <w:sdtContent>
      <w:p w:rsidR="001834FC" w:rsidRDefault="001834FC" w14:paraId="626AF6E3" w14:textId="3A5B4F19">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rsidR="001834FC" w:rsidRDefault="001834FC" w14:paraId="32ED363F" w14:textId="7777777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rsidR="00447B98" w:rsidP="001834FC" w:rsidRDefault="00447B98" w14:paraId="5B02DED5" w14:textId="77777777">
      <w:pPr>
        <w:spacing w:after="0" w:line="240" w:lineRule="auto"/>
      </w:pPr>
      <w:r>
        <w:separator/>
      </w:r>
    </w:p>
  </w:footnote>
  <w:footnote w:type="continuationSeparator" w:id="0">
    <w:p w:rsidR="00447B98" w:rsidP="001834FC" w:rsidRDefault="00447B98" w14:paraId="57BF725B" w14:textId="77777777">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B520D09"/>
    <w:multiLevelType w:val="hybridMultilevel"/>
    <w:tmpl w:val="84F4F68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68493639">
    <w:abstractNumId w:val="0"/>
  </w:num>
</w:numbering>
</file>

<file path=word/settings.xml><?xml version="1.0" encoding="utf-8"?>
<w:settings xmlns:wp14="http://schemas.microsoft.com/office/word/2010/wordprocessingDrawing"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p14">
  <w:zoom w:percent="100"/>
  <w:removePersonalInformation/>
  <w:removeDateAndTime/>
  <w:proofState w:spelling="clean" w:grammar="dirty"/>
  <w:trackRevisions w:val="false"/>
  <w:defaultTabStop w:val="720"/>
  <w:characterSpacingControl w:val="doNotCompress"/>
  <w:hdrShapeDefaults>
    <o:shapedefaults v:ext="edit" spidmax="2050"/>
  </w:hdrShapeDefaults>
  <w:footnotePr>
    <w:footnote w:id="-1"/>
    <w:footnote w:id="0"/>
  </w:footnotePr>
  <w:endnotePr>
    <w:endnote w:id="-1"/>
    <w:endnote w:id="0"/>
  </w:endnotePr>
  <w:compat>
    <w:doNotExpandShiftReturn/>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a0sDAyNTY1NDexNLEwNzJQ0lEKTi0uzszPAykwrgUAits/OiwAAAA="/>
  </w:docVars>
  <w:rsids>
    <w:rsidRoot w:val="00A60069"/>
    <w:rsid w:val="000B454D"/>
    <w:rsid w:val="000E047C"/>
    <w:rsid w:val="000F02BF"/>
    <w:rsid w:val="00110C00"/>
    <w:rsid w:val="001834FC"/>
    <w:rsid w:val="001A16F5"/>
    <w:rsid w:val="001D16F6"/>
    <w:rsid w:val="0022399E"/>
    <w:rsid w:val="00252195"/>
    <w:rsid w:val="003130C4"/>
    <w:rsid w:val="003278B0"/>
    <w:rsid w:val="003E63AA"/>
    <w:rsid w:val="00406C1F"/>
    <w:rsid w:val="004369B3"/>
    <w:rsid w:val="0044224A"/>
    <w:rsid w:val="0044301B"/>
    <w:rsid w:val="00447B98"/>
    <w:rsid w:val="004905A6"/>
    <w:rsid w:val="0049170F"/>
    <w:rsid w:val="00537F1D"/>
    <w:rsid w:val="0059519C"/>
    <w:rsid w:val="005D1315"/>
    <w:rsid w:val="006E3A22"/>
    <w:rsid w:val="006F3E7B"/>
    <w:rsid w:val="00731705"/>
    <w:rsid w:val="007542B3"/>
    <w:rsid w:val="007A2D9D"/>
    <w:rsid w:val="00814D58"/>
    <w:rsid w:val="008C18BE"/>
    <w:rsid w:val="008D1A9A"/>
    <w:rsid w:val="008E6543"/>
    <w:rsid w:val="00913C8F"/>
    <w:rsid w:val="0092393C"/>
    <w:rsid w:val="00927F5A"/>
    <w:rsid w:val="00975554"/>
    <w:rsid w:val="00992A4D"/>
    <w:rsid w:val="00A60069"/>
    <w:rsid w:val="00AD36B4"/>
    <w:rsid w:val="00B5526C"/>
    <w:rsid w:val="00B60F0B"/>
    <w:rsid w:val="00B75CF5"/>
    <w:rsid w:val="00BB6D54"/>
    <w:rsid w:val="00BC5EF4"/>
    <w:rsid w:val="00BD5F76"/>
    <w:rsid w:val="00C620BC"/>
    <w:rsid w:val="00C9183C"/>
    <w:rsid w:val="00C933F9"/>
    <w:rsid w:val="00CE04B4"/>
    <w:rsid w:val="00CE72EC"/>
    <w:rsid w:val="00D17103"/>
    <w:rsid w:val="00DF1BA7"/>
    <w:rsid w:val="00E64F7E"/>
    <w:rsid w:val="00EB62EF"/>
    <w:rsid w:val="00EB7A2D"/>
    <w:rsid w:val="00EC16C3"/>
    <w:rsid w:val="00F06767"/>
    <w:rsid w:val="00F17377"/>
    <w:rsid w:val="00FF7222"/>
    <w:rsid w:val="04C8B898"/>
    <w:rsid w:val="3A440D36"/>
    <w:rsid w:val="567AF0E9"/>
    <w:rsid w:val="69692342"/>
  </w:rsids>
  <m:mathPr>
    <m:mathFont m:val="Cambria Math"/>
    <m:brkBin m:val="before"/>
    <m:brkBinSub m:val="--"/>
    <m:smallFrac m:val="0"/>
    <m:dispDef/>
    <m:lMargin m:val="0"/>
    <m:rMargin m:val="0"/>
    <m:defJc m:val="centerGroup"/>
    <m:wrapIndent m:val="1440"/>
    <m:intLim m:val="subSup"/>
    <m:naryLim m:val="undOvr"/>
  </m:mathPr>
  <w:themeFontLang w:val="en-US" w:bidi="bn-I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1FE81675"/>
  <w15:chartTrackingRefBased/>
  <w15:docId w15:val="{EDE1E9CD-3342-4CC3-A014-6788720EE680}"/>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p14">
  <w:docDefaults>
    <w:rPrDefault>
      <w:rPr>
        <w:rFonts w:asciiTheme="minorHAnsi" w:hAnsiTheme="minorHAnsi" w:eastAsia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rsid w:val="001834FC"/>
    <w:pPr>
      <w:spacing w:line="360" w:lineRule="auto"/>
      <w:jc w:val="both"/>
    </w:pPr>
    <w:rPr>
      <w:rFonts w:ascii="Times New Roman" w:hAnsi="Times New Roman"/>
      <w:color w:val="000000" w:themeColor="text1"/>
      <w:sz w:val="24"/>
      <w:lang w:val="en-GB"/>
    </w:rPr>
  </w:style>
  <w:style w:type="paragraph" w:styleId="Heading1">
    <w:name w:val="heading 1"/>
    <w:basedOn w:val="Normal"/>
    <w:next w:val="Normal"/>
    <w:link w:val="Heading1Char"/>
    <w:uiPriority w:val="9"/>
    <w:qFormat/>
    <w:rsid w:val="001834FC"/>
    <w:pPr>
      <w:keepNext/>
      <w:keepLines/>
      <w:spacing w:before="240" w:after="0"/>
      <w:outlineLvl w:val="0"/>
    </w:pPr>
    <w:rPr>
      <w:rFonts w:asciiTheme="majorHAnsi" w:hAnsiTheme="majorHAnsi" w:eastAsiaTheme="majorEastAsia" w:cstheme="majorBidi"/>
      <w:b/>
      <w:sz w:val="32"/>
      <w:szCs w:val="32"/>
    </w:rPr>
  </w:style>
  <w:style w:type="paragraph" w:styleId="Heading2">
    <w:name w:val="heading 2"/>
    <w:basedOn w:val="Normal"/>
    <w:next w:val="Normal"/>
    <w:link w:val="Heading2Char"/>
    <w:uiPriority w:val="9"/>
    <w:unhideWhenUsed/>
    <w:qFormat/>
    <w:rsid w:val="001834FC"/>
    <w:pPr>
      <w:keepNext/>
      <w:keepLines/>
      <w:spacing w:before="40" w:after="0"/>
      <w:outlineLvl w:val="1"/>
    </w:pPr>
    <w:rPr>
      <w:rFonts w:asciiTheme="majorHAnsi" w:hAnsiTheme="majorHAnsi" w:eastAsiaTheme="majorEastAsia" w:cstheme="majorBidi"/>
      <w:b/>
      <w:sz w:val="28"/>
      <w:szCs w:val="26"/>
      <w:lang w:val="en-US"/>
    </w:rPr>
  </w:style>
  <w:style w:type="paragraph" w:styleId="Heading3">
    <w:name w:val="heading 3"/>
    <w:basedOn w:val="Normal"/>
    <w:next w:val="Normal"/>
    <w:link w:val="Heading3Char"/>
    <w:uiPriority w:val="9"/>
    <w:semiHidden/>
    <w:unhideWhenUsed/>
    <w:qFormat/>
    <w:rsid w:val="008D1A9A"/>
    <w:pPr>
      <w:keepNext/>
      <w:keepLines/>
      <w:spacing w:before="40" w:after="0"/>
      <w:outlineLvl w:val="2"/>
    </w:pPr>
    <w:rPr>
      <w:rFonts w:asciiTheme="majorHAnsi" w:hAnsiTheme="majorHAnsi" w:eastAsiaTheme="majorEastAsia" w:cstheme="majorBidi"/>
      <w:color w:val="1F3763" w:themeColor="accent1" w:themeShade="7F"/>
      <w:szCs w:val="24"/>
    </w:rPr>
  </w:style>
  <w:style w:type="character" w:styleId="DefaultParagraphFont" w:default="1">
    <w:name w:val="Default Paragraph Font"/>
    <w:uiPriority w:val="1"/>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2Char" w:customStyle="1">
    <w:name w:val="Heading 2 Char"/>
    <w:basedOn w:val="DefaultParagraphFont"/>
    <w:link w:val="Heading2"/>
    <w:uiPriority w:val="9"/>
    <w:rsid w:val="001834FC"/>
    <w:rPr>
      <w:rFonts w:asciiTheme="majorHAnsi" w:hAnsiTheme="majorHAnsi" w:eastAsiaTheme="majorEastAsia" w:cstheme="majorBidi"/>
      <w:b/>
      <w:color w:val="000000" w:themeColor="text1"/>
      <w:sz w:val="28"/>
      <w:szCs w:val="26"/>
    </w:rPr>
  </w:style>
  <w:style w:type="character" w:styleId="Heading1Char" w:customStyle="1">
    <w:name w:val="Heading 1 Char"/>
    <w:basedOn w:val="DefaultParagraphFont"/>
    <w:link w:val="Heading1"/>
    <w:uiPriority w:val="9"/>
    <w:rsid w:val="001834FC"/>
    <w:rPr>
      <w:rFonts w:asciiTheme="majorHAnsi" w:hAnsiTheme="majorHAnsi" w:eastAsiaTheme="majorEastAsia" w:cstheme="majorBidi"/>
      <w:b/>
      <w:color w:val="000000" w:themeColor="text1"/>
      <w:sz w:val="32"/>
      <w:szCs w:val="32"/>
      <w:lang w:val="en-GB"/>
    </w:rPr>
  </w:style>
  <w:style w:type="paragraph" w:styleId="Title">
    <w:name w:val="Title"/>
    <w:basedOn w:val="Normal"/>
    <w:next w:val="Normal"/>
    <w:link w:val="TitleChar"/>
    <w:uiPriority w:val="10"/>
    <w:qFormat/>
    <w:rsid w:val="001834FC"/>
    <w:pPr>
      <w:spacing w:after="0" w:line="240" w:lineRule="auto"/>
      <w:contextualSpacing/>
    </w:pPr>
    <w:rPr>
      <w:rFonts w:asciiTheme="majorHAnsi" w:hAnsiTheme="majorHAnsi" w:eastAsiaTheme="majorEastAsia" w:cstheme="majorBidi"/>
      <w:color w:val="auto"/>
      <w:spacing w:val="-10"/>
      <w:kern w:val="28"/>
      <w:sz w:val="56"/>
      <w:szCs w:val="56"/>
    </w:rPr>
  </w:style>
  <w:style w:type="character" w:styleId="TitleChar" w:customStyle="1">
    <w:name w:val="Title Char"/>
    <w:basedOn w:val="DefaultParagraphFont"/>
    <w:link w:val="Title"/>
    <w:uiPriority w:val="10"/>
    <w:rsid w:val="001834FC"/>
    <w:rPr>
      <w:rFonts w:asciiTheme="majorHAnsi" w:hAnsiTheme="majorHAnsi" w:eastAsiaTheme="majorEastAsia" w:cstheme="majorBidi"/>
      <w:spacing w:val="-10"/>
      <w:kern w:val="28"/>
      <w:sz w:val="56"/>
      <w:szCs w:val="56"/>
      <w:lang w:val="en-GB"/>
    </w:rPr>
  </w:style>
  <w:style w:type="paragraph" w:styleId="Header">
    <w:name w:val="header"/>
    <w:basedOn w:val="Normal"/>
    <w:link w:val="HeaderChar"/>
    <w:uiPriority w:val="99"/>
    <w:unhideWhenUsed/>
    <w:rsid w:val="001834FC"/>
    <w:pPr>
      <w:tabs>
        <w:tab w:val="center" w:pos="4680"/>
        <w:tab w:val="right" w:pos="9360"/>
      </w:tabs>
      <w:spacing w:after="0" w:line="240" w:lineRule="auto"/>
    </w:pPr>
  </w:style>
  <w:style w:type="character" w:styleId="HeaderChar" w:customStyle="1">
    <w:name w:val="Header Char"/>
    <w:basedOn w:val="DefaultParagraphFont"/>
    <w:link w:val="Header"/>
    <w:uiPriority w:val="99"/>
    <w:rsid w:val="001834FC"/>
    <w:rPr>
      <w:rFonts w:ascii="Times New Roman" w:hAnsi="Times New Roman"/>
      <w:color w:val="000000" w:themeColor="text1"/>
      <w:sz w:val="24"/>
      <w:lang w:val="en-GB"/>
    </w:rPr>
  </w:style>
  <w:style w:type="paragraph" w:styleId="Footer">
    <w:name w:val="footer"/>
    <w:basedOn w:val="Normal"/>
    <w:link w:val="FooterChar"/>
    <w:uiPriority w:val="99"/>
    <w:unhideWhenUsed/>
    <w:rsid w:val="001834FC"/>
    <w:pPr>
      <w:tabs>
        <w:tab w:val="center" w:pos="4680"/>
        <w:tab w:val="right" w:pos="9360"/>
      </w:tabs>
      <w:spacing w:after="0" w:line="240" w:lineRule="auto"/>
    </w:pPr>
  </w:style>
  <w:style w:type="character" w:styleId="FooterChar" w:customStyle="1">
    <w:name w:val="Footer Char"/>
    <w:basedOn w:val="DefaultParagraphFont"/>
    <w:link w:val="Footer"/>
    <w:uiPriority w:val="99"/>
    <w:rsid w:val="001834FC"/>
    <w:rPr>
      <w:rFonts w:ascii="Times New Roman" w:hAnsi="Times New Roman"/>
      <w:color w:val="000000" w:themeColor="text1"/>
      <w:sz w:val="24"/>
      <w:lang w:val="en-GB"/>
    </w:rPr>
  </w:style>
  <w:style w:type="paragraph" w:styleId="TOCHeading">
    <w:name w:val="TOC Heading"/>
    <w:basedOn w:val="Heading1"/>
    <w:next w:val="Normal"/>
    <w:uiPriority w:val="39"/>
    <w:unhideWhenUsed/>
    <w:qFormat/>
    <w:rsid w:val="001834FC"/>
    <w:pPr>
      <w:spacing w:line="259" w:lineRule="auto"/>
      <w:jc w:val="left"/>
      <w:outlineLvl w:val="9"/>
    </w:pPr>
    <w:rPr>
      <w:b w:val="0"/>
      <w:color w:val="2F5496" w:themeColor="accent1" w:themeShade="BF"/>
      <w:lang w:val="en-US"/>
    </w:rPr>
  </w:style>
  <w:style w:type="paragraph" w:styleId="TOC1">
    <w:name w:val="toc 1"/>
    <w:basedOn w:val="Normal"/>
    <w:next w:val="Normal"/>
    <w:autoRedefine/>
    <w:uiPriority w:val="39"/>
    <w:unhideWhenUsed/>
    <w:rsid w:val="001834FC"/>
    <w:pPr>
      <w:spacing w:after="100"/>
    </w:pPr>
  </w:style>
  <w:style w:type="character" w:styleId="Hyperlink">
    <w:name w:val="Hyperlink"/>
    <w:basedOn w:val="DefaultParagraphFont"/>
    <w:uiPriority w:val="99"/>
    <w:unhideWhenUsed/>
    <w:rsid w:val="001834FC"/>
    <w:rPr>
      <w:color w:val="0563C1" w:themeColor="hyperlink"/>
      <w:u w:val="single"/>
    </w:rPr>
  </w:style>
  <w:style w:type="paragraph" w:styleId="Caption">
    <w:name w:val="caption"/>
    <w:basedOn w:val="Normal"/>
    <w:next w:val="Normal"/>
    <w:uiPriority w:val="35"/>
    <w:unhideWhenUsed/>
    <w:qFormat/>
    <w:rsid w:val="001D16F6"/>
    <w:pPr>
      <w:spacing w:after="200"/>
    </w:pPr>
    <w:rPr>
      <w:i/>
      <w:iCs/>
      <w:szCs w:val="18"/>
    </w:rPr>
  </w:style>
  <w:style w:type="character" w:styleId="Heading3Char" w:customStyle="1">
    <w:name w:val="Heading 3 Char"/>
    <w:basedOn w:val="DefaultParagraphFont"/>
    <w:link w:val="Heading3"/>
    <w:uiPriority w:val="9"/>
    <w:semiHidden/>
    <w:rsid w:val="008D1A9A"/>
    <w:rPr>
      <w:rFonts w:asciiTheme="majorHAnsi" w:hAnsiTheme="majorHAnsi" w:eastAsiaTheme="majorEastAsia" w:cstheme="majorBidi"/>
      <w:color w:val="1F3763" w:themeColor="accent1" w:themeShade="7F"/>
      <w:sz w:val="24"/>
      <w:szCs w:val="24"/>
      <w:lang w:val="en-GB"/>
    </w:rPr>
  </w:style>
  <w:style w:type="table" w:styleId="TableGrid">
    <w:name w:val="Table Grid"/>
    <w:basedOn w:val="TableNormal"/>
    <w:uiPriority w:val="39"/>
    <w:rsid w:val="00C620BC"/>
    <w:pPr>
      <w:spacing w:after="0" w:line="240" w:lineRule="auto"/>
    </w:pPr>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table" w:styleId="GridTable4-Accent3">
    <w:name w:val="Grid Table 4 Accent 3"/>
    <w:basedOn w:val="TableNormal"/>
    <w:uiPriority w:val="49"/>
    <w:rsid w:val="000B454D"/>
    <w:pPr>
      <w:spacing w:after="0" w:line="240" w:lineRule="auto"/>
    </w:pPr>
    <w:tblPr>
      <w:tblStyleRowBandSize w:val="1"/>
      <w:tblStyleColBandSize w:val="1"/>
      <w:tblBorders>
        <w:top w:val="single" w:color="C9C9C9" w:themeColor="accent3" w:themeTint="99" w:sz="4" w:space="0"/>
        <w:left w:val="single" w:color="C9C9C9" w:themeColor="accent3" w:themeTint="99" w:sz="4" w:space="0"/>
        <w:bottom w:val="single" w:color="C9C9C9" w:themeColor="accent3" w:themeTint="99" w:sz="4" w:space="0"/>
        <w:right w:val="single" w:color="C9C9C9" w:themeColor="accent3" w:themeTint="99" w:sz="4" w:space="0"/>
        <w:insideH w:val="single" w:color="C9C9C9" w:themeColor="accent3" w:themeTint="99" w:sz="4" w:space="0"/>
        <w:insideV w:val="single" w:color="C9C9C9" w:themeColor="accent3" w:themeTint="99" w:sz="4" w:space="0"/>
      </w:tblBorders>
    </w:tblPr>
    <w:tblStylePr w:type="firstRow">
      <w:rPr>
        <w:b/>
        <w:bCs/>
        <w:color w:val="FFFFFF" w:themeColor="background1"/>
      </w:rPr>
      <w:tblPr/>
      <w:tcPr>
        <w:tcBorders>
          <w:top w:val="single" w:color="A5A5A5" w:themeColor="accent3" w:sz="4" w:space="0"/>
          <w:left w:val="single" w:color="A5A5A5" w:themeColor="accent3" w:sz="4" w:space="0"/>
          <w:bottom w:val="single" w:color="A5A5A5" w:themeColor="accent3" w:sz="4" w:space="0"/>
          <w:right w:val="single" w:color="A5A5A5" w:themeColor="accent3" w:sz="4" w:space="0"/>
          <w:insideH w:val="nil"/>
          <w:insideV w:val="nil"/>
        </w:tcBorders>
        <w:shd w:val="clear" w:color="auto" w:fill="A5A5A5" w:themeFill="accent3"/>
      </w:tcPr>
    </w:tblStylePr>
    <w:tblStylePr w:type="lastRow">
      <w:rPr>
        <w:b/>
        <w:bCs/>
      </w:rPr>
      <w:tblPr/>
      <w:tcPr>
        <w:tcBorders>
          <w:top w:val="double" w:color="A5A5A5" w:themeColor="accent3" w:sz="4" w:space="0"/>
        </w:tcBorders>
      </w:tcPr>
    </w:tblStylePr>
    <w:tblStylePr w:type="firstCol">
      <w:rPr>
        <w:b/>
        <w:bCs/>
      </w:rPr>
    </w:tblStylePr>
    <w:tblStylePr w:type="lastCol">
      <w:rPr>
        <w:b/>
        <w:bCs/>
      </w:rPr>
    </w:tblStylePr>
    <w:tblStylePr w:type="band1Vert">
      <w:tblPr/>
      <w:tcPr>
        <w:shd w:val="clear" w:color="auto" w:fill="EDEDED" w:themeFill="accent3" w:themeFillTint="33"/>
      </w:tcPr>
    </w:tblStylePr>
    <w:tblStylePr w:type="band1Horz">
      <w:tblPr/>
      <w:tcPr>
        <w:shd w:val="clear" w:color="auto" w:fill="EDEDED" w:themeFill="accent3" w:themeFillTint="33"/>
      </w:tcPr>
    </w:tblStylePr>
  </w:style>
  <w:style w:type="table" w:styleId="GridTable4-Accent6">
    <w:name w:val="Grid Table 4 Accent 6"/>
    <w:basedOn w:val="TableNormal"/>
    <w:uiPriority w:val="49"/>
    <w:rsid w:val="0092393C"/>
    <w:pPr>
      <w:spacing w:after="0" w:line="240" w:lineRule="auto"/>
    </w:pPr>
    <w:tblPr>
      <w:tblStyleRowBandSize w:val="1"/>
      <w:tblStyleColBandSize w:val="1"/>
      <w:tblBorders>
        <w:top w:val="single" w:color="A8D08D" w:themeColor="accent6" w:themeTint="99" w:sz="4" w:space="0"/>
        <w:left w:val="single" w:color="A8D08D" w:themeColor="accent6" w:themeTint="99" w:sz="4" w:space="0"/>
        <w:bottom w:val="single" w:color="A8D08D" w:themeColor="accent6" w:themeTint="99" w:sz="4" w:space="0"/>
        <w:right w:val="single" w:color="A8D08D" w:themeColor="accent6" w:themeTint="99" w:sz="4" w:space="0"/>
        <w:insideH w:val="single" w:color="A8D08D" w:themeColor="accent6" w:themeTint="99" w:sz="4" w:space="0"/>
        <w:insideV w:val="single" w:color="A8D08D" w:themeColor="accent6" w:themeTint="99" w:sz="4" w:space="0"/>
      </w:tblBorders>
    </w:tblPr>
    <w:tblStylePr w:type="firstRow">
      <w:rPr>
        <w:b/>
        <w:bCs/>
        <w:color w:val="FFFFFF" w:themeColor="background1"/>
      </w:rPr>
      <w:tblPr/>
      <w:tcPr>
        <w:tcBorders>
          <w:top w:val="single" w:color="70AD47" w:themeColor="accent6" w:sz="4" w:space="0"/>
          <w:left w:val="single" w:color="70AD47" w:themeColor="accent6" w:sz="4" w:space="0"/>
          <w:bottom w:val="single" w:color="70AD47" w:themeColor="accent6" w:sz="4" w:space="0"/>
          <w:right w:val="single" w:color="70AD47" w:themeColor="accent6" w:sz="4" w:space="0"/>
          <w:insideH w:val="nil"/>
          <w:insideV w:val="nil"/>
        </w:tcBorders>
        <w:shd w:val="clear" w:color="auto" w:fill="70AD47" w:themeFill="accent6"/>
      </w:tcPr>
    </w:tblStylePr>
    <w:tblStylePr w:type="lastRow">
      <w:rPr>
        <w:b/>
        <w:bCs/>
      </w:rPr>
      <w:tblPr/>
      <w:tcPr>
        <w:tcBorders>
          <w:top w:val="double" w:color="70AD47" w:themeColor="accent6" w:sz="4" w:space="0"/>
        </w:tcBorders>
      </w:tcPr>
    </w:tblStylePr>
    <w:tblStylePr w:type="firstCol">
      <w:rPr>
        <w:b/>
        <w:bCs/>
      </w:rPr>
    </w:tblStylePr>
    <w:tblStylePr w:type="lastCol">
      <w:rPr>
        <w:b/>
        <w:bCs/>
      </w:rPr>
    </w:tblStylePr>
    <w:tblStylePr w:type="band1Vert">
      <w:tblPr/>
      <w:tcPr>
        <w:shd w:val="clear" w:color="auto" w:fill="E2EFD9" w:themeFill="accent6" w:themeFillTint="33"/>
      </w:tcPr>
    </w:tblStylePr>
    <w:tblStylePr w:type="band1Horz">
      <w:tblPr/>
      <w:tcPr>
        <w:shd w:val="clear" w:color="auto" w:fill="E2EFD9" w:themeFill="accent6" w:themeFillTint="33"/>
      </w:tcPr>
    </w:tblStylePr>
  </w:style>
  <w:style w:type="paragraph" w:styleId="ListParagraph">
    <w:name w:val="List Paragraph"/>
    <w:basedOn w:val="Normal"/>
    <w:uiPriority w:val="34"/>
    <w:qFormat/>
    <w:rsid w:val="00814D58"/>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&#65279;<?xml version="1.0" encoding="utf-8"?><Relationships xmlns="http://schemas.openxmlformats.org/package/2006/relationships"><Relationship Type="http://schemas.openxmlformats.org/officeDocument/2006/relationships/footer" Target="footer1.xml" Id="rId8" /><Relationship Type="http://schemas.openxmlformats.org/officeDocument/2006/relationships/fontTable" Target="fontTable.xml" Id="rId13" /><Relationship Type="http://schemas.openxmlformats.org/officeDocument/2006/relationships/styles" Target="styles.xml" Id="rId3" /><Relationship Type="http://schemas.openxmlformats.org/officeDocument/2006/relationships/endnotes" Target="endnotes.xml" Id="rId7" /><Relationship Type="http://schemas.openxmlformats.org/officeDocument/2006/relationships/image" Target="media/image3.png" Id="rId12" /><Relationship Type="http://schemas.openxmlformats.org/officeDocument/2006/relationships/numbering" Target="numbering.xml" Id="rId2" /><Relationship Type="http://schemas.openxmlformats.org/officeDocument/2006/relationships/customXml" Target="../customXml/item1.xml" Id="rId1" /><Relationship Type="http://schemas.openxmlformats.org/officeDocument/2006/relationships/footnotes" Target="footnotes.xml" Id="rId6" /><Relationship Type="http://schemas.openxmlformats.org/officeDocument/2006/relationships/image" Target="media/image2.png" Id="rId11" /><Relationship Type="http://schemas.openxmlformats.org/officeDocument/2006/relationships/webSettings" Target="webSettings.xml" Id="rId5" /><Relationship Type="http://schemas.openxmlformats.org/officeDocument/2006/relationships/chart" Target="charts/chart1.xml" Id="rId10" /><Relationship Type="http://schemas.openxmlformats.org/officeDocument/2006/relationships/settings" Target="settings.xml" Id="rId4" /><Relationship Type="http://schemas.openxmlformats.org/officeDocument/2006/relationships/image" Target="media/image1.png" Id="rId9" /><Relationship Type="http://schemas.openxmlformats.org/officeDocument/2006/relationships/theme" Target="theme/theme1.xml" Id="rId14" /></Relationships>
</file>

<file path=word/charts/_rels/chart1.xml.rels><?xml version="1.0" encoding="UTF-8" standalone="yes"?>
<Relationships xmlns="http://schemas.openxmlformats.org/package/2006/relationships"><Relationship Id="rId3" Type="http://schemas.openxmlformats.org/officeDocument/2006/relationships/oleObject" Target="Book3" TargetMode="External"/><Relationship Id="rId2" Type="http://schemas.microsoft.com/office/2011/relationships/chartColorStyle" Target="colors1.xml"/><Relationship Id="rId1" Type="http://schemas.microsoft.com/office/2011/relationships/chartStyle" Target="style1.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autoTitleDeleted val="0"/>
    <c:plotArea>
      <c:layout>
        <c:manualLayout>
          <c:layoutTarget val="inner"/>
          <c:xMode val="edge"/>
          <c:yMode val="edge"/>
          <c:x val="0.11131338900128038"/>
          <c:y val="0.13966786947834098"/>
          <c:w val="0.80947259896240054"/>
          <c:h val="0.76209163020422777"/>
        </c:manualLayout>
      </c:layout>
      <c:barChart>
        <c:barDir val="bar"/>
        <c:grouping val="stacked"/>
        <c:varyColors val="0"/>
        <c:ser>
          <c:idx val="0"/>
          <c:order val="1"/>
          <c:tx>
            <c:strRef>
              <c:f>Sheet1!$B$1:$B$3</c:f>
              <c:strCache>
                <c:ptCount val="3"/>
                <c:pt idx="0">
                  <c:v>Gantt Chart Showing Project Schedule and Critical Path</c:v>
                </c:pt>
                <c:pt idx="2">
                  <c:v>Start Day</c:v>
                </c:pt>
              </c:strCache>
            </c:strRef>
          </c:tx>
          <c:spPr>
            <a:noFill/>
            <a:ln>
              <a:noFill/>
            </a:ln>
            <a:effectLst/>
          </c:spPr>
          <c:invertIfNegative val="0"/>
          <c:cat>
            <c:strRef>
              <c:f>Sheet1!$A$4:$A$25</c:f>
              <c:strCache>
                <c:ptCount val="22"/>
                <c:pt idx="0">
                  <c:v>A1</c:v>
                </c:pt>
                <c:pt idx="1">
                  <c:v>A2</c:v>
                </c:pt>
                <c:pt idx="2">
                  <c:v>A3</c:v>
                </c:pt>
                <c:pt idx="3">
                  <c:v>A4</c:v>
                </c:pt>
                <c:pt idx="4">
                  <c:v>A5</c:v>
                </c:pt>
                <c:pt idx="5">
                  <c:v>A6</c:v>
                </c:pt>
                <c:pt idx="6">
                  <c:v>A7</c:v>
                </c:pt>
                <c:pt idx="7">
                  <c:v>A8</c:v>
                </c:pt>
                <c:pt idx="8">
                  <c:v>A9</c:v>
                </c:pt>
                <c:pt idx="9">
                  <c:v>A10</c:v>
                </c:pt>
                <c:pt idx="10">
                  <c:v>A11</c:v>
                </c:pt>
                <c:pt idx="11">
                  <c:v>A12</c:v>
                </c:pt>
                <c:pt idx="12">
                  <c:v>A13</c:v>
                </c:pt>
                <c:pt idx="13">
                  <c:v>A14</c:v>
                </c:pt>
                <c:pt idx="14">
                  <c:v>A15</c:v>
                </c:pt>
                <c:pt idx="15">
                  <c:v>A16</c:v>
                </c:pt>
                <c:pt idx="16">
                  <c:v>A17</c:v>
                </c:pt>
                <c:pt idx="17">
                  <c:v>A18</c:v>
                </c:pt>
                <c:pt idx="18">
                  <c:v>A19</c:v>
                </c:pt>
                <c:pt idx="19">
                  <c:v>A20</c:v>
                </c:pt>
                <c:pt idx="20">
                  <c:v>A21</c:v>
                </c:pt>
                <c:pt idx="21">
                  <c:v>A22</c:v>
                </c:pt>
              </c:strCache>
            </c:strRef>
          </c:cat>
          <c:val>
            <c:numRef>
              <c:f>Sheet1!$B$4:$B$25</c:f>
              <c:numCache>
                <c:formatCode>General</c:formatCode>
                <c:ptCount val="22"/>
                <c:pt idx="0">
                  <c:v>1</c:v>
                </c:pt>
                <c:pt idx="1">
                  <c:v>3</c:v>
                </c:pt>
                <c:pt idx="2">
                  <c:v>3</c:v>
                </c:pt>
                <c:pt idx="3">
                  <c:v>5</c:v>
                </c:pt>
                <c:pt idx="4">
                  <c:v>9</c:v>
                </c:pt>
                <c:pt idx="5">
                  <c:v>4</c:v>
                </c:pt>
                <c:pt idx="6">
                  <c:v>12</c:v>
                </c:pt>
                <c:pt idx="7">
                  <c:v>7</c:v>
                </c:pt>
                <c:pt idx="8">
                  <c:v>12</c:v>
                </c:pt>
                <c:pt idx="9">
                  <c:v>7</c:v>
                </c:pt>
                <c:pt idx="10">
                  <c:v>7</c:v>
                </c:pt>
                <c:pt idx="11">
                  <c:v>14</c:v>
                </c:pt>
                <c:pt idx="12">
                  <c:v>11</c:v>
                </c:pt>
                <c:pt idx="13">
                  <c:v>16</c:v>
                </c:pt>
                <c:pt idx="14">
                  <c:v>9</c:v>
                </c:pt>
                <c:pt idx="15">
                  <c:v>20</c:v>
                </c:pt>
                <c:pt idx="16">
                  <c:v>16</c:v>
                </c:pt>
                <c:pt idx="17">
                  <c:v>24</c:v>
                </c:pt>
                <c:pt idx="18">
                  <c:v>19</c:v>
                </c:pt>
                <c:pt idx="19">
                  <c:v>27</c:v>
                </c:pt>
                <c:pt idx="20">
                  <c:v>29</c:v>
                </c:pt>
                <c:pt idx="21">
                  <c:v>31</c:v>
                </c:pt>
              </c:numCache>
            </c:numRef>
          </c:val>
          <c:extLst>
            <c:ext xmlns:c16="http://schemas.microsoft.com/office/drawing/2014/chart" uri="{C3380CC4-5D6E-409C-BE32-E72D297353CC}">
              <c16:uniqueId val="{00000000-F195-4264-95F6-31E3765FBF43}"/>
            </c:ext>
          </c:extLst>
        </c:ser>
        <c:ser>
          <c:idx val="2"/>
          <c:order val="2"/>
          <c:tx>
            <c:strRef>
              <c:f>Sheet1!$D$1:$D$3</c:f>
              <c:strCache>
                <c:ptCount val="3"/>
                <c:pt idx="0">
                  <c:v>Gantt Chart Showing Project Schedule and Critical Path</c:v>
                </c:pt>
                <c:pt idx="2">
                  <c:v>Duration (Days)</c:v>
                </c:pt>
              </c:strCache>
            </c:strRef>
          </c:tx>
          <c:spPr>
            <a:solidFill>
              <a:schemeClr val="accent3"/>
            </a:solidFill>
            <a:ln>
              <a:noFill/>
            </a:ln>
            <a:effectLst/>
          </c:spPr>
          <c:invertIfNegative val="0"/>
          <c:dPt>
            <c:idx val="0"/>
            <c:invertIfNegative val="0"/>
            <c:bubble3D val="0"/>
            <c:spPr>
              <a:solidFill>
                <a:srgbClr val="C00000"/>
              </a:solidFill>
              <a:ln>
                <a:noFill/>
              </a:ln>
              <a:effectLst/>
            </c:spPr>
            <c:extLst>
              <c:ext xmlns:c16="http://schemas.microsoft.com/office/drawing/2014/chart" uri="{C3380CC4-5D6E-409C-BE32-E72D297353CC}">
                <c16:uniqueId val="{00000002-F195-4264-95F6-31E3765FBF43}"/>
              </c:ext>
            </c:extLst>
          </c:dPt>
          <c:dPt>
            <c:idx val="1"/>
            <c:invertIfNegative val="0"/>
            <c:bubble3D val="0"/>
            <c:spPr>
              <a:solidFill>
                <a:srgbClr val="C00000"/>
              </a:solidFill>
              <a:ln>
                <a:noFill/>
              </a:ln>
              <a:effectLst/>
            </c:spPr>
            <c:extLst>
              <c:ext xmlns:c16="http://schemas.microsoft.com/office/drawing/2014/chart" uri="{C3380CC4-5D6E-409C-BE32-E72D297353CC}">
                <c16:uniqueId val="{00000004-F195-4264-95F6-31E3765FBF43}"/>
              </c:ext>
            </c:extLst>
          </c:dPt>
          <c:dPt>
            <c:idx val="3"/>
            <c:invertIfNegative val="0"/>
            <c:bubble3D val="0"/>
            <c:spPr>
              <a:solidFill>
                <a:srgbClr val="C00000"/>
              </a:solidFill>
              <a:ln>
                <a:noFill/>
              </a:ln>
              <a:effectLst/>
            </c:spPr>
            <c:extLst>
              <c:ext xmlns:c16="http://schemas.microsoft.com/office/drawing/2014/chart" uri="{C3380CC4-5D6E-409C-BE32-E72D297353CC}">
                <c16:uniqueId val="{00000006-F195-4264-95F6-31E3765FBF43}"/>
              </c:ext>
            </c:extLst>
          </c:dPt>
          <c:dPt>
            <c:idx val="4"/>
            <c:invertIfNegative val="0"/>
            <c:bubble3D val="0"/>
            <c:spPr>
              <a:solidFill>
                <a:srgbClr val="C00000"/>
              </a:solidFill>
              <a:ln>
                <a:noFill/>
              </a:ln>
              <a:effectLst/>
            </c:spPr>
            <c:extLst>
              <c:ext xmlns:c16="http://schemas.microsoft.com/office/drawing/2014/chart" uri="{C3380CC4-5D6E-409C-BE32-E72D297353CC}">
                <c16:uniqueId val="{00000008-F195-4264-95F6-31E3765FBF43}"/>
              </c:ext>
            </c:extLst>
          </c:dPt>
          <c:dPt>
            <c:idx val="7"/>
            <c:invertIfNegative val="0"/>
            <c:bubble3D val="0"/>
            <c:spPr>
              <a:solidFill>
                <a:schemeClr val="accent3"/>
              </a:solidFill>
              <a:ln>
                <a:noFill/>
              </a:ln>
              <a:effectLst/>
            </c:spPr>
            <c:extLst>
              <c:ext xmlns:c16="http://schemas.microsoft.com/office/drawing/2014/chart" uri="{C3380CC4-5D6E-409C-BE32-E72D297353CC}">
                <c16:uniqueId val="{0000000A-F195-4264-95F6-31E3765FBF43}"/>
              </c:ext>
            </c:extLst>
          </c:dPt>
          <c:dPt>
            <c:idx val="8"/>
            <c:invertIfNegative val="0"/>
            <c:bubble3D val="0"/>
            <c:spPr>
              <a:solidFill>
                <a:srgbClr val="C00000"/>
              </a:solidFill>
              <a:ln>
                <a:noFill/>
              </a:ln>
              <a:effectLst/>
            </c:spPr>
            <c:extLst>
              <c:ext xmlns:c16="http://schemas.microsoft.com/office/drawing/2014/chart" uri="{C3380CC4-5D6E-409C-BE32-E72D297353CC}">
                <c16:uniqueId val="{0000000C-F195-4264-95F6-31E3765FBF43}"/>
              </c:ext>
            </c:extLst>
          </c:dPt>
          <c:dPt>
            <c:idx val="13"/>
            <c:invertIfNegative val="0"/>
            <c:bubble3D val="0"/>
            <c:spPr>
              <a:solidFill>
                <a:srgbClr val="C00000"/>
              </a:solidFill>
              <a:ln>
                <a:noFill/>
              </a:ln>
              <a:effectLst/>
            </c:spPr>
            <c:extLst>
              <c:ext xmlns:c16="http://schemas.microsoft.com/office/drawing/2014/chart" uri="{C3380CC4-5D6E-409C-BE32-E72D297353CC}">
                <c16:uniqueId val="{0000000E-F195-4264-95F6-31E3765FBF43}"/>
              </c:ext>
            </c:extLst>
          </c:dPt>
          <c:dPt>
            <c:idx val="15"/>
            <c:invertIfNegative val="0"/>
            <c:bubble3D val="0"/>
            <c:spPr>
              <a:solidFill>
                <a:srgbClr val="C00000"/>
              </a:solidFill>
              <a:ln>
                <a:noFill/>
              </a:ln>
              <a:effectLst/>
            </c:spPr>
            <c:extLst>
              <c:ext xmlns:c16="http://schemas.microsoft.com/office/drawing/2014/chart" uri="{C3380CC4-5D6E-409C-BE32-E72D297353CC}">
                <c16:uniqueId val="{00000010-F195-4264-95F6-31E3765FBF43}"/>
              </c:ext>
            </c:extLst>
          </c:dPt>
          <c:dPt>
            <c:idx val="16"/>
            <c:invertIfNegative val="0"/>
            <c:bubble3D val="0"/>
            <c:spPr>
              <a:solidFill>
                <a:schemeClr val="accent3"/>
              </a:solidFill>
              <a:ln>
                <a:noFill/>
              </a:ln>
              <a:effectLst/>
            </c:spPr>
            <c:extLst>
              <c:ext xmlns:c16="http://schemas.microsoft.com/office/drawing/2014/chart" uri="{C3380CC4-5D6E-409C-BE32-E72D297353CC}">
                <c16:uniqueId val="{00000012-F195-4264-95F6-31E3765FBF43}"/>
              </c:ext>
            </c:extLst>
          </c:dPt>
          <c:dPt>
            <c:idx val="17"/>
            <c:invertIfNegative val="0"/>
            <c:bubble3D val="0"/>
            <c:spPr>
              <a:solidFill>
                <a:srgbClr val="C00000"/>
              </a:solidFill>
              <a:ln>
                <a:noFill/>
              </a:ln>
              <a:effectLst/>
            </c:spPr>
            <c:extLst>
              <c:ext xmlns:c16="http://schemas.microsoft.com/office/drawing/2014/chart" uri="{C3380CC4-5D6E-409C-BE32-E72D297353CC}">
                <c16:uniqueId val="{00000014-F195-4264-95F6-31E3765FBF43}"/>
              </c:ext>
            </c:extLst>
          </c:dPt>
          <c:dPt>
            <c:idx val="19"/>
            <c:invertIfNegative val="0"/>
            <c:bubble3D val="0"/>
            <c:spPr>
              <a:solidFill>
                <a:srgbClr val="C00000"/>
              </a:solidFill>
              <a:ln>
                <a:noFill/>
              </a:ln>
              <a:effectLst/>
            </c:spPr>
            <c:extLst>
              <c:ext xmlns:c16="http://schemas.microsoft.com/office/drawing/2014/chart" uri="{C3380CC4-5D6E-409C-BE32-E72D297353CC}">
                <c16:uniqueId val="{00000016-F195-4264-95F6-31E3765FBF43}"/>
              </c:ext>
            </c:extLst>
          </c:dPt>
          <c:dPt>
            <c:idx val="20"/>
            <c:invertIfNegative val="0"/>
            <c:bubble3D val="0"/>
            <c:spPr>
              <a:solidFill>
                <a:srgbClr val="C00000"/>
              </a:solidFill>
              <a:ln>
                <a:noFill/>
              </a:ln>
              <a:effectLst/>
            </c:spPr>
            <c:extLst>
              <c:ext xmlns:c16="http://schemas.microsoft.com/office/drawing/2014/chart" uri="{C3380CC4-5D6E-409C-BE32-E72D297353CC}">
                <c16:uniqueId val="{00000018-F195-4264-95F6-31E3765FBF43}"/>
              </c:ext>
            </c:extLst>
          </c:dPt>
          <c:dPt>
            <c:idx val="21"/>
            <c:invertIfNegative val="0"/>
            <c:bubble3D val="0"/>
            <c:spPr>
              <a:solidFill>
                <a:srgbClr val="C00000"/>
              </a:solidFill>
              <a:ln>
                <a:noFill/>
              </a:ln>
              <a:effectLst/>
            </c:spPr>
            <c:extLst>
              <c:ext xmlns:c16="http://schemas.microsoft.com/office/drawing/2014/chart" uri="{C3380CC4-5D6E-409C-BE32-E72D297353CC}">
                <c16:uniqueId val="{0000001A-F195-4264-95F6-31E3765FBF43}"/>
              </c:ext>
            </c:extLst>
          </c:dPt>
          <c:cat>
            <c:strRef>
              <c:f>Sheet1!$A$4:$A$25</c:f>
              <c:strCache>
                <c:ptCount val="22"/>
                <c:pt idx="0">
                  <c:v>A1</c:v>
                </c:pt>
                <c:pt idx="1">
                  <c:v>A2</c:v>
                </c:pt>
                <c:pt idx="2">
                  <c:v>A3</c:v>
                </c:pt>
                <c:pt idx="3">
                  <c:v>A4</c:v>
                </c:pt>
                <c:pt idx="4">
                  <c:v>A5</c:v>
                </c:pt>
                <c:pt idx="5">
                  <c:v>A6</c:v>
                </c:pt>
                <c:pt idx="6">
                  <c:v>A7</c:v>
                </c:pt>
                <c:pt idx="7">
                  <c:v>A8</c:v>
                </c:pt>
                <c:pt idx="8">
                  <c:v>A9</c:v>
                </c:pt>
                <c:pt idx="9">
                  <c:v>A10</c:v>
                </c:pt>
                <c:pt idx="10">
                  <c:v>A11</c:v>
                </c:pt>
                <c:pt idx="11">
                  <c:v>A12</c:v>
                </c:pt>
                <c:pt idx="12">
                  <c:v>A13</c:v>
                </c:pt>
                <c:pt idx="13">
                  <c:v>A14</c:v>
                </c:pt>
                <c:pt idx="14">
                  <c:v>A15</c:v>
                </c:pt>
                <c:pt idx="15">
                  <c:v>A16</c:v>
                </c:pt>
                <c:pt idx="16">
                  <c:v>A17</c:v>
                </c:pt>
                <c:pt idx="17">
                  <c:v>A18</c:v>
                </c:pt>
                <c:pt idx="18">
                  <c:v>A19</c:v>
                </c:pt>
                <c:pt idx="19">
                  <c:v>A20</c:v>
                </c:pt>
                <c:pt idx="20">
                  <c:v>A21</c:v>
                </c:pt>
                <c:pt idx="21">
                  <c:v>A22</c:v>
                </c:pt>
              </c:strCache>
            </c:strRef>
          </c:cat>
          <c:val>
            <c:numRef>
              <c:f>Sheet1!$D$4:$D$25</c:f>
              <c:numCache>
                <c:formatCode>General</c:formatCode>
                <c:ptCount val="22"/>
                <c:pt idx="0">
                  <c:v>2</c:v>
                </c:pt>
                <c:pt idx="1">
                  <c:v>2</c:v>
                </c:pt>
                <c:pt idx="2">
                  <c:v>1</c:v>
                </c:pt>
                <c:pt idx="3">
                  <c:v>4</c:v>
                </c:pt>
                <c:pt idx="4">
                  <c:v>3</c:v>
                </c:pt>
                <c:pt idx="5">
                  <c:v>3</c:v>
                </c:pt>
                <c:pt idx="6">
                  <c:v>2</c:v>
                </c:pt>
                <c:pt idx="7">
                  <c:v>2</c:v>
                </c:pt>
                <c:pt idx="8">
                  <c:v>4</c:v>
                </c:pt>
                <c:pt idx="9">
                  <c:v>4</c:v>
                </c:pt>
                <c:pt idx="10">
                  <c:v>2</c:v>
                </c:pt>
                <c:pt idx="11">
                  <c:v>2</c:v>
                </c:pt>
                <c:pt idx="12">
                  <c:v>5</c:v>
                </c:pt>
                <c:pt idx="13">
                  <c:v>4</c:v>
                </c:pt>
                <c:pt idx="14">
                  <c:v>3</c:v>
                </c:pt>
                <c:pt idx="15">
                  <c:v>4</c:v>
                </c:pt>
                <c:pt idx="16">
                  <c:v>3</c:v>
                </c:pt>
                <c:pt idx="17">
                  <c:v>3</c:v>
                </c:pt>
                <c:pt idx="18">
                  <c:v>3</c:v>
                </c:pt>
                <c:pt idx="19">
                  <c:v>2</c:v>
                </c:pt>
                <c:pt idx="20">
                  <c:v>2</c:v>
                </c:pt>
                <c:pt idx="21">
                  <c:v>2</c:v>
                </c:pt>
              </c:numCache>
            </c:numRef>
          </c:val>
          <c:extLst>
            <c:ext xmlns:c16="http://schemas.microsoft.com/office/drawing/2014/chart" uri="{C3380CC4-5D6E-409C-BE32-E72D297353CC}">
              <c16:uniqueId val="{0000001B-F195-4264-95F6-31E3765FBF43}"/>
            </c:ext>
          </c:extLst>
        </c:ser>
        <c:dLbls>
          <c:showLegendKey val="0"/>
          <c:showVal val="0"/>
          <c:showCatName val="0"/>
          <c:showSerName val="0"/>
          <c:showPercent val="0"/>
          <c:showBubbleSize val="0"/>
        </c:dLbls>
        <c:gapWidth val="182"/>
        <c:overlap val="100"/>
        <c:axId val="129995600"/>
        <c:axId val="129974960"/>
        <c:extLst>
          <c:ext xmlns:c15="http://schemas.microsoft.com/office/drawing/2012/chart" uri="{02D57815-91ED-43cb-92C2-25804820EDAC}">
            <c15:filteredBarSeries>
              <c15:ser>
                <c:idx val="1"/>
                <c:order val="0"/>
                <c:tx>
                  <c:strRef>
                    <c:extLst>
                      <c:ext uri="{02D57815-91ED-43cb-92C2-25804820EDAC}">
                        <c15:formulaRef>
                          <c15:sqref>Sheet1!$C$1:$C$3</c15:sqref>
                        </c15:formulaRef>
                      </c:ext>
                    </c:extLst>
                    <c:strCache>
                      <c:ptCount val="3"/>
                      <c:pt idx="0">
                        <c:v>Gantt Chart Showing Project Schedule and Critical Path</c:v>
                      </c:pt>
                      <c:pt idx="2">
                        <c:v>Finish Day</c:v>
                      </c:pt>
                    </c:strCache>
                  </c:strRef>
                </c:tx>
                <c:spPr>
                  <a:noFill/>
                  <a:ln>
                    <a:noFill/>
                  </a:ln>
                  <a:effectLst/>
                </c:spPr>
                <c:invertIfNegative val="0"/>
                <c:cat>
                  <c:strRef>
                    <c:extLst>
                      <c:ext uri="{02D57815-91ED-43cb-92C2-25804820EDAC}">
                        <c15:formulaRef>
                          <c15:sqref>Sheet1!$A$4:$A$25</c15:sqref>
                        </c15:formulaRef>
                      </c:ext>
                    </c:extLst>
                    <c:strCache>
                      <c:ptCount val="22"/>
                      <c:pt idx="0">
                        <c:v>A1</c:v>
                      </c:pt>
                      <c:pt idx="1">
                        <c:v>A2</c:v>
                      </c:pt>
                      <c:pt idx="2">
                        <c:v>A3</c:v>
                      </c:pt>
                      <c:pt idx="3">
                        <c:v>A4</c:v>
                      </c:pt>
                      <c:pt idx="4">
                        <c:v>A5</c:v>
                      </c:pt>
                      <c:pt idx="5">
                        <c:v>A6</c:v>
                      </c:pt>
                      <c:pt idx="6">
                        <c:v>A7</c:v>
                      </c:pt>
                      <c:pt idx="7">
                        <c:v>A8</c:v>
                      </c:pt>
                      <c:pt idx="8">
                        <c:v>A9</c:v>
                      </c:pt>
                      <c:pt idx="9">
                        <c:v>A10</c:v>
                      </c:pt>
                      <c:pt idx="10">
                        <c:v>A11</c:v>
                      </c:pt>
                      <c:pt idx="11">
                        <c:v>A12</c:v>
                      </c:pt>
                      <c:pt idx="12">
                        <c:v>A13</c:v>
                      </c:pt>
                      <c:pt idx="13">
                        <c:v>A14</c:v>
                      </c:pt>
                      <c:pt idx="14">
                        <c:v>A15</c:v>
                      </c:pt>
                      <c:pt idx="15">
                        <c:v>A16</c:v>
                      </c:pt>
                      <c:pt idx="16">
                        <c:v>A17</c:v>
                      </c:pt>
                      <c:pt idx="17">
                        <c:v>A18</c:v>
                      </c:pt>
                      <c:pt idx="18">
                        <c:v>A19</c:v>
                      </c:pt>
                      <c:pt idx="19">
                        <c:v>A20</c:v>
                      </c:pt>
                      <c:pt idx="20">
                        <c:v>A21</c:v>
                      </c:pt>
                      <c:pt idx="21">
                        <c:v>A22</c:v>
                      </c:pt>
                    </c:strCache>
                  </c:strRef>
                </c:cat>
                <c:val>
                  <c:numRef>
                    <c:extLst>
                      <c:ext uri="{02D57815-91ED-43cb-92C2-25804820EDAC}">
                        <c15:formulaRef>
                          <c15:sqref>Sheet1!$C$4:$C$25</c15:sqref>
                        </c15:formulaRef>
                      </c:ext>
                    </c:extLst>
                    <c:numCache>
                      <c:formatCode>General</c:formatCode>
                      <c:ptCount val="22"/>
                      <c:pt idx="0">
                        <c:v>2</c:v>
                      </c:pt>
                      <c:pt idx="1">
                        <c:v>4</c:v>
                      </c:pt>
                      <c:pt idx="2">
                        <c:v>3</c:v>
                      </c:pt>
                      <c:pt idx="3">
                        <c:v>8</c:v>
                      </c:pt>
                      <c:pt idx="4">
                        <c:v>11</c:v>
                      </c:pt>
                      <c:pt idx="5">
                        <c:v>6</c:v>
                      </c:pt>
                      <c:pt idx="6">
                        <c:v>13</c:v>
                      </c:pt>
                      <c:pt idx="7">
                        <c:v>8</c:v>
                      </c:pt>
                      <c:pt idx="8">
                        <c:v>15</c:v>
                      </c:pt>
                      <c:pt idx="9">
                        <c:v>10</c:v>
                      </c:pt>
                      <c:pt idx="10">
                        <c:v>8</c:v>
                      </c:pt>
                      <c:pt idx="11">
                        <c:v>15</c:v>
                      </c:pt>
                      <c:pt idx="12">
                        <c:v>15</c:v>
                      </c:pt>
                      <c:pt idx="13">
                        <c:v>19</c:v>
                      </c:pt>
                      <c:pt idx="14">
                        <c:v>11</c:v>
                      </c:pt>
                      <c:pt idx="15">
                        <c:v>23</c:v>
                      </c:pt>
                      <c:pt idx="16">
                        <c:v>18</c:v>
                      </c:pt>
                      <c:pt idx="17">
                        <c:v>26</c:v>
                      </c:pt>
                      <c:pt idx="18">
                        <c:v>21</c:v>
                      </c:pt>
                      <c:pt idx="19">
                        <c:v>28</c:v>
                      </c:pt>
                      <c:pt idx="20">
                        <c:v>30</c:v>
                      </c:pt>
                      <c:pt idx="21">
                        <c:v>32</c:v>
                      </c:pt>
                    </c:numCache>
                  </c:numRef>
                </c:val>
                <c:extLst>
                  <c:ext xmlns:c16="http://schemas.microsoft.com/office/drawing/2014/chart" uri="{C3380CC4-5D6E-409C-BE32-E72D297353CC}">
                    <c16:uniqueId val="{0000001C-F195-4264-95F6-31E3765FBF43}"/>
                  </c:ext>
                </c:extLst>
              </c15:ser>
            </c15:filteredBarSeries>
            <c15:filteredBarSeries>
              <c15:ser>
                <c:idx val="3"/>
                <c:order val="3"/>
                <c:tx>
                  <c:strRef>
                    <c:extLst xmlns:c15="http://schemas.microsoft.com/office/drawing/2012/chart">
                      <c:ext xmlns:c15="http://schemas.microsoft.com/office/drawing/2012/chart" uri="{02D57815-91ED-43cb-92C2-25804820EDAC}">
                        <c15:formulaRef>
                          <c15:sqref>Sheet1!$E$1:$E$3</c15:sqref>
                        </c15:formulaRef>
                      </c:ext>
                    </c:extLst>
                    <c:strCache>
                      <c:ptCount val="3"/>
                      <c:pt idx="0">
                        <c:v>Gantt Chart Showing Project Schedule and Critical Path</c:v>
                      </c:pt>
                      <c:pt idx="2">
                        <c:v>Critical Path</c:v>
                      </c:pt>
                    </c:strCache>
                  </c:strRef>
                </c:tx>
                <c:spPr>
                  <a:solidFill>
                    <a:schemeClr val="accent4"/>
                  </a:solidFill>
                  <a:ln>
                    <a:noFill/>
                  </a:ln>
                  <a:effectLst/>
                </c:spPr>
                <c:invertIfNegative val="0"/>
                <c:cat>
                  <c:strRef>
                    <c:extLst xmlns:c15="http://schemas.microsoft.com/office/drawing/2012/chart">
                      <c:ext xmlns:c15="http://schemas.microsoft.com/office/drawing/2012/chart" uri="{02D57815-91ED-43cb-92C2-25804820EDAC}">
                        <c15:formulaRef>
                          <c15:sqref>Sheet1!$A$4:$A$25</c15:sqref>
                        </c15:formulaRef>
                      </c:ext>
                    </c:extLst>
                    <c:strCache>
                      <c:ptCount val="22"/>
                      <c:pt idx="0">
                        <c:v>A1</c:v>
                      </c:pt>
                      <c:pt idx="1">
                        <c:v>A2</c:v>
                      </c:pt>
                      <c:pt idx="2">
                        <c:v>A3</c:v>
                      </c:pt>
                      <c:pt idx="3">
                        <c:v>A4</c:v>
                      </c:pt>
                      <c:pt idx="4">
                        <c:v>A5</c:v>
                      </c:pt>
                      <c:pt idx="5">
                        <c:v>A6</c:v>
                      </c:pt>
                      <c:pt idx="6">
                        <c:v>A7</c:v>
                      </c:pt>
                      <c:pt idx="7">
                        <c:v>A8</c:v>
                      </c:pt>
                      <c:pt idx="8">
                        <c:v>A9</c:v>
                      </c:pt>
                      <c:pt idx="9">
                        <c:v>A10</c:v>
                      </c:pt>
                      <c:pt idx="10">
                        <c:v>A11</c:v>
                      </c:pt>
                      <c:pt idx="11">
                        <c:v>A12</c:v>
                      </c:pt>
                      <c:pt idx="12">
                        <c:v>A13</c:v>
                      </c:pt>
                      <c:pt idx="13">
                        <c:v>A14</c:v>
                      </c:pt>
                      <c:pt idx="14">
                        <c:v>A15</c:v>
                      </c:pt>
                      <c:pt idx="15">
                        <c:v>A16</c:v>
                      </c:pt>
                      <c:pt idx="16">
                        <c:v>A17</c:v>
                      </c:pt>
                      <c:pt idx="17">
                        <c:v>A18</c:v>
                      </c:pt>
                      <c:pt idx="18">
                        <c:v>A19</c:v>
                      </c:pt>
                      <c:pt idx="19">
                        <c:v>A20</c:v>
                      </c:pt>
                      <c:pt idx="20">
                        <c:v>A21</c:v>
                      </c:pt>
                      <c:pt idx="21">
                        <c:v>A22</c:v>
                      </c:pt>
                    </c:strCache>
                  </c:strRef>
                </c:cat>
                <c:val>
                  <c:numRef>
                    <c:extLst xmlns:c15="http://schemas.microsoft.com/office/drawing/2012/chart">
                      <c:ext xmlns:c15="http://schemas.microsoft.com/office/drawing/2012/chart" uri="{02D57815-91ED-43cb-92C2-25804820EDAC}">
                        <c15:formulaRef>
                          <c15:sqref>Sheet1!$E$4:$E$25</c15:sqref>
                        </c15:formulaRef>
                      </c:ext>
                    </c:extLst>
                    <c:numCache>
                      <c:formatCode>General</c:formatCode>
                      <c:ptCount val="22"/>
                      <c:pt idx="0">
                        <c:v>0</c:v>
                      </c:pt>
                      <c:pt idx="1">
                        <c:v>0</c:v>
                      </c:pt>
                      <c:pt idx="2">
                        <c:v>0</c:v>
                      </c:pt>
                      <c:pt idx="3">
                        <c:v>0</c:v>
                      </c:pt>
                      <c:pt idx="4">
                        <c:v>0</c:v>
                      </c:pt>
                      <c:pt idx="5">
                        <c:v>0</c:v>
                      </c:pt>
                      <c:pt idx="6">
                        <c:v>0</c:v>
                      </c:pt>
                      <c:pt idx="7">
                        <c:v>0</c:v>
                      </c:pt>
                      <c:pt idx="8">
                        <c:v>0</c:v>
                      </c:pt>
                      <c:pt idx="9">
                        <c:v>0</c:v>
                      </c:pt>
                      <c:pt idx="10">
                        <c:v>0</c:v>
                      </c:pt>
                      <c:pt idx="11">
                        <c:v>0</c:v>
                      </c:pt>
                      <c:pt idx="12">
                        <c:v>0</c:v>
                      </c:pt>
                      <c:pt idx="13">
                        <c:v>0</c:v>
                      </c:pt>
                      <c:pt idx="14">
                        <c:v>0</c:v>
                      </c:pt>
                      <c:pt idx="15">
                        <c:v>0</c:v>
                      </c:pt>
                      <c:pt idx="16">
                        <c:v>0</c:v>
                      </c:pt>
                      <c:pt idx="17">
                        <c:v>0</c:v>
                      </c:pt>
                      <c:pt idx="18">
                        <c:v>0</c:v>
                      </c:pt>
                      <c:pt idx="19">
                        <c:v>0</c:v>
                      </c:pt>
                      <c:pt idx="20">
                        <c:v>0</c:v>
                      </c:pt>
                      <c:pt idx="21">
                        <c:v>0</c:v>
                      </c:pt>
                    </c:numCache>
                  </c:numRef>
                </c:val>
                <c:extLst xmlns:c15="http://schemas.microsoft.com/office/drawing/2012/chart">
                  <c:ext xmlns:c16="http://schemas.microsoft.com/office/drawing/2014/chart" uri="{C3380CC4-5D6E-409C-BE32-E72D297353CC}">
                    <c16:uniqueId val="{0000001D-F195-4264-95F6-31E3765FBF43}"/>
                  </c:ext>
                </c:extLst>
              </c15:ser>
            </c15:filteredBarSeries>
          </c:ext>
        </c:extLst>
      </c:barChart>
      <c:catAx>
        <c:axId val="129995600"/>
        <c:scaling>
          <c:orientation val="maxMin"/>
        </c:scaling>
        <c:delete val="0"/>
        <c:axPos val="l"/>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29974960"/>
        <c:crosses val="autoZero"/>
        <c:auto val="1"/>
        <c:lblAlgn val="ctr"/>
        <c:lblOffset val="100"/>
        <c:noMultiLvlLbl val="0"/>
      </c:catAx>
      <c:valAx>
        <c:axId val="129974960"/>
        <c:scaling>
          <c:orientation val="minMax"/>
        </c:scaling>
        <c:delete val="0"/>
        <c:axPos val="t"/>
        <c:majorGridlines>
          <c:spPr>
            <a:ln w="9525" cap="flat" cmpd="sng" algn="ctr">
              <a:solidFill>
                <a:schemeClr val="tx1">
                  <a:lumMod val="15000"/>
                  <a:lumOff val="85000"/>
                </a:schemeClr>
              </a:solidFill>
              <a:round/>
            </a:ln>
            <a:effectLst/>
          </c:spPr>
        </c:majorGridlines>
        <c:title>
          <c:tx>
            <c:rich>
              <a:bodyPr rot="0" spcFirstLastPara="1" vertOverflow="ellipsis" vert="horz" wrap="square" anchor="ctr" anchorCtr="1"/>
              <a:lstStyle/>
              <a:p>
                <a:pPr>
                  <a:defRPr sz="1400" b="0" i="0" u="none" strike="noStrike" kern="1200" baseline="0">
                    <a:solidFill>
                      <a:schemeClr val="tx1">
                        <a:lumMod val="65000"/>
                        <a:lumOff val="35000"/>
                      </a:schemeClr>
                    </a:solidFill>
                    <a:latin typeface="+mn-lt"/>
                    <a:ea typeface="+mn-ea"/>
                    <a:cs typeface="+mn-cs"/>
                  </a:defRPr>
                </a:pPr>
                <a:r>
                  <a:rPr lang="en-GB" sz="1400" b="1"/>
                  <a:t>Gantt Chart Showing Project Schedule and Critical Path</a:t>
                </a:r>
                <a:endParaRPr lang="en-GB" sz="1400"/>
              </a:p>
            </c:rich>
          </c:tx>
          <c:layout>
            <c:manualLayout>
              <c:xMode val="edge"/>
              <c:yMode val="edge"/>
              <c:x val="0.16146694823428184"/>
              <c:y val="9.3703478646388824E-3"/>
            </c:manualLayout>
          </c:layout>
          <c:overlay val="0"/>
          <c:spPr>
            <a:noFill/>
            <a:ln>
              <a:noFill/>
            </a:ln>
            <a:effectLst/>
          </c:spPr>
          <c:txPr>
            <a:bodyPr rot="0" spcFirstLastPara="1" vertOverflow="ellipsis" vert="horz" wrap="square" anchor="ctr" anchorCtr="1"/>
            <a:lstStyle/>
            <a:p>
              <a:pPr>
                <a:defRPr sz="1400" b="0" i="0" u="none" strike="noStrike" kern="1200" baseline="0">
                  <a:solidFill>
                    <a:schemeClr val="tx1">
                      <a:lumMod val="65000"/>
                      <a:lumOff val="35000"/>
                    </a:schemeClr>
                  </a:solidFill>
                  <a:latin typeface="+mn-lt"/>
                  <a:ea typeface="+mn-ea"/>
                  <a:cs typeface="+mn-cs"/>
                </a:defRPr>
              </a:pPr>
              <a:endParaRPr lang="en-GB"/>
            </a:p>
          </c:txPr>
        </c:title>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29995600"/>
        <c:crosses val="autoZero"/>
        <c:crossBetween val="between"/>
      </c:valAx>
      <c:spPr>
        <a:noFill/>
        <a:ln>
          <a:noFill/>
        </a:ln>
        <a:effectLst/>
      </c:spPr>
    </c:plotArea>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16">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theme/theme1.xml><?xml version="1.0" encoding="utf-8"?>
<a:theme xmlns:a="http://schemas.openxmlformats.org/drawingml/2006/main" xmlns:thm15="http://schemas.microsoft.com/office/thememl/2012/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CCB9313C-EB50-4B85-B5B4-53003B08C441}">
  <ds:schemaRefs>
    <ds:schemaRef ds:uri="http://schemas.openxmlformats.org/officeDocument/2006/bibliography"/>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Word for the web</ap:Application>
  <ap:DocSecurity>0</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
  <keywords/>
  <dc:description/>
  <lastModifiedBy>Md Tuhidul Islam Tuhin (2425623)</lastModifiedBy>
  <revision>2</revision>
  <dcterms:created xsi:type="dcterms:W3CDTF">2026-01-09T01:43:00.0000000Z</dcterms:created>
  <dcterms:modified xsi:type="dcterms:W3CDTF">2026-01-29T11:16:24.7634561Z</dcterms:modified>
</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40237e70-43a8-4aa2-9c29-095cf8185fe9</vt:lpwstr>
  </property>
</Properties>
</file>