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C31597" w14:textId="77777777" w:rsidR="006B073B" w:rsidRPr="006B073B" w:rsidRDefault="006B073B" w:rsidP="006B073B">
      <w:pPr>
        <w:jc w:val="center"/>
        <w:rPr>
          <w:rFonts w:ascii="Arial" w:hAnsi="Arial" w:cs="Arial"/>
        </w:rPr>
      </w:pPr>
      <w:r w:rsidRPr="006B073B">
        <w:rPr>
          <w:rFonts w:ascii="Arial" w:hAnsi="Arial" w:cs="Arial"/>
        </w:rPr>
        <w:t xml:space="preserve">I confirm that I have not used any AI tools in the research and creation of this </w:t>
      </w:r>
    </w:p>
    <w:p w14:paraId="0B201FAB" w14:textId="77777777" w:rsidR="006B073B" w:rsidRPr="006B073B" w:rsidRDefault="006B073B" w:rsidP="006B073B">
      <w:pPr>
        <w:jc w:val="center"/>
        <w:rPr>
          <w:rFonts w:ascii="Arial" w:hAnsi="Arial" w:cs="Arial"/>
        </w:rPr>
      </w:pPr>
      <w:r w:rsidRPr="006B073B">
        <w:rPr>
          <w:rFonts w:ascii="Arial" w:hAnsi="Arial" w:cs="Arial"/>
        </w:rPr>
        <w:t xml:space="preserve">assignment. I confirm that I have not presented any AI generated materials as my own </w:t>
      </w:r>
    </w:p>
    <w:p w14:paraId="6A6BA67B" w14:textId="77777777" w:rsidR="006B073B" w:rsidRPr="006B073B" w:rsidRDefault="006B073B" w:rsidP="006B073B">
      <w:pPr>
        <w:jc w:val="center"/>
        <w:rPr>
          <w:rFonts w:ascii="Arial" w:hAnsi="Arial" w:cs="Arial"/>
        </w:rPr>
      </w:pPr>
      <w:r w:rsidRPr="006B073B">
        <w:rPr>
          <w:rFonts w:ascii="Arial" w:hAnsi="Arial" w:cs="Arial"/>
        </w:rPr>
        <w:t xml:space="preserve">work. I confirm I have copies of my drafts, notes, and other resources I used, which I </w:t>
      </w:r>
    </w:p>
    <w:p w14:paraId="2E1050DB" w14:textId="3EDEA1D6" w:rsidR="006B073B" w:rsidRDefault="006B073B" w:rsidP="006B073B">
      <w:pPr>
        <w:jc w:val="center"/>
        <w:rPr>
          <w:rFonts w:ascii="Arial" w:hAnsi="Arial" w:cs="Arial"/>
        </w:rPr>
      </w:pPr>
      <w:r w:rsidRPr="006B073B">
        <w:rPr>
          <w:rFonts w:ascii="Arial" w:hAnsi="Arial" w:cs="Arial"/>
        </w:rPr>
        <w:t>may be asked to provide in evidence.</w:t>
      </w:r>
    </w:p>
    <w:p w14:paraId="264D7CBD" w14:textId="77777777" w:rsidR="006B073B" w:rsidRDefault="006B073B" w:rsidP="00C144D9">
      <w:pPr>
        <w:jc w:val="center"/>
        <w:rPr>
          <w:rFonts w:ascii="Arial" w:hAnsi="Arial" w:cs="Arial"/>
        </w:rPr>
      </w:pPr>
    </w:p>
    <w:p w14:paraId="5FBA86C9" w14:textId="77777777" w:rsidR="006B073B" w:rsidRDefault="006B073B" w:rsidP="00C144D9">
      <w:pPr>
        <w:jc w:val="center"/>
        <w:rPr>
          <w:rFonts w:ascii="Arial" w:hAnsi="Arial" w:cs="Arial"/>
        </w:rPr>
      </w:pPr>
    </w:p>
    <w:p w14:paraId="33B5EF30" w14:textId="77777777" w:rsidR="006B073B" w:rsidRDefault="006B073B" w:rsidP="00C144D9">
      <w:pPr>
        <w:jc w:val="center"/>
        <w:rPr>
          <w:rFonts w:ascii="Arial" w:hAnsi="Arial" w:cs="Arial"/>
        </w:rPr>
      </w:pPr>
    </w:p>
    <w:p w14:paraId="2755BB14" w14:textId="77777777" w:rsidR="006B073B" w:rsidRDefault="006B073B" w:rsidP="00C144D9">
      <w:pPr>
        <w:jc w:val="center"/>
        <w:rPr>
          <w:rFonts w:ascii="Arial" w:hAnsi="Arial" w:cs="Arial"/>
        </w:rPr>
      </w:pPr>
    </w:p>
    <w:p w14:paraId="7A7BFB98" w14:textId="77777777" w:rsidR="006B073B" w:rsidRDefault="006B073B" w:rsidP="00C144D9">
      <w:pPr>
        <w:jc w:val="center"/>
        <w:rPr>
          <w:rFonts w:ascii="Arial" w:hAnsi="Arial" w:cs="Arial"/>
        </w:rPr>
      </w:pPr>
    </w:p>
    <w:p w14:paraId="3B9BA99B" w14:textId="77777777" w:rsidR="006B073B" w:rsidRDefault="006B073B" w:rsidP="00C144D9">
      <w:pPr>
        <w:jc w:val="center"/>
        <w:rPr>
          <w:rFonts w:ascii="Arial" w:hAnsi="Arial" w:cs="Arial"/>
        </w:rPr>
      </w:pPr>
    </w:p>
    <w:p w14:paraId="205F383F" w14:textId="77777777" w:rsidR="006B073B" w:rsidRDefault="006B073B" w:rsidP="00C144D9">
      <w:pPr>
        <w:jc w:val="center"/>
        <w:rPr>
          <w:rFonts w:ascii="Arial" w:hAnsi="Arial" w:cs="Arial"/>
        </w:rPr>
      </w:pPr>
    </w:p>
    <w:p w14:paraId="3E4D62C8" w14:textId="77777777" w:rsidR="006B073B" w:rsidRDefault="006B073B" w:rsidP="00C144D9">
      <w:pPr>
        <w:jc w:val="center"/>
        <w:rPr>
          <w:rFonts w:ascii="Arial" w:hAnsi="Arial" w:cs="Arial"/>
        </w:rPr>
      </w:pPr>
    </w:p>
    <w:p w14:paraId="7C4FB453" w14:textId="77777777" w:rsidR="006B073B" w:rsidRDefault="006B073B" w:rsidP="00C144D9">
      <w:pPr>
        <w:jc w:val="center"/>
        <w:rPr>
          <w:rFonts w:ascii="Arial" w:hAnsi="Arial" w:cs="Arial"/>
        </w:rPr>
      </w:pPr>
    </w:p>
    <w:p w14:paraId="7A64A24D" w14:textId="77777777" w:rsidR="006B073B" w:rsidRDefault="006B073B" w:rsidP="00C144D9">
      <w:pPr>
        <w:jc w:val="center"/>
        <w:rPr>
          <w:rFonts w:ascii="Arial" w:hAnsi="Arial" w:cs="Arial"/>
        </w:rPr>
      </w:pPr>
    </w:p>
    <w:p w14:paraId="5717668C" w14:textId="77777777" w:rsidR="006B073B" w:rsidRDefault="006B073B" w:rsidP="00C144D9">
      <w:pPr>
        <w:jc w:val="center"/>
        <w:rPr>
          <w:rFonts w:ascii="Arial" w:hAnsi="Arial" w:cs="Arial"/>
        </w:rPr>
      </w:pPr>
    </w:p>
    <w:p w14:paraId="4170C958" w14:textId="77777777" w:rsidR="006B073B" w:rsidRDefault="006B073B" w:rsidP="00C144D9">
      <w:pPr>
        <w:jc w:val="center"/>
        <w:rPr>
          <w:rFonts w:ascii="Arial" w:hAnsi="Arial" w:cs="Arial"/>
        </w:rPr>
      </w:pPr>
    </w:p>
    <w:p w14:paraId="6D5FF314" w14:textId="77777777" w:rsidR="006B073B" w:rsidRDefault="006B073B" w:rsidP="00C144D9">
      <w:pPr>
        <w:jc w:val="center"/>
        <w:rPr>
          <w:rFonts w:ascii="Arial" w:hAnsi="Arial" w:cs="Arial"/>
        </w:rPr>
      </w:pPr>
    </w:p>
    <w:p w14:paraId="4E9A33FC" w14:textId="77777777" w:rsidR="006B073B" w:rsidRDefault="006B073B" w:rsidP="00C144D9">
      <w:pPr>
        <w:jc w:val="center"/>
        <w:rPr>
          <w:rFonts w:ascii="Arial" w:hAnsi="Arial" w:cs="Arial"/>
        </w:rPr>
      </w:pPr>
    </w:p>
    <w:p w14:paraId="1CCA8D06" w14:textId="77777777" w:rsidR="006B073B" w:rsidRDefault="006B073B" w:rsidP="00C144D9">
      <w:pPr>
        <w:jc w:val="center"/>
        <w:rPr>
          <w:rFonts w:ascii="Arial" w:hAnsi="Arial" w:cs="Arial"/>
        </w:rPr>
      </w:pPr>
    </w:p>
    <w:p w14:paraId="50D0B072" w14:textId="77777777" w:rsidR="006B073B" w:rsidRDefault="006B073B" w:rsidP="00C144D9">
      <w:pPr>
        <w:jc w:val="center"/>
        <w:rPr>
          <w:rFonts w:ascii="Arial" w:hAnsi="Arial" w:cs="Arial"/>
        </w:rPr>
      </w:pPr>
    </w:p>
    <w:p w14:paraId="3DB8E116" w14:textId="77777777" w:rsidR="006B073B" w:rsidRDefault="006B073B" w:rsidP="00C144D9">
      <w:pPr>
        <w:jc w:val="center"/>
        <w:rPr>
          <w:rFonts w:ascii="Arial" w:hAnsi="Arial" w:cs="Arial"/>
        </w:rPr>
      </w:pPr>
    </w:p>
    <w:p w14:paraId="2718EAB6" w14:textId="77777777" w:rsidR="006B073B" w:rsidRDefault="006B073B" w:rsidP="00C144D9">
      <w:pPr>
        <w:jc w:val="center"/>
        <w:rPr>
          <w:rFonts w:ascii="Arial" w:hAnsi="Arial" w:cs="Arial"/>
        </w:rPr>
      </w:pPr>
    </w:p>
    <w:p w14:paraId="16C832AF" w14:textId="77777777" w:rsidR="006B073B" w:rsidRDefault="006B073B" w:rsidP="00C144D9">
      <w:pPr>
        <w:jc w:val="center"/>
        <w:rPr>
          <w:rFonts w:ascii="Arial" w:hAnsi="Arial" w:cs="Arial"/>
        </w:rPr>
      </w:pPr>
    </w:p>
    <w:p w14:paraId="3F9C5DD3" w14:textId="77777777" w:rsidR="006B073B" w:rsidRDefault="006B073B" w:rsidP="00C144D9">
      <w:pPr>
        <w:jc w:val="center"/>
        <w:rPr>
          <w:rFonts w:ascii="Arial" w:hAnsi="Arial" w:cs="Arial"/>
        </w:rPr>
      </w:pPr>
    </w:p>
    <w:p w14:paraId="5B7C59D0" w14:textId="77777777" w:rsidR="006B073B" w:rsidRDefault="006B073B" w:rsidP="00C144D9">
      <w:pPr>
        <w:jc w:val="center"/>
        <w:rPr>
          <w:rFonts w:ascii="Arial" w:hAnsi="Arial" w:cs="Arial"/>
        </w:rPr>
      </w:pPr>
    </w:p>
    <w:p w14:paraId="0D48A66B" w14:textId="77777777" w:rsidR="006B073B" w:rsidRDefault="006B073B" w:rsidP="00C144D9">
      <w:pPr>
        <w:jc w:val="center"/>
        <w:rPr>
          <w:rFonts w:ascii="Arial" w:hAnsi="Arial" w:cs="Arial"/>
        </w:rPr>
      </w:pPr>
    </w:p>
    <w:p w14:paraId="25B12B7C" w14:textId="77777777" w:rsidR="006B073B" w:rsidRDefault="006B073B" w:rsidP="00C144D9">
      <w:pPr>
        <w:jc w:val="center"/>
        <w:rPr>
          <w:rFonts w:ascii="Arial" w:hAnsi="Arial" w:cs="Arial"/>
        </w:rPr>
      </w:pPr>
    </w:p>
    <w:p w14:paraId="17B0E732" w14:textId="77777777" w:rsidR="006B073B" w:rsidRDefault="006B073B" w:rsidP="00C144D9">
      <w:pPr>
        <w:jc w:val="center"/>
        <w:rPr>
          <w:rFonts w:ascii="Arial" w:hAnsi="Arial" w:cs="Arial"/>
        </w:rPr>
      </w:pPr>
    </w:p>
    <w:p w14:paraId="7E039351" w14:textId="77777777" w:rsidR="006B073B" w:rsidRDefault="006B073B" w:rsidP="00C144D9">
      <w:pPr>
        <w:jc w:val="center"/>
        <w:rPr>
          <w:rFonts w:ascii="Arial" w:hAnsi="Arial" w:cs="Arial"/>
        </w:rPr>
      </w:pPr>
    </w:p>
    <w:p w14:paraId="6E24A75F" w14:textId="77777777" w:rsidR="006B073B" w:rsidRDefault="006B073B" w:rsidP="00C144D9">
      <w:pPr>
        <w:jc w:val="center"/>
        <w:rPr>
          <w:rFonts w:ascii="Arial" w:hAnsi="Arial" w:cs="Arial"/>
        </w:rPr>
      </w:pPr>
    </w:p>
    <w:p w14:paraId="6FDF579B" w14:textId="0F35EA57" w:rsidR="009272D4" w:rsidRPr="001F3AC2" w:rsidRDefault="00C144D9" w:rsidP="00C144D9">
      <w:pPr>
        <w:jc w:val="center"/>
        <w:rPr>
          <w:rFonts w:ascii="Arial" w:hAnsi="Arial" w:cs="Arial"/>
        </w:rPr>
      </w:pPr>
      <w:r w:rsidRPr="001F3AC2">
        <w:rPr>
          <w:rFonts w:ascii="Arial" w:hAnsi="Arial" w:cs="Arial"/>
        </w:rPr>
        <w:lastRenderedPageBreak/>
        <w:drawing>
          <wp:inline distT="0" distB="0" distL="0" distR="0" wp14:anchorId="0EC56CE2" wp14:editId="46EED226">
            <wp:extent cx="3724275" cy="1647825"/>
            <wp:effectExtent l="0" t="0" r="9525" b="9525"/>
            <wp:docPr id="2"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close-up of a sign&#10;&#10;Description automatically generated"/>
                    <pic:cNvPicPr/>
                  </pic:nvPicPr>
                  <pic:blipFill>
                    <a:blip r:embed="rId8"/>
                    <a:srcRect/>
                    <a:stretch>
                      <a:fillRect/>
                    </a:stretch>
                  </pic:blipFill>
                  <pic:spPr>
                    <a:xfrm>
                      <a:off x="0" y="0"/>
                      <a:ext cx="3724275" cy="1647825"/>
                    </a:xfrm>
                    <a:prstGeom prst="rect">
                      <a:avLst/>
                    </a:prstGeom>
                    <a:ln/>
                  </pic:spPr>
                </pic:pic>
              </a:graphicData>
            </a:graphic>
          </wp:inline>
        </w:drawing>
      </w:r>
    </w:p>
    <w:p w14:paraId="68D28FE3" w14:textId="77777777" w:rsidR="00C144D9" w:rsidRPr="001F3AC2" w:rsidRDefault="00C144D9" w:rsidP="00C144D9">
      <w:pPr>
        <w:jc w:val="center"/>
        <w:rPr>
          <w:rFonts w:ascii="Arial" w:hAnsi="Arial" w:cs="Arial"/>
        </w:rPr>
      </w:pPr>
    </w:p>
    <w:p w14:paraId="3A4B6FE9" w14:textId="77777777" w:rsidR="00C144D9" w:rsidRPr="001F3AC2" w:rsidRDefault="00C144D9" w:rsidP="00C144D9">
      <w:pPr>
        <w:jc w:val="center"/>
        <w:rPr>
          <w:rFonts w:ascii="Arial" w:hAnsi="Arial" w:cs="Arial"/>
          <w:b/>
          <w:bCs/>
          <w:sz w:val="24"/>
          <w:szCs w:val="24"/>
          <w:lang w:val="en-GB"/>
        </w:rPr>
      </w:pPr>
      <w:r w:rsidRPr="001F3AC2">
        <w:rPr>
          <w:rFonts w:ascii="Arial" w:hAnsi="Arial" w:cs="Arial"/>
          <w:b/>
          <w:bCs/>
          <w:sz w:val="24"/>
          <w:szCs w:val="24"/>
          <w:lang w:val="en-GB"/>
        </w:rPr>
        <w:t>Module Mame</w:t>
      </w:r>
      <w:r w:rsidRPr="001F3AC2">
        <w:rPr>
          <w:rFonts w:ascii="Arial" w:eastAsia="Arial" w:hAnsi="Arial" w:cs="Arial"/>
          <w:b/>
          <w:bCs/>
          <w:color w:val="000000"/>
        </w:rPr>
        <w:t xml:space="preserve"> </w:t>
      </w:r>
      <w:r w:rsidRPr="001F3AC2">
        <w:rPr>
          <w:rFonts w:ascii="Arial" w:hAnsi="Arial" w:cs="Arial"/>
          <w:b/>
          <w:bCs/>
          <w:sz w:val="24"/>
          <w:szCs w:val="24"/>
        </w:rPr>
        <w:t>International Meetings Management for the Hotel Industry</w:t>
      </w:r>
    </w:p>
    <w:p w14:paraId="7B1122B8" w14:textId="77777777" w:rsidR="00C144D9" w:rsidRPr="001F3AC2" w:rsidRDefault="00C144D9" w:rsidP="00C144D9">
      <w:pPr>
        <w:jc w:val="center"/>
        <w:rPr>
          <w:rFonts w:ascii="Arial" w:hAnsi="Arial" w:cs="Arial"/>
          <w:b/>
          <w:bCs/>
          <w:sz w:val="24"/>
          <w:szCs w:val="24"/>
        </w:rPr>
      </w:pPr>
      <w:r w:rsidRPr="001F3AC2">
        <w:rPr>
          <w:rFonts w:ascii="Arial" w:hAnsi="Arial" w:cs="Arial"/>
          <w:b/>
          <w:bCs/>
          <w:sz w:val="24"/>
          <w:szCs w:val="24"/>
          <w:lang w:val="en-GB"/>
        </w:rPr>
        <w:t xml:space="preserve">Lecturer Name: </w:t>
      </w:r>
      <w:r w:rsidRPr="001F3AC2">
        <w:rPr>
          <w:rFonts w:ascii="Arial" w:hAnsi="Arial" w:cs="Arial"/>
          <w:b/>
          <w:bCs/>
          <w:sz w:val="24"/>
          <w:szCs w:val="24"/>
        </w:rPr>
        <w:t>Kathryn Flynn/ Chris Wilkin</w:t>
      </w:r>
    </w:p>
    <w:p w14:paraId="5B6DEE52" w14:textId="77777777" w:rsidR="00C144D9" w:rsidRPr="001F3AC2" w:rsidRDefault="00C144D9" w:rsidP="00C144D9">
      <w:pPr>
        <w:jc w:val="center"/>
        <w:rPr>
          <w:rFonts w:ascii="Arial" w:hAnsi="Arial" w:cs="Arial"/>
          <w:b/>
          <w:bCs/>
          <w:lang w:val="ro-RO"/>
        </w:rPr>
      </w:pPr>
      <w:r w:rsidRPr="001F3AC2">
        <w:rPr>
          <w:rFonts w:ascii="Arial" w:hAnsi="Arial" w:cs="Arial"/>
          <w:b/>
          <w:bCs/>
          <w:sz w:val="24"/>
          <w:szCs w:val="24"/>
          <w:lang w:val="en-GB"/>
        </w:rPr>
        <w:t xml:space="preserve">Module Code: </w:t>
      </w:r>
      <w:r w:rsidRPr="001F3AC2">
        <w:rPr>
          <w:rFonts w:ascii="Arial" w:hAnsi="Arial" w:cs="Arial"/>
          <w:b/>
          <w:bCs/>
          <w:lang w:val="ro-RO"/>
        </w:rPr>
        <w:t>BMIH6007</w:t>
      </w:r>
    </w:p>
    <w:p w14:paraId="4533E07B" w14:textId="77777777" w:rsidR="00C144D9" w:rsidRPr="001F3AC2" w:rsidRDefault="00C144D9" w:rsidP="00C144D9">
      <w:pPr>
        <w:jc w:val="center"/>
        <w:rPr>
          <w:rFonts w:ascii="Arial" w:hAnsi="Arial" w:cs="Arial"/>
          <w:b/>
          <w:bCs/>
          <w:lang w:val="ro-RO"/>
        </w:rPr>
      </w:pPr>
    </w:p>
    <w:p w14:paraId="2395A8FE" w14:textId="77777777" w:rsidR="00C144D9" w:rsidRPr="001F3AC2" w:rsidRDefault="00C144D9" w:rsidP="00C144D9">
      <w:pPr>
        <w:jc w:val="center"/>
        <w:rPr>
          <w:rFonts w:ascii="Arial" w:hAnsi="Arial" w:cs="Arial"/>
          <w:b/>
          <w:bCs/>
          <w:lang w:val="ro-RO"/>
        </w:rPr>
      </w:pPr>
    </w:p>
    <w:p w14:paraId="388B6590" w14:textId="77777777" w:rsidR="00C144D9" w:rsidRPr="001F3AC2" w:rsidRDefault="00C144D9" w:rsidP="00C144D9">
      <w:pPr>
        <w:jc w:val="center"/>
        <w:rPr>
          <w:rFonts w:ascii="Arial" w:hAnsi="Arial" w:cs="Arial"/>
          <w:b/>
          <w:bCs/>
          <w:lang w:val="ro-RO"/>
        </w:rPr>
      </w:pPr>
    </w:p>
    <w:p w14:paraId="3E72DB40" w14:textId="77777777" w:rsidR="00C144D9" w:rsidRPr="001F3AC2" w:rsidRDefault="00C144D9" w:rsidP="00C144D9">
      <w:pPr>
        <w:jc w:val="center"/>
        <w:rPr>
          <w:rFonts w:ascii="Arial" w:hAnsi="Arial" w:cs="Arial"/>
          <w:b/>
          <w:bCs/>
          <w:lang w:val="ro-RO"/>
        </w:rPr>
      </w:pPr>
    </w:p>
    <w:p w14:paraId="0207EAF1" w14:textId="77777777" w:rsidR="00C144D9" w:rsidRPr="001F3AC2" w:rsidRDefault="00C144D9" w:rsidP="00C144D9">
      <w:pPr>
        <w:jc w:val="center"/>
        <w:rPr>
          <w:rFonts w:ascii="Arial" w:hAnsi="Arial" w:cs="Arial"/>
          <w:b/>
          <w:bCs/>
          <w:lang w:val="ro-RO"/>
        </w:rPr>
      </w:pPr>
    </w:p>
    <w:p w14:paraId="33E9BE6F" w14:textId="77777777" w:rsidR="00C144D9" w:rsidRPr="001F3AC2" w:rsidRDefault="00C144D9" w:rsidP="00C144D9">
      <w:pPr>
        <w:jc w:val="center"/>
        <w:rPr>
          <w:rFonts w:ascii="Arial" w:hAnsi="Arial" w:cs="Arial"/>
          <w:b/>
          <w:bCs/>
          <w:lang w:val="ro-RO"/>
        </w:rPr>
      </w:pPr>
    </w:p>
    <w:p w14:paraId="235C94D6" w14:textId="77777777" w:rsidR="00C144D9" w:rsidRPr="001F3AC2" w:rsidRDefault="00C144D9" w:rsidP="00C144D9">
      <w:pPr>
        <w:jc w:val="center"/>
        <w:rPr>
          <w:rFonts w:ascii="Arial" w:hAnsi="Arial" w:cs="Arial"/>
          <w:b/>
          <w:bCs/>
          <w:sz w:val="24"/>
          <w:szCs w:val="24"/>
        </w:rPr>
      </w:pPr>
    </w:p>
    <w:p w14:paraId="29799049" w14:textId="77777777" w:rsidR="00C144D9" w:rsidRPr="001F3AC2" w:rsidRDefault="00C144D9" w:rsidP="001F3AC2">
      <w:pPr>
        <w:pStyle w:val="Title"/>
        <w:jc w:val="center"/>
        <w:rPr>
          <w:b/>
          <w:bCs/>
        </w:rPr>
      </w:pPr>
      <w:bookmarkStart w:id="0" w:name="_Hlk181715262"/>
      <w:r w:rsidRPr="001F3AC2">
        <w:rPr>
          <w:b/>
          <w:bCs/>
        </w:rPr>
        <w:t>Fairytale Winter: The Canterbury Light Festival</w:t>
      </w:r>
    </w:p>
    <w:p w14:paraId="270778FE" w14:textId="77777777" w:rsidR="00C144D9" w:rsidRPr="001F3AC2" w:rsidRDefault="00C144D9" w:rsidP="00C144D9">
      <w:pPr>
        <w:jc w:val="center"/>
        <w:rPr>
          <w:rFonts w:ascii="Arial" w:hAnsi="Arial" w:cs="Arial"/>
          <w:b/>
          <w:bCs/>
          <w:sz w:val="48"/>
          <w:szCs w:val="48"/>
        </w:rPr>
      </w:pPr>
    </w:p>
    <w:p w14:paraId="26E9EF59" w14:textId="77777777" w:rsidR="00C144D9" w:rsidRPr="001F3AC2" w:rsidRDefault="00C144D9" w:rsidP="00C144D9">
      <w:pPr>
        <w:jc w:val="center"/>
        <w:rPr>
          <w:rFonts w:ascii="Arial" w:hAnsi="Arial" w:cs="Arial"/>
          <w:b/>
          <w:bCs/>
          <w:sz w:val="48"/>
          <w:szCs w:val="48"/>
        </w:rPr>
      </w:pPr>
    </w:p>
    <w:p w14:paraId="661D1F49" w14:textId="77777777" w:rsidR="00C144D9" w:rsidRPr="001F3AC2" w:rsidRDefault="00C144D9" w:rsidP="00C144D9">
      <w:pPr>
        <w:jc w:val="center"/>
        <w:rPr>
          <w:rFonts w:ascii="Arial" w:hAnsi="Arial" w:cs="Arial"/>
          <w:b/>
          <w:bCs/>
          <w:sz w:val="48"/>
          <w:szCs w:val="48"/>
        </w:rPr>
      </w:pPr>
    </w:p>
    <w:p w14:paraId="0F0A89F0" w14:textId="77777777" w:rsidR="00C144D9" w:rsidRPr="001F3AC2" w:rsidRDefault="00C144D9" w:rsidP="00C144D9">
      <w:pPr>
        <w:jc w:val="center"/>
        <w:rPr>
          <w:rFonts w:ascii="Arial" w:hAnsi="Arial" w:cs="Arial"/>
          <w:b/>
          <w:bCs/>
          <w:sz w:val="48"/>
          <w:szCs w:val="48"/>
        </w:rPr>
      </w:pPr>
    </w:p>
    <w:bookmarkEnd w:id="0"/>
    <w:p w14:paraId="3425CF16" w14:textId="77777777" w:rsidR="00C144D9" w:rsidRPr="001F3AC2" w:rsidRDefault="00C144D9" w:rsidP="00C144D9">
      <w:pPr>
        <w:ind w:firstLine="708"/>
        <w:jc w:val="center"/>
        <w:rPr>
          <w:rFonts w:ascii="Arial" w:hAnsi="Arial" w:cs="Arial"/>
          <w:b/>
          <w:sz w:val="24"/>
          <w:szCs w:val="24"/>
        </w:rPr>
      </w:pPr>
      <w:r w:rsidRPr="001F3AC2">
        <w:rPr>
          <w:rFonts w:ascii="Arial" w:hAnsi="Arial" w:cs="Arial"/>
          <w:b/>
          <w:sz w:val="24"/>
          <w:szCs w:val="24"/>
          <w:lang w:val="en-GB"/>
        </w:rPr>
        <w:t>Student ID number: (2208502)</w:t>
      </w:r>
    </w:p>
    <w:p w14:paraId="29863B89" w14:textId="77777777" w:rsidR="00C144D9" w:rsidRPr="001F3AC2" w:rsidRDefault="00C144D9" w:rsidP="00C144D9">
      <w:pPr>
        <w:ind w:firstLine="708"/>
        <w:jc w:val="center"/>
        <w:rPr>
          <w:rFonts w:ascii="Arial" w:hAnsi="Arial" w:cs="Arial"/>
          <w:b/>
          <w:sz w:val="24"/>
          <w:szCs w:val="24"/>
          <w:lang w:val="en-GB"/>
        </w:rPr>
      </w:pPr>
      <w:r w:rsidRPr="001F3AC2">
        <w:rPr>
          <w:rFonts w:ascii="Arial" w:hAnsi="Arial" w:cs="Arial"/>
          <w:b/>
          <w:sz w:val="24"/>
          <w:szCs w:val="24"/>
          <w:lang w:val="en-GB"/>
        </w:rPr>
        <w:t>Student Name: Ion Popa</w:t>
      </w:r>
    </w:p>
    <w:p w14:paraId="1DA6C79F" w14:textId="2EAEB3AF" w:rsidR="00C144D9" w:rsidRPr="001F3AC2" w:rsidRDefault="00C144D9" w:rsidP="00C144D9">
      <w:pPr>
        <w:ind w:firstLine="708"/>
        <w:jc w:val="center"/>
        <w:rPr>
          <w:rFonts w:ascii="Arial" w:hAnsi="Arial" w:cs="Arial"/>
          <w:b/>
          <w:sz w:val="24"/>
          <w:szCs w:val="24"/>
          <w:lang w:val="en-GB"/>
        </w:rPr>
      </w:pPr>
      <w:r w:rsidRPr="001F3AC2">
        <w:rPr>
          <w:rFonts w:ascii="Arial" w:hAnsi="Arial" w:cs="Arial"/>
          <w:b/>
          <w:sz w:val="24"/>
          <w:szCs w:val="24"/>
        </w:rPr>
        <w:t xml:space="preserve">Word Count: </w:t>
      </w:r>
      <w:r w:rsidRPr="001F3AC2">
        <w:rPr>
          <w:rFonts w:ascii="Arial" w:hAnsi="Arial" w:cs="Arial"/>
          <w:b/>
          <w:sz w:val="24"/>
          <w:szCs w:val="24"/>
          <w:lang w:val="en-GB"/>
        </w:rPr>
        <w:t>2</w:t>
      </w:r>
      <w:r w:rsidR="001F3AC2">
        <w:rPr>
          <w:rFonts w:ascii="Arial" w:hAnsi="Arial" w:cs="Arial"/>
          <w:b/>
          <w:sz w:val="24"/>
          <w:szCs w:val="24"/>
          <w:lang w:val="en-GB"/>
        </w:rPr>
        <w:t>410</w:t>
      </w:r>
    </w:p>
    <w:p w14:paraId="3DB3EB02" w14:textId="77777777" w:rsidR="00C144D9" w:rsidRPr="001F3AC2" w:rsidRDefault="00C144D9" w:rsidP="00C144D9">
      <w:pPr>
        <w:jc w:val="center"/>
        <w:rPr>
          <w:rFonts w:ascii="Arial" w:hAnsi="Arial" w:cs="Arial"/>
        </w:rPr>
      </w:pPr>
    </w:p>
    <w:sdt>
      <w:sdtPr>
        <w:rPr>
          <w:rFonts w:asciiTheme="minorHAnsi" w:eastAsiaTheme="minorHAnsi" w:hAnsiTheme="minorHAnsi" w:cstheme="minorBidi"/>
          <w:noProof/>
          <w:color w:val="auto"/>
          <w:kern w:val="2"/>
          <w:sz w:val="22"/>
          <w:szCs w:val="22"/>
          <w14:ligatures w14:val="standardContextual"/>
        </w:rPr>
        <w:id w:val="-266081816"/>
        <w:docPartObj>
          <w:docPartGallery w:val="Table of Contents"/>
          <w:docPartUnique/>
        </w:docPartObj>
      </w:sdtPr>
      <w:sdtEndPr>
        <w:rPr>
          <w:b/>
          <w:bCs/>
        </w:rPr>
      </w:sdtEndPr>
      <w:sdtContent>
        <w:p w14:paraId="7FA6ECE6" w14:textId="55B7E10D" w:rsidR="001F3AC2" w:rsidRPr="001F3AC2" w:rsidRDefault="001F3AC2" w:rsidP="001F3AC2">
          <w:pPr>
            <w:pStyle w:val="TOCHeading"/>
            <w:jc w:val="center"/>
          </w:pPr>
          <w:r w:rsidRPr="001F3AC2">
            <w:rPr>
              <w:b/>
              <w:bCs/>
              <w:sz w:val="40"/>
              <w:szCs w:val="40"/>
            </w:rPr>
            <w:t>Contents</w:t>
          </w:r>
        </w:p>
        <w:p w14:paraId="0B3C1E6A" w14:textId="77777777" w:rsidR="001F3AC2" w:rsidRPr="001F3AC2" w:rsidRDefault="001F3AC2" w:rsidP="001F3AC2"/>
        <w:p w14:paraId="7DF330F7" w14:textId="01503D95" w:rsidR="001F3AC2" w:rsidRDefault="001F3AC2">
          <w:pPr>
            <w:pStyle w:val="TOC1"/>
            <w:tabs>
              <w:tab w:val="right" w:leader="dot" w:pos="9016"/>
            </w:tabs>
            <w:rPr>
              <w:rFonts w:eastAsiaTheme="minorEastAsia"/>
              <w:sz w:val="24"/>
              <w:szCs w:val="24"/>
              <w:lang w:val="ro-RO" w:eastAsia="ro-RO"/>
            </w:rPr>
          </w:pPr>
          <w:r>
            <w:fldChar w:fldCharType="begin"/>
          </w:r>
          <w:r>
            <w:instrText xml:space="preserve"> TOC \o "1-3" \h \z \u </w:instrText>
          </w:r>
          <w:r>
            <w:fldChar w:fldCharType="separate"/>
          </w:r>
          <w:hyperlink w:anchor="_Toc181981558" w:history="1">
            <w:r w:rsidRPr="00305859">
              <w:rPr>
                <w:rStyle w:val="Hyperlink"/>
                <w:b/>
                <w:bCs/>
              </w:rPr>
              <w:t>INTRODUCTION</w:t>
            </w:r>
            <w:r>
              <w:rPr>
                <w:webHidden/>
              </w:rPr>
              <w:tab/>
            </w:r>
            <w:r>
              <w:rPr>
                <w:webHidden/>
              </w:rPr>
              <w:fldChar w:fldCharType="begin"/>
            </w:r>
            <w:r>
              <w:rPr>
                <w:webHidden/>
              </w:rPr>
              <w:instrText xml:space="preserve"> PAGEREF _Toc181981558 \h </w:instrText>
            </w:r>
            <w:r>
              <w:rPr>
                <w:webHidden/>
              </w:rPr>
            </w:r>
            <w:r>
              <w:rPr>
                <w:webHidden/>
              </w:rPr>
              <w:fldChar w:fldCharType="separate"/>
            </w:r>
            <w:r>
              <w:rPr>
                <w:webHidden/>
              </w:rPr>
              <w:t>1</w:t>
            </w:r>
            <w:r>
              <w:rPr>
                <w:webHidden/>
              </w:rPr>
              <w:fldChar w:fldCharType="end"/>
            </w:r>
          </w:hyperlink>
        </w:p>
        <w:p w14:paraId="75AA60C0" w14:textId="4739723E" w:rsidR="001F3AC2" w:rsidRDefault="001F3AC2">
          <w:pPr>
            <w:pStyle w:val="TOC1"/>
            <w:tabs>
              <w:tab w:val="right" w:leader="dot" w:pos="9016"/>
            </w:tabs>
            <w:rPr>
              <w:rFonts w:eastAsiaTheme="minorEastAsia"/>
              <w:sz w:val="24"/>
              <w:szCs w:val="24"/>
              <w:lang w:val="ro-RO" w:eastAsia="ro-RO"/>
            </w:rPr>
          </w:pPr>
          <w:hyperlink w:anchor="_Toc181981559" w:history="1">
            <w:r w:rsidRPr="00305859">
              <w:rPr>
                <w:rStyle w:val="Hyperlink"/>
                <w:b/>
                <w:bCs/>
                <w:lang w:val="ro-RO"/>
              </w:rPr>
              <w:t>THE EVENT CYCLE</w:t>
            </w:r>
            <w:r>
              <w:rPr>
                <w:webHidden/>
              </w:rPr>
              <w:tab/>
            </w:r>
            <w:r>
              <w:rPr>
                <w:webHidden/>
              </w:rPr>
              <w:fldChar w:fldCharType="begin"/>
            </w:r>
            <w:r>
              <w:rPr>
                <w:webHidden/>
              </w:rPr>
              <w:instrText xml:space="preserve"> PAGEREF _Toc181981559 \h </w:instrText>
            </w:r>
            <w:r>
              <w:rPr>
                <w:webHidden/>
              </w:rPr>
            </w:r>
            <w:r>
              <w:rPr>
                <w:webHidden/>
              </w:rPr>
              <w:fldChar w:fldCharType="separate"/>
            </w:r>
            <w:r>
              <w:rPr>
                <w:webHidden/>
              </w:rPr>
              <w:t>2</w:t>
            </w:r>
            <w:r>
              <w:rPr>
                <w:webHidden/>
              </w:rPr>
              <w:fldChar w:fldCharType="end"/>
            </w:r>
          </w:hyperlink>
        </w:p>
        <w:p w14:paraId="244E8AAE" w14:textId="20A1FCE6" w:rsidR="001F3AC2" w:rsidRDefault="001F3AC2">
          <w:pPr>
            <w:pStyle w:val="TOC1"/>
            <w:tabs>
              <w:tab w:val="right" w:leader="dot" w:pos="9016"/>
            </w:tabs>
            <w:rPr>
              <w:rFonts w:eastAsiaTheme="minorEastAsia"/>
              <w:sz w:val="24"/>
              <w:szCs w:val="24"/>
              <w:lang w:val="ro-RO" w:eastAsia="ro-RO"/>
            </w:rPr>
          </w:pPr>
          <w:hyperlink w:anchor="_Toc181981560" w:history="1">
            <w:r w:rsidRPr="00305859">
              <w:rPr>
                <w:rStyle w:val="Hyperlink"/>
                <w:b/>
                <w:bCs/>
                <w:lang w:val="ro-RO"/>
              </w:rPr>
              <w:t>EVENT CONCEPT</w:t>
            </w:r>
            <w:r>
              <w:rPr>
                <w:webHidden/>
              </w:rPr>
              <w:tab/>
            </w:r>
            <w:r>
              <w:rPr>
                <w:webHidden/>
              </w:rPr>
              <w:fldChar w:fldCharType="begin"/>
            </w:r>
            <w:r>
              <w:rPr>
                <w:webHidden/>
              </w:rPr>
              <w:instrText xml:space="preserve"> PAGEREF _Toc181981560 \h </w:instrText>
            </w:r>
            <w:r>
              <w:rPr>
                <w:webHidden/>
              </w:rPr>
            </w:r>
            <w:r>
              <w:rPr>
                <w:webHidden/>
              </w:rPr>
              <w:fldChar w:fldCharType="separate"/>
            </w:r>
            <w:r>
              <w:rPr>
                <w:webHidden/>
              </w:rPr>
              <w:t>3</w:t>
            </w:r>
            <w:r>
              <w:rPr>
                <w:webHidden/>
              </w:rPr>
              <w:fldChar w:fldCharType="end"/>
            </w:r>
          </w:hyperlink>
        </w:p>
        <w:p w14:paraId="742B0276" w14:textId="2173098A" w:rsidR="001F3AC2" w:rsidRDefault="001F3AC2">
          <w:pPr>
            <w:pStyle w:val="TOC1"/>
            <w:tabs>
              <w:tab w:val="right" w:leader="dot" w:pos="9016"/>
            </w:tabs>
            <w:rPr>
              <w:rFonts w:eastAsiaTheme="minorEastAsia"/>
              <w:sz w:val="24"/>
              <w:szCs w:val="24"/>
              <w:lang w:val="ro-RO" w:eastAsia="ro-RO"/>
            </w:rPr>
          </w:pPr>
          <w:hyperlink w:anchor="_Toc181981561" w:history="1">
            <w:r w:rsidRPr="00305859">
              <w:rPr>
                <w:rStyle w:val="Hyperlink"/>
                <w:b/>
                <w:bCs/>
                <w:lang w:val="ro-RO"/>
              </w:rPr>
              <w:t>AIM AND OBJECTIVES</w:t>
            </w:r>
            <w:r>
              <w:rPr>
                <w:webHidden/>
              </w:rPr>
              <w:tab/>
            </w:r>
            <w:r>
              <w:rPr>
                <w:webHidden/>
              </w:rPr>
              <w:fldChar w:fldCharType="begin"/>
            </w:r>
            <w:r>
              <w:rPr>
                <w:webHidden/>
              </w:rPr>
              <w:instrText xml:space="preserve"> PAGEREF _Toc181981561 \h </w:instrText>
            </w:r>
            <w:r>
              <w:rPr>
                <w:webHidden/>
              </w:rPr>
            </w:r>
            <w:r>
              <w:rPr>
                <w:webHidden/>
              </w:rPr>
              <w:fldChar w:fldCharType="separate"/>
            </w:r>
            <w:r>
              <w:rPr>
                <w:webHidden/>
              </w:rPr>
              <w:t>3</w:t>
            </w:r>
            <w:r>
              <w:rPr>
                <w:webHidden/>
              </w:rPr>
              <w:fldChar w:fldCharType="end"/>
            </w:r>
          </w:hyperlink>
        </w:p>
        <w:p w14:paraId="310A4D1F" w14:textId="106F4A77" w:rsidR="001F3AC2" w:rsidRDefault="001F3AC2">
          <w:pPr>
            <w:pStyle w:val="TOC1"/>
            <w:tabs>
              <w:tab w:val="right" w:leader="dot" w:pos="9016"/>
            </w:tabs>
            <w:rPr>
              <w:rFonts w:eastAsiaTheme="minorEastAsia"/>
              <w:sz w:val="24"/>
              <w:szCs w:val="24"/>
              <w:lang w:val="ro-RO" w:eastAsia="ro-RO"/>
            </w:rPr>
          </w:pPr>
          <w:hyperlink w:anchor="_Toc181981562" w:history="1">
            <w:r w:rsidRPr="00305859">
              <w:rPr>
                <w:rStyle w:val="Hyperlink"/>
                <w:b/>
                <w:bCs/>
                <w:lang w:val="ro-RO"/>
              </w:rPr>
              <w:t>EVENT MANAGEMENT</w:t>
            </w:r>
            <w:r>
              <w:rPr>
                <w:webHidden/>
              </w:rPr>
              <w:tab/>
            </w:r>
            <w:r>
              <w:rPr>
                <w:webHidden/>
              </w:rPr>
              <w:fldChar w:fldCharType="begin"/>
            </w:r>
            <w:r>
              <w:rPr>
                <w:webHidden/>
              </w:rPr>
              <w:instrText xml:space="preserve"> PAGEREF _Toc181981562 \h </w:instrText>
            </w:r>
            <w:r>
              <w:rPr>
                <w:webHidden/>
              </w:rPr>
            </w:r>
            <w:r>
              <w:rPr>
                <w:webHidden/>
              </w:rPr>
              <w:fldChar w:fldCharType="separate"/>
            </w:r>
            <w:r>
              <w:rPr>
                <w:webHidden/>
              </w:rPr>
              <w:t>4</w:t>
            </w:r>
            <w:r>
              <w:rPr>
                <w:webHidden/>
              </w:rPr>
              <w:fldChar w:fldCharType="end"/>
            </w:r>
          </w:hyperlink>
        </w:p>
        <w:p w14:paraId="733D7999" w14:textId="6DCA0E69" w:rsidR="001F3AC2" w:rsidRDefault="001F3AC2">
          <w:pPr>
            <w:pStyle w:val="TOC1"/>
            <w:tabs>
              <w:tab w:val="right" w:leader="dot" w:pos="9016"/>
            </w:tabs>
            <w:rPr>
              <w:rFonts w:eastAsiaTheme="minorEastAsia"/>
              <w:sz w:val="24"/>
              <w:szCs w:val="24"/>
              <w:lang w:val="ro-RO" w:eastAsia="ro-RO"/>
            </w:rPr>
          </w:pPr>
          <w:hyperlink w:anchor="_Toc181981563" w:history="1">
            <w:r w:rsidRPr="00305859">
              <w:rPr>
                <w:rStyle w:val="Hyperlink"/>
                <w:b/>
                <w:bCs/>
              </w:rPr>
              <w:t>EVENT BUDGET</w:t>
            </w:r>
            <w:r>
              <w:rPr>
                <w:webHidden/>
              </w:rPr>
              <w:tab/>
            </w:r>
            <w:r>
              <w:rPr>
                <w:webHidden/>
              </w:rPr>
              <w:fldChar w:fldCharType="begin"/>
            </w:r>
            <w:r>
              <w:rPr>
                <w:webHidden/>
              </w:rPr>
              <w:instrText xml:space="preserve"> PAGEREF _Toc181981563 \h </w:instrText>
            </w:r>
            <w:r>
              <w:rPr>
                <w:webHidden/>
              </w:rPr>
            </w:r>
            <w:r>
              <w:rPr>
                <w:webHidden/>
              </w:rPr>
              <w:fldChar w:fldCharType="separate"/>
            </w:r>
            <w:r>
              <w:rPr>
                <w:webHidden/>
              </w:rPr>
              <w:t>5</w:t>
            </w:r>
            <w:r>
              <w:rPr>
                <w:webHidden/>
              </w:rPr>
              <w:fldChar w:fldCharType="end"/>
            </w:r>
          </w:hyperlink>
        </w:p>
        <w:p w14:paraId="186ECC89" w14:textId="2A6BDEBF" w:rsidR="001F3AC2" w:rsidRDefault="001F3AC2">
          <w:pPr>
            <w:pStyle w:val="TOC2"/>
            <w:tabs>
              <w:tab w:val="right" w:leader="dot" w:pos="9016"/>
            </w:tabs>
            <w:rPr>
              <w:rFonts w:eastAsiaTheme="minorEastAsia"/>
              <w:sz w:val="24"/>
              <w:szCs w:val="24"/>
              <w:lang w:val="ro-RO" w:eastAsia="ro-RO"/>
            </w:rPr>
          </w:pPr>
          <w:hyperlink w:anchor="_Toc181981564" w:history="1">
            <w:r w:rsidRPr="00305859">
              <w:rPr>
                <w:rStyle w:val="Hyperlink"/>
                <w:b/>
                <w:bCs/>
                <w:lang w:val="ro-RO"/>
              </w:rPr>
              <w:t>Planned Revenues</w:t>
            </w:r>
            <w:r>
              <w:rPr>
                <w:webHidden/>
              </w:rPr>
              <w:tab/>
            </w:r>
            <w:r>
              <w:rPr>
                <w:webHidden/>
              </w:rPr>
              <w:fldChar w:fldCharType="begin"/>
            </w:r>
            <w:r>
              <w:rPr>
                <w:webHidden/>
              </w:rPr>
              <w:instrText xml:space="preserve"> PAGEREF _Toc181981564 \h </w:instrText>
            </w:r>
            <w:r>
              <w:rPr>
                <w:webHidden/>
              </w:rPr>
            </w:r>
            <w:r>
              <w:rPr>
                <w:webHidden/>
              </w:rPr>
              <w:fldChar w:fldCharType="separate"/>
            </w:r>
            <w:r>
              <w:rPr>
                <w:webHidden/>
              </w:rPr>
              <w:t>6</w:t>
            </w:r>
            <w:r>
              <w:rPr>
                <w:webHidden/>
              </w:rPr>
              <w:fldChar w:fldCharType="end"/>
            </w:r>
          </w:hyperlink>
        </w:p>
        <w:p w14:paraId="6DA95140" w14:textId="5E3A8784" w:rsidR="001F3AC2" w:rsidRDefault="001F3AC2">
          <w:pPr>
            <w:pStyle w:val="TOC2"/>
            <w:tabs>
              <w:tab w:val="right" w:leader="dot" w:pos="9016"/>
            </w:tabs>
            <w:rPr>
              <w:rFonts w:eastAsiaTheme="minorEastAsia"/>
              <w:sz w:val="24"/>
              <w:szCs w:val="24"/>
              <w:lang w:val="ro-RO" w:eastAsia="ro-RO"/>
            </w:rPr>
          </w:pPr>
          <w:hyperlink w:anchor="_Toc181981565" w:history="1">
            <w:r w:rsidRPr="00305859">
              <w:rPr>
                <w:rStyle w:val="Hyperlink"/>
                <w:b/>
                <w:bCs/>
                <w:lang w:val="ro-RO"/>
              </w:rPr>
              <w:t>Planned Expenditures</w:t>
            </w:r>
            <w:r>
              <w:rPr>
                <w:webHidden/>
              </w:rPr>
              <w:tab/>
            </w:r>
            <w:r>
              <w:rPr>
                <w:webHidden/>
              </w:rPr>
              <w:fldChar w:fldCharType="begin"/>
            </w:r>
            <w:r>
              <w:rPr>
                <w:webHidden/>
              </w:rPr>
              <w:instrText xml:space="preserve"> PAGEREF _Toc181981565 \h </w:instrText>
            </w:r>
            <w:r>
              <w:rPr>
                <w:webHidden/>
              </w:rPr>
            </w:r>
            <w:r>
              <w:rPr>
                <w:webHidden/>
              </w:rPr>
              <w:fldChar w:fldCharType="separate"/>
            </w:r>
            <w:r>
              <w:rPr>
                <w:webHidden/>
              </w:rPr>
              <w:t>6</w:t>
            </w:r>
            <w:r>
              <w:rPr>
                <w:webHidden/>
              </w:rPr>
              <w:fldChar w:fldCharType="end"/>
            </w:r>
          </w:hyperlink>
        </w:p>
        <w:p w14:paraId="139EE7E8" w14:textId="3A94BEC5" w:rsidR="001F3AC2" w:rsidRDefault="001F3AC2">
          <w:pPr>
            <w:pStyle w:val="TOC2"/>
            <w:tabs>
              <w:tab w:val="right" w:leader="dot" w:pos="9016"/>
            </w:tabs>
            <w:rPr>
              <w:rFonts w:eastAsiaTheme="minorEastAsia"/>
              <w:sz w:val="24"/>
              <w:szCs w:val="24"/>
              <w:lang w:val="ro-RO" w:eastAsia="ro-RO"/>
            </w:rPr>
          </w:pPr>
          <w:hyperlink w:anchor="_Toc181981566" w:history="1">
            <w:r w:rsidRPr="00305859">
              <w:rPr>
                <w:rStyle w:val="Hyperlink"/>
                <w:b/>
                <w:bCs/>
                <w:lang w:val="ro-RO"/>
              </w:rPr>
              <w:t>Economic Impact</w:t>
            </w:r>
            <w:r>
              <w:rPr>
                <w:webHidden/>
              </w:rPr>
              <w:tab/>
            </w:r>
            <w:r>
              <w:rPr>
                <w:webHidden/>
              </w:rPr>
              <w:fldChar w:fldCharType="begin"/>
            </w:r>
            <w:r>
              <w:rPr>
                <w:webHidden/>
              </w:rPr>
              <w:instrText xml:space="preserve"> PAGEREF _Toc181981566 \h </w:instrText>
            </w:r>
            <w:r>
              <w:rPr>
                <w:webHidden/>
              </w:rPr>
            </w:r>
            <w:r>
              <w:rPr>
                <w:webHidden/>
              </w:rPr>
              <w:fldChar w:fldCharType="separate"/>
            </w:r>
            <w:r>
              <w:rPr>
                <w:webHidden/>
              </w:rPr>
              <w:t>7</w:t>
            </w:r>
            <w:r>
              <w:rPr>
                <w:webHidden/>
              </w:rPr>
              <w:fldChar w:fldCharType="end"/>
            </w:r>
          </w:hyperlink>
        </w:p>
        <w:p w14:paraId="5233793C" w14:textId="323E8C0F" w:rsidR="001F3AC2" w:rsidRDefault="001F3AC2">
          <w:pPr>
            <w:pStyle w:val="TOC1"/>
            <w:tabs>
              <w:tab w:val="right" w:leader="dot" w:pos="9016"/>
            </w:tabs>
            <w:rPr>
              <w:rFonts w:eastAsiaTheme="minorEastAsia"/>
              <w:sz w:val="24"/>
              <w:szCs w:val="24"/>
              <w:lang w:val="ro-RO" w:eastAsia="ro-RO"/>
            </w:rPr>
          </w:pPr>
          <w:hyperlink w:anchor="_Toc181981567" w:history="1">
            <w:r w:rsidRPr="00305859">
              <w:rPr>
                <w:rStyle w:val="Hyperlink"/>
                <w:b/>
                <w:bCs/>
              </w:rPr>
              <w:t>TRENDS, ISSUES, AND IMPACTS IN THE EVENTS INDUSTRY</w:t>
            </w:r>
            <w:r>
              <w:rPr>
                <w:webHidden/>
              </w:rPr>
              <w:tab/>
            </w:r>
            <w:r>
              <w:rPr>
                <w:webHidden/>
              </w:rPr>
              <w:fldChar w:fldCharType="begin"/>
            </w:r>
            <w:r>
              <w:rPr>
                <w:webHidden/>
              </w:rPr>
              <w:instrText xml:space="preserve"> PAGEREF _Toc181981567 \h </w:instrText>
            </w:r>
            <w:r>
              <w:rPr>
                <w:webHidden/>
              </w:rPr>
            </w:r>
            <w:r>
              <w:rPr>
                <w:webHidden/>
              </w:rPr>
              <w:fldChar w:fldCharType="separate"/>
            </w:r>
            <w:r>
              <w:rPr>
                <w:webHidden/>
              </w:rPr>
              <w:t>7</w:t>
            </w:r>
            <w:r>
              <w:rPr>
                <w:webHidden/>
              </w:rPr>
              <w:fldChar w:fldCharType="end"/>
            </w:r>
          </w:hyperlink>
        </w:p>
        <w:p w14:paraId="1BBED75A" w14:textId="7EF81B01" w:rsidR="001F3AC2" w:rsidRDefault="001F3AC2">
          <w:pPr>
            <w:pStyle w:val="TOC1"/>
            <w:tabs>
              <w:tab w:val="right" w:leader="dot" w:pos="9016"/>
            </w:tabs>
            <w:rPr>
              <w:rFonts w:eastAsiaTheme="minorEastAsia"/>
              <w:sz w:val="24"/>
              <w:szCs w:val="24"/>
              <w:lang w:val="ro-RO" w:eastAsia="ro-RO"/>
            </w:rPr>
          </w:pPr>
          <w:hyperlink w:anchor="_Toc181981568" w:history="1">
            <w:r w:rsidRPr="00305859">
              <w:rPr>
                <w:rStyle w:val="Hyperlink"/>
                <w:b/>
                <w:bCs/>
                <w:lang w:val="ro-RO"/>
              </w:rPr>
              <w:t>SITUATIONAL AND CULTURAL CONSIDERATIONS – SWOT ANALYSIS</w:t>
            </w:r>
            <w:r>
              <w:rPr>
                <w:webHidden/>
              </w:rPr>
              <w:tab/>
            </w:r>
            <w:r>
              <w:rPr>
                <w:webHidden/>
              </w:rPr>
              <w:fldChar w:fldCharType="begin"/>
            </w:r>
            <w:r>
              <w:rPr>
                <w:webHidden/>
              </w:rPr>
              <w:instrText xml:space="preserve"> PAGEREF _Toc181981568 \h </w:instrText>
            </w:r>
            <w:r>
              <w:rPr>
                <w:webHidden/>
              </w:rPr>
            </w:r>
            <w:r>
              <w:rPr>
                <w:webHidden/>
              </w:rPr>
              <w:fldChar w:fldCharType="separate"/>
            </w:r>
            <w:r>
              <w:rPr>
                <w:webHidden/>
              </w:rPr>
              <w:t>8</w:t>
            </w:r>
            <w:r>
              <w:rPr>
                <w:webHidden/>
              </w:rPr>
              <w:fldChar w:fldCharType="end"/>
            </w:r>
          </w:hyperlink>
        </w:p>
        <w:p w14:paraId="03586866" w14:textId="7A77F4C8" w:rsidR="001F3AC2" w:rsidRDefault="001F3AC2">
          <w:pPr>
            <w:pStyle w:val="TOC1"/>
            <w:tabs>
              <w:tab w:val="right" w:leader="dot" w:pos="9016"/>
            </w:tabs>
            <w:rPr>
              <w:rFonts w:eastAsiaTheme="minorEastAsia"/>
              <w:sz w:val="24"/>
              <w:szCs w:val="24"/>
              <w:lang w:val="ro-RO" w:eastAsia="ro-RO"/>
            </w:rPr>
          </w:pPr>
          <w:hyperlink w:anchor="_Toc181981569" w:history="1">
            <w:r w:rsidRPr="00305859">
              <w:rPr>
                <w:rStyle w:val="Hyperlink"/>
                <w:b/>
                <w:bCs/>
                <w:lang w:val="ro-RO"/>
              </w:rPr>
              <w:t>CONCLUSION</w:t>
            </w:r>
            <w:r>
              <w:rPr>
                <w:webHidden/>
              </w:rPr>
              <w:tab/>
            </w:r>
            <w:r>
              <w:rPr>
                <w:webHidden/>
              </w:rPr>
              <w:fldChar w:fldCharType="begin"/>
            </w:r>
            <w:r>
              <w:rPr>
                <w:webHidden/>
              </w:rPr>
              <w:instrText xml:space="preserve"> PAGEREF _Toc181981569 \h </w:instrText>
            </w:r>
            <w:r>
              <w:rPr>
                <w:webHidden/>
              </w:rPr>
            </w:r>
            <w:r>
              <w:rPr>
                <w:webHidden/>
              </w:rPr>
              <w:fldChar w:fldCharType="separate"/>
            </w:r>
            <w:r>
              <w:rPr>
                <w:webHidden/>
              </w:rPr>
              <w:t>8</w:t>
            </w:r>
            <w:r>
              <w:rPr>
                <w:webHidden/>
              </w:rPr>
              <w:fldChar w:fldCharType="end"/>
            </w:r>
          </w:hyperlink>
        </w:p>
        <w:p w14:paraId="71A9B637" w14:textId="2D5BB961" w:rsidR="001F3AC2" w:rsidRDefault="001F3AC2">
          <w:pPr>
            <w:pStyle w:val="TOC1"/>
            <w:tabs>
              <w:tab w:val="right" w:leader="dot" w:pos="9016"/>
            </w:tabs>
            <w:rPr>
              <w:rFonts w:eastAsiaTheme="minorEastAsia"/>
              <w:sz w:val="24"/>
              <w:szCs w:val="24"/>
              <w:lang w:val="ro-RO" w:eastAsia="ro-RO"/>
            </w:rPr>
          </w:pPr>
          <w:hyperlink w:anchor="_Toc181981570" w:history="1">
            <w:r w:rsidRPr="00305859">
              <w:rPr>
                <w:rStyle w:val="Hyperlink"/>
                <w:b/>
                <w:bCs/>
              </w:rPr>
              <w:t>REFERENCE LIST:</w:t>
            </w:r>
            <w:r>
              <w:rPr>
                <w:webHidden/>
              </w:rPr>
              <w:tab/>
            </w:r>
            <w:r>
              <w:rPr>
                <w:webHidden/>
              </w:rPr>
              <w:fldChar w:fldCharType="begin"/>
            </w:r>
            <w:r>
              <w:rPr>
                <w:webHidden/>
              </w:rPr>
              <w:instrText xml:space="preserve"> PAGEREF _Toc181981570 \h </w:instrText>
            </w:r>
            <w:r>
              <w:rPr>
                <w:webHidden/>
              </w:rPr>
            </w:r>
            <w:r>
              <w:rPr>
                <w:webHidden/>
              </w:rPr>
              <w:fldChar w:fldCharType="separate"/>
            </w:r>
            <w:r>
              <w:rPr>
                <w:webHidden/>
              </w:rPr>
              <w:t>9</w:t>
            </w:r>
            <w:r>
              <w:rPr>
                <w:webHidden/>
              </w:rPr>
              <w:fldChar w:fldCharType="end"/>
            </w:r>
          </w:hyperlink>
        </w:p>
        <w:p w14:paraId="799D3DE9" w14:textId="16C05FC8" w:rsidR="001F3AC2" w:rsidRPr="001F3AC2" w:rsidRDefault="001F3AC2" w:rsidP="001F3AC2">
          <w:r>
            <w:rPr>
              <w:b/>
              <w:bCs/>
            </w:rPr>
            <w:fldChar w:fldCharType="end"/>
          </w:r>
        </w:p>
      </w:sdtContent>
    </w:sdt>
    <w:p w14:paraId="2A3D26B5" w14:textId="77777777" w:rsidR="001F3AC2" w:rsidRDefault="001F3AC2" w:rsidP="001F3AC2">
      <w:pPr>
        <w:pStyle w:val="Heading1"/>
        <w:rPr>
          <w:b/>
          <w:bCs/>
          <w:sz w:val="28"/>
          <w:szCs w:val="28"/>
        </w:rPr>
      </w:pPr>
    </w:p>
    <w:p w14:paraId="0CD5F041" w14:textId="77777777" w:rsidR="001F3AC2" w:rsidRDefault="001F3AC2" w:rsidP="001F3AC2">
      <w:pPr>
        <w:pStyle w:val="Heading1"/>
        <w:rPr>
          <w:b/>
          <w:bCs/>
          <w:sz w:val="28"/>
          <w:szCs w:val="28"/>
        </w:rPr>
      </w:pPr>
    </w:p>
    <w:p w14:paraId="5C326C05" w14:textId="77777777" w:rsidR="001F3AC2" w:rsidRDefault="001F3AC2" w:rsidP="001F3AC2">
      <w:pPr>
        <w:pStyle w:val="Heading1"/>
        <w:rPr>
          <w:b/>
          <w:bCs/>
          <w:sz w:val="28"/>
          <w:szCs w:val="28"/>
        </w:rPr>
      </w:pPr>
    </w:p>
    <w:p w14:paraId="25CEB7D1" w14:textId="77777777" w:rsidR="001F3AC2" w:rsidRDefault="001F3AC2" w:rsidP="001F3AC2">
      <w:pPr>
        <w:pStyle w:val="Heading1"/>
        <w:rPr>
          <w:b/>
          <w:bCs/>
          <w:sz w:val="28"/>
          <w:szCs w:val="28"/>
        </w:rPr>
      </w:pPr>
    </w:p>
    <w:p w14:paraId="5AC1C440" w14:textId="77777777" w:rsidR="001F3AC2" w:rsidRDefault="001F3AC2" w:rsidP="001F3AC2">
      <w:pPr>
        <w:pStyle w:val="Heading1"/>
        <w:rPr>
          <w:b/>
          <w:bCs/>
          <w:sz w:val="28"/>
          <w:szCs w:val="28"/>
        </w:rPr>
      </w:pPr>
    </w:p>
    <w:p w14:paraId="774A6D0E" w14:textId="77777777" w:rsidR="001F3AC2" w:rsidRDefault="001F3AC2" w:rsidP="001F3AC2">
      <w:pPr>
        <w:pStyle w:val="Heading1"/>
        <w:rPr>
          <w:b/>
          <w:bCs/>
          <w:sz w:val="28"/>
          <w:szCs w:val="28"/>
        </w:rPr>
      </w:pPr>
    </w:p>
    <w:p w14:paraId="4AECB3BC" w14:textId="77777777" w:rsidR="001F3AC2" w:rsidRDefault="001F3AC2" w:rsidP="001F3AC2"/>
    <w:p w14:paraId="2F0B1E57" w14:textId="77777777" w:rsidR="001F3AC2" w:rsidRDefault="001F3AC2" w:rsidP="001F3AC2"/>
    <w:p w14:paraId="4E97146F" w14:textId="77777777" w:rsidR="001F3AC2" w:rsidRDefault="001F3AC2" w:rsidP="001F3AC2"/>
    <w:p w14:paraId="1D4F25E7" w14:textId="77777777" w:rsidR="001F3AC2" w:rsidRDefault="001F3AC2" w:rsidP="001F3AC2">
      <w:pPr>
        <w:pStyle w:val="Heading1"/>
        <w:rPr>
          <w:b/>
          <w:bCs/>
          <w:sz w:val="28"/>
          <w:szCs w:val="28"/>
        </w:rPr>
      </w:pPr>
    </w:p>
    <w:p w14:paraId="7AABA0BC" w14:textId="77777777" w:rsidR="001F3AC2" w:rsidRPr="001F3AC2" w:rsidRDefault="001F3AC2" w:rsidP="001F3AC2"/>
    <w:p w14:paraId="0F7E06D4" w14:textId="77777777" w:rsidR="001F3AC2" w:rsidRDefault="001F3AC2" w:rsidP="001F3AC2">
      <w:pPr>
        <w:pStyle w:val="Heading1"/>
        <w:rPr>
          <w:b/>
          <w:bCs/>
          <w:sz w:val="28"/>
          <w:szCs w:val="28"/>
        </w:rPr>
        <w:sectPr w:rsidR="001F3AC2" w:rsidSect="001F3AC2">
          <w:footerReference w:type="default" r:id="rId9"/>
          <w:pgSz w:w="11906" w:h="16838"/>
          <w:pgMar w:top="1440" w:right="1440" w:bottom="1440" w:left="1440" w:header="708" w:footer="708" w:gutter="0"/>
          <w:pgNumType w:start="1"/>
          <w:cols w:space="708"/>
          <w:titlePg/>
          <w:docGrid w:linePitch="360"/>
        </w:sectPr>
      </w:pPr>
    </w:p>
    <w:p w14:paraId="607BCFA9" w14:textId="7D46B9B4" w:rsidR="00C144D9" w:rsidRPr="001F3AC2" w:rsidRDefault="00C144D9" w:rsidP="001F3AC2">
      <w:pPr>
        <w:pStyle w:val="Heading1"/>
        <w:rPr>
          <w:b/>
          <w:bCs/>
          <w:sz w:val="28"/>
          <w:szCs w:val="28"/>
        </w:rPr>
      </w:pPr>
      <w:bookmarkStart w:id="1" w:name="_Toc181981558"/>
      <w:r w:rsidRPr="001F3AC2">
        <w:rPr>
          <w:b/>
          <w:bCs/>
          <w:sz w:val="28"/>
          <w:szCs w:val="28"/>
        </w:rPr>
        <w:lastRenderedPageBreak/>
        <w:t>INTRODUCTION</w:t>
      </w:r>
      <w:bookmarkEnd w:id="1"/>
    </w:p>
    <w:p w14:paraId="109AA048" w14:textId="77777777" w:rsidR="00B13653" w:rsidRPr="001F3AC2" w:rsidRDefault="00B13653" w:rsidP="00B13653">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This report examines the strategic and operational factors needed to organize </w:t>
      </w:r>
      <w:r w:rsidRPr="001F3AC2">
        <w:rPr>
          <w:rFonts w:ascii="Arial" w:hAnsi="Arial" w:cs="Arial"/>
          <w:i/>
          <w:iCs/>
          <w:sz w:val="24"/>
          <w:szCs w:val="24"/>
          <w:lang w:val="ro-RO"/>
        </w:rPr>
        <w:t>Fairytale Winter: The Canterbury Light Festival</w:t>
      </w:r>
      <w:r w:rsidRPr="001F3AC2">
        <w:rPr>
          <w:rFonts w:ascii="Arial" w:hAnsi="Arial" w:cs="Arial"/>
          <w:sz w:val="24"/>
          <w:szCs w:val="24"/>
          <w:lang w:val="ro-RO"/>
        </w:rPr>
        <w:t>, a winter festival planned for December 10th to 30th in Canterbury’s historic center. The report will critically assess the strategic elements in planning and executing this event, drawing on both theory and practical considerations to ensure the festival is impactful and seamlessly organized.</w:t>
      </w:r>
    </w:p>
    <w:p w14:paraId="1703A37B" w14:textId="77777777" w:rsidR="00B13653" w:rsidRPr="001F3AC2" w:rsidRDefault="00B13653" w:rsidP="00B13653">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The </w:t>
      </w:r>
      <w:r w:rsidRPr="001F3AC2">
        <w:rPr>
          <w:rFonts w:ascii="Arial" w:hAnsi="Arial" w:cs="Arial"/>
          <w:i/>
          <w:iCs/>
          <w:sz w:val="24"/>
          <w:szCs w:val="24"/>
          <w:lang w:val="ro-RO"/>
        </w:rPr>
        <w:t>Fairytale Winter Festival</w:t>
      </w:r>
      <w:r w:rsidRPr="001F3AC2">
        <w:rPr>
          <w:rFonts w:ascii="Arial" w:hAnsi="Arial" w:cs="Arial"/>
          <w:sz w:val="24"/>
          <w:szCs w:val="24"/>
          <w:lang w:val="ro-RO"/>
        </w:rPr>
        <w:t xml:space="preserve"> aims to celebrate the holiday season, attracting both local residents and visitors from across the UK and internationally. A winter festival was selected due to its strong potential to drive tourism and boost the local economy by creating a magical environment that resonates with Canterbury’s cultural and historical essence. Seasonal festivals like these are known to play a significant role in tourism strategy, revitalizing destinations and enhancing their appeal (Getz and Page, 2016; Bladen et al., 2017). By showcasing Canterbury’s heritage during the festive season, </w:t>
      </w:r>
      <w:r w:rsidRPr="001F3AC2">
        <w:rPr>
          <w:rFonts w:ascii="Arial" w:hAnsi="Arial" w:cs="Arial"/>
          <w:i/>
          <w:iCs/>
          <w:sz w:val="24"/>
          <w:szCs w:val="24"/>
          <w:lang w:val="ro-RO"/>
        </w:rPr>
        <w:t>Fairytale Winter</w:t>
      </w:r>
      <w:r w:rsidRPr="001F3AC2">
        <w:rPr>
          <w:rFonts w:ascii="Arial" w:hAnsi="Arial" w:cs="Arial"/>
          <w:sz w:val="24"/>
          <w:szCs w:val="24"/>
          <w:lang w:val="ro-RO"/>
        </w:rPr>
        <w:t xml:space="preserve"> will provide a memorable experience that also fosters community engagement (Raj et al., 2013).</w:t>
      </w:r>
    </w:p>
    <w:p w14:paraId="01A35771" w14:textId="29EE9847" w:rsidR="00B13653" w:rsidRPr="001F3AC2" w:rsidRDefault="00B13653" w:rsidP="00B13653">
      <w:pPr>
        <w:spacing w:line="360" w:lineRule="auto"/>
        <w:ind w:firstLine="708"/>
        <w:jc w:val="both"/>
        <w:rPr>
          <w:rFonts w:ascii="Arial" w:hAnsi="Arial" w:cs="Arial"/>
          <w:sz w:val="24"/>
          <w:szCs w:val="24"/>
          <w:lang w:val="ro-RO"/>
        </w:rPr>
      </w:pPr>
      <w:r w:rsidRPr="001F3AC2">
        <w:rPr>
          <w:rFonts w:ascii="Arial" w:hAnsi="Arial" w:cs="Arial"/>
          <w:sz w:val="24"/>
          <w:szCs w:val="24"/>
          <w:lang w:val="ro-RO"/>
        </w:rPr>
        <w:t>Canterbury was chosen as the ideal festival location for several reasons. The city is famous for its historical significance, notably as home to Canterbury Cathedral, a UNESCO World Heritage Site, which draws hundreds of thousands of visitors each year.</w:t>
      </w:r>
      <w:r w:rsidR="00D02819" w:rsidRPr="001F3AC2">
        <w:rPr>
          <w:rFonts w:ascii="Arial" w:hAnsi="Arial" w:cs="Arial"/>
          <w:sz w:val="24"/>
          <w:szCs w:val="24"/>
          <w:lang w:val="ro-RO"/>
        </w:rPr>
        <w:t xml:space="preserve"> </w:t>
      </w:r>
      <w:r w:rsidR="00D02819" w:rsidRPr="001F3AC2">
        <w:rPr>
          <w:rFonts w:ascii="Arial" w:hAnsi="Arial" w:cs="Arial"/>
          <w:sz w:val="24"/>
          <w:szCs w:val="24"/>
        </w:rPr>
        <w:t>(UNESCO, n.d.)</w:t>
      </w:r>
      <w:r w:rsidRPr="001F3AC2">
        <w:rPr>
          <w:rFonts w:ascii="Arial" w:hAnsi="Arial" w:cs="Arial"/>
          <w:sz w:val="24"/>
          <w:szCs w:val="24"/>
          <w:lang w:val="ro-RO"/>
        </w:rPr>
        <w:t xml:space="preserve"> In 2022, the Cathedral alone attracted 565,213 visitors, placing it as one of the UK’s most frequented sites (ALVA, 2023). Canterbury’s medieval architecture and authentic charm create a perfect backdrop for a winter festival, promising a unique and enchanting experience for attendees (Canterbury BID, 2023). Furthermore, cities with rich historical backgrounds enhance cultural tourism, adding value for visitors and promoting the city’s image as a cultural hub (Jepson and Clarke, 2015; Berridge, 2007).</w:t>
      </w:r>
    </w:p>
    <w:p w14:paraId="725E2E8A" w14:textId="77777777" w:rsidR="00B13653" w:rsidRPr="001F3AC2" w:rsidRDefault="00B13653" w:rsidP="00B13653">
      <w:pPr>
        <w:spacing w:line="360" w:lineRule="auto"/>
        <w:ind w:firstLine="708"/>
        <w:jc w:val="both"/>
        <w:rPr>
          <w:rFonts w:ascii="Arial" w:hAnsi="Arial" w:cs="Arial"/>
          <w:sz w:val="24"/>
          <w:szCs w:val="24"/>
          <w:lang w:val="ro-RO"/>
        </w:rPr>
      </w:pPr>
      <w:r w:rsidRPr="001F3AC2">
        <w:rPr>
          <w:rFonts w:ascii="Arial" w:hAnsi="Arial" w:cs="Arial"/>
          <w:sz w:val="24"/>
          <w:szCs w:val="24"/>
          <w:lang w:val="ro-RO"/>
        </w:rPr>
        <w:t>Situated in Kent, the "Garden of England," Canterbury offers well-developed transport links, providing easy access for locals and tourists. Proximity to France and connections through the Eurotunnel and Dover port further enhance accessibility for international visitors (Silvers, 2012), making Canterbury a prime location for an event catering to both local and European audiences.</w:t>
      </w:r>
    </w:p>
    <w:p w14:paraId="222C4F95" w14:textId="77777777" w:rsidR="00B13653" w:rsidRPr="001F3AC2" w:rsidRDefault="00B13653" w:rsidP="00B13653">
      <w:pPr>
        <w:spacing w:line="360" w:lineRule="auto"/>
        <w:ind w:firstLine="708"/>
        <w:jc w:val="both"/>
        <w:rPr>
          <w:rFonts w:ascii="Arial" w:hAnsi="Arial" w:cs="Arial"/>
          <w:sz w:val="24"/>
          <w:szCs w:val="24"/>
          <w:lang w:val="ro-RO"/>
        </w:rPr>
      </w:pPr>
      <w:r w:rsidRPr="001F3AC2">
        <w:rPr>
          <w:rFonts w:ascii="Arial" w:hAnsi="Arial" w:cs="Arial"/>
          <w:sz w:val="24"/>
          <w:szCs w:val="24"/>
          <w:lang w:val="ro-RO"/>
        </w:rPr>
        <w:lastRenderedPageBreak/>
        <w:t xml:space="preserve">Winter festivals like </w:t>
      </w:r>
      <w:r w:rsidRPr="001F3AC2">
        <w:rPr>
          <w:rFonts w:ascii="Arial" w:hAnsi="Arial" w:cs="Arial"/>
          <w:i/>
          <w:iCs/>
          <w:sz w:val="24"/>
          <w:szCs w:val="24"/>
          <w:lang w:val="ro-RO"/>
        </w:rPr>
        <w:t>Fairytale Winter</w:t>
      </w:r>
      <w:r w:rsidRPr="001F3AC2">
        <w:rPr>
          <w:rFonts w:ascii="Arial" w:hAnsi="Arial" w:cs="Arial"/>
          <w:sz w:val="24"/>
          <w:szCs w:val="24"/>
          <w:lang w:val="ro-RO"/>
        </w:rPr>
        <w:t xml:space="preserve"> offer substantial economic benefits to their host communities, supporting local businesses and creating seasonal employment (Bowdin et al., 2011). Through partnerships with the hospitality sector, cultural organizations, and charities, the festival has the potential to deliver a rich experience for all participants while promoting winter tourism and strengthening Canterbury’s cultural identity and community bonds.</w:t>
      </w:r>
    </w:p>
    <w:p w14:paraId="70858387" w14:textId="77777777" w:rsidR="00C144D9" w:rsidRPr="001F3AC2" w:rsidRDefault="00C144D9" w:rsidP="001F3AC2">
      <w:pPr>
        <w:pStyle w:val="Heading1"/>
        <w:jc w:val="both"/>
        <w:rPr>
          <w:b/>
          <w:bCs/>
          <w:sz w:val="28"/>
          <w:szCs w:val="28"/>
          <w:lang w:val="ro-RO"/>
        </w:rPr>
      </w:pPr>
      <w:bookmarkStart w:id="2" w:name="_Toc181981559"/>
      <w:r w:rsidRPr="001F3AC2">
        <w:rPr>
          <w:b/>
          <w:bCs/>
          <w:sz w:val="28"/>
          <w:szCs w:val="28"/>
          <w:lang w:val="ro-RO"/>
        </w:rPr>
        <w:t>THE EVENT CYCLE</w:t>
      </w:r>
      <w:bookmarkEnd w:id="2"/>
    </w:p>
    <w:p w14:paraId="05210DF8" w14:textId="77777777"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b/>
          <w:bCs/>
          <w:sz w:val="24"/>
          <w:szCs w:val="24"/>
          <w:lang w:val="ro-RO"/>
        </w:rPr>
        <w:t>The Event Cycle</w:t>
      </w:r>
      <w:r w:rsidRPr="001F3AC2">
        <w:rPr>
          <w:rFonts w:ascii="Arial" w:hAnsi="Arial" w:cs="Arial"/>
          <w:sz w:val="24"/>
          <w:szCs w:val="24"/>
          <w:lang w:val="ro-RO"/>
        </w:rPr>
        <w:t xml:space="preserve"> represents the essential stages in organising a successful event, encompassing concept, planning, implementation, and evaluation (Bowdin et al., 2011). These stages are fundamental to creating a coherent and engaging experience for participants, while ensuring the event's safety and cultural impact.</w:t>
      </w:r>
    </w:p>
    <w:p w14:paraId="60219E96" w14:textId="658C6113"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For </w:t>
      </w:r>
      <w:r w:rsidRPr="001F3AC2">
        <w:rPr>
          <w:rFonts w:ascii="Arial" w:hAnsi="Arial" w:cs="Arial"/>
          <w:i/>
          <w:iCs/>
          <w:sz w:val="24"/>
          <w:szCs w:val="24"/>
          <w:lang w:val="ro-RO"/>
        </w:rPr>
        <w:t>Fairytale Winter: The Canterbury Light Festival</w:t>
      </w:r>
      <w:r w:rsidRPr="001F3AC2">
        <w:rPr>
          <w:rFonts w:ascii="Arial" w:hAnsi="Arial" w:cs="Arial"/>
          <w:sz w:val="24"/>
          <w:szCs w:val="24"/>
          <w:lang w:val="ro-RO"/>
        </w:rPr>
        <w:t xml:space="preserve">, the first stage, Concept, involved developing a captivating theme designed to blend tradition with modernity. The festival is crafted around a winter wonderland atmosphere, featuring artistic lighting projected onto Canterbury Cathedral, an open-air ice rink, and interactive activities, such as a treasure hunt through the historic centre. This concept is designed to attract a wide range of visitors, both local and international, providing them with a memorable experience that reflects the city’s rich cultural heritage </w:t>
      </w:r>
      <w:r w:rsidR="00445BDA" w:rsidRPr="001F3AC2">
        <w:rPr>
          <w:rFonts w:ascii="Arial" w:hAnsi="Arial" w:cs="Arial"/>
          <w:sz w:val="24"/>
          <w:szCs w:val="24"/>
        </w:rPr>
        <w:t>(Silva, 2024).</w:t>
      </w:r>
    </w:p>
    <w:p w14:paraId="04CDC2E1" w14:textId="77777777"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sz w:val="24"/>
          <w:szCs w:val="24"/>
          <w:lang w:val="ro-RO"/>
        </w:rPr>
        <w:t>The second stage, Planning, covers essential logistical and organisational details necessary for the festival’s execution. These include obtaining permits from local authorities, ensuring security at each activity point, and coordinating teams of volunteers and staff. For instance, the ice rink, Christmas market, and lighting zones are carefully managed to prevent overcrowding and provide a smooth experience for attendees. Detailed planning also includes contingency measures for adverse weather, allowing the event to proceed with minimal disruptions (Shone and Parry, 2013).</w:t>
      </w:r>
    </w:p>
    <w:p w14:paraId="64B9D1CE" w14:textId="77777777"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sz w:val="24"/>
          <w:szCs w:val="24"/>
          <w:lang w:val="ro-RO"/>
        </w:rPr>
        <w:t>Implementation, the actual execution of activities, involves real-time monitoring of participant flow and team coordination to ensure an organised experience (Lyyti, n.d.). Teams are strategically positioned at attraction points, maintaining communication to address any unforeseen issues and ensure the safety of all visitors.</w:t>
      </w:r>
    </w:p>
    <w:p w14:paraId="00722BFE" w14:textId="7273EC49" w:rsidR="001F3AC2" w:rsidRPr="001F3AC2" w:rsidRDefault="00C144D9"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lastRenderedPageBreak/>
        <w:t>Finally, the Evaluation stage is crucial for assessing outcomes and improving future editions. Participant feedback will be collected through surveys, while the festival’s economic impact will be assessed using financial data gathered from local partners, providing a comprehensive overview of the event and identifying actions to enhance subsequent editions (Allen et al., 2019).</w:t>
      </w:r>
    </w:p>
    <w:p w14:paraId="17173362" w14:textId="77777777" w:rsidR="00C144D9" w:rsidRPr="001F3AC2" w:rsidRDefault="00C144D9" w:rsidP="001F3AC2">
      <w:pPr>
        <w:pStyle w:val="Heading1"/>
        <w:rPr>
          <w:b/>
          <w:bCs/>
          <w:sz w:val="28"/>
          <w:szCs w:val="28"/>
          <w:lang w:val="ro-RO"/>
        </w:rPr>
      </w:pPr>
      <w:bookmarkStart w:id="3" w:name="_Toc181981560"/>
      <w:r w:rsidRPr="001F3AC2">
        <w:rPr>
          <w:b/>
          <w:bCs/>
          <w:sz w:val="28"/>
          <w:szCs w:val="28"/>
          <w:lang w:val="ro-RO"/>
        </w:rPr>
        <w:t>EVENT CONCEPT</w:t>
      </w:r>
      <w:bookmarkEnd w:id="3"/>
    </w:p>
    <w:p w14:paraId="701B03B3" w14:textId="77777777"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The </w:t>
      </w:r>
      <w:r w:rsidRPr="001F3AC2">
        <w:rPr>
          <w:rFonts w:ascii="Arial" w:hAnsi="Arial" w:cs="Arial"/>
          <w:i/>
          <w:iCs/>
          <w:sz w:val="24"/>
          <w:szCs w:val="24"/>
          <w:lang w:val="ro-RO"/>
        </w:rPr>
        <w:t>Fairytale Winter</w:t>
      </w:r>
      <w:r w:rsidRPr="001F3AC2">
        <w:rPr>
          <w:rFonts w:ascii="Arial" w:hAnsi="Arial" w:cs="Arial"/>
          <w:sz w:val="24"/>
          <w:szCs w:val="24"/>
          <w:lang w:val="ro-RO"/>
        </w:rPr>
        <w:t xml:space="preserve"> Festival offers an engaging experience throughout the day, with carefully structured activities designed to delight visitors. The morning begins with the opening of the ice rink and Christmas market in Dane John Gardens, where participants can explore stalls featuring artisanal products and local delicacies.</w:t>
      </w:r>
    </w:p>
    <w:p w14:paraId="5769E6B5" w14:textId="77777777"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sz w:val="24"/>
          <w:szCs w:val="24"/>
          <w:lang w:val="ro-RO"/>
        </w:rPr>
        <w:t>During the day, visitors can also take part in an interactive treasure hunt that guides them through Canterbury's historic centre, revealing key cultural attractions. This activity is based on solving riddles: at the starting point, participants receive the first riddle, which leads them to a location where they must purchase a local product or service to obtain the next clue. This process continues until the final location, where those who solve all the riddles receive a prize. This activity provides a unique experience for tourists while supporting local businesses.</w:t>
      </w:r>
    </w:p>
    <w:p w14:paraId="14C49130" w14:textId="77777777"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sz w:val="24"/>
          <w:szCs w:val="24"/>
          <w:lang w:val="ro-RO"/>
        </w:rPr>
        <w:t>In the evening, the festival transforms into a light display on the façade of Canterbury Cathedral, creating a winter wonderland atmosphere. The day concludes with carol concerts in the central square, where the festive spirit and cultural traditions offer a magical finale to a day filled with festive activities.</w:t>
      </w:r>
    </w:p>
    <w:p w14:paraId="54029356" w14:textId="77777777" w:rsidR="00C144D9" w:rsidRPr="001F3AC2" w:rsidRDefault="00C144D9" w:rsidP="001F3AC2">
      <w:pPr>
        <w:pStyle w:val="Heading1"/>
        <w:rPr>
          <w:b/>
          <w:bCs/>
          <w:sz w:val="28"/>
          <w:szCs w:val="28"/>
          <w:lang w:val="ro-RO"/>
        </w:rPr>
      </w:pPr>
      <w:bookmarkStart w:id="4" w:name="_Toc181981561"/>
      <w:r w:rsidRPr="001F3AC2">
        <w:rPr>
          <w:b/>
          <w:bCs/>
          <w:sz w:val="28"/>
          <w:szCs w:val="28"/>
          <w:lang w:val="ro-RO"/>
        </w:rPr>
        <w:t>AIM AND OBJECTIVES</w:t>
      </w:r>
      <w:bookmarkEnd w:id="4"/>
    </w:p>
    <w:p w14:paraId="01DB2D3A" w14:textId="77777777"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sz w:val="24"/>
          <w:szCs w:val="24"/>
          <w:lang w:val="ro-RO"/>
        </w:rPr>
        <w:t>In organising a large-scale event, setting SMART objectives is crucial to ensure success and assess the event's impact (Bjerke and Renger, 2017). Bowdin et al. (2011) highlight that well-defined and structured objectives help direct resources efficiently and achieve long-term goals, which are essential for complex event planning.</w:t>
      </w:r>
    </w:p>
    <w:p w14:paraId="5062BB86" w14:textId="77777777"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sz w:val="24"/>
          <w:szCs w:val="24"/>
          <w:lang w:val="ro-RO"/>
        </w:rPr>
        <w:t>The main aim of the festival is to stimulate winter tourism in Canterbury, with a focus on supporting the local economy and fostering community cohesion. The SMART objectives established include:</w:t>
      </w:r>
    </w:p>
    <w:p w14:paraId="76C0D906" w14:textId="77777777" w:rsidR="00C144D9" w:rsidRPr="001F3AC2" w:rsidRDefault="00C144D9" w:rsidP="00C144D9">
      <w:pPr>
        <w:numPr>
          <w:ilvl w:val="0"/>
          <w:numId w:val="1"/>
        </w:numPr>
        <w:spacing w:line="360" w:lineRule="auto"/>
        <w:jc w:val="both"/>
        <w:rPr>
          <w:rFonts w:ascii="Arial" w:hAnsi="Arial" w:cs="Arial"/>
          <w:sz w:val="24"/>
          <w:szCs w:val="24"/>
          <w:lang w:val="ro-RO"/>
        </w:rPr>
      </w:pPr>
      <w:r w:rsidRPr="001F3AC2">
        <w:rPr>
          <w:rFonts w:ascii="Arial" w:hAnsi="Arial" w:cs="Arial"/>
          <w:sz w:val="24"/>
          <w:szCs w:val="24"/>
          <w:lang w:val="ro-RO"/>
        </w:rPr>
        <w:lastRenderedPageBreak/>
        <w:t xml:space="preserve">Raising funds for the NGO </w:t>
      </w:r>
      <w:r w:rsidRPr="001F3AC2">
        <w:rPr>
          <w:rFonts w:ascii="Arial" w:hAnsi="Arial" w:cs="Arial"/>
          <w:i/>
          <w:iCs/>
          <w:sz w:val="24"/>
          <w:szCs w:val="24"/>
          <w:lang w:val="ro-RO"/>
        </w:rPr>
        <w:t>The Canterbury Society</w:t>
      </w:r>
      <w:r w:rsidRPr="001F3AC2">
        <w:rPr>
          <w:rFonts w:ascii="Arial" w:hAnsi="Arial" w:cs="Arial"/>
          <w:sz w:val="24"/>
          <w:szCs w:val="24"/>
          <w:lang w:val="ro-RO"/>
        </w:rPr>
        <w:t xml:space="preserve"> – a specific fundraising goal to support local conservation and development initiatives, thereby contributing to the protection of cultural heritage.</w:t>
      </w:r>
    </w:p>
    <w:p w14:paraId="5F52A7C0" w14:textId="77777777" w:rsidR="00C144D9" w:rsidRPr="001F3AC2" w:rsidRDefault="00C144D9" w:rsidP="00C144D9">
      <w:pPr>
        <w:numPr>
          <w:ilvl w:val="0"/>
          <w:numId w:val="1"/>
        </w:numPr>
        <w:spacing w:line="360" w:lineRule="auto"/>
        <w:jc w:val="both"/>
        <w:rPr>
          <w:rFonts w:ascii="Arial" w:hAnsi="Arial" w:cs="Arial"/>
          <w:sz w:val="24"/>
          <w:szCs w:val="24"/>
          <w:lang w:val="ro-RO"/>
        </w:rPr>
      </w:pPr>
      <w:r w:rsidRPr="001F3AC2">
        <w:rPr>
          <w:rFonts w:ascii="Arial" w:hAnsi="Arial" w:cs="Arial"/>
          <w:sz w:val="24"/>
          <w:szCs w:val="24"/>
          <w:lang w:val="ro-RO"/>
        </w:rPr>
        <w:t>Creating a festive and sustainable cultural experience – the festival is designed to provide visitors with a high-quality cultural experience, emphasising sustainability through the use of eco-friendly resources, as highlighted by Suharto and Jamali (2023), to generate a positive impact on both the community and the environment.</w:t>
      </w:r>
    </w:p>
    <w:p w14:paraId="00FA523C" w14:textId="77777777" w:rsidR="00C144D9" w:rsidRPr="001F3AC2" w:rsidRDefault="00C144D9" w:rsidP="00C144D9">
      <w:pPr>
        <w:numPr>
          <w:ilvl w:val="0"/>
          <w:numId w:val="1"/>
        </w:numPr>
        <w:spacing w:line="360" w:lineRule="auto"/>
        <w:jc w:val="both"/>
        <w:rPr>
          <w:rFonts w:ascii="Arial" w:hAnsi="Arial" w:cs="Arial"/>
          <w:sz w:val="24"/>
          <w:szCs w:val="24"/>
          <w:lang w:val="ro-RO"/>
        </w:rPr>
      </w:pPr>
      <w:r w:rsidRPr="001F3AC2">
        <w:rPr>
          <w:rFonts w:ascii="Arial" w:hAnsi="Arial" w:cs="Arial"/>
          <w:sz w:val="24"/>
          <w:szCs w:val="24"/>
          <w:lang w:val="ro-RO"/>
        </w:rPr>
        <w:t>Generating an additional income of £50,000 for the local economy through collaboration with merchants and local partners, as well as securing a £20,000 profit from the festival’s own activities. This amount is allocated to covering organisational costs and ensuring the continuity of future editions, supporting a strategy for sustainable economic development and strengthening the festival’s community impact.</w:t>
      </w:r>
    </w:p>
    <w:p w14:paraId="1E318757" w14:textId="77777777" w:rsidR="00C144D9" w:rsidRPr="001F3AC2" w:rsidRDefault="00C144D9" w:rsidP="00C144D9">
      <w:pPr>
        <w:numPr>
          <w:ilvl w:val="0"/>
          <w:numId w:val="1"/>
        </w:numPr>
        <w:spacing w:line="360" w:lineRule="auto"/>
        <w:jc w:val="both"/>
        <w:rPr>
          <w:rFonts w:ascii="Arial" w:hAnsi="Arial" w:cs="Arial"/>
          <w:sz w:val="24"/>
          <w:szCs w:val="24"/>
          <w:lang w:val="ro-RO"/>
        </w:rPr>
      </w:pPr>
      <w:r w:rsidRPr="001F3AC2">
        <w:rPr>
          <w:rFonts w:ascii="Arial" w:hAnsi="Arial" w:cs="Arial"/>
          <w:sz w:val="24"/>
          <w:szCs w:val="24"/>
          <w:lang w:val="ro-RO"/>
        </w:rPr>
        <w:t>Achieving a participant satisfaction level of over 85%, assessed through post-event surveys, an objective that indicates the success of the experience offered and community engagement, as noted by Allen et al. (2010).</w:t>
      </w:r>
    </w:p>
    <w:p w14:paraId="6D21C947" w14:textId="77777777" w:rsidR="00C144D9" w:rsidRPr="001F3AC2" w:rsidRDefault="00C144D9" w:rsidP="00C144D9">
      <w:pPr>
        <w:spacing w:line="360" w:lineRule="auto"/>
        <w:ind w:firstLine="708"/>
        <w:jc w:val="both"/>
        <w:rPr>
          <w:rFonts w:ascii="Arial" w:hAnsi="Arial" w:cs="Arial"/>
          <w:sz w:val="24"/>
          <w:szCs w:val="24"/>
          <w:lang w:val="ro-RO"/>
        </w:rPr>
      </w:pPr>
      <w:r w:rsidRPr="001F3AC2">
        <w:rPr>
          <w:rFonts w:ascii="Arial" w:hAnsi="Arial" w:cs="Arial"/>
          <w:sz w:val="24"/>
          <w:szCs w:val="24"/>
          <w:lang w:val="ro-RO"/>
        </w:rPr>
        <w:t>These SMART objectives are essential for providing a structured framework for organising the festival, enabling a clear evaluation of its impact and serving as a practical guide for future editions.</w:t>
      </w:r>
    </w:p>
    <w:p w14:paraId="688B6559" w14:textId="1B780398" w:rsidR="00C144D9" w:rsidRPr="001F3AC2" w:rsidRDefault="00C144D9" w:rsidP="001F3AC2">
      <w:pPr>
        <w:pStyle w:val="Heading1"/>
        <w:jc w:val="both"/>
        <w:rPr>
          <w:b/>
          <w:bCs/>
          <w:sz w:val="28"/>
          <w:szCs w:val="28"/>
          <w:lang w:val="ro-RO"/>
        </w:rPr>
      </w:pPr>
      <w:bookmarkStart w:id="5" w:name="_Toc181981562"/>
      <w:r w:rsidRPr="001F3AC2">
        <w:rPr>
          <w:b/>
          <w:bCs/>
          <w:sz w:val="28"/>
          <w:szCs w:val="28"/>
          <w:lang w:val="ro-RO"/>
        </w:rPr>
        <w:t>EVENT MANAGEMENT</w:t>
      </w:r>
      <w:bookmarkEnd w:id="5"/>
    </w:p>
    <w:p w14:paraId="45894BFC"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Effective management of a large-scale festival, such as </w:t>
      </w:r>
      <w:r w:rsidRPr="001F3AC2">
        <w:rPr>
          <w:rFonts w:ascii="Arial" w:hAnsi="Arial" w:cs="Arial"/>
          <w:i/>
          <w:iCs/>
          <w:sz w:val="24"/>
          <w:szCs w:val="24"/>
          <w:lang w:val="ro-RO"/>
        </w:rPr>
        <w:t>Fairytale Winter</w:t>
      </w:r>
      <w:r w:rsidRPr="001F3AC2">
        <w:rPr>
          <w:rFonts w:ascii="Arial" w:hAnsi="Arial" w:cs="Arial"/>
          <w:sz w:val="24"/>
          <w:szCs w:val="24"/>
          <w:lang w:val="ro-RO"/>
        </w:rPr>
        <w:t>, requires a strategic mix of specialised skills in operational, planning, and marketing fields, supported by a range of resources. Key competencies include project management, which enables the oversight of complex logistics, scheduling, and coordination tasks necessary to ensure the smooth flow of the event (Pielichaty et al., 2016). Event managers must possess advanced organisational skills, including crisis management and the ability to adapt quickly to changes, as adverse weather conditions or last-minute cancellations from suppliers require swift responses to maintain the festival's quality.</w:t>
      </w:r>
    </w:p>
    <w:p w14:paraId="3F34E3BB"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lastRenderedPageBreak/>
        <w:t>Financial management is equally crucial, given the substantial investments needed for venues, decor, safety measures, and marketing (Pielichaty et al., 2016). Financial oversight ensures the efficient allocation of funds and allows for the identification of cost-saving measures without compromising quality. Staff trained in budget management can optimise resource use, enhancing both the quality and financial sustainability of the event.</w:t>
      </w:r>
    </w:p>
    <w:p w14:paraId="6B1146F6"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Digital marketing and social media skills are essential for attracting local and international audiences. Marketing teams need expertise in digital advertising, content creation, and community engagement to maximise reach and build a strong brand presence for the event (Zelenka, 2009). These skills are vital for targeting specific audience segments and creating compelling narratives that highlight the festival’s unique elements, thereby increasing attendance and participant satisfaction.</w:t>
      </w:r>
    </w:p>
    <w:p w14:paraId="10DC36E4"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Resource allocation for </w:t>
      </w:r>
      <w:r w:rsidRPr="001F3AC2">
        <w:rPr>
          <w:rFonts w:ascii="Arial" w:hAnsi="Arial" w:cs="Arial"/>
          <w:i/>
          <w:iCs/>
          <w:sz w:val="24"/>
          <w:szCs w:val="24"/>
          <w:lang w:val="ro-RO"/>
        </w:rPr>
        <w:t>Fairytale Winter</w:t>
      </w:r>
      <w:r w:rsidRPr="001F3AC2">
        <w:rPr>
          <w:rFonts w:ascii="Arial" w:hAnsi="Arial" w:cs="Arial"/>
          <w:sz w:val="24"/>
          <w:szCs w:val="24"/>
          <w:lang w:val="ro-RO"/>
        </w:rPr>
        <w:t xml:space="preserve"> includes strategic investments in event management software, real-time communication tools, and on-site safety measures. Advanced event management software is useful for tracking ticket sales, managing participant data, and coordinating schedules, all of which are essential for large-scale events (Silva, 2024). Real-time communication tools facilitate effective coordination between staff and volunteers, ensuring a smooth flow of activities and a rapid response to any issues that may arise.</w:t>
      </w:r>
    </w:p>
    <w:p w14:paraId="6B32957A"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Human resources play a vital role in executing the festival. Trained staff and volunteers manage logistics, customer service, and crowd control during peak times. Partnerships with local businesses provide materials and support, enhancing both the quality of the event and its economic impact on the community. These partnerships foster local engagement and support, contributing to a sense of community ownership of the event (Pielichaty et al., 2016).</w:t>
      </w:r>
    </w:p>
    <w:p w14:paraId="083928F4" w14:textId="3E43A4C9" w:rsidR="00C144D9" w:rsidRPr="001F3AC2" w:rsidRDefault="005D1955" w:rsidP="001F3AC2">
      <w:pPr>
        <w:pStyle w:val="Heading1"/>
        <w:jc w:val="both"/>
        <w:rPr>
          <w:b/>
          <w:bCs/>
          <w:sz w:val="28"/>
          <w:szCs w:val="28"/>
        </w:rPr>
      </w:pPr>
      <w:bookmarkStart w:id="6" w:name="_Toc181981563"/>
      <w:r w:rsidRPr="001F3AC2">
        <w:rPr>
          <w:b/>
          <w:bCs/>
          <w:sz w:val="28"/>
          <w:szCs w:val="28"/>
        </w:rPr>
        <w:t>EVENT BUDGET</w:t>
      </w:r>
      <w:bookmarkEnd w:id="6"/>
    </w:p>
    <w:p w14:paraId="3E6F7ABB" w14:textId="3DDD5586"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The Cash Flow analysis is essential for managing the budget of </w:t>
      </w:r>
      <w:r w:rsidRPr="001F3AC2">
        <w:rPr>
          <w:rFonts w:ascii="Arial" w:hAnsi="Arial" w:cs="Arial"/>
          <w:i/>
          <w:iCs/>
          <w:sz w:val="24"/>
          <w:szCs w:val="24"/>
          <w:lang w:val="ro-RO"/>
        </w:rPr>
        <w:t>Fairytale Winter</w:t>
      </w:r>
      <w:r w:rsidRPr="001F3AC2">
        <w:rPr>
          <w:rFonts w:ascii="Arial" w:hAnsi="Arial" w:cs="Arial"/>
          <w:sz w:val="24"/>
          <w:szCs w:val="24"/>
          <w:lang w:val="ro-RO"/>
        </w:rPr>
        <w:t>, providing control over cash flow and ensuring a profitable event (Moisescu, 2020).</w:t>
      </w:r>
    </w:p>
    <w:p w14:paraId="2D901A46" w14:textId="77777777" w:rsidR="001F3AC2" w:rsidRPr="001F3AC2" w:rsidRDefault="001F3AC2" w:rsidP="001F3AC2">
      <w:pPr>
        <w:pStyle w:val="Heading2"/>
        <w:rPr>
          <w:b/>
          <w:bCs/>
          <w:sz w:val="24"/>
          <w:szCs w:val="24"/>
          <w:lang w:val="ro-RO"/>
        </w:rPr>
      </w:pPr>
      <w:bookmarkStart w:id="7" w:name="_Toc181981564"/>
      <w:r w:rsidRPr="001F3AC2">
        <w:rPr>
          <w:b/>
          <w:bCs/>
          <w:sz w:val="24"/>
          <w:szCs w:val="24"/>
          <w:lang w:val="ro-RO"/>
        </w:rPr>
        <w:lastRenderedPageBreak/>
        <w:t>Planned Revenues</w:t>
      </w:r>
      <w:bookmarkEnd w:id="7"/>
    </w:p>
    <w:p w14:paraId="0C4CC41A" w14:textId="77777777" w:rsidR="001F3AC2" w:rsidRPr="001F3AC2" w:rsidRDefault="001F3AC2" w:rsidP="001F3AC2">
      <w:pPr>
        <w:numPr>
          <w:ilvl w:val="0"/>
          <w:numId w:val="13"/>
        </w:numPr>
        <w:spacing w:line="360" w:lineRule="auto"/>
        <w:jc w:val="both"/>
        <w:rPr>
          <w:rFonts w:ascii="Arial" w:hAnsi="Arial" w:cs="Arial"/>
          <w:sz w:val="24"/>
          <w:szCs w:val="24"/>
          <w:lang w:val="ro-RO"/>
        </w:rPr>
      </w:pPr>
      <w:r w:rsidRPr="001F3AC2">
        <w:rPr>
          <w:rFonts w:ascii="Arial" w:hAnsi="Arial" w:cs="Arial"/>
          <w:sz w:val="24"/>
          <w:szCs w:val="24"/>
          <w:lang w:val="ro-RO"/>
        </w:rPr>
        <w:t>Ticket Sales: Revenue from ticket sales is estimated to be between £150,000 and £300,000, based on a price of £10 and an expected attendance of 20,000 to 40,000 participants. Anticipated ticket sales significantly contribute to the initial cash flow, covering preparation costs (Bladen et al., 2023).</w:t>
      </w:r>
    </w:p>
    <w:p w14:paraId="780BD6A9" w14:textId="77777777" w:rsidR="001F3AC2" w:rsidRPr="001F3AC2" w:rsidRDefault="001F3AC2" w:rsidP="001F3AC2">
      <w:pPr>
        <w:numPr>
          <w:ilvl w:val="0"/>
          <w:numId w:val="13"/>
        </w:numPr>
        <w:spacing w:line="360" w:lineRule="auto"/>
        <w:jc w:val="both"/>
        <w:rPr>
          <w:rFonts w:ascii="Arial" w:hAnsi="Arial" w:cs="Arial"/>
          <w:sz w:val="24"/>
          <w:szCs w:val="24"/>
          <w:lang w:val="ro-RO"/>
        </w:rPr>
      </w:pPr>
      <w:r w:rsidRPr="001F3AC2">
        <w:rPr>
          <w:rFonts w:ascii="Arial" w:hAnsi="Arial" w:cs="Arial"/>
          <w:sz w:val="24"/>
          <w:szCs w:val="24"/>
          <w:lang w:val="ro-RO"/>
        </w:rPr>
        <w:t>Sponsorships and Grants: Structured sponsorships and cultural grants are projected to generate between £50,000 and £100,000, contributing to fixed costs and providing financial flexibility during critical phases of the event (Andersson et al., 2013).</w:t>
      </w:r>
    </w:p>
    <w:p w14:paraId="7936FA97" w14:textId="77777777" w:rsidR="001F3AC2" w:rsidRPr="001F3AC2" w:rsidRDefault="001F3AC2" w:rsidP="001F3AC2">
      <w:pPr>
        <w:numPr>
          <w:ilvl w:val="0"/>
          <w:numId w:val="13"/>
        </w:numPr>
        <w:spacing w:line="360" w:lineRule="auto"/>
        <w:jc w:val="both"/>
        <w:rPr>
          <w:rFonts w:ascii="Arial" w:hAnsi="Arial" w:cs="Arial"/>
          <w:sz w:val="24"/>
          <w:szCs w:val="24"/>
          <w:lang w:val="ro-RO"/>
        </w:rPr>
      </w:pPr>
      <w:r w:rsidRPr="001F3AC2">
        <w:rPr>
          <w:rFonts w:ascii="Arial" w:hAnsi="Arial" w:cs="Arial"/>
          <w:sz w:val="24"/>
          <w:szCs w:val="24"/>
          <w:lang w:val="ro-RO"/>
        </w:rPr>
        <w:t>Vendor Fees: The Christmas market will include 40 vendors, each paying a fee of £500, totalling £20,000. This additional revenue supports logistics and facility maintenance costs (Brida et al., 2013).</w:t>
      </w:r>
    </w:p>
    <w:p w14:paraId="4D3873F5" w14:textId="77777777" w:rsidR="001F3AC2" w:rsidRPr="001F3AC2" w:rsidRDefault="001F3AC2" w:rsidP="001F3AC2">
      <w:pPr>
        <w:numPr>
          <w:ilvl w:val="0"/>
          <w:numId w:val="13"/>
        </w:numPr>
        <w:spacing w:line="360" w:lineRule="auto"/>
        <w:jc w:val="both"/>
        <w:rPr>
          <w:rFonts w:ascii="Arial" w:hAnsi="Arial" w:cs="Arial"/>
          <w:sz w:val="24"/>
          <w:szCs w:val="24"/>
          <w:lang w:val="ro-RO"/>
        </w:rPr>
      </w:pPr>
      <w:r w:rsidRPr="001F3AC2">
        <w:rPr>
          <w:rFonts w:ascii="Arial" w:hAnsi="Arial" w:cs="Arial"/>
          <w:sz w:val="24"/>
          <w:szCs w:val="24"/>
          <w:lang w:val="ro-RO"/>
        </w:rPr>
        <w:t>Collaboration with Canterbury Cathedral: The collaboration with the cathedral generates additional income from a visitor fee of £20, of which 30% will be allocated to the organisers. This income helps stabilise cash flow.</w:t>
      </w:r>
    </w:p>
    <w:p w14:paraId="09C556A6" w14:textId="77777777" w:rsidR="001F3AC2" w:rsidRPr="001F3AC2" w:rsidRDefault="001F3AC2" w:rsidP="001F3AC2">
      <w:pPr>
        <w:spacing w:line="360" w:lineRule="auto"/>
        <w:ind w:firstLine="360"/>
        <w:jc w:val="both"/>
        <w:rPr>
          <w:rFonts w:ascii="Arial" w:hAnsi="Arial" w:cs="Arial"/>
          <w:sz w:val="24"/>
          <w:szCs w:val="24"/>
          <w:lang w:val="ro-RO"/>
        </w:rPr>
      </w:pPr>
      <w:r w:rsidRPr="001F3AC2">
        <w:rPr>
          <w:rFonts w:ascii="Arial" w:hAnsi="Arial" w:cs="Arial"/>
          <w:sz w:val="24"/>
          <w:szCs w:val="24"/>
          <w:lang w:val="ro-RO"/>
        </w:rPr>
        <w:t>Total revenues are estimated to be between £220,000 and £440,000, providing a solid foundation for covering costs and maintaining a positive cash flow.</w:t>
      </w:r>
    </w:p>
    <w:p w14:paraId="7299CD35" w14:textId="77777777" w:rsidR="001F3AC2" w:rsidRPr="001F3AC2" w:rsidRDefault="001F3AC2" w:rsidP="001F3AC2">
      <w:pPr>
        <w:pStyle w:val="Heading2"/>
        <w:jc w:val="both"/>
        <w:rPr>
          <w:b/>
          <w:bCs/>
          <w:sz w:val="24"/>
          <w:szCs w:val="24"/>
          <w:lang w:val="ro-RO"/>
        </w:rPr>
      </w:pPr>
      <w:bookmarkStart w:id="8" w:name="_Toc181981565"/>
      <w:r w:rsidRPr="001F3AC2">
        <w:rPr>
          <w:b/>
          <w:bCs/>
          <w:sz w:val="24"/>
          <w:szCs w:val="24"/>
          <w:lang w:val="ro-RO"/>
        </w:rPr>
        <w:t>Planned Expenditures</w:t>
      </w:r>
      <w:bookmarkEnd w:id="8"/>
    </w:p>
    <w:p w14:paraId="11625F38" w14:textId="77777777" w:rsidR="001F3AC2" w:rsidRPr="001F3AC2" w:rsidRDefault="001F3AC2" w:rsidP="001F3AC2">
      <w:pPr>
        <w:numPr>
          <w:ilvl w:val="0"/>
          <w:numId w:val="14"/>
        </w:numPr>
        <w:spacing w:line="360" w:lineRule="auto"/>
        <w:jc w:val="both"/>
        <w:rPr>
          <w:rFonts w:ascii="Arial" w:hAnsi="Arial" w:cs="Arial"/>
          <w:sz w:val="24"/>
          <w:szCs w:val="24"/>
          <w:lang w:val="ro-RO"/>
        </w:rPr>
      </w:pPr>
      <w:r w:rsidRPr="001F3AC2">
        <w:rPr>
          <w:rFonts w:ascii="Arial" w:hAnsi="Arial" w:cs="Arial"/>
          <w:sz w:val="24"/>
          <w:szCs w:val="24"/>
          <w:lang w:val="ro-RO"/>
        </w:rPr>
        <w:t>Logistics and Venue Hire: Only Dane John Gardens will require hire, with a budget of £20,000 to £30,000. Lighting and audio equipment are estimated at £80,000 to £100,000. These costs, partially supported by advance ticket sales and the collaboration with the cathedral, ensure financial stability in the initial stages (Meredith, 2022).</w:t>
      </w:r>
    </w:p>
    <w:p w14:paraId="05EBAFA7" w14:textId="77777777" w:rsidR="001F3AC2" w:rsidRPr="001F3AC2" w:rsidRDefault="001F3AC2" w:rsidP="001F3AC2">
      <w:pPr>
        <w:numPr>
          <w:ilvl w:val="0"/>
          <w:numId w:val="14"/>
        </w:numPr>
        <w:spacing w:line="360" w:lineRule="auto"/>
        <w:jc w:val="both"/>
        <w:rPr>
          <w:rFonts w:ascii="Arial" w:hAnsi="Arial" w:cs="Arial"/>
          <w:sz w:val="24"/>
          <w:szCs w:val="24"/>
          <w:lang w:val="ro-RO"/>
        </w:rPr>
      </w:pPr>
      <w:r w:rsidRPr="001F3AC2">
        <w:rPr>
          <w:rFonts w:ascii="Arial" w:hAnsi="Arial" w:cs="Arial"/>
          <w:sz w:val="24"/>
          <w:szCs w:val="24"/>
          <w:lang w:val="ro-RO"/>
        </w:rPr>
        <w:t>Security and Crowd Management: Security and crowd management costs are estimated to be between £25,000 and £35,000, distributed throughout the event to allow for constant monitoring and balanced cash flow (Zhao et al., 2020).</w:t>
      </w:r>
    </w:p>
    <w:p w14:paraId="3DBE5802" w14:textId="77777777" w:rsidR="001F3AC2" w:rsidRPr="001F3AC2" w:rsidRDefault="001F3AC2" w:rsidP="001F3AC2">
      <w:pPr>
        <w:numPr>
          <w:ilvl w:val="0"/>
          <w:numId w:val="14"/>
        </w:numPr>
        <w:spacing w:line="360" w:lineRule="auto"/>
        <w:jc w:val="both"/>
        <w:rPr>
          <w:rFonts w:ascii="Arial" w:hAnsi="Arial" w:cs="Arial"/>
          <w:sz w:val="24"/>
          <w:szCs w:val="24"/>
          <w:lang w:val="ro-RO"/>
        </w:rPr>
      </w:pPr>
      <w:r w:rsidRPr="001F3AC2">
        <w:rPr>
          <w:rFonts w:ascii="Arial" w:hAnsi="Arial" w:cs="Arial"/>
          <w:sz w:val="24"/>
          <w:szCs w:val="24"/>
          <w:lang w:val="ro-RO"/>
        </w:rPr>
        <w:t>Marketing and Promotion: The marketing budget, estimated at £30,000 to £50,000, will be allocated for digital campaigns and local advertising. The flexibility of this budget allows for adjustments to maximise the event’s visibility (Morgan et al., 2018).</w:t>
      </w:r>
    </w:p>
    <w:p w14:paraId="4A43235C" w14:textId="77777777" w:rsidR="001F3AC2" w:rsidRPr="001F3AC2" w:rsidRDefault="001F3AC2" w:rsidP="001F3AC2">
      <w:pPr>
        <w:numPr>
          <w:ilvl w:val="0"/>
          <w:numId w:val="14"/>
        </w:numPr>
        <w:spacing w:line="360" w:lineRule="auto"/>
        <w:jc w:val="both"/>
        <w:rPr>
          <w:rFonts w:ascii="Arial" w:hAnsi="Arial" w:cs="Arial"/>
          <w:sz w:val="24"/>
          <w:szCs w:val="24"/>
          <w:lang w:val="ro-RO"/>
        </w:rPr>
      </w:pPr>
      <w:r w:rsidRPr="001F3AC2">
        <w:rPr>
          <w:rFonts w:ascii="Arial" w:hAnsi="Arial" w:cs="Arial"/>
          <w:sz w:val="24"/>
          <w:szCs w:val="24"/>
          <w:lang w:val="ro-RO"/>
        </w:rPr>
        <w:lastRenderedPageBreak/>
        <w:t>Contingency Fund: A reserve fund of £10,000 to £15,000 will cover unforeseen expenses, ensuring cash flow stability in the face of unexpected risks (Silvers, 2012).</w:t>
      </w:r>
    </w:p>
    <w:p w14:paraId="0CB06A13" w14:textId="77777777" w:rsidR="001F3AC2" w:rsidRPr="001F3AC2" w:rsidRDefault="001F3AC2" w:rsidP="001F3AC2">
      <w:pPr>
        <w:spacing w:line="360" w:lineRule="auto"/>
        <w:jc w:val="both"/>
        <w:rPr>
          <w:rFonts w:ascii="Arial" w:hAnsi="Arial" w:cs="Arial"/>
          <w:sz w:val="24"/>
          <w:szCs w:val="24"/>
          <w:lang w:val="ro-RO"/>
        </w:rPr>
      </w:pPr>
      <w:r w:rsidRPr="001F3AC2">
        <w:rPr>
          <w:rFonts w:ascii="Arial" w:hAnsi="Arial" w:cs="Arial"/>
          <w:sz w:val="24"/>
          <w:szCs w:val="24"/>
          <w:lang w:val="ro-RO"/>
        </w:rPr>
        <w:t>Total anticipated expenditures are between £165,000 and £230,000, ensuring a structured budget and positive cash flow throughout the festival.</w:t>
      </w:r>
    </w:p>
    <w:p w14:paraId="66E212B9" w14:textId="77777777" w:rsidR="001F3AC2" w:rsidRPr="001F3AC2" w:rsidRDefault="001F3AC2" w:rsidP="001F3AC2">
      <w:pPr>
        <w:pStyle w:val="Heading2"/>
        <w:jc w:val="both"/>
        <w:rPr>
          <w:b/>
          <w:bCs/>
          <w:sz w:val="24"/>
          <w:szCs w:val="24"/>
          <w:lang w:val="ro-RO"/>
        </w:rPr>
      </w:pPr>
      <w:bookmarkStart w:id="9" w:name="_Toc181981566"/>
      <w:r w:rsidRPr="001F3AC2">
        <w:rPr>
          <w:b/>
          <w:bCs/>
          <w:sz w:val="24"/>
          <w:szCs w:val="24"/>
          <w:lang w:val="ro-RO"/>
        </w:rPr>
        <w:t>Economic Impact</w:t>
      </w:r>
      <w:bookmarkEnd w:id="9"/>
    </w:p>
    <w:p w14:paraId="09F5296A"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The Cash Flow analysis estimates a net profit between £20,000 and £185,000, depending on attendance and sponsorships. It is expected to have a positive economic impact of approximately £250,000 on the local economy by stimulating local businesses. Therefore, continuous monitoring of cash flow will enable efficient financial management, ensuring the successful delivery of the </w:t>
      </w:r>
      <w:r w:rsidRPr="001F3AC2">
        <w:rPr>
          <w:rFonts w:ascii="Arial" w:hAnsi="Arial" w:cs="Arial"/>
          <w:i/>
          <w:iCs/>
          <w:sz w:val="24"/>
          <w:szCs w:val="24"/>
          <w:lang w:val="ro-RO"/>
        </w:rPr>
        <w:t>Fairytale Winter</w:t>
      </w:r>
      <w:r w:rsidRPr="001F3AC2">
        <w:rPr>
          <w:rFonts w:ascii="Arial" w:hAnsi="Arial" w:cs="Arial"/>
          <w:sz w:val="24"/>
          <w:szCs w:val="24"/>
          <w:lang w:val="ro-RO"/>
        </w:rPr>
        <w:t xml:space="preserve"> festival.</w:t>
      </w:r>
    </w:p>
    <w:p w14:paraId="3AD01C1B" w14:textId="37F35C40" w:rsidR="001F3AC2" w:rsidRPr="001F3AC2" w:rsidRDefault="001F3AC2" w:rsidP="001F3AC2">
      <w:pPr>
        <w:pStyle w:val="Heading1"/>
        <w:rPr>
          <w:b/>
          <w:bCs/>
          <w:sz w:val="28"/>
          <w:szCs w:val="28"/>
          <w:lang w:val="ro-RO"/>
        </w:rPr>
      </w:pPr>
      <w:bookmarkStart w:id="10" w:name="_Toc181981567"/>
      <w:r w:rsidRPr="001F3AC2">
        <w:rPr>
          <w:b/>
          <w:bCs/>
          <w:sz w:val="28"/>
          <w:szCs w:val="28"/>
        </w:rPr>
        <w:t>TRENDS, ISSUES, AND IMPACTS IN THE EVENTS INDUSTRY</w:t>
      </w:r>
      <w:bookmarkEnd w:id="10"/>
    </w:p>
    <w:p w14:paraId="05E8AFE7"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The events industry continues to evolve under the influence of technological trends, sustainability requirements, and socio-economic impacts. A significant trend is the integration of digital technology to enhance visitor experiences and streamline organisation. Digital ticketing solutions, mobile applications, and interactive technologies enable participants to access real-time information, facilitating a seamless experience (Akinsowon, 2024). For </w:t>
      </w:r>
      <w:r w:rsidRPr="001F3AC2">
        <w:rPr>
          <w:rFonts w:ascii="Arial" w:hAnsi="Arial" w:cs="Arial"/>
          <w:i/>
          <w:iCs/>
          <w:sz w:val="24"/>
          <w:szCs w:val="24"/>
          <w:lang w:val="ro-RO"/>
        </w:rPr>
        <w:t>Fairytale Winter</w:t>
      </w:r>
      <w:r w:rsidRPr="001F3AC2">
        <w:rPr>
          <w:rFonts w:ascii="Arial" w:hAnsi="Arial" w:cs="Arial"/>
          <w:sz w:val="24"/>
          <w:szCs w:val="24"/>
          <w:lang w:val="ro-RO"/>
        </w:rPr>
        <w:t>, the use of technology can contribute to the efficient management of attendees and increase their satisfaction.</w:t>
      </w:r>
    </w:p>
    <w:p w14:paraId="4AB0EAB0"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Sustainability is another major aspect of event organisation. Visitors are increasingly seeking environmentally friendly events, and organisers are encouraged to adopt eco-friendly practices, such as reducing plastic consumption and promoting public transport. </w:t>
      </w:r>
      <w:r w:rsidRPr="001F3AC2">
        <w:rPr>
          <w:rFonts w:ascii="Arial" w:hAnsi="Arial" w:cs="Arial"/>
          <w:i/>
          <w:iCs/>
          <w:sz w:val="24"/>
          <w:szCs w:val="24"/>
          <w:lang w:val="ro-RO"/>
        </w:rPr>
        <w:t>Fairytale Winter</w:t>
      </w:r>
      <w:r w:rsidRPr="001F3AC2">
        <w:rPr>
          <w:rFonts w:ascii="Arial" w:hAnsi="Arial" w:cs="Arial"/>
          <w:sz w:val="24"/>
          <w:szCs w:val="24"/>
          <w:lang w:val="ro-RO"/>
        </w:rPr>
        <w:t xml:space="preserve"> can implement a recycling system and encourage sustainable transport to meet these demands (Zamzuri et al., 2015).</w:t>
      </w:r>
    </w:p>
    <w:p w14:paraId="00283D81"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The COVID-19 pandemic has also changed safety norms, highlighting the importance of health measures and crisis planning. The festival must adopt safety protocols that include physical distancing and hygiene measures to ensure that visitors feel secure and risks are minimised.</w:t>
      </w:r>
    </w:p>
    <w:p w14:paraId="22CC2FFE" w14:textId="77777777" w:rsidR="001F3AC2" w:rsidRPr="001F3AC2" w:rsidRDefault="001F3AC2" w:rsidP="001F3AC2">
      <w:pPr>
        <w:pStyle w:val="Heading1"/>
        <w:jc w:val="both"/>
        <w:rPr>
          <w:b/>
          <w:bCs/>
          <w:sz w:val="28"/>
          <w:szCs w:val="28"/>
          <w:lang w:val="ro-RO"/>
        </w:rPr>
      </w:pPr>
      <w:bookmarkStart w:id="11" w:name="_Toc181981568"/>
      <w:r w:rsidRPr="001F3AC2">
        <w:rPr>
          <w:b/>
          <w:bCs/>
          <w:sz w:val="28"/>
          <w:szCs w:val="28"/>
          <w:lang w:val="ro-RO"/>
        </w:rPr>
        <w:lastRenderedPageBreak/>
        <w:t>SITUATIONAL AND CULTURAL CONSIDERATIONS – SWOT ANALYSIS</w:t>
      </w:r>
      <w:bookmarkEnd w:id="11"/>
    </w:p>
    <w:p w14:paraId="0E59EA9C"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Applying a SWOT analysis provides a comprehensive perspective on the organisation of the </w:t>
      </w:r>
      <w:r w:rsidRPr="001F3AC2">
        <w:rPr>
          <w:rFonts w:ascii="Arial" w:hAnsi="Arial" w:cs="Arial"/>
          <w:i/>
          <w:iCs/>
          <w:sz w:val="24"/>
          <w:szCs w:val="24"/>
          <w:lang w:val="ro-RO"/>
        </w:rPr>
        <w:t>Fairytale Winter</w:t>
      </w:r>
      <w:r w:rsidRPr="001F3AC2">
        <w:rPr>
          <w:rFonts w:ascii="Arial" w:hAnsi="Arial" w:cs="Arial"/>
          <w:sz w:val="24"/>
          <w:szCs w:val="24"/>
          <w:lang w:val="ro-RO"/>
        </w:rPr>
        <w:t xml:space="preserve"> festival.</w:t>
      </w:r>
    </w:p>
    <w:p w14:paraId="2A8A218A"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Strengths: Canterbury is a city with impressive cultural and historical heritage, making it attractive to tourists. Canterbury Cathedral, a UNESCO site, provides an authentic backdrop for the festival, enhancing the festive experience. Local collaborations with businesses and cultural organisations can improve the festival's resources and its economic impact on the community.</w:t>
      </w:r>
    </w:p>
    <w:p w14:paraId="10356DD2"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Weaknesses: Organising a large-scale event requires considerable funding for logistics, promotion, and security, which can pose a financial challenge. Dependency on weather conditions may also affect attendance, especially during adverse weather (Andersson &amp; Getz, 2007).</w:t>
      </w:r>
    </w:p>
    <w:p w14:paraId="6CC2DE17" w14:textId="77777777"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Opportunities: The city’s proximity to the port of Dover and the Eurotunnel creates an opportunity to attract international tourists. Additionally, the festival can leverage sustainability trends and digital technologies to create a modern and engaging experience. Promotion through influencers and social media can expand the audience and increase the festival's visibility.</w:t>
      </w:r>
    </w:p>
    <w:p w14:paraId="78D6D112" w14:textId="1BA3C993" w:rsidR="001F3AC2"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Threats: Pandemic restrictions, legislative changes, and competition from other winter festivals in the region represent potential threats. Furthermore, economic instability may reduce participants' budgets, thereby affecting attendance.</w:t>
      </w:r>
    </w:p>
    <w:p w14:paraId="65338DCA" w14:textId="7578D06F" w:rsidR="001F3AC2" w:rsidRPr="001F3AC2" w:rsidRDefault="001F3AC2" w:rsidP="001F3AC2">
      <w:pPr>
        <w:pStyle w:val="Heading1"/>
        <w:rPr>
          <w:b/>
          <w:bCs/>
          <w:sz w:val="28"/>
          <w:szCs w:val="28"/>
          <w:lang w:val="ro-RO"/>
        </w:rPr>
      </w:pPr>
      <w:bookmarkStart w:id="12" w:name="_Toc181981569"/>
      <w:r w:rsidRPr="001F3AC2">
        <w:rPr>
          <w:b/>
          <w:bCs/>
          <w:sz w:val="28"/>
          <w:szCs w:val="28"/>
          <w:lang w:val="ro-RO"/>
        </w:rPr>
        <w:t>CONCLUSION</w:t>
      </w:r>
      <w:bookmarkEnd w:id="12"/>
    </w:p>
    <w:p w14:paraId="2778EBA5" w14:textId="7F6756A8" w:rsidR="00B13653" w:rsidRPr="001F3AC2" w:rsidRDefault="001F3AC2" w:rsidP="001F3AC2">
      <w:pPr>
        <w:spacing w:line="360" w:lineRule="auto"/>
        <w:ind w:firstLine="708"/>
        <w:jc w:val="both"/>
        <w:rPr>
          <w:rFonts w:ascii="Arial" w:hAnsi="Arial" w:cs="Arial"/>
          <w:sz w:val="24"/>
          <w:szCs w:val="24"/>
          <w:lang w:val="ro-RO"/>
        </w:rPr>
      </w:pPr>
      <w:r w:rsidRPr="001F3AC2">
        <w:rPr>
          <w:rFonts w:ascii="Arial" w:hAnsi="Arial" w:cs="Arial"/>
          <w:sz w:val="24"/>
          <w:szCs w:val="24"/>
          <w:lang w:val="ro-RO"/>
        </w:rPr>
        <w:t xml:space="preserve">In conclusion, the </w:t>
      </w:r>
      <w:r w:rsidRPr="001F3AC2">
        <w:rPr>
          <w:rFonts w:ascii="Arial" w:hAnsi="Arial" w:cs="Arial"/>
          <w:i/>
          <w:iCs/>
          <w:sz w:val="24"/>
          <w:szCs w:val="24"/>
          <w:lang w:val="ro-RO"/>
        </w:rPr>
        <w:t>Fairytale Winter</w:t>
      </w:r>
      <w:r w:rsidRPr="001F3AC2">
        <w:rPr>
          <w:rFonts w:ascii="Arial" w:hAnsi="Arial" w:cs="Arial"/>
          <w:sz w:val="24"/>
          <w:szCs w:val="24"/>
          <w:lang w:val="ro-RO"/>
        </w:rPr>
        <w:t xml:space="preserve"> festival is a feasible and well-planned event that exemplifies the principles of strategic planning and effective resource management. By integrating sustainability and building strong partnerships with local businesses, the festival successfully attracts a diverse audience while enhancing Canterbury’s cultural identity. The SWOT analysis highlights key strengths and challenges, providing a structured approach to addressing situational and cultural considerations. Additionally, the budget evaluation ensures efficient use of resources, maintaining financial stability throughout the event. Ultimately, </w:t>
      </w:r>
      <w:r w:rsidRPr="001F3AC2">
        <w:rPr>
          <w:rFonts w:ascii="Arial" w:hAnsi="Arial" w:cs="Arial"/>
          <w:i/>
          <w:iCs/>
          <w:sz w:val="24"/>
          <w:szCs w:val="24"/>
          <w:lang w:val="ro-RO"/>
        </w:rPr>
        <w:t>Fairytale Winter</w:t>
      </w:r>
      <w:r w:rsidRPr="001F3AC2">
        <w:rPr>
          <w:rFonts w:ascii="Arial" w:hAnsi="Arial" w:cs="Arial"/>
          <w:sz w:val="24"/>
          <w:szCs w:val="24"/>
          <w:lang w:val="ro-RO"/>
        </w:rPr>
        <w:t xml:space="preserve"> serves as a sustainable model for winter tourism, positioning Canterbury as a premier holiday destination while contributing to economic growth and fostering community cohesion.</w:t>
      </w:r>
    </w:p>
    <w:p w14:paraId="49F0D239" w14:textId="4A6E31CF" w:rsidR="00C144D9" w:rsidRPr="001F3AC2" w:rsidRDefault="00C144D9" w:rsidP="001F3AC2">
      <w:pPr>
        <w:pStyle w:val="Heading1"/>
        <w:jc w:val="both"/>
        <w:rPr>
          <w:b/>
          <w:bCs/>
          <w:sz w:val="28"/>
          <w:szCs w:val="28"/>
        </w:rPr>
      </w:pPr>
      <w:bookmarkStart w:id="13" w:name="_Toc181981570"/>
      <w:r w:rsidRPr="001F3AC2">
        <w:rPr>
          <w:b/>
          <w:bCs/>
          <w:sz w:val="28"/>
          <w:szCs w:val="28"/>
        </w:rPr>
        <w:lastRenderedPageBreak/>
        <w:t>REFERENCE LIST:</w:t>
      </w:r>
      <w:bookmarkEnd w:id="13"/>
    </w:p>
    <w:p w14:paraId="0416368A" w14:textId="55C8AFC6"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Allen, J., O'Toole, W., Harris, R. &amp; McDonnell, I. (2010) </w:t>
      </w:r>
      <w:r w:rsidRPr="001F3AC2">
        <w:rPr>
          <w:rFonts w:ascii="Arial" w:hAnsi="Arial" w:cs="Arial"/>
          <w:i/>
          <w:iCs/>
          <w:sz w:val="24"/>
          <w:szCs w:val="24"/>
          <w:lang w:val="ro-RO"/>
        </w:rPr>
        <w:t>Festival and Special Event Management</w:t>
      </w:r>
      <w:r w:rsidRPr="001F3AC2">
        <w:rPr>
          <w:rFonts w:ascii="Arial" w:hAnsi="Arial" w:cs="Arial"/>
          <w:sz w:val="24"/>
          <w:szCs w:val="24"/>
          <w:lang w:val="ro-RO"/>
        </w:rPr>
        <w:t>. Available at: file:///C:/Users/ionutp/Downloads/9780429023002_previewpdf.pdf [Accessed 2 November 2024].</w:t>
      </w:r>
    </w:p>
    <w:p w14:paraId="6336F112" w14:textId="51F9FDA9"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Association of Leading Visitor Attractions (ALVA) (2022) </w:t>
      </w:r>
      <w:r w:rsidRPr="001F3AC2">
        <w:rPr>
          <w:rFonts w:ascii="Arial" w:hAnsi="Arial" w:cs="Arial"/>
          <w:i/>
          <w:iCs/>
          <w:sz w:val="24"/>
          <w:szCs w:val="24"/>
          <w:lang w:val="ro-RO"/>
        </w:rPr>
        <w:t>Visitor Figures 2022: Canterbury Cathedral</w:t>
      </w:r>
      <w:r w:rsidRPr="001F3AC2">
        <w:rPr>
          <w:rFonts w:ascii="Arial" w:hAnsi="Arial" w:cs="Arial"/>
          <w:sz w:val="24"/>
          <w:szCs w:val="24"/>
          <w:lang w:val="ro-RO"/>
        </w:rPr>
        <w:t xml:space="preserve">. Available at: </w:t>
      </w:r>
      <w:hyperlink r:id="rId10" w:tgtFrame="_new" w:history="1">
        <w:r w:rsidRPr="001F3AC2">
          <w:rPr>
            <w:rStyle w:val="Hyperlink"/>
            <w:rFonts w:ascii="Arial" w:hAnsi="Arial" w:cs="Arial"/>
            <w:sz w:val="24"/>
            <w:szCs w:val="24"/>
            <w:lang w:val="ro-RO"/>
          </w:rPr>
          <w:t>https://www.alva.org.uk/details.cfm?p=423</w:t>
        </w:r>
      </w:hyperlink>
      <w:r w:rsidRPr="001F3AC2">
        <w:rPr>
          <w:rFonts w:ascii="Arial" w:hAnsi="Arial" w:cs="Arial"/>
          <w:sz w:val="24"/>
          <w:szCs w:val="24"/>
          <w:lang w:val="ro-RO"/>
        </w:rPr>
        <w:t xml:space="preserve"> [Accessed 1 November 2024].</w:t>
      </w:r>
    </w:p>
    <w:p w14:paraId="4DCB2E6F" w14:textId="7732D7F9"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Berridge, G. (2007) </w:t>
      </w:r>
      <w:r w:rsidRPr="001F3AC2">
        <w:rPr>
          <w:rFonts w:ascii="Arial" w:hAnsi="Arial" w:cs="Arial"/>
          <w:i/>
          <w:iCs/>
          <w:sz w:val="24"/>
          <w:szCs w:val="24"/>
          <w:lang w:val="ro-RO"/>
        </w:rPr>
        <w:t>Events Design and Experience</w:t>
      </w:r>
      <w:r w:rsidRPr="001F3AC2">
        <w:rPr>
          <w:rFonts w:ascii="Arial" w:hAnsi="Arial" w:cs="Arial"/>
          <w:sz w:val="24"/>
          <w:szCs w:val="24"/>
          <w:lang w:val="ro-RO"/>
        </w:rPr>
        <w:t>. Oxford: Butterworth-Heinemann.</w:t>
      </w:r>
    </w:p>
    <w:p w14:paraId="06C12B93" w14:textId="6005C0F2"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Bjerke, M.B. &amp; Renger, R. (2017) ‘Being smart about writing SMART objectives’, </w:t>
      </w:r>
      <w:r w:rsidRPr="001F3AC2">
        <w:rPr>
          <w:rFonts w:ascii="Arial" w:hAnsi="Arial" w:cs="Arial"/>
          <w:i/>
          <w:iCs/>
          <w:sz w:val="24"/>
          <w:szCs w:val="24"/>
          <w:lang w:val="ro-RO"/>
        </w:rPr>
        <w:t>Evaluation and Program Planning</w:t>
      </w:r>
      <w:r w:rsidRPr="001F3AC2">
        <w:rPr>
          <w:rFonts w:ascii="Arial" w:hAnsi="Arial" w:cs="Arial"/>
          <w:sz w:val="24"/>
          <w:szCs w:val="24"/>
          <w:lang w:val="ro-RO"/>
        </w:rPr>
        <w:t xml:space="preserve">, 61, pp. 125-127. Available at: </w:t>
      </w:r>
      <w:hyperlink r:id="rId11" w:tgtFrame="_new" w:history="1">
        <w:r w:rsidRPr="001F3AC2">
          <w:rPr>
            <w:rStyle w:val="Hyperlink"/>
            <w:rFonts w:ascii="Arial" w:hAnsi="Arial" w:cs="Arial"/>
            <w:sz w:val="24"/>
            <w:szCs w:val="24"/>
            <w:lang w:val="ro-RO"/>
          </w:rPr>
          <w:t>https://www.sciencedirect.com/science/article/abs/pii/S0149718916302580?via%3Dihub</w:t>
        </w:r>
      </w:hyperlink>
      <w:r w:rsidRPr="001F3AC2">
        <w:rPr>
          <w:rFonts w:ascii="Arial" w:hAnsi="Arial" w:cs="Arial"/>
          <w:sz w:val="24"/>
          <w:szCs w:val="24"/>
          <w:lang w:val="ro-RO"/>
        </w:rPr>
        <w:t xml:space="preserve"> [Accessed 3 November 2024].</w:t>
      </w:r>
    </w:p>
    <w:p w14:paraId="3BB15250" w14:textId="2F05B3FE"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Bladen, C., Kennell, J., Abson, E. &amp; Wilde, N. (2017) </w:t>
      </w:r>
      <w:r w:rsidRPr="001F3AC2">
        <w:rPr>
          <w:rFonts w:ascii="Arial" w:hAnsi="Arial" w:cs="Arial"/>
          <w:i/>
          <w:iCs/>
          <w:sz w:val="24"/>
          <w:szCs w:val="24"/>
          <w:lang w:val="ro-RO"/>
        </w:rPr>
        <w:t>Events Management: An Introduction</w:t>
      </w:r>
      <w:r w:rsidRPr="001F3AC2">
        <w:rPr>
          <w:rFonts w:ascii="Arial" w:hAnsi="Arial" w:cs="Arial"/>
          <w:sz w:val="24"/>
          <w:szCs w:val="24"/>
          <w:lang w:val="ro-RO"/>
        </w:rPr>
        <w:t>. 2nd edn. London: Routledge.</w:t>
      </w:r>
    </w:p>
    <w:p w14:paraId="1CAF8B79" w14:textId="10F3C7E4"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Bowdin, G.A.J., Allen, J., O'Toole, W., Harris, R. &amp; McDonnell, I. (2011) </w:t>
      </w:r>
      <w:r w:rsidRPr="001F3AC2">
        <w:rPr>
          <w:rFonts w:ascii="Arial" w:hAnsi="Arial" w:cs="Arial"/>
          <w:i/>
          <w:iCs/>
          <w:sz w:val="24"/>
          <w:szCs w:val="24"/>
          <w:lang w:val="ro-RO"/>
        </w:rPr>
        <w:t>Events Management</w:t>
      </w:r>
      <w:r w:rsidRPr="001F3AC2">
        <w:rPr>
          <w:rFonts w:ascii="Arial" w:hAnsi="Arial" w:cs="Arial"/>
          <w:sz w:val="24"/>
          <w:szCs w:val="24"/>
          <w:lang w:val="ro-RO"/>
        </w:rPr>
        <w:t>. Oxford: Butterworth-Heinemann.</w:t>
      </w:r>
    </w:p>
    <w:p w14:paraId="15867494" w14:textId="561F8B2A"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Canterbury BID (2023) </w:t>
      </w:r>
      <w:r w:rsidRPr="001F3AC2">
        <w:rPr>
          <w:rFonts w:ascii="Arial" w:hAnsi="Arial" w:cs="Arial"/>
          <w:i/>
          <w:iCs/>
          <w:sz w:val="24"/>
          <w:szCs w:val="24"/>
          <w:lang w:val="ro-RO"/>
        </w:rPr>
        <w:t>Make Your Christmas Magical: Canterbury's Campaign Review 2023</w:t>
      </w:r>
      <w:r w:rsidRPr="001F3AC2">
        <w:rPr>
          <w:rFonts w:ascii="Arial" w:hAnsi="Arial" w:cs="Arial"/>
          <w:sz w:val="24"/>
          <w:szCs w:val="24"/>
          <w:lang w:val="ro-RO"/>
        </w:rPr>
        <w:t xml:space="preserve">. Available at: </w:t>
      </w:r>
      <w:hyperlink r:id="rId12" w:tgtFrame="_new" w:history="1">
        <w:r w:rsidRPr="001F3AC2">
          <w:rPr>
            <w:rStyle w:val="Hyperlink"/>
            <w:rFonts w:ascii="Arial" w:hAnsi="Arial" w:cs="Arial"/>
            <w:sz w:val="24"/>
            <w:szCs w:val="24"/>
            <w:lang w:val="ro-RO"/>
          </w:rPr>
          <w:t>https://www.canterburybid.co.uk/christmas/</w:t>
        </w:r>
      </w:hyperlink>
      <w:r w:rsidRPr="001F3AC2">
        <w:rPr>
          <w:rFonts w:ascii="Arial" w:hAnsi="Arial" w:cs="Arial"/>
          <w:sz w:val="24"/>
          <w:szCs w:val="24"/>
          <w:lang w:val="ro-RO"/>
        </w:rPr>
        <w:t xml:space="preserve"> [Accessed 1 November 2024].</w:t>
      </w:r>
    </w:p>
    <w:p w14:paraId="62332083" w14:textId="6D5A4E69"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Getz, D. &amp; Page, S.J. (2016) </w:t>
      </w:r>
      <w:r w:rsidRPr="001F3AC2">
        <w:rPr>
          <w:rFonts w:ascii="Arial" w:hAnsi="Arial" w:cs="Arial"/>
          <w:i/>
          <w:iCs/>
          <w:sz w:val="24"/>
          <w:szCs w:val="24"/>
          <w:lang w:val="ro-RO"/>
        </w:rPr>
        <w:t>Event Studies: Theory, Research and Policy for Planned Events</w:t>
      </w:r>
      <w:r w:rsidRPr="001F3AC2">
        <w:rPr>
          <w:rFonts w:ascii="Arial" w:hAnsi="Arial" w:cs="Arial"/>
          <w:sz w:val="24"/>
          <w:szCs w:val="24"/>
          <w:lang w:val="ro-RO"/>
        </w:rPr>
        <w:t>. 3rd edn. Abingdon: Routledge.</w:t>
      </w:r>
    </w:p>
    <w:p w14:paraId="5E733E1E" w14:textId="373CE8B3"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Jepson, A. &amp; Clarke, A. (2015) </w:t>
      </w:r>
      <w:r w:rsidRPr="001F3AC2">
        <w:rPr>
          <w:rFonts w:ascii="Arial" w:hAnsi="Arial" w:cs="Arial"/>
          <w:i/>
          <w:iCs/>
          <w:sz w:val="24"/>
          <w:szCs w:val="24"/>
          <w:lang w:val="ro-RO"/>
        </w:rPr>
        <w:t>Managing and Developing Communities, Festivals and Events</w:t>
      </w:r>
      <w:r w:rsidRPr="001F3AC2">
        <w:rPr>
          <w:rFonts w:ascii="Arial" w:hAnsi="Arial" w:cs="Arial"/>
          <w:sz w:val="24"/>
          <w:szCs w:val="24"/>
          <w:lang w:val="ro-RO"/>
        </w:rPr>
        <w:t xml:space="preserve">. London: Palgrave Macmillan. Available at: </w:t>
      </w:r>
      <w:hyperlink r:id="rId13" w:tgtFrame="_new" w:history="1">
        <w:r w:rsidRPr="001F3AC2">
          <w:rPr>
            <w:rStyle w:val="Hyperlink"/>
            <w:rFonts w:ascii="Arial" w:hAnsi="Arial" w:cs="Arial"/>
            <w:sz w:val="24"/>
            <w:szCs w:val="24"/>
            <w:lang w:val="ro-RO"/>
          </w:rPr>
          <w:t>https://www.researchgate.net/profile/Allan-Jepson/publication/277277133_Exploring_Community_Festivals_and_Events/links/5ee21dd7a6fdcc73be7034e5/Exploring-Community-Festivals-and-Events.pdf</w:t>
        </w:r>
      </w:hyperlink>
      <w:r w:rsidRPr="001F3AC2">
        <w:rPr>
          <w:rFonts w:ascii="Arial" w:hAnsi="Arial" w:cs="Arial"/>
          <w:sz w:val="24"/>
          <w:szCs w:val="24"/>
          <w:lang w:val="ro-RO"/>
        </w:rPr>
        <w:t xml:space="preserve"> [Accessed 1 November 2024].</w:t>
      </w:r>
    </w:p>
    <w:p w14:paraId="062300C2" w14:textId="4607047D"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Lyyti (n.d.) </w:t>
      </w:r>
      <w:r w:rsidRPr="001F3AC2">
        <w:rPr>
          <w:rFonts w:ascii="Arial" w:hAnsi="Arial" w:cs="Arial"/>
          <w:i/>
          <w:iCs/>
          <w:sz w:val="24"/>
          <w:szCs w:val="24"/>
          <w:lang w:val="ro-RO"/>
        </w:rPr>
        <w:t>Introducing the Event Cycle: The Core of Event Success Management</w:t>
      </w:r>
      <w:r w:rsidRPr="001F3AC2">
        <w:rPr>
          <w:rFonts w:ascii="Arial" w:hAnsi="Arial" w:cs="Arial"/>
          <w:sz w:val="24"/>
          <w:szCs w:val="24"/>
          <w:lang w:val="ro-RO"/>
        </w:rPr>
        <w:t xml:space="preserve">. Available at: </w:t>
      </w:r>
      <w:hyperlink r:id="rId14" w:tgtFrame="_new" w:history="1">
        <w:r w:rsidRPr="001F3AC2">
          <w:rPr>
            <w:rStyle w:val="Hyperlink"/>
            <w:rFonts w:ascii="Arial" w:hAnsi="Arial" w:cs="Arial"/>
            <w:sz w:val="24"/>
            <w:szCs w:val="24"/>
            <w:lang w:val="ro-RO"/>
          </w:rPr>
          <w:t>https://www.lyyti.com/en/blog/introducing-the-event-cycle-the-core-of-event-success-management</w:t>
        </w:r>
      </w:hyperlink>
      <w:r w:rsidRPr="001F3AC2">
        <w:rPr>
          <w:rFonts w:ascii="Arial" w:hAnsi="Arial" w:cs="Arial"/>
          <w:sz w:val="24"/>
          <w:szCs w:val="24"/>
          <w:lang w:val="ro-RO"/>
        </w:rPr>
        <w:t xml:space="preserve"> [Accessed 2 November 2024].</w:t>
      </w:r>
    </w:p>
    <w:p w14:paraId="07E0CF9F" w14:textId="77A45F1F"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Raj, R., Walters, P. &amp; Rashid, T. (2013) </w:t>
      </w:r>
      <w:r w:rsidRPr="001F3AC2">
        <w:rPr>
          <w:rFonts w:ascii="Arial" w:hAnsi="Arial" w:cs="Arial"/>
          <w:i/>
          <w:iCs/>
          <w:sz w:val="24"/>
          <w:szCs w:val="24"/>
          <w:lang w:val="ro-RO"/>
        </w:rPr>
        <w:t>Events Management: Principles and Practice</w:t>
      </w:r>
      <w:r w:rsidRPr="001F3AC2">
        <w:rPr>
          <w:rFonts w:ascii="Arial" w:hAnsi="Arial" w:cs="Arial"/>
          <w:sz w:val="24"/>
          <w:szCs w:val="24"/>
          <w:lang w:val="ro-RO"/>
        </w:rPr>
        <w:t>. 2nd edn. London: Sage.</w:t>
      </w:r>
    </w:p>
    <w:p w14:paraId="5689C2A1" w14:textId="17C0CAD1"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Silvers, J.R. (2012) </w:t>
      </w:r>
      <w:r w:rsidRPr="001F3AC2">
        <w:rPr>
          <w:rFonts w:ascii="Arial" w:hAnsi="Arial" w:cs="Arial"/>
          <w:i/>
          <w:iCs/>
          <w:sz w:val="24"/>
          <w:szCs w:val="24"/>
          <w:lang w:val="ro-RO"/>
        </w:rPr>
        <w:t>Risk Management for Meetings and Events</w:t>
      </w:r>
      <w:r w:rsidRPr="001F3AC2">
        <w:rPr>
          <w:rFonts w:ascii="Arial" w:hAnsi="Arial" w:cs="Arial"/>
          <w:sz w:val="24"/>
          <w:szCs w:val="24"/>
          <w:lang w:val="ro-RO"/>
        </w:rPr>
        <w:t>. London: Butterworth-Heinemann.</w:t>
      </w:r>
    </w:p>
    <w:p w14:paraId="7DFC7958" w14:textId="0D9B903A"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Suharto, B. &amp; Jamali, M. (2023) ‘Sustainable festival practices: addressing community issues and promoting wellbeing’, </w:t>
      </w:r>
      <w:r w:rsidRPr="001F3AC2">
        <w:rPr>
          <w:rFonts w:ascii="Arial" w:hAnsi="Arial" w:cs="Arial"/>
          <w:i/>
          <w:iCs/>
          <w:sz w:val="24"/>
          <w:szCs w:val="24"/>
          <w:lang w:val="ro-RO"/>
        </w:rPr>
        <w:t>Journal of Law and Sustainable Development</w:t>
      </w:r>
      <w:r w:rsidRPr="001F3AC2">
        <w:rPr>
          <w:rFonts w:ascii="Arial" w:hAnsi="Arial" w:cs="Arial"/>
          <w:sz w:val="24"/>
          <w:szCs w:val="24"/>
          <w:lang w:val="ro-RO"/>
        </w:rPr>
        <w:t>. Available at: file:///C:/Users/ionutp/Downloads/2316+Law-1.pdf [Accessed 3 November 2024].</w:t>
      </w:r>
    </w:p>
    <w:p w14:paraId="59C82385" w14:textId="65C6D6F5"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Bladen, C., Kennell, J., Abson, E. &amp; Wilde, N. (2023) </w:t>
      </w:r>
      <w:r w:rsidRPr="001F3AC2">
        <w:rPr>
          <w:rFonts w:ascii="Arial" w:hAnsi="Arial" w:cs="Arial"/>
          <w:i/>
          <w:iCs/>
          <w:sz w:val="24"/>
          <w:szCs w:val="24"/>
          <w:lang w:val="ro-RO"/>
        </w:rPr>
        <w:t>Events Management: An Introduction</w:t>
      </w:r>
      <w:r w:rsidRPr="001F3AC2">
        <w:rPr>
          <w:rFonts w:ascii="Arial" w:hAnsi="Arial" w:cs="Arial"/>
          <w:sz w:val="24"/>
          <w:szCs w:val="24"/>
          <w:lang w:val="ro-RO"/>
        </w:rPr>
        <w:t xml:space="preserve">. 3rd edn. Abingdon: Routledge. Available at: </w:t>
      </w:r>
      <w:hyperlink r:id="rId15" w:tgtFrame="_new" w:history="1">
        <w:r w:rsidRPr="001F3AC2">
          <w:rPr>
            <w:rStyle w:val="Hyperlink"/>
            <w:rFonts w:ascii="Arial" w:hAnsi="Arial" w:cs="Arial"/>
            <w:sz w:val="24"/>
            <w:szCs w:val="24"/>
            <w:lang w:val="ro-RO"/>
          </w:rPr>
          <w:t>https://doi.org/10.4324/9781003102878</w:t>
        </w:r>
      </w:hyperlink>
      <w:r w:rsidRPr="001F3AC2">
        <w:rPr>
          <w:rFonts w:ascii="Arial" w:hAnsi="Arial" w:cs="Arial"/>
          <w:sz w:val="24"/>
          <w:szCs w:val="24"/>
          <w:lang w:val="ro-RO"/>
        </w:rPr>
        <w:t xml:space="preserve"> [Accessed 4 November 2024].</w:t>
      </w:r>
    </w:p>
    <w:p w14:paraId="6E079D93" w14:textId="4D4ADA8A"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Andersson, T.D., Getz, D., Mykletun, J., Jæger, K. &amp; Dolles, H. (2013) ‘Factors Influencing Grant and Sponsorship Revenue for Festivals’, </w:t>
      </w:r>
      <w:r w:rsidRPr="001F3AC2">
        <w:rPr>
          <w:rFonts w:ascii="Arial" w:hAnsi="Arial" w:cs="Arial"/>
          <w:i/>
          <w:iCs/>
          <w:sz w:val="24"/>
          <w:szCs w:val="24"/>
          <w:lang w:val="ro-RO"/>
        </w:rPr>
        <w:t>Event Management</w:t>
      </w:r>
      <w:r w:rsidRPr="001F3AC2">
        <w:rPr>
          <w:rFonts w:ascii="Arial" w:hAnsi="Arial" w:cs="Arial"/>
          <w:sz w:val="24"/>
          <w:szCs w:val="24"/>
          <w:lang w:val="ro-RO"/>
        </w:rPr>
        <w:t xml:space="preserve">, </w:t>
      </w:r>
      <w:r w:rsidRPr="001F3AC2">
        <w:rPr>
          <w:rFonts w:ascii="Arial" w:hAnsi="Arial" w:cs="Arial"/>
          <w:sz w:val="24"/>
          <w:szCs w:val="24"/>
          <w:lang w:val="ro-RO"/>
        </w:rPr>
        <w:lastRenderedPageBreak/>
        <w:t xml:space="preserve">17, pp. 195–212. DOI: </w:t>
      </w:r>
      <w:hyperlink r:id="rId16" w:tgtFrame="_new" w:history="1">
        <w:r w:rsidRPr="001F3AC2">
          <w:rPr>
            <w:rStyle w:val="Hyperlink"/>
            <w:rFonts w:ascii="Arial" w:hAnsi="Arial" w:cs="Arial"/>
            <w:sz w:val="24"/>
            <w:szCs w:val="24"/>
            <w:lang w:val="ro-RO"/>
          </w:rPr>
          <w:t>http://dx.doi.org/10.3727/152599513X13708863377755</w:t>
        </w:r>
      </w:hyperlink>
      <w:r w:rsidRPr="001F3AC2">
        <w:rPr>
          <w:rFonts w:ascii="Arial" w:hAnsi="Arial" w:cs="Arial"/>
          <w:sz w:val="24"/>
          <w:szCs w:val="24"/>
          <w:lang w:val="ro-RO"/>
        </w:rPr>
        <w:t xml:space="preserve">. Available at: </w:t>
      </w:r>
      <w:hyperlink r:id="rId17" w:tgtFrame="_new" w:history="1">
        <w:r w:rsidRPr="001F3AC2">
          <w:rPr>
            <w:rStyle w:val="Hyperlink"/>
            <w:rFonts w:ascii="Arial" w:hAnsi="Arial" w:cs="Arial"/>
            <w:sz w:val="24"/>
            <w:szCs w:val="24"/>
            <w:lang w:val="ro-RO"/>
          </w:rPr>
          <w:t>https://www.academia.edu/82348292/Factors_Influencing_Grant_and_Sponsorship_Revenue_for_Festivals</w:t>
        </w:r>
      </w:hyperlink>
      <w:r w:rsidRPr="001F3AC2">
        <w:rPr>
          <w:rFonts w:ascii="Arial" w:hAnsi="Arial" w:cs="Arial"/>
          <w:sz w:val="24"/>
          <w:szCs w:val="24"/>
          <w:lang w:val="ro-RO"/>
        </w:rPr>
        <w:t xml:space="preserve"> [Accessed 4 November 2024].</w:t>
      </w:r>
    </w:p>
    <w:p w14:paraId="3534FEB3" w14:textId="206ECD26"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Brida, J.G., Disegna, M. &amp; Osti, L. (2013) ‘Visitors’ expenditure behaviour at cultural events: the case of Christmas markets’, </w:t>
      </w:r>
      <w:r w:rsidRPr="001F3AC2">
        <w:rPr>
          <w:rFonts w:ascii="Arial" w:hAnsi="Arial" w:cs="Arial"/>
          <w:i/>
          <w:iCs/>
          <w:sz w:val="24"/>
          <w:szCs w:val="24"/>
          <w:lang w:val="ro-RO"/>
        </w:rPr>
        <w:t>Tourism Economics</w:t>
      </w:r>
      <w:r w:rsidRPr="001F3AC2">
        <w:rPr>
          <w:rFonts w:ascii="Arial" w:hAnsi="Arial" w:cs="Arial"/>
          <w:sz w:val="24"/>
          <w:szCs w:val="24"/>
          <w:lang w:val="ro-RO"/>
        </w:rPr>
        <w:t xml:space="preserve">, 19(5), pp. 1173–1196. doi: 10.5367/te.2013.0237. Available at: </w:t>
      </w:r>
      <w:hyperlink r:id="rId18" w:tgtFrame="_new" w:history="1">
        <w:r w:rsidRPr="001F3AC2">
          <w:rPr>
            <w:rStyle w:val="Hyperlink"/>
            <w:rFonts w:ascii="Arial" w:hAnsi="Arial" w:cs="Arial"/>
            <w:sz w:val="24"/>
            <w:szCs w:val="24"/>
            <w:lang w:val="ro-RO"/>
          </w:rPr>
          <w:t>https://eprints.bournemouth.ac.uk/23266/1/2013Tourism%20Economics_BridaDisegnaOsti.pdf</w:t>
        </w:r>
      </w:hyperlink>
      <w:r w:rsidRPr="001F3AC2">
        <w:rPr>
          <w:rFonts w:ascii="Arial" w:hAnsi="Arial" w:cs="Arial"/>
          <w:sz w:val="24"/>
          <w:szCs w:val="24"/>
          <w:lang w:val="ro-RO"/>
        </w:rPr>
        <w:t xml:space="preserve"> [Accessed 4 November 2024].</w:t>
      </w:r>
    </w:p>
    <w:p w14:paraId="4D1BDAE4" w14:textId="4DD35FE0"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Smith, A. (2018) ‘Paying for parks: Ticketed events and the commercialisation of public space’, </w:t>
      </w:r>
      <w:r w:rsidRPr="001F3AC2">
        <w:rPr>
          <w:rFonts w:ascii="Arial" w:hAnsi="Arial" w:cs="Arial"/>
          <w:i/>
          <w:iCs/>
          <w:sz w:val="24"/>
          <w:szCs w:val="24"/>
          <w:lang w:val="ro-RO"/>
        </w:rPr>
        <w:t>Leisure Studies</w:t>
      </w:r>
      <w:r w:rsidRPr="001F3AC2">
        <w:rPr>
          <w:rFonts w:ascii="Arial" w:hAnsi="Arial" w:cs="Arial"/>
          <w:sz w:val="24"/>
          <w:szCs w:val="24"/>
          <w:lang w:val="ro-RO"/>
        </w:rPr>
        <w:t xml:space="preserve">, 37(5), pp. 533-546. doi: 10.1080/02614367.2018.1497077. Available at: </w:t>
      </w:r>
      <w:hyperlink r:id="rId19" w:tgtFrame="_new" w:history="1">
        <w:r w:rsidRPr="001F3AC2">
          <w:rPr>
            <w:rStyle w:val="Hyperlink"/>
            <w:rFonts w:ascii="Arial" w:hAnsi="Arial" w:cs="Arial"/>
            <w:sz w:val="24"/>
            <w:szCs w:val="24"/>
            <w:lang w:val="ro-RO"/>
          </w:rPr>
          <w:t>https://westminsterresearch.westminster.ac.uk/download/e2a690d3423b3e32d9fb3199ad8cb2375da39abc30840966232afb5c0d52679a/131459/Paying%20for%20parks%20for%20LS%20v2.pdf</w:t>
        </w:r>
      </w:hyperlink>
      <w:r w:rsidRPr="001F3AC2">
        <w:rPr>
          <w:rFonts w:ascii="Arial" w:hAnsi="Arial" w:cs="Arial"/>
          <w:sz w:val="24"/>
          <w:szCs w:val="24"/>
          <w:lang w:val="ro-RO"/>
        </w:rPr>
        <w:t xml:space="preserve"> [Accessed 4 November 2024].</w:t>
      </w:r>
    </w:p>
    <w:p w14:paraId="40A929B4" w14:textId="33B9BF7B"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Zhao, H., Thrash, T., Kapadia, M., Wolff, K., Hölscher, C., Helbing, D. &amp; Schinazi, V.R. (2020) ‘Assessing crowd management strategies for the 2010 Love Parade disaster using computer simulations and virtual reality’, </w:t>
      </w:r>
      <w:r w:rsidRPr="001F3AC2">
        <w:rPr>
          <w:rFonts w:ascii="Arial" w:hAnsi="Arial" w:cs="Arial"/>
          <w:i/>
          <w:iCs/>
          <w:sz w:val="24"/>
          <w:szCs w:val="24"/>
          <w:lang w:val="ro-RO"/>
        </w:rPr>
        <w:t>Journal of the Royal Society Interface</w:t>
      </w:r>
      <w:r w:rsidRPr="001F3AC2">
        <w:rPr>
          <w:rFonts w:ascii="Arial" w:hAnsi="Arial" w:cs="Arial"/>
          <w:sz w:val="24"/>
          <w:szCs w:val="24"/>
          <w:lang w:val="ro-RO"/>
        </w:rPr>
        <w:t xml:space="preserve">, 17, 20200116. Available at: </w:t>
      </w:r>
      <w:hyperlink r:id="rId20" w:tgtFrame="_new" w:history="1">
        <w:r w:rsidRPr="001F3AC2">
          <w:rPr>
            <w:rStyle w:val="Hyperlink"/>
            <w:rFonts w:ascii="Arial" w:hAnsi="Arial" w:cs="Arial"/>
            <w:sz w:val="24"/>
            <w:szCs w:val="24"/>
            <w:lang w:val="ro-RO"/>
          </w:rPr>
          <w:t>https://royalsocietypublishing.org/doi/pdf/10.1098/rsif.2020.0116</w:t>
        </w:r>
      </w:hyperlink>
      <w:r w:rsidRPr="001F3AC2">
        <w:rPr>
          <w:rFonts w:ascii="Arial" w:hAnsi="Arial" w:cs="Arial"/>
          <w:sz w:val="24"/>
          <w:szCs w:val="24"/>
          <w:lang w:val="ro-RO"/>
        </w:rPr>
        <w:t xml:space="preserve"> [Accessed 8 November 2024].</w:t>
      </w:r>
    </w:p>
    <w:p w14:paraId="34B1C62B" w14:textId="4B25F7D5"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Morgan, N.A., Whitler, K.A., Feng, H. &amp; Chari, S. (2018) ‘Research in marketing strategy’, </w:t>
      </w:r>
      <w:r w:rsidRPr="001F3AC2">
        <w:rPr>
          <w:rFonts w:ascii="Arial" w:hAnsi="Arial" w:cs="Arial"/>
          <w:i/>
          <w:iCs/>
          <w:sz w:val="24"/>
          <w:szCs w:val="24"/>
          <w:lang w:val="ro-RO"/>
        </w:rPr>
        <w:t>Journal of the Academy of Marketing Science</w:t>
      </w:r>
      <w:r w:rsidRPr="001F3AC2">
        <w:rPr>
          <w:rFonts w:ascii="Arial" w:hAnsi="Arial" w:cs="Arial"/>
          <w:sz w:val="24"/>
          <w:szCs w:val="24"/>
          <w:lang w:val="ro-RO"/>
        </w:rPr>
        <w:t>, 47, pp. 4-29. Available at: file:///C:/Users/sebia/Downloads/Morgan_et_al-2018-Journal_of_the_Academy_of_Marketing_Science.pdf [Accessed 4 November 2024].</w:t>
      </w:r>
    </w:p>
    <w:p w14:paraId="230C290E" w14:textId="57234C66"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Akinsowon, V. (2024) ‘10 Event Industry Trends You Must Know in 2024’, </w:t>
      </w:r>
      <w:r w:rsidRPr="001F3AC2">
        <w:rPr>
          <w:rFonts w:ascii="Arial" w:hAnsi="Arial" w:cs="Arial"/>
          <w:i/>
          <w:iCs/>
          <w:sz w:val="24"/>
          <w:szCs w:val="24"/>
          <w:lang w:val="ro-RO"/>
        </w:rPr>
        <w:t>Cvent</w:t>
      </w:r>
      <w:r w:rsidRPr="001F3AC2">
        <w:rPr>
          <w:rFonts w:ascii="Arial" w:hAnsi="Arial" w:cs="Arial"/>
          <w:sz w:val="24"/>
          <w:szCs w:val="24"/>
          <w:lang w:val="ro-RO"/>
        </w:rPr>
        <w:t xml:space="preserve">. Available at: </w:t>
      </w:r>
      <w:hyperlink r:id="rId21" w:tgtFrame="_new" w:history="1">
        <w:r w:rsidRPr="001F3AC2">
          <w:rPr>
            <w:rStyle w:val="Hyperlink"/>
            <w:rFonts w:ascii="Arial" w:hAnsi="Arial" w:cs="Arial"/>
            <w:sz w:val="24"/>
            <w:szCs w:val="24"/>
            <w:lang w:val="ro-RO"/>
          </w:rPr>
          <w:t>https://www.cvent.com/uk/blog/events/event-trends</w:t>
        </w:r>
      </w:hyperlink>
      <w:r w:rsidRPr="001F3AC2">
        <w:rPr>
          <w:rFonts w:ascii="Arial" w:hAnsi="Arial" w:cs="Arial"/>
          <w:sz w:val="24"/>
          <w:szCs w:val="24"/>
          <w:lang w:val="ro-RO"/>
        </w:rPr>
        <w:t xml:space="preserve"> [Accessed 6 November 2024].</w:t>
      </w:r>
    </w:p>
    <w:p w14:paraId="248FB1DD" w14:textId="18B1B15D"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Zamzuri, N.H., Awang, K.W., Aziz, Y.A. &amp; Samdin, Z. (2015) ‘Sustainable Business Events and Usage of Information Technology’, </w:t>
      </w:r>
      <w:r w:rsidRPr="001F3AC2">
        <w:rPr>
          <w:rFonts w:ascii="Arial" w:hAnsi="Arial" w:cs="Arial"/>
          <w:i/>
          <w:iCs/>
          <w:sz w:val="24"/>
          <w:szCs w:val="24"/>
          <w:lang w:val="ro-RO"/>
        </w:rPr>
        <w:t>Asian Business Research Journal</w:t>
      </w:r>
      <w:r w:rsidRPr="001F3AC2">
        <w:rPr>
          <w:rFonts w:ascii="Arial" w:hAnsi="Arial" w:cs="Arial"/>
          <w:sz w:val="24"/>
          <w:szCs w:val="24"/>
          <w:lang w:val="ro-RO"/>
        </w:rPr>
        <w:t xml:space="preserve">, 1(2), pp. 52-61. Available at: </w:t>
      </w:r>
      <w:hyperlink r:id="rId22" w:tgtFrame="_new" w:history="1">
        <w:r w:rsidRPr="001F3AC2">
          <w:rPr>
            <w:rStyle w:val="Hyperlink"/>
            <w:rFonts w:ascii="Arial" w:hAnsi="Arial" w:cs="Arial"/>
            <w:sz w:val="24"/>
            <w:szCs w:val="24"/>
            <w:lang w:val="ro-RO"/>
          </w:rPr>
          <w:t>https://myjms.mohe.gov.my/index.php/ABRIJ/article/view/10067/4753</w:t>
        </w:r>
      </w:hyperlink>
      <w:r w:rsidRPr="001F3AC2">
        <w:rPr>
          <w:rFonts w:ascii="Arial" w:hAnsi="Arial" w:cs="Arial"/>
          <w:sz w:val="24"/>
          <w:szCs w:val="24"/>
          <w:lang w:val="ro-RO"/>
        </w:rPr>
        <w:t xml:space="preserve"> [Accessed 6 November 2024].</w:t>
      </w:r>
    </w:p>
    <w:p w14:paraId="37A73278" w14:textId="774C331A"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UNESCO (n.d.) </w:t>
      </w:r>
      <w:r w:rsidRPr="001F3AC2">
        <w:rPr>
          <w:rFonts w:ascii="Arial" w:hAnsi="Arial" w:cs="Arial"/>
          <w:i/>
          <w:iCs/>
          <w:sz w:val="24"/>
          <w:szCs w:val="24"/>
          <w:lang w:val="ro-RO"/>
        </w:rPr>
        <w:t>Canterbury Cathedral, St Augustine's Abbey, and St Martin's Church</w:t>
      </w:r>
      <w:r w:rsidRPr="001F3AC2">
        <w:rPr>
          <w:rFonts w:ascii="Arial" w:hAnsi="Arial" w:cs="Arial"/>
          <w:sz w:val="24"/>
          <w:szCs w:val="24"/>
          <w:lang w:val="ro-RO"/>
        </w:rPr>
        <w:t xml:space="preserve">, </w:t>
      </w:r>
      <w:r w:rsidRPr="001F3AC2">
        <w:rPr>
          <w:rFonts w:ascii="Arial" w:hAnsi="Arial" w:cs="Arial"/>
          <w:i/>
          <w:iCs/>
          <w:sz w:val="24"/>
          <w:szCs w:val="24"/>
          <w:lang w:val="ro-RO"/>
        </w:rPr>
        <w:t>World Heritage Convention</w:t>
      </w:r>
      <w:r w:rsidRPr="001F3AC2">
        <w:rPr>
          <w:rFonts w:ascii="Arial" w:hAnsi="Arial" w:cs="Arial"/>
          <w:sz w:val="24"/>
          <w:szCs w:val="24"/>
          <w:lang w:val="ro-RO"/>
        </w:rPr>
        <w:t xml:space="preserve">. Available at: </w:t>
      </w:r>
      <w:hyperlink r:id="rId23" w:tgtFrame="_new" w:history="1">
        <w:r w:rsidRPr="001F3AC2">
          <w:rPr>
            <w:rStyle w:val="Hyperlink"/>
            <w:rFonts w:ascii="Arial" w:hAnsi="Arial" w:cs="Arial"/>
            <w:sz w:val="24"/>
            <w:szCs w:val="24"/>
            <w:lang w:val="ro-RO"/>
          </w:rPr>
          <w:t>https://whc.unesco.org/en/list/496</w:t>
        </w:r>
      </w:hyperlink>
      <w:r w:rsidRPr="001F3AC2">
        <w:rPr>
          <w:rFonts w:ascii="Arial" w:hAnsi="Arial" w:cs="Arial"/>
          <w:sz w:val="24"/>
          <w:szCs w:val="24"/>
          <w:lang w:val="ro-RO"/>
        </w:rPr>
        <w:t xml:space="preserve"> [Accessed 8 November 2024].</w:t>
      </w:r>
    </w:p>
    <w:p w14:paraId="2447EE80" w14:textId="4C533188"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Andersson, T. &amp; Getz, D. (2007) ‘Resource dependency, costs and revenues of a street festival’, </w:t>
      </w:r>
      <w:r w:rsidRPr="001F3AC2">
        <w:rPr>
          <w:rFonts w:ascii="Arial" w:hAnsi="Arial" w:cs="Arial"/>
          <w:i/>
          <w:iCs/>
          <w:sz w:val="24"/>
          <w:szCs w:val="24"/>
          <w:lang w:val="ro-RO"/>
        </w:rPr>
        <w:t>Tourism Economics</w:t>
      </w:r>
      <w:r w:rsidRPr="001F3AC2">
        <w:rPr>
          <w:rFonts w:ascii="Arial" w:hAnsi="Arial" w:cs="Arial"/>
          <w:sz w:val="24"/>
          <w:szCs w:val="24"/>
          <w:lang w:val="ro-RO"/>
        </w:rPr>
        <w:t xml:space="preserve">, 13(1), pp. 143–162. Available at: </w:t>
      </w:r>
      <w:hyperlink r:id="rId24" w:tgtFrame="_new" w:history="1">
        <w:r w:rsidRPr="001F3AC2">
          <w:rPr>
            <w:rStyle w:val="Hyperlink"/>
            <w:rFonts w:ascii="Arial" w:hAnsi="Arial" w:cs="Arial"/>
            <w:sz w:val="24"/>
            <w:szCs w:val="24"/>
            <w:lang w:val="ro-RO"/>
          </w:rPr>
          <w:t>https://espace.library.uq.edu.au/data/UQ_161658/EC12UQ161658.pdf</w:t>
        </w:r>
      </w:hyperlink>
      <w:r w:rsidRPr="001F3AC2">
        <w:rPr>
          <w:rFonts w:ascii="Arial" w:hAnsi="Arial" w:cs="Arial"/>
          <w:sz w:val="24"/>
          <w:szCs w:val="24"/>
          <w:lang w:val="ro-RO"/>
        </w:rPr>
        <w:t xml:space="preserve"> [Accessed 8 November 2024].</w:t>
      </w:r>
    </w:p>
    <w:p w14:paraId="76957438" w14:textId="568D6DC9"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Pielichaty, H., Els, G., Reed, I. &amp; Mawer, V. (2016) </w:t>
      </w:r>
      <w:r w:rsidRPr="001F3AC2">
        <w:rPr>
          <w:rFonts w:ascii="Arial" w:hAnsi="Arial" w:cs="Arial"/>
          <w:i/>
          <w:iCs/>
          <w:sz w:val="24"/>
          <w:szCs w:val="24"/>
          <w:lang w:val="ro-RO"/>
        </w:rPr>
        <w:t>Events Project Management</w:t>
      </w:r>
      <w:r w:rsidRPr="001F3AC2">
        <w:rPr>
          <w:rFonts w:ascii="Arial" w:hAnsi="Arial" w:cs="Arial"/>
          <w:sz w:val="24"/>
          <w:szCs w:val="24"/>
          <w:lang w:val="ro-RO"/>
        </w:rPr>
        <w:t>. Routledge.</w:t>
      </w:r>
    </w:p>
    <w:p w14:paraId="5E9892BC" w14:textId="5A4BF8AB"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Zelenka, J. (2009) ‘Information and Communication Technologies in Tourism – Influence, Dynamics, Trends’, </w:t>
      </w:r>
      <w:r w:rsidRPr="001F3AC2">
        <w:rPr>
          <w:rFonts w:ascii="Arial" w:hAnsi="Arial" w:cs="Arial"/>
          <w:i/>
          <w:iCs/>
          <w:sz w:val="24"/>
          <w:szCs w:val="24"/>
          <w:lang w:val="ro-RO"/>
        </w:rPr>
        <w:t>E+M Ekonomie a Management</w:t>
      </w:r>
      <w:r w:rsidRPr="001F3AC2">
        <w:rPr>
          <w:rFonts w:ascii="Arial" w:hAnsi="Arial" w:cs="Arial"/>
          <w:sz w:val="24"/>
          <w:szCs w:val="24"/>
          <w:lang w:val="ro-RO"/>
        </w:rPr>
        <w:t xml:space="preserve">, 1, pp. 123-137. </w:t>
      </w:r>
      <w:r w:rsidRPr="001F3AC2">
        <w:rPr>
          <w:rFonts w:ascii="Arial" w:hAnsi="Arial" w:cs="Arial"/>
          <w:sz w:val="24"/>
          <w:szCs w:val="24"/>
          <w:lang w:val="ro-RO"/>
        </w:rPr>
        <w:lastRenderedPageBreak/>
        <w:t xml:space="preserve">Available at: </w:t>
      </w:r>
      <w:hyperlink r:id="rId25" w:tgtFrame="_new" w:history="1">
        <w:r w:rsidRPr="001F3AC2">
          <w:rPr>
            <w:rStyle w:val="Hyperlink"/>
            <w:rFonts w:ascii="Arial" w:hAnsi="Arial" w:cs="Arial"/>
            <w:sz w:val="24"/>
            <w:szCs w:val="24"/>
            <w:lang w:val="ro-RO"/>
          </w:rPr>
          <w:t>https://www.researchgate.net/publication/275658026</w:t>
        </w:r>
      </w:hyperlink>
      <w:r w:rsidRPr="001F3AC2">
        <w:rPr>
          <w:rFonts w:ascii="Arial" w:hAnsi="Arial" w:cs="Arial"/>
          <w:sz w:val="24"/>
          <w:szCs w:val="24"/>
          <w:lang w:val="ro-RO"/>
        </w:rPr>
        <w:t xml:space="preserve"> [Accessed 4 November 2024].</w:t>
      </w:r>
    </w:p>
    <w:p w14:paraId="1E422305" w14:textId="63F78D06" w:rsidR="001F3AC2" w:rsidRPr="001F3AC2" w:rsidRDefault="001F3AC2" w:rsidP="001F3AC2">
      <w:pPr>
        <w:pStyle w:val="ListParagraph"/>
        <w:numPr>
          <w:ilvl w:val="0"/>
          <w:numId w:val="15"/>
        </w:numPr>
        <w:jc w:val="both"/>
        <w:rPr>
          <w:rFonts w:ascii="Arial" w:hAnsi="Arial" w:cs="Arial"/>
          <w:sz w:val="24"/>
          <w:szCs w:val="24"/>
          <w:lang w:val="ro-RO"/>
        </w:rPr>
      </w:pPr>
      <w:r w:rsidRPr="001F3AC2">
        <w:rPr>
          <w:rFonts w:ascii="Arial" w:hAnsi="Arial" w:cs="Arial"/>
          <w:sz w:val="24"/>
          <w:szCs w:val="24"/>
          <w:lang w:val="ro-RO"/>
        </w:rPr>
        <w:t xml:space="preserve">Silva, R. (2024) ‘The Ultimate Event Project Management Guide: Everything You Need to Know’, </w:t>
      </w:r>
      <w:r w:rsidRPr="001F3AC2">
        <w:rPr>
          <w:rFonts w:ascii="Arial" w:hAnsi="Arial" w:cs="Arial"/>
          <w:i/>
          <w:iCs/>
          <w:sz w:val="24"/>
          <w:szCs w:val="24"/>
          <w:lang w:val="ro-RO"/>
        </w:rPr>
        <w:t>Eventtia Blog</w:t>
      </w:r>
      <w:r w:rsidRPr="001F3AC2">
        <w:rPr>
          <w:rFonts w:ascii="Arial" w:hAnsi="Arial" w:cs="Arial"/>
          <w:sz w:val="24"/>
          <w:szCs w:val="24"/>
          <w:lang w:val="ro-RO"/>
        </w:rPr>
        <w:t xml:space="preserve">, 14 August. Available at: </w:t>
      </w:r>
      <w:hyperlink r:id="rId26" w:tgtFrame="_new" w:history="1">
        <w:r w:rsidRPr="001F3AC2">
          <w:rPr>
            <w:rStyle w:val="Hyperlink"/>
            <w:rFonts w:ascii="Arial" w:hAnsi="Arial" w:cs="Arial"/>
            <w:sz w:val="24"/>
            <w:szCs w:val="24"/>
            <w:lang w:val="ro-RO"/>
          </w:rPr>
          <w:t>https://www.eventtia.com/en/blog/the-ultimate-event-project-management-guide-everything-you-need-to-know</w:t>
        </w:r>
      </w:hyperlink>
      <w:r w:rsidRPr="001F3AC2">
        <w:rPr>
          <w:rFonts w:ascii="Arial" w:hAnsi="Arial" w:cs="Arial"/>
          <w:sz w:val="24"/>
          <w:szCs w:val="24"/>
          <w:lang w:val="ro-RO"/>
        </w:rPr>
        <w:t xml:space="preserve"> [Accessed 4 November 2024].</w:t>
      </w:r>
    </w:p>
    <w:p w14:paraId="11B32874" w14:textId="0F005B6C" w:rsidR="00445BDA" w:rsidRPr="001F3AC2" w:rsidRDefault="00445BDA" w:rsidP="001F3AC2">
      <w:pPr>
        <w:jc w:val="both"/>
        <w:rPr>
          <w:rFonts w:ascii="Arial" w:hAnsi="Arial" w:cs="Arial"/>
          <w:sz w:val="24"/>
          <w:szCs w:val="24"/>
        </w:rPr>
      </w:pPr>
    </w:p>
    <w:sectPr w:rsidR="00445BDA" w:rsidRPr="001F3AC2" w:rsidSect="001F3AC2">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187F57" w14:textId="77777777" w:rsidR="00454A63" w:rsidRDefault="00454A63" w:rsidP="001F3AC2">
      <w:pPr>
        <w:spacing w:after="0" w:line="240" w:lineRule="auto"/>
      </w:pPr>
      <w:r>
        <w:separator/>
      </w:r>
    </w:p>
  </w:endnote>
  <w:endnote w:type="continuationSeparator" w:id="0">
    <w:p w14:paraId="52110DC9" w14:textId="77777777" w:rsidR="00454A63" w:rsidRDefault="00454A63" w:rsidP="001F3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37C0CB" w14:textId="0DCF2A85" w:rsidR="001F3AC2" w:rsidRDefault="001F3AC2">
    <w:pPr>
      <w:pStyle w:val="Footer"/>
      <w:jc w:val="center"/>
    </w:pPr>
  </w:p>
  <w:p w14:paraId="3B60FD37" w14:textId="77777777" w:rsidR="001F3AC2" w:rsidRDefault="001F3A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602153040"/>
      <w:docPartObj>
        <w:docPartGallery w:val="Page Numbers (Bottom of Page)"/>
        <w:docPartUnique/>
      </w:docPartObj>
    </w:sdtPr>
    <w:sdtEndPr>
      <w:rPr>
        <w:noProof/>
      </w:rPr>
    </w:sdtEndPr>
    <w:sdtContent>
      <w:p w14:paraId="5A95EA60" w14:textId="2CCEBB3F" w:rsidR="001F3AC2" w:rsidRDefault="001F3AC2">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5F1FBA2A" w14:textId="77777777" w:rsidR="001F3AC2" w:rsidRDefault="001F3A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DA2971" w14:textId="77777777" w:rsidR="00454A63" w:rsidRDefault="00454A63" w:rsidP="001F3AC2">
      <w:pPr>
        <w:spacing w:after="0" w:line="240" w:lineRule="auto"/>
      </w:pPr>
      <w:r>
        <w:separator/>
      </w:r>
    </w:p>
  </w:footnote>
  <w:footnote w:type="continuationSeparator" w:id="0">
    <w:p w14:paraId="3FB9699E" w14:textId="77777777" w:rsidR="00454A63" w:rsidRDefault="00454A63" w:rsidP="001F3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253B2"/>
    <w:multiLevelType w:val="multilevel"/>
    <w:tmpl w:val="21201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65B26"/>
    <w:multiLevelType w:val="multilevel"/>
    <w:tmpl w:val="2E2EF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CC1ED9"/>
    <w:multiLevelType w:val="hybridMultilevel"/>
    <w:tmpl w:val="73EA484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129E59AB"/>
    <w:multiLevelType w:val="hybridMultilevel"/>
    <w:tmpl w:val="9CB075E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18872F8D"/>
    <w:multiLevelType w:val="hybridMultilevel"/>
    <w:tmpl w:val="0228094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26F12F78"/>
    <w:multiLevelType w:val="multilevel"/>
    <w:tmpl w:val="727ED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8D0289"/>
    <w:multiLevelType w:val="multilevel"/>
    <w:tmpl w:val="07B85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A95624"/>
    <w:multiLevelType w:val="multilevel"/>
    <w:tmpl w:val="DFDEF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DD55CC"/>
    <w:multiLevelType w:val="multilevel"/>
    <w:tmpl w:val="8F147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FC0489"/>
    <w:multiLevelType w:val="hybridMultilevel"/>
    <w:tmpl w:val="64D22824"/>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15:restartNumberingAfterBreak="0">
    <w:nsid w:val="5DE439DB"/>
    <w:multiLevelType w:val="hybridMultilevel"/>
    <w:tmpl w:val="9D2AE59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1" w15:restartNumberingAfterBreak="0">
    <w:nsid w:val="608B0BE7"/>
    <w:multiLevelType w:val="hybridMultilevel"/>
    <w:tmpl w:val="99FCEB5E"/>
    <w:lvl w:ilvl="0" w:tplc="1F64B418">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63F03C8C"/>
    <w:multiLevelType w:val="hybridMultilevel"/>
    <w:tmpl w:val="0CA8D3B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3" w15:restartNumberingAfterBreak="0">
    <w:nsid w:val="68857400"/>
    <w:multiLevelType w:val="multilevel"/>
    <w:tmpl w:val="E6CE2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653166A"/>
    <w:multiLevelType w:val="multilevel"/>
    <w:tmpl w:val="0A581C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0D09FE"/>
    <w:multiLevelType w:val="multilevel"/>
    <w:tmpl w:val="13309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0109500">
    <w:abstractNumId w:val="6"/>
  </w:num>
  <w:num w:numId="2" w16cid:durableId="2048143142">
    <w:abstractNumId w:val="2"/>
  </w:num>
  <w:num w:numId="3" w16cid:durableId="360010989">
    <w:abstractNumId w:val="15"/>
  </w:num>
  <w:num w:numId="4" w16cid:durableId="1294097174">
    <w:abstractNumId w:val="1"/>
  </w:num>
  <w:num w:numId="5" w16cid:durableId="218246342">
    <w:abstractNumId w:val="10"/>
  </w:num>
  <w:num w:numId="6" w16cid:durableId="1851219814">
    <w:abstractNumId w:val="12"/>
  </w:num>
  <w:num w:numId="7" w16cid:durableId="1090351365">
    <w:abstractNumId w:val="3"/>
  </w:num>
  <w:num w:numId="8" w16cid:durableId="1875576896">
    <w:abstractNumId w:val="9"/>
  </w:num>
  <w:num w:numId="9" w16cid:durableId="1678842799">
    <w:abstractNumId w:val="5"/>
  </w:num>
  <w:num w:numId="10" w16cid:durableId="328951755">
    <w:abstractNumId w:val="8"/>
  </w:num>
  <w:num w:numId="11" w16cid:durableId="2123181392">
    <w:abstractNumId w:val="7"/>
  </w:num>
  <w:num w:numId="12" w16cid:durableId="1291859993">
    <w:abstractNumId w:val="14"/>
  </w:num>
  <w:num w:numId="13" w16cid:durableId="1836072943">
    <w:abstractNumId w:val="13"/>
  </w:num>
  <w:num w:numId="14" w16cid:durableId="408699160">
    <w:abstractNumId w:val="0"/>
  </w:num>
  <w:num w:numId="15" w16cid:durableId="332420398">
    <w:abstractNumId w:val="4"/>
  </w:num>
  <w:num w:numId="16" w16cid:durableId="7648814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4D9"/>
    <w:rsid w:val="00024252"/>
    <w:rsid w:val="001D4132"/>
    <w:rsid w:val="001F3AC2"/>
    <w:rsid w:val="00274801"/>
    <w:rsid w:val="00283B42"/>
    <w:rsid w:val="002E446A"/>
    <w:rsid w:val="003E65C8"/>
    <w:rsid w:val="003E7933"/>
    <w:rsid w:val="00445BDA"/>
    <w:rsid w:val="00454A63"/>
    <w:rsid w:val="005619B2"/>
    <w:rsid w:val="005D1955"/>
    <w:rsid w:val="006B073B"/>
    <w:rsid w:val="008278B0"/>
    <w:rsid w:val="00843544"/>
    <w:rsid w:val="008C55BB"/>
    <w:rsid w:val="00921A7A"/>
    <w:rsid w:val="00926545"/>
    <w:rsid w:val="009272D4"/>
    <w:rsid w:val="009F4766"/>
    <w:rsid w:val="00A56AE2"/>
    <w:rsid w:val="00AD3332"/>
    <w:rsid w:val="00B1217B"/>
    <w:rsid w:val="00B13653"/>
    <w:rsid w:val="00C144D9"/>
    <w:rsid w:val="00D02819"/>
    <w:rsid w:val="00E90FFB"/>
    <w:rsid w:val="00F1213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7A46F3"/>
  <w15:chartTrackingRefBased/>
  <w15:docId w15:val="{BC593E16-DF2D-4DE9-AF14-E6FF08B9A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US"/>
    </w:rPr>
  </w:style>
  <w:style w:type="paragraph" w:styleId="Heading1">
    <w:name w:val="heading 1"/>
    <w:basedOn w:val="Normal"/>
    <w:next w:val="Normal"/>
    <w:link w:val="Heading1Char"/>
    <w:uiPriority w:val="9"/>
    <w:qFormat/>
    <w:rsid w:val="00C144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44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44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144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44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44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4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4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4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4D9"/>
    <w:rPr>
      <w:rFonts w:asciiTheme="majorHAnsi" w:eastAsiaTheme="majorEastAsia" w:hAnsiTheme="majorHAnsi" w:cstheme="majorBidi"/>
      <w:noProof/>
      <w:color w:val="0F4761" w:themeColor="accent1" w:themeShade="BF"/>
      <w:sz w:val="40"/>
      <w:szCs w:val="40"/>
      <w:lang w:val="en-US"/>
    </w:rPr>
  </w:style>
  <w:style w:type="character" w:customStyle="1" w:styleId="Heading2Char">
    <w:name w:val="Heading 2 Char"/>
    <w:basedOn w:val="DefaultParagraphFont"/>
    <w:link w:val="Heading2"/>
    <w:uiPriority w:val="9"/>
    <w:rsid w:val="00C144D9"/>
    <w:rPr>
      <w:rFonts w:asciiTheme="majorHAnsi" w:eastAsiaTheme="majorEastAsia" w:hAnsiTheme="majorHAnsi" w:cstheme="majorBidi"/>
      <w:noProof/>
      <w:color w:val="0F4761" w:themeColor="accent1" w:themeShade="BF"/>
      <w:sz w:val="32"/>
      <w:szCs w:val="32"/>
      <w:lang w:val="en-US"/>
    </w:rPr>
  </w:style>
  <w:style w:type="character" w:customStyle="1" w:styleId="Heading3Char">
    <w:name w:val="Heading 3 Char"/>
    <w:basedOn w:val="DefaultParagraphFont"/>
    <w:link w:val="Heading3"/>
    <w:uiPriority w:val="9"/>
    <w:rsid w:val="00C144D9"/>
    <w:rPr>
      <w:rFonts w:eastAsiaTheme="majorEastAsia" w:cstheme="majorBidi"/>
      <w:noProof/>
      <w:color w:val="0F4761" w:themeColor="accent1" w:themeShade="BF"/>
      <w:sz w:val="28"/>
      <w:szCs w:val="28"/>
      <w:lang w:val="en-US"/>
    </w:rPr>
  </w:style>
  <w:style w:type="character" w:customStyle="1" w:styleId="Heading4Char">
    <w:name w:val="Heading 4 Char"/>
    <w:basedOn w:val="DefaultParagraphFont"/>
    <w:link w:val="Heading4"/>
    <w:uiPriority w:val="9"/>
    <w:rsid w:val="00C144D9"/>
    <w:rPr>
      <w:rFonts w:eastAsiaTheme="majorEastAsia" w:cstheme="majorBidi"/>
      <w:i/>
      <w:iCs/>
      <w:noProof/>
      <w:color w:val="0F4761" w:themeColor="accent1" w:themeShade="BF"/>
      <w:lang w:val="en-US"/>
    </w:rPr>
  </w:style>
  <w:style w:type="character" w:customStyle="1" w:styleId="Heading5Char">
    <w:name w:val="Heading 5 Char"/>
    <w:basedOn w:val="DefaultParagraphFont"/>
    <w:link w:val="Heading5"/>
    <w:uiPriority w:val="9"/>
    <w:semiHidden/>
    <w:rsid w:val="00C144D9"/>
    <w:rPr>
      <w:rFonts w:eastAsiaTheme="majorEastAsia" w:cstheme="majorBidi"/>
      <w:noProof/>
      <w:color w:val="0F4761" w:themeColor="accent1" w:themeShade="BF"/>
      <w:lang w:val="en-US"/>
    </w:rPr>
  </w:style>
  <w:style w:type="character" w:customStyle="1" w:styleId="Heading6Char">
    <w:name w:val="Heading 6 Char"/>
    <w:basedOn w:val="DefaultParagraphFont"/>
    <w:link w:val="Heading6"/>
    <w:uiPriority w:val="9"/>
    <w:semiHidden/>
    <w:rsid w:val="00C144D9"/>
    <w:rPr>
      <w:rFonts w:eastAsiaTheme="majorEastAsia" w:cstheme="majorBidi"/>
      <w:i/>
      <w:iCs/>
      <w:noProof/>
      <w:color w:val="595959" w:themeColor="text1" w:themeTint="A6"/>
      <w:lang w:val="en-US"/>
    </w:rPr>
  </w:style>
  <w:style w:type="character" w:customStyle="1" w:styleId="Heading7Char">
    <w:name w:val="Heading 7 Char"/>
    <w:basedOn w:val="DefaultParagraphFont"/>
    <w:link w:val="Heading7"/>
    <w:uiPriority w:val="9"/>
    <w:semiHidden/>
    <w:rsid w:val="00C144D9"/>
    <w:rPr>
      <w:rFonts w:eastAsiaTheme="majorEastAsia" w:cstheme="majorBidi"/>
      <w:noProof/>
      <w:color w:val="595959" w:themeColor="text1" w:themeTint="A6"/>
      <w:lang w:val="en-US"/>
    </w:rPr>
  </w:style>
  <w:style w:type="character" w:customStyle="1" w:styleId="Heading8Char">
    <w:name w:val="Heading 8 Char"/>
    <w:basedOn w:val="DefaultParagraphFont"/>
    <w:link w:val="Heading8"/>
    <w:uiPriority w:val="9"/>
    <w:semiHidden/>
    <w:rsid w:val="00C144D9"/>
    <w:rPr>
      <w:rFonts w:eastAsiaTheme="majorEastAsia" w:cstheme="majorBidi"/>
      <w:i/>
      <w:iCs/>
      <w:noProof/>
      <w:color w:val="272727" w:themeColor="text1" w:themeTint="D8"/>
      <w:lang w:val="en-US"/>
    </w:rPr>
  </w:style>
  <w:style w:type="character" w:customStyle="1" w:styleId="Heading9Char">
    <w:name w:val="Heading 9 Char"/>
    <w:basedOn w:val="DefaultParagraphFont"/>
    <w:link w:val="Heading9"/>
    <w:uiPriority w:val="9"/>
    <w:semiHidden/>
    <w:rsid w:val="00C144D9"/>
    <w:rPr>
      <w:rFonts w:eastAsiaTheme="majorEastAsia" w:cstheme="majorBidi"/>
      <w:noProof/>
      <w:color w:val="272727" w:themeColor="text1" w:themeTint="D8"/>
      <w:lang w:val="en-US"/>
    </w:rPr>
  </w:style>
  <w:style w:type="paragraph" w:styleId="Title">
    <w:name w:val="Title"/>
    <w:basedOn w:val="Normal"/>
    <w:next w:val="Normal"/>
    <w:link w:val="TitleChar"/>
    <w:uiPriority w:val="10"/>
    <w:qFormat/>
    <w:rsid w:val="00C144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4D9"/>
    <w:rPr>
      <w:rFonts w:asciiTheme="majorHAnsi" w:eastAsiaTheme="majorEastAsia" w:hAnsiTheme="majorHAnsi" w:cstheme="majorBidi"/>
      <w:noProof/>
      <w:spacing w:val="-10"/>
      <w:kern w:val="28"/>
      <w:sz w:val="56"/>
      <w:szCs w:val="56"/>
      <w:lang w:val="en-US"/>
    </w:rPr>
  </w:style>
  <w:style w:type="paragraph" w:styleId="Subtitle">
    <w:name w:val="Subtitle"/>
    <w:basedOn w:val="Normal"/>
    <w:next w:val="Normal"/>
    <w:link w:val="SubtitleChar"/>
    <w:uiPriority w:val="11"/>
    <w:qFormat/>
    <w:rsid w:val="00C144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4D9"/>
    <w:rPr>
      <w:rFonts w:eastAsiaTheme="majorEastAsia" w:cstheme="majorBidi"/>
      <w:noProof/>
      <w:color w:val="595959" w:themeColor="text1" w:themeTint="A6"/>
      <w:spacing w:val="15"/>
      <w:sz w:val="28"/>
      <w:szCs w:val="28"/>
      <w:lang w:val="en-US"/>
    </w:rPr>
  </w:style>
  <w:style w:type="paragraph" w:styleId="Quote">
    <w:name w:val="Quote"/>
    <w:basedOn w:val="Normal"/>
    <w:next w:val="Normal"/>
    <w:link w:val="QuoteChar"/>
    <w:uiPriority w:val="29"/>
    <w:qFormat/>
    <w:rsid w:val="00C144D9"/>
    <w:pPr>
      <w:spacing w:before="160"/>
      <w:jc w:val="center"/>
    </w:pPr>
    <w:rPr>
      <w:i/>
      <w:iCs/>
      <w:color w:val="404040" w:themeColor="text1" w:themeTint="BF"/>
    </w:rPr>
  </w:style>
  <w:style w:type="character" w:customStyle="1" w:styleId="QuoteChar">
    <w:name w:val="Quote Char"/>
    <w:basedOn w:val="DefaultParagraphFont"/>
    <w:link w:val="Quote"/>
    <w:uiPriority w:val="29"/>
    <w:rsid w:val="00C144D9"/>
    <w:rPr>
      <w:i/>
      <w:iCs/>
      <w:noProof/>
      <w:color w:val="404040" w:themeColor="text1" w:themeTint="BF"/>
      <w:lang w:val="en-US"/>
    </w:rPr>
  </w:style>
  <w:style w:type="paragraph" w:styleId="ListParagraph">
    <w:name w:val="List Paragraph"/>
    <w:basedOn w:val="Normal"/>
    <w:uiPriority w:val="34"/>
    <w:qFormat/>
    <w:rsid w:val="00C144D9"/>
    <w:pPr>
      <w:ind w:left="720"/>
      <w:contextualSpacing/>
    </w:pPr>
  </w:style>
  <w:style w:type="character" w:styleId="IntenseEmphasis">
    <w:name w:val="Intense Emphasis"/>
    <w:basedOn w:val="DefaultParagraphFont"/>
    <w:uiPriority w:val="21"/>
    <w:qFormat/>
    <w:rsid w:val="00C144D9"/>
    <w:rPr>
      <w:i/>
      <w:iCs/>
      <w:color w:val="0F4761" w:themeColor="accent1" w:themeShade="BF"/>
    </w:rPr>
  </w:style>
  <w:style w:type="paragraph" w:styleId="IntenseQuote">
    <w:name w:val="Intense Quote"/>
    <w:basedOn w:val="Normal"/>
    <w:next w:val="Normal"/>
    <w:link w:val="IntenseQuoteChar"/>
    <w:uiPriority w:val="30"/>
    <w:qFormat/>
    <w:rsid w:val="00C144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44D9"/>
    <w:rPr>
      <w:i/>
      <w:iCs/>
      <w:noProof/>
      <w:color w:val="0F4761" w:themeColor="accent1" w:themeShade="BF"/>
      <w:lang w:val="en-US"/>
    </w:rPr>
  </w:style>
  <w:style w:type="character" w:styleId="IntenseReference">
    <w:name w:val="Intense Reference"/>
    <w:basedOn w:val="DefaultParagraphFont"/>
    <w:uiPriority w:val="32"/>
    <w:qFormat/>
    <w:rsid w:val="00C144D9"/>
    <w:rPr>
      <w:b/>
      <w:bCs/>
      <w:smallCaps/>
      <w:color w:val="0F4761" w:themeColor="accent1" w:themeShade="BF"/>
      <w:spacing w:val="5"/>
    </w:rPr>
  </w:style>
  <w:style w:type="character" w:styleId="Hyperlink">
    <w:name w:val="Hyperlink"/>
    <w:basedOn w:val="DefaultParagraphFont"/>
    <w:uiPriority w:val="99"/>
    <w:unhideWhenUsed/>
    <w:rsid w:val="00C144D9"/>
    <w:rPr>
      <w:color w:val="467886" w:themeColor="hyperlink"/>
      <w:u w:val="single"/>
    </w:rPr>
  </w:style>
  <w:style w:type="paragraph" w:styleId="NormalWeb">
    <w:name w:val="Normal (Web)"/>
    <w:basedOn w:val="Normal"/>
    <w:uiPriority w:val="99"/>
    <w:semiHidden/>
    <w:unhideWhenUsed/>
    <w:rsid w:val="005D1955"/>
    <w:pPr>
      <w:spacing w:before="100" w:beforeAutospacing="1" w:after="100" w:afterAutospacing="1" w:line="240" w:lineRule="auto"/>
    </w:pPr>
    <w:rPr>
      <w:rFonts w:ascii="Times New Roman" w:eastAsia="Times New Roman" w:hAnsi="Times New Roman" w:cs="Times New Roman"/>
      <w:noProof w:val="0"/>
      <w:kern w:val="0"/>
      <w:sz w:val="24"/>
      <w:szCs w:val="24"/>
      <w:lang w:val="ro-RO" w:eastAsia="ro-RO"/>
      <w14:ligatures w14:val="none"/>
    </w:rPr>
  </w:style>
  <w:style w:type="character" w:styleId="Strong">
    <w:name w:val="Strong"/>
    <w:basedOn w:val="DefaultParagraphFont"/>
    <w:uiPriority w:val="22"/>
    <w:qFormat/>
    <w:rsid w:val="005D1955"/>
    <w:rPr>
      <w:b/>
      <w:bCs/>
    </w:rPr>
  </w:style>
  <w:style w:type="character" w:styleId="Emphasis">
    <w:name w:val="Emphasis"/>
    <w:basedOn w:val="DefaultParagraphFont"/>
    <w:uiPriority w:val="20"/>
    <w:qFormat/>
    <w:rsid w:val="005D1955"/>
    <w:rPr>
      <w:i/>
      <w:iCs/>
    </w:rPr>
  </w:style>
  <w:style w:type="character" w:styleId="UnresolvedMention">
    <w:name w:val="Unresolved Mention"/>
    <w:basedOn w:val="DefaultParagraphFont"/>
    <w:uiPriority w:val="99"/>
    <w:semiHidden/>
    <w:unhideWhenUsed/>
    <w:rsid w:val="00274801"/>
    <w:rPr>
      <w:color w:val="605E5C"/>
      <w:shd w:val="clear" w:color="auto" w:fill="E1DFDD"/>
    </w:rPr>
  </w:style>
  <w:style w:type="paragraph" w:styleId="TOCHeading">
    <w:name w:val="TOC Heading"/>
    <w:basedOn w:val="Heading1"/>
    <w:next w:val="Normal"/>
    <w:uiPriority w:val="39"/>
    <w:unhideWhenUsed/>
    <w:qFormat/>
    <w:rsid w:val="001F3AC2"/>
    <w:pPr>
      <w:spacing w:before="240" w:after="0"/>
      <w:outlineLvl w:val="9"/>
    </w:pPr>
    <w:rPr>
      <w:noProof w:val="0"/>
      <w:kern w:val="0"/>
      <w:sz w:val="32"/>
      <w:szCs w:val="32"/>
      <w14:ligatures w14:val="none"/>
    </w:rPr>
  </w:style>
  <w:style w:type="paragraph" w:styleId="TOC1">
    <w:name w:val="toc 1"/>
    <w:basedOn w:val="Normal"/>
    <w:next w:val="Normal"/>
    <w:autoRedefine/>
    <w:uiPriority w:val="39"/>
    <w:unhideWhenUsed/>
    <w:rsid w:val="001F3AC2"/>
    <w:pPr>
      <w:spacing w:after="100"/>
    </w:pPr>
  </w:style>
  <w:style w:type="paragraph" w:styleId="TOC2">
    <w:name w:val="toc 2"/>
    <w:basedOn w:val="Normal"/>
    <w:next w:val="Normal"/>
    <w:autoRedefine/>
    <w:uiPriority w:val="39"/>
    <w:unhideWhenUsed/>
    <w:rsid w:val="001F3AC2"/>
    <w:pPr>
      <w:spacing w:after="100"/>
      <w:ind w:left="220"/>
    </w:pPr>
  </w:style>
  <w:style w:type="paragraph" w:styleId="Header">
    <w:name w:val="header"/>
    <w:basedOn w:val="Normal"/>
    <w:link w:val="HeaderChar"/>
    <w:uiPriority w:val="99"/>
    <w:unhideWhenUsed/>
    <w:rsid w:val="001F3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AC2"/>
    <w:rPr>
      <w:noProof/>
      <w:lang w:val="en-US"/>
    </w:rPr>
  </w:style>
  <w:style w:type="paragraph" w:styleId="Footer">
    <w:name w:val="footer"/>
    <w:basedOn w:val="Normal"/>
    <w:link w:val="FooterChar"/>
    <w:uiPriority w:val="99"/>
    <w:unhideWhenUsed/>
    <w:rsid w:val="001F3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AC2"/>
    <w:rPr>
      <w:noProo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71102">
      <w:bodyDiv w:val="1"/>
      <w:marLeft w:val="0"/>
      <w:marRight w:val="0"/>
      <w:marTop w:val="0"/>
      <w:marBottom w:val="0"/>
      <w:divBdr>
        <w:top w:val="none" w:sz="0" w:space="0" w:color="auto"/>
        <w:left w:val="none" w:sz="0" w:space="0" w:color="auto"/>
        <w:bottom w:val="none" w:sz="0" w:space="0" w:color="auto"/>
        <w:right w:val="none" w:sz="0" w:space="0" w:color="auto"/>
      </w:divBdr>
    </w:div>
    <w:div w:id="70471356">
      <w:bodyDiv w:val="1"/>
      <w:marLeft w:val="0"/>
      <w:marRight w:val="0"/>
      <w:marTop w:val="0"/>
      <w:marBottom w:val="0"/>
      <w:divBdr>
        <w:top w:val="none" w:sz="0" w:space="0" w:color="auto"/>
        <w:left w:val="none" w:sz="0" w:space="0" w:color="auto"/>
        <w:bottom w:val="none" w:sz="0" w:space="0" w:color="auto"/>
        <w:right w:val="none" w:sz="0" w:space="0" w:color="auto"/>
      </w:divBdr>
    </w:div>
    <w:div w:id="187985506">
      <w:bodyDiv w:val="1"/>
      <w:marLeft w:val="0"/>
      <w:marRight w:val="0"/>
      <w:marTop w:val="0"/>
      <w:marBottom w:val="0"/>
      <w:divBdr>
        <w:top w:val="none" w:sz="0" w:space="0" w:color="auto"/>
        <w:left w:val="none" w:sz="0" w:space="0" w:color="auto"/>
        <w:bottom w:val="none" w:sz="0" w:space="0" w:color="auto"/>
        <w:right w:val="none" w:sz="0" w:space="0" w:color="auto"/>
      </w:divBdr>
    </w:div>
    <w:div w:id="229850262">
      <w:bodyDiv w:val="1"/>
      <w:marLeft w:val="0"/>
      <w:marRight w:val="0"/>
      <w:marTop w:val="0"/>
      <w:marBottom w:val="0"/>
      <w:divBdr>
        <w:top w:val="none" w:sz="0" w:space="0" w:color="auto"/>
        <w:left w:val="none" w:sz="0" w:space="0" w:color="auto"/>
        <w:bottom w:val="none" w:sz="0" w:space="0" w:color="auto"/>
        <w:right w:val="none" w:sz="0" w:space="0" w:color="auto"/>
      </w:divBdr>
    </w:div>
    <w:div w:id="263540808">
      <w:bodyDiv w:val="1"/>
      <w:marLeft w:val="0"/>
      <w:marRight w:val="0"/>
      <w:marTop w:val="0"/>
      <w:marBottom w:val="0"/>
      <w:divBdr>
        <w:top w:val="none" w:sz="0" w:space="0" w:color="auto"/>
        <w:left w:val="none" w:sz="0" w:space="0" w:color="auto"/>
        <w:bottom w:val="none" w:sz="0" w:space="0" w:color="auto"/>
        <w:right w:val="none" w:sz="0" w:space="0" w:color="auto"/>
      </w:divBdr>
    </w:div>
    <w:div w:id="286787483">
      <w:bodyDiv w:val="1"/>
      <w:marLeft w:val="0"/>
      <w:marRight w:val="0"/>
      <w:marTop w:val="0"/>
      <w:marBottom w:val="0"/>
      <w:divBdr>
        <w:top w:val="none" w:sz="0" w:space="0" w:color="auto"/>
        <w:left w:val="none" w:sz="0" w:space="0" w:color="auto"/>
        <w:bottom w:val="none" w:sz="0" w:space="0" w:color="auto"/>
        <w:right w:val="none" w:sz="0" w:space="0" w:color="auto"/>
      </w:divBdr>
    </w:div>
    <w:div w:id="292836480">
      <w:bodyDiv w:val="1"/>
      <w:marLeft w:val="0"/>
      <w:marRight w:val="0"/>
      <w:marTop w:val="0"/>
      <w:marBottom w:val="0"/>
      <w:divBdr>
        <w:top w:val="none" w:sz="0" w:space="0" w:color="auto"/>
        <w:left w:val="none" w:sz="0" w:space="0" w:color="auto"/>
        <w:bottom w:val="none" w:sz="0" w:space="0" w:color="auto"/>
        <w:right w:val="none" w:sz="0" w:space="0" w:color="auto"/>
      </w:divBdr>
    </w:div>
    <w:div w:id="305666919">
      <w:bodyDiv w:val="1"/>
      <w:marLeft w:val="0"/>
      <w:marRight w:val="0"/>
      <w:marTop w:val="0"/>
      <w:marBottom w:val="0"/>
      <w:divBdr>
        <w:top w:val="none" w:sz="0" w:space="0" w:color="auto"/>
        <w:left w:val="none" w:sz="0" w:space="0" w:color="auto"/>
        <w:bottom w:val="none" w:sz="0" w:space="0" w:color="auto"/>
        <w:right w:val="none" w:sz="0" w:space="0" w:color="auto"/>
      </w:divBdr>
    </w:div>
    <w:div w:id="364793132">
      <w:bodyDiv w:val="1"/>
      <w:marLeft w:val="0"/>
      <w:marRight w:val="0"/>
      <w:marTop w:val="0"/>
      <w:marBottom w:val="0"/>
      <w:divBdr>
        <w:top w:val="none" w:sz="0" w:space="0" w:color="auto"/>
        <w:left w:val="none" w:sz="0" w:space="0" w:color="auto"/>
        <w:bottom w:val="none" w:sz="0" w:space="0" w:color="auto"/>
        <w:right w:val="none" w:sz="0" w:space="0" w:color="auto"/>
      </w:divBdr>
    </w:div>
    <w:div w:id="373045418">
      <w:bodyDiv w:val="1"/>
      <w:marLeft w:val="0"/>
      <w:marRight w:val="0"/>
      <w:marTop w:val="0"/>
      <w:marBottom w:val="0"/>
      <w:divBdr>
        <w:top w:val="none" w:sz="0" w:space="0" w:color="auto"/>
        <w:left w:val="none" w:sz="0" w:space="0" w:color="auto"/>
        <w:bottom w:val="none" w:sz="0" w:space="0" w:color="auto"/>
        <w:right w:val="none" w:sz="0" w:space="0" w:color="auto"/>
      </w:divBdr>
    </w:div>
    <w:div w:id="397627831">
      <w:bodyDiv w:val="1"/>
      <w:marLeft w:val="0"/>
      <w:marRight w:val="0"/>
      <w:marTop w:val="0"/>
      <w:marBottom w:val="0"/>
      <w:divBdr>
        <w:top w:val="none" w:sz="0" w:space="0" w:color="auto"/>
        <w:left w:val="none" w:sz="0" w:space="0" w:color="auto"/>
        <w:bottom w:val="none" w:sz="0" w:space="0" w:color="auto"/>
        <w:right w:val="none" w:sz="0" w:space="0" w:color="auto"/>
      </w:divBdr>
    </w:div>
    <w:div w:id="415136074">
      <w:bodyDiv w:val="1"/>
      <w:marLeft w:val="0"/>
      <w:marRight w:val="0"/>
      <w:marTop w:val="0"/>
      <w:marBottom w:val="0"/>
      <w:divBdr>
        <w:top w:val="none" w:sz="0" w:space="0" w:color="auto"/>
        <w:left w:val="none" w:sz="0" w:space="0" w:color="auto"/>
        <w:bottom w:val="none" w:sz="0" w:space="0" w:color="auto"/>
        <w:right w:val="none" w:sz="0" w:space="0" w:color="auto"/>
      </w:divBdr>
    </w:div>
    <w:div w:id="459810960">
      <w:bodyDiv w:val="1"/>
      <w:marLeft w:val="0"/>
      <w:marRight w:val="0"/>
      <w:marTop w:val="0"/>
      <w:marBottom w:val="0"/>
      <w:divBdr>
        <w:top w:val="none" w:sz="0" w:space="0" w:color="auto"/>
        <w:left w:val="none" w:sz="0" w:space="0" w:color="auto"/>
        <w:bottom w:val="none" w:sz="0" w:space="0" w:color="auto"/>
        <w:right w:val="none" w:sz="0" w:space="0" w:color="auto"/>
      </w:divBdr>
    </w:div>
    <w:div w:id="477916311">
      <w:bodyDiv w:val="1"/>
      <w:marLeft w:val="0"/>
      <w:marRight w:val="0"/>
      <w:marTop w:val="0"/>
      <w:marBottom w:val="0"/>
      <w:divBdr>
        <w:top w:val="none" w:sz="0" w:space="0" w:color="auto"/>
        <w:left w:val="none" w:sz="0" w:space="0" w:color="auto"/>
        <w:bottom w:val="none" w:sz="0" w:space="0" w:color="auto"/>
        <w:right w:val="none" w:sz="0" w:space="0" w:color="auto"/>
      </w:divBdr>
    </w:div>
    <w:div w:id="547184293">
      <w:bodyDiv w:val="1"/>
      <w:marLeft w:val="0"/>
      <w:marRight w:val="0"/>
      <w:marTop w:val="0"/>
      <w:marBottom w:val="0"/>
      <w:divBdr>
        <w:top w:val="none" w:sz="0" w:space="0" w:color="auto"/>
        <w:left w:val="none" w:sz="0" w:space="0" w:color="auto"/>
        <w:bottom w:val="none" w:sz="0" w:space="0" w:color="auto"/>
        <w:right w:val="none" w:sz="0" w:space="0" w:color="auto"/>
      </w:divBdr>
    </w:div>
    <w:div w:id="564873704">
      <w:bodyDiv w:val="1"/>
      <w:marLeft w:val="0"/>
      <w:marRight w:val="0"/>
      <w:marTop w:val="0"/>
      <w:marBottom w:val="0"/>
      <w:divBdr>
        <w:top w:val="none" w:sz="0" w:space="0" w:color="auto"/>
        <w:left w:val="none" w:sz="0" w:space="0" w:color="auto"/>
        <w:bottom w:val="none" w:sz="0" w:space="0" w:color="auto"/>
        <w:right w:val="none" w:sz="0" w:space="0" w:color="auto"/>
      </w:divBdr>
    </w:div>
    <w:div w:id="573249215">
      <w:bodyDiv w:val="1"/>
      <w:marLeft w:val="0"/>
      <w:marRight w:val="0"/>
      <w:marTop w:val="0"/>
      <w:marBottom w:val="0"/>
      <w:divBdr>
        <w:top w:val="none" w:sz="0" w:space="0" w:color="auto"/>
        <w:left w:val="none" w:sz="0" w:space="0" w:color="auto"/>
        <w:bottom w:val="none" w:sz="0" w:space="0" w:color="auto"/>
        <w:right w:val="none" w:sz="0" w:space="0" w:color="auto"/>
      </w:divBdr>
    </w:div>
    <w:div w:id="598606095">
      <w:bodyDiv w:val="1"/>
      <w:marLeft w:val="0"/>
      <w:marRight w:val="0"/>
      <w:marTop w:val="0"/>
      <w:marBottom w:val="0"/>
      <w:divBdr>
        <w:top w:val="none" w:sz="0" w:space="0" w:color="auto"/>
        <w:left w:val="none" w:sz="0" w:space="0" w:color="auto"/>
        <w:bottom w:val="none" w:sz="0" w:space="0" w:color="auto"/>
        <w:right w:val="none" w:sz="0" w:space="0" w:color="auto"/>
      </w:divBdr>
    </w:div>
    <w:div w:id="695235881">
      <w:bodyDiv w:val="1"/>
      <w:marLeft w:val="0"/>
      <w:marRight w:val="0"/>
      <w:marTop w:val="0"/>
      <w:marBottom w:val="0"/>
      <w:divBdr>
        <w:top w:val="none" w:sz="0" w:space="0" w:color="auto"/>
        <w:left w:val="none" w:sz="0" w:space="0" w:color="auto"/>
        <w:bottom w:val="none" w:sz="0" w:space="0" w:color="auto"/>
        <w:right w:val="none" w:sz="0" w:space="0" w:color="auto"/>
      </w:divBdr>
    </w:div>
    <w:div w:id="746459678">
      <w:bodyDiv w:val="1"/>
      <w:marLeft w:val="0"/>
      <w:marRight w:val="0"/>
      <w:marTop w:val="0"/>
      <w:marBottom w:val="0"/>
      <w:divBdr>
        <w:top w:val="none" w:sz="0" w:space="0" w:color="auto"/>
        <w:left w:val="none" w:sz="0" w:space="0" w:color="auto"/>
        <w:bottom w:val="none" w:sz="0" w:space="0" w:color="auto"/>
        <w:right w:val="none" w:sz="0" w:space="0" w:color="auto"/>
      </w:divBdr>
    </w:div>
    <w:div w:id="1008368572">
      <w:bodyDiv w:val="1"/>
      <w:marLeft w:val="0"/>
      <w:marRight w:val="0"/>
      <w:marTop w:val="0"/>
      <w:marBottom w:val="0"/>
      <w:divBdr>
        <w:top w:val="none" w:sz="0" w:space="0" w:color="auto"/>
        <w:left w:val="none" w:sz="0" w:space="0" w:color="auto"/>
        <w:bottom w:val="none" w:sz="0" w:space="0" w:color="auto"/>
        <w:right w:val="none" w:sz="0" w:space="0" w:color="auto"/>
      </w:divBdr>
    </w:div>
    <w:div w:id="1123424688">
      <w:bodyDiv w:val="1"/>
      <w:marLeft w:val="0"/>
      <w:marRight w:val="0"/>
      <w:marTop w:val="0"/>
      <w:marBottom w:val="0"/>
      <w:divBdr>
        <w:top w:val="none" w:sz="0" w:space="0" w:color="auto"/>
        <w:left w:val="none" w:sz="0" w:space="0" w:color="auto"/>
        <w:bottom w:val="none" w:sz="0" w:space="0" w:color="auto"/>
        <w:right w:val="none" w:sz="0" w:space="0" w:color="auto"/>
      </w:divBdr>
    </w:div>
    <w:div w:id="1189372720">
      <w:bodyDiv w:val="1"/>
      <w:marLeft w:val="0"/>
      <w:marRight w:val="0"/>
      <w:marTop w:val="0"/>
      <w:marBottom w:val="0"/>
      <w:divBdr>
        <w:top w:val="none" w:sz="0" w:space="0" w:color="auto"/>
        <w:left w:val="none" w:sz="0" w:space="0" w:color="auto"/>
        <w:bottom w:val="none" w:sz="0" w:space="0" w:color="auto"/>
        <w:right w:val="none" w:sz="0" w:space="0" w:color="auto"/>
      </w:divBdr>
    </w:div>
    <w:div w:id="1373845147">
      <w:bodyDiv w:val="1"/>
      <w:marLeft w:val="0"/>
      <w:marRight w:val="0"/>
      <w:marTop w:val="0"/>
      <w:marBottom w:val="0"/>
      <w:divBdr>
        <w:top w:val="none" w:sz="0" w:space="0" w:color="auto"/>
        <w:left w:val="none" w:sz="0" w:space="0" w:color="auto"/>
        <w:bottom w:val="none" w:sz="0" w:space="0" w:color="auto"/>
        <w:right w:val="none" w:sz="0" w:space="0" w:color="auto"/>
      </w:divBdr>
    </w:div>
    <w:div w:id="1548109068">
      <w:bodyDiv w:val="1"/>
      <w:marLeft w:val="0"/>
      <w:marRight w:val="0"/>
      <w:marTop w:val="0"/>
      <w:marBottom w:val="0"/>
      <w:divBdr>
        <w:top w:val="none" w:sz="0" w:space="0" w:color="auto"/>
        <w:left w:val="none" w:sz="0" w:space="0" w:color="auto"/>
        <w:bottom w:val="none" w:sz="0" w:space="0" w:color="auto"/>
        <w:right w:val="none" w:sz="0" w:space="0" w:color="auto"/>
      </w:divBdr>
    </w:div>
    <w:div w:id="1576082914">
      <w:bodyDiv w:val="1"/>
      <w:marLeft w:val="0"/>
      <w:marRight w:val="0"/>
      <w:marTop w:val="0"/>
      <w:marBottom w:val="0"/>
      <w:divBdr>
        <w:top w:val="none" w:sz="0" w:space="0" w:color="auto"/>
        <w:left w:val="none" w:sz="0" w:space="0" w:color="auto"/>
        <w:bottom w:val="none" w:sz="0" w:space="0" w:color="auto"/>
        <w:right w:val="none" w:sz="0" w:space="0" w:color="auto"/>
      </w:divBdr>
    </w:div>
    <w:div w:id="1619264577">
      <w:bodyDiv w:val="1"/>
      <w:marLeft w:val="0"/>
      <w:marRight w:val="0"/>
      <w:marTop w:val="0"/>
      <w:marBottom w:val="0"/>
      <w:divBdr>
        <w:top w:val="none" w:sz="0" w:space="0" w:color="auto"/>
        <w:left w:val="none" w:sz="0" w:space="0" w:color="auto"/>
        <w:bottom w:val="none" w:sz="0" w:space="0" w:color="auto"/>
        <w:right w:val="none" w:sz="0" w:space="0" w:color="auto"/>
      </w:divBdr>
    </w:div>
    <w:div w:id="1636568967">
      <w:bodyDiv w:val="1"/>
      <w:marLeft w:val="0"/>
      <w:marRight w:val="0"/>
      <w:marTop w:val="0"/>
      <w:marBottom w:val="0"/>
      <w:divBdr>
        <w:top w:val="none" w:sz="0" w:space="0" w:color="auto"/>
        <w:left w:val="none" w:sz="0" w:space="0" w:color="auto"/>
        <w:bottom w:val="none" w:sz="0" w:space="0" w:color="auto"/>
        <w:right w:val="none" w:sz="0" w:space="0" w:color="auto"/>
      </w:divBdr>
    </w:div>
    <w:div w:id="1646086846">
      <w:bodyDiv w:val="1"/>
      <w:marLeft w:val="0"/>
      <w:marRight w:val="0"/>
      <w:marTop w:val="0"/>
      <w:marBottom w:val="0"/>
      <w:divBdr>
        <w:top w:val="none" w:sz="0" w:space="0" w:color="auto"/>
        <w:left w:val="none" w:sz="0" w:space="0" w:color="auto"/>
        <w:bottom w:val="none" w:sz="0" w:space="0" w:color="auto"/>
        <w:right w:val="none" w:sz="0" w:space="0" w:color="auto"/>
      </w:divBdr>
    </w:div>
    <w:div w:id="1665469687">
      <w:bodyDiv w:val="1"/>
      <w:marLeft w:val="0"/>
      <w:marRight w:val="0"/>
      <w:marTop w:val="0"/>
      <w:marBottom w:val="0"/>
      <w:divBdr>
        <w:top w:val="none" w:sz="0" w:space="0" w:color="auto"/>
        <w:left w:val="none" w:sz="0" w:space="0" w:color="auto"/>
        <w:bottom w:val="none" w:sz="0" w:space="0" w:color="auto"/>
        <w:right w:val="none" w:sz="0" w:space="0" w:color="auto"/>
      </w:divBdr>
    </w:div>
    <w:div w:id="1688172430">
      <w:bodyDiv w:val="1"/>
      <w:marLeft w:val="0"/>
      <w:marRight w:val="0"/>
      <w:marTop w:val="0"/>
      <w:marBottom w:val="0"/>
      <w:divBdr>
        <w:top w:val="none" w:sz="0" w:space="0" w:color="auto"/>
        <w:left w:val="none" w:sz="0" w:space="0" w:color="auto"/>
        <w:bottom w:val="none" w:sz="0" w:space="0" w:color="auto"/>
        <w:right w:val="none" w:sz="0" w:space="0" w:color="auto"/>
      </w:divBdr>
    </w:div>
    <w:div w:id="1757825943">
      <w:bodyDiv w:val="1"/>
      <w:marLeft w:val="0"/>
      <w:marRight w:val="0"/>
      <w:marTop w:val="0"/>
      <w:marBottom w:val="0"/>
      <w:divBdr>
        <w:top w:val="none" w:sz="0" w:space="0" w:color="auto"/>
        <w:left w:val="none" w:sz="0" w:space="0" w:color="auto"/>
        <w:bottom w:val="none" w:sz="0" w:space="0" w:color="auto"/>
        <w:right w:val="none" w:sz="0" w:space="0" w:color="auto"/>
      </w:divBdr>
    </w:div>
    <w:div w:id="1812286925">
      <w:bodyDiv w:val="1"/>
      <w:marLeft w:val="0"/>
      <w:marRight w:val="0"/>
      <w:marTop w:val="0"/>
      <w:marBottom w:val="0"/>
      <w:divBdr>
        <w:top w:val="none" w:sz="0" w:space="0" w:color="auto"/>
        <w:left w:val="none" w:sz="0" w:space="0" w:color="auto"/>
        <w:bottom w:val="none" w:sz="0" w:space="0" w:color="auto"/>
        <w:right w:val="none" w:sz="0" w:space="0" w:color="auto"/>
      </w:divBdr>
    </w:div>
    <w:div w:id="1977489860">
      <w:bodyDiv w:val="1"/>
      <w:marLeft w:val="0"/>
      <w:marRight w:val="0"/>
      <w:marTop w:val="0"/>
      <w:marBottom w:val="0"/>
      <w:divBdr>
        <w:top w:val="none" w:sz="0" w:space="0" w:color="auto"/>
        <w:left w:val="none" w:sz="0" w:space="0" w:color="auto"/>
        <w:bottom w:val="none" w:sz="0" w:space="0" w:color="auto"/>
        <w:right w:val="none" w:sz="0" w:space="0" w:color="auto"/>
      </w:divBdr>
    </w:div>
    <w:div w:id="1978487951">
      <w:bodyDiv w:val="1"/>
      <w:marLeft w:val="0"/>
      <w:marRight w:val="0"/>
      <w:marTop w:val="0"/>
      <w:marBottom w:val="0"/>
      <w:divBdr>
        <w:top w:val="none" w:sz="0" w:space="0" w:color="auto"/>
        <w:left w:val="none" w:sz="0" w:space="0" w:color="auto"/>
        <w:bottom w:val="none" w:sz="0" w:space="0" w:color="auto"/>
        <w:right w:val="none" w:sz="0" w:space="0" w:color="auto"/>
      </w:divBdr>
    </w:div>
    <w:div w:id="204547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Allan-Jepson/publication/277277133_Exploring_Community_Festivals_and_Events/links/5ee21dd7a6fdcc73be7034e5/Exploring-Community-Festivals-and-Events.pdf" TargetMode="External"/><Relationship Id="rId18" Type="http://schemas.openxmlformats.org/officeDocument/2006/relationships/hyperlink" Target="https://eprints.bournemouth.ac.uk/23266/1/2013Tourism%20Economics_BridaDisegnaOsti.pdf" TargetMode="External"/><Relationship Id="rId26" Type="http://schemas.openxmlformats.org/officeDocument/2006/relationships/hyperlink" Target="https://www.eventtia.com/en/blog/the-ultimate-event-project-management-guide-everything-you-need-to-know" TargetMode="External"/><Relationship Id="rId3" Type="http://schemas.openxmlformats.org/officeDocument/2006/relationships/styles" Target="styles.xml"/><Relationship Id="rId21" Type="http://schemas.openxmlformats.org/officeDocument/2006/relationships/hyperlink" Target="https://www.cvent.com/uk/blog/events/event-trends" TargetMode="External"/><Relationship Id="rId7" Type="http://schemas.openxmlformats.org/officeDocument/2006/relationships/endnotes" Target="endnotes.xml"/><Relationship Id="rId12" Type="http://schemas.openxmlformats.org/officeDocument/2006/relationships/hyperlink" Target="https://www.canterburybid.co.uk/christmas/" TargetMode="External"/><Relationship Id="rId17" Type="http://schemas.openxmlformats.org/officeDocument/2006/relationships/hyperlink" Target="https://www.academia.edu/82348292/Factors_Influencing_Grant_and_Sponsorship_Revenue_for_Festivals" TargetMode="External"/><Relationship Id="rId25" Type="http://schemas.openxmlformats.org/officeDocument/2006/relationships/hyperlink" Target="https://www.researchgate.net/publication/275658026" TargetMode="External"/><Relationship Id="rId2" Type="http://schemas.openxmlformats.org/officeDocument/2006/relationships/numbering" Target="numbering.xml"/><Relationship Id="rId16" Type="http://schemas.openxmlformats.org/officeDocument/2006/relationships/hyperlink" Target="http://dx.doi.org/10.3727/152599513X13708863377755" TargetMode="External"/><Relationship Id="rId20" Type="http://schemas.openxmlformats.org/officeDocument/2006/relationships/hyperlink" Target="https://royalsocietypublishing.org/doi/pdf/10.1098/rsif.2020.011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0149718916302580?via%3Dihub" TargetMode="External"/><Relationship Id="rId24" Type="http://schemas.openxmlformats.org/officeDocument/2006/relationships/hyperlink" Target="https://espace.library.uq.edu.au/data/UQ_161658/EC12UQ161658.pdf" TargetMode="External"/><Relationship Id="rId5" Type="http://schemas.openxmlformats.org/officeDocument/2006/relationships/webSettings" Target="webSettings.xml"/><Relationship Id="rId15" Type="http://schemas.openxmlformats.org/officeDocument/2006/relationships/hyperlink" Target="https://doi.org/10.4324/9781003102878" TargetMode="External"/><Relationship Id="rId23" Type="http://schemas.openxmlformats.org/officeDocument/2006/relationships/hyperlink" Target="https://whc.unesco.org/en/list/496" TargetMode="External"/><Relationship Id="rId28" Type="http://schemas.openxmlformats.org/officeDocument/2006/relationships/fontTable" Target="fontTable.xml"/><Relationship Id="rId10" Type="http://schemas.openxmlformats.org/officeDocument/2006/relationships/hyperlink" Target="https://www.alva.org.uk/details.cfm?p=423" TargetMode="External"/><Relationship Id="rId19" Type="http://schemas.openxmlformats.org/officeDocument/2006/relationships/hyperlink" Target="https://westminsterresearch.westminster.ac.uk/download/e2a690d3423b3e32d9fb3199ad8cb2375da39abc30840966232afb5c0d52679a/131459/Paying%20for%20parks%20for%20LS%20v2.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lyyti.com/en/blog/introducing-the-event-cycle-the-core-of-event-success-management" TargetMode="External"/><Relationship Id="rId22" Type="http://schemas.openxmlformats.org/officeDocument/2006/relationships/hyperlink" Target="https://myjms.mohe.gov.my/index.php/ABRIJ/article/view/10067/4753"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8079D4-7C67-4CE9-9F9F-B9BF60DE3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3507</Words>
  <Characters>22938</Characters>
  <Application>Microsoft Office Word</Application>
  <DocSecurity>0</DocSecurity>
  <Lines>432</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Eusebiu Amarii</dc:creator>
  <cp:keywords/>
  <dc:description/>
  <cp:lastModifiedBy>Ionut Popa</cp:lastModifiedBy>
  <cp:revision>4</cp:revision>
  <dcterms:created xsi:type="dcterms:W3CDTF">2024-11-08T16:05:00Z</dcterms:created>
  <dcterms:modified xsi:type="dcterms:W3CDTF">2024-11-08T18:03:00Z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19ddceeeac98f4d005fa93dba646285b7cf42a000bea820d2f7224ef893d89b5</vt:lpwstr>
  </property>
</Properties>
</file>