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DC01B" w14:textId="77777777" w:rsidR="001E5B0C" w:rsidRPr="00D8382B" w:rsidRDefault="001E5B0C">
      <w:pPr>
        <w:jc w:val="center"/>
        <w:rPr>
          <w:rFonts w:ascii="Times New Roman" w:eastAsia="Times New Roman" w:hAnsi="Times New Roman" w:cs="Times New Roman"/>
          <w:b/>
          <w:sz w:val="38"/>
          <w:szCs w:val="38"/>
          <w:lang w:val="en-GB"/>
        </w:rPr>
      </w:pPr>
    </w:p>
    <w:p w14:paraId="39A7B4C1" w14:textId="77777777" w:rsidR="001E5B0C" w:rsidRPr="00D8382B" w:rsidRDefault="001E5B0C">
      <w:pPr>
        <w:jc w:val="center"/>
        <w:rPr>
          <w:rFonts w:ascii="Times New Roman" w:eastAsia="Times New Roman" w:hAnsi="Times New Roman" w:cs="Times New Roman"/>
          <w:b/>
          <w:sz w:val="38"/>
          <w:szCs w:val="38"/>
          <w:lang w:val="en-GB"/>
        </w:rPr>
      </w:pPr>
    </w:p>
    <w:p w14:paraId="0B85BA54" w14:textId="77777777" w:rsidR="001E5B0C" w:rsidRPr="00D8382B" w:rsidRDefault="001E5B0C">
      <w:pPr>
        <w:jc w:val="center"/>
        <w:rPr>
          <w:rFonts w:ascii="Times New Roman" w:eastAsia="Times New Roman" w:hAnsi="Times New Roman" w:cs="Times New Roman"/>
          <w:b/>
          <w:sz w:val="38"/>
          <w:szCs w:val="38"/>
          <w:lang w:val="en-GB"/>
        </w:rPr>
      </w:pPr>
    </w:p>
    <w:p w14:paraId="3F477F6E" w14:textId="77777777" w:rsidR="001E5B0C" w:rsidRPr="00D8382B" w:rsidRDefault="001E5B0C">
      <w:pPr>
        <w:jc w:val="center"/>
        <w:rPr>
          <w:rFonts w:ascii="Times New Roman" w:eastAsia="Times New Roman" w:hAnsi="Times New Roman" w:cs="Times New Roman"/>
          <w:b/>
          <w:sz w:val="38"/>
          <w:szCs w:val="38"/>
          <w:lang w:val="en-GB"/>
        </w:rPr>
      </w:pPr>
    </w:p>
    <w:p w14:paraId="13AE6F6C" w14:textId="77777777" w:rsidR="001E5B0C" w:rsidRPr="00D8382B" w:rsidRDefault="001E5B0C">
      <w:pPr>
        <w:jc w:val="center"/>
        <w:rPr>
          <w:rFonts w:ascii="Times New Roman" w:eastAsia="Times New Roman" w:hAnsi="Times New Roman" w:cs="Times New Roman"/>
          <w:b/>
          <w:sz w:val="38"/>
          <w:szCs w:val="38"/>
          <w:lang w:val="en-GB"/>
        </w:rPr>
      </w:pPr>
    </w:p>
    <w:p w14:paraId="00000001" w14:textId="651C8F32" w:rsidR="00881579" w:rsidRPr="00D8382B" w:rsidRDefault="00D8484A">
      <w:pPr>
        <w:jc w:val="center"/>
        <w:rPr>
          <w:rFonts w:ascii="Times New Roman" w:eastAsia="Times New Roman" w:hAnsi="Times New Roman" w:cs="Times New Roman"/>
          <w:b/>
          <w:sz w:val="72"/>
          <w:szCs w:val="72"/>
          <w:lang w:val="en-GB"/>
        </w:rPr>
      </w:pPr>
      <w:r w:rsidRPr="00D8382B">
        <w:rPr>
          <w:rFonts w:ascii="Times New Roman" w:eastAsia="Times New Roman" w:hAnsi="Times New Roman" w:cs="Times New Roman"/>
          <w:b/>
          <w:sz w:val="72"/>
          <w:szCs w:val="72"/>
          <w:lang w:val="en-GB"/>
        </w:rPr>
        <w:t>Business Management</w:t>
      </w:r>
    </w:p>
    <w:p w14:paraId="00000002" w14:textId="77777777" w:rsidR="00881579" w:rsidRPr="00D8382B" w:rsidRDefault="00D8484A">
      <w:pPr>
        <w:jc w:val="both"/>
        <w:rPr>
          <w:rFonts w:ascii="Times New Roman" w:eastAsia="Times New Roman" w:hAnsi="Times New Roman" w:cs="Times New Roman"/>
          <w:b/>
          <w:szCs w:val="24"/>
          <w:lang w:val="en-GB"/>
        </w:rPr>
      </w:pPr>
      <w:r w:rsidRPr="00D8382B">
        <w:rPr>
          <w:lang w:val="en-GB"/>
        </w:rPr>
        <w:br w:type="page"/>
      </w:r>
    </w:p>
    <w:p w14:paraId="4DD8F01E" w14:textId="02934AF8" w:rsidR="001E5B0C" w:rsidRPr="00D8382B" w:rsidRDefault="001E5B0C">
      <w:pPr>
        <w:jc w:val="both"/>
        <w:rPr>
          <w:rFonts w:ascii="Times New Roman" w:eastAsia="Times New Roman" w:hAnsi="Times New Roman" w:cs="Times New Roman"/>
          <w:b/>
          <w:bCs/>
          <w:szCs w:val="24"/>
          <w:u w:val="single"/>
          <w:lang w:val="en-GB"/>
        </w:rPr>
      </w:pPr>
      <w:r w:rsidRPr="00D8382B">
        <w:rPr>
          <w:rFonts w:ascii="Times New Roman" w:eastAsia="Times New Roman" w:hAnsi="Times New Roman" w:cs="Times New Roman"/>
          <w:b/>
          <w:bCs/>
          <w:szCs w:val="24"/>
          <w:u w:val="single"/>
          <w:lang w:val="en-GB"/>
        </w:rPr>
        <w:lastRenderedPageBreak/>
        <w:t>Critical understanding of the business environment</w:t>
      </w:r>
    </w:p>
    <w:p w14:paraId="00000004" w14:textId="275A4A16" w:rsidR="00881579" w:rsidRPr="00D8382B" w:rsidRDefault="00D8484A">
      <w:pPr>
        <w:jc w:val="both"/>
        <w:rPr>
          <w:rFonts w:ascii="Times New Roman" w:eastAsia="Times New Roman" w:hAnsi="Times New Roman" w:cs="Times New Roman"/>
          <w:szCs w:val="24"/>
          <w:lang w:val="en-GB"/>
        </w:rPr>
      </w:pPr>
      <w:r w:rsidRPr="00D8382B">
        <w:rPr>
          <w:rFonts w:ascii="Times New Roman" w:eastAsia="Times New Roman" w:hAnsi="Times New Roman" w:cs="Times New Roman"/>
          <w:szCs w:val="24"/>
          <w:lang w:val="en-GB"/>
        </w:rPr>
        <w:t>The COVID-19 pandemic forced many employees to abruptly shift to remote work in early 2020. This rapid transition was enabled by the advancements in technology over the past few decades, allowing workers to perform their duties from home through virtual meetings, cloud computing, video conferencing apps, and other digital tools. While challenging at first, these technologies proved to be very critical in sustaining employee productivity and also business operations during an unprecedented disruption. Though the future of work remains unclear, the pandemic demonstrated the technology's pivotal role in maintaining employee performance despite the lack of in-person interactions or access to traditional office spaces.</w:t>
      </w:r>
    </w:p>
    <w:p w14:paraId="00000006" w14:textId="655E549D" w:rsidR="00881579" w:rsidRPr="00D8382B" w:rsidRDefault="00D8484A">
      <w:pPr>
        <w:jc w:val="both"/>
        <w:rPr>
          <w:rFonts w:ascii="Times New Roman" w:eastAsia="Times New Roman" w:hAnsi="Times New Roman" w:cs="Times New Roman"/>
          <w:szCs w:val="24"/>
          <w:lang w:val="en-GB"/>
        </w:rPr>
      </w:pPr>
      <w:r w:rsidRPr="00D8382B">
        <w:rPr>
          <w:rFonts w:ascii="Times New Roman" w:eastAsia="Times New Roman" w:hAnsi="Times New Roman" w:cs="Times New Roman"/>
          <w:szCs w:val="24"/>
          <w:lang w:val="en-GB"/>
        </w:rPr>
        <w:t xml:space="preserve">The shift toward remote work has presented employers with new challenges in managing and evaluating employee performance. With remote work now commonplace, the </w:t>
      </w:r>
      <w:r w:rsidRPr="00D8382B">
        <w:rPr>
          <w:rFonts w:ascii="Times New Roman" w:eastAsia="Times New Roman" w:hAnsi="Times New Roman" w:cs="Times New Roman"/>
          <w:b/>
          <w:i/>
          <w:szCs w:val="24"/>
          <w:lang w:val="en-GB"/>
        </w:rPr>
        <w:t xml:space="preserve">role of technology </w:t>
      </w:r>
      <w:r w:rsidRPr="00D8382B">
        <w:rPr>
          <w:rFonts w:ascii="Times New Roman" w:eastAsia="Times New Roman" w:hAnsi="Times New Roman" w:cs="Times New Roman"/>
          <w:szCs w:val="24"/>
          <w:lang w:val="en-GB"/>
        </w:rPr>
        <w:t xml:space="preserve">plays an important role that employers must leverage technology to measure and evaluate </w:t>
      </w:r>
      <w:r w:rsidRPr="00D8382B">
        <w:rPr>
          <w:rFonts w:ascii="Times New Roman" w:eastAsia="Times New Roman" w:hAnsi="Times New Roman" w:cs="Times New Roman"/>
          <w:b/>
          <w:i/>
          <w:szCs w:val="24"/>
          <w:lang w:val="en-GB"/>
        </w:rPr>
        <w:t>employee performance.</w:t>
      </w:r>
      <w:r w:rsidRPr="00D8382B">
        <w:rPr>
          <w:rFonts w:ascii="Times New Roman" w:eastAsia="Times New Roman" w:hAnsi="Times New Roman" w:cs="Times New Roman"/>
          <w:szCs w:val="24"/>
          <w:lang w:val="en-GB"/>
        </w:rPr>
        <w:t xml:space="preserve"> Tools like project management software, time-tracking applications, and video conferencing provide a lot of valuable insight into productivity (Abelsen </w:t>
      </w:r>
      <w:r w:rsidRPr="00D8382B">
        <w:rPr>
          <w:rFonts w:ascii="Times New Roman" w:eastAsia="Times New Roman" w:hAnsi="Times New Roman" w:cs="Times New Roman"/>
          <w:i/>
          <w:szCs w:val="24"/>
          <w:lang w:val="en-GB"/>
        </w:rPr>
        <w:t xml:space="preserve">et al. </w:t>
      </w:r>
      <w:r w:rsidRPr="00D8382B">
        <w:rPr>
          <w:rFonts w:ascii="Times New Roman" w:eastAsia="Times New Roman" w:hAnsi="Times New Roman" w:cs="Times New Roman"/>
          <w:szCs w:val="24"/>
          <w:lang w:val="en-GB"/>
        </w:rPr>
        <w:t xml:space="preserve">2023). Artificial intelligence can also </w:t>
      </w:r>
      <w:r w:rsidR="00D8382B">
        <w:rPr>
          <w:rFonts w:ascii="Times New Roman" w:eastAsia="Times New Roman" w:hAnsi="Times New Roman" w:cs="Times New Roman"/>
          <w:szCs w:val="24"/>
          <w:lang w:val="en-GB"/>
        </w:rPr>
        <w:t>analys</w:t>
      </w:r>
      <w:r w:rsidRPr="00D8382B">
        <w:rPr>
          <w:rFonts w:ascii="Times New Roman" w:eastAsia="Times New Roman" w:hAnsi="Times New Roman" w:cs="Times New Roman"/>
          <w:szCs w:val="24"/>
          <w:lang w:val="en-GB"/>
        </w:rPr>
        <w:t>e patterns and data to identify high and low performers. Used ethically, these technologies enable the managers to support the remote teams and ensure work objectives are met. Without the ability to physically oversee the employees' daily work, the companies must leverage technology to measure productivity, ensure accountability, and provide effective feedback. Fortunately, various software platforms and digital tools have emerged to facilitate the performance management for distributed teams. Web-based project management systems like Asana, Trello, and Jira give managers insight into which tasks employees are working on and what progress is being made (</w:t>
      </w:r>
      <w:proofErr w:type="spellStart"/>
      <w:r w:rsidRPr="00D8382B">
        <w:rPr>
          <w:rFonts w:ascii="Times New Roman" w:eastAsia="Times New Roman" w:hAnsi="Times New Roman" w:cs="Times New Roman"/>
          <w:szCs w:val="24"/>
          <w:lang w:val="en-GB"/>
        </w:rPr>
        <w:t>Ausat</w:t>
      </w:r>
      <w:proofErr w:type="spellEnd"/>
      <w:r w:rsidRPr="00D8382B">
        <w:rPr>
          <w:rFonts w:ascii="Times New Roman" w:eastAsia="Times New Roman" w:hAnsi="Times New Roman" w:cs="Times New Roman"/>
          <w:szCs w:val="24"/>
          <w:lang w:val="en-GB"/>
        </w:rPr>
        <w:t xml:space="preserve">, 2023). By breaking down the larger goals into trackable increments assigned to specific team members, these tools increase the transparency </w:t>
      </w:r>
      <w:r w:rsidRPr="00D8382B">
        <w:rPr>
          <w:rFonts w:ascii="Times New Roman" w:eastAsia="Times New Roman" w:hAnsi="Times New Roman" w:cs="Times New Roman"/>
          <w:szCs w:val="24"/>
          <w:lang w:val="en-GB"/>
        </w:rPr>
        <w:lastRenderedPageBreak/>
        <w:t>around the individual workloads and also the contributions. Integrations with calendar platforms also allow employers to confirm that the remote staff are keeping consistent hours and attending virtual meetings. More advanced employee monitoring software goes a step further by tracking the activity levels during online work sessions, such as keyboard strokes, mouse movements, and also websites visited. While privacy concerns exist around such surveillance measures, these programs provide a lot of metrics to confirm that remote employees stay actively engaged. Data on participation in the group chat channels and internal communications can serve a similar purpose. Digital performance review platforms centralize the whole process of setting objectives, monitoring progress, providing feedback, and evaluating achievements (</w:t>
      </w:r>
      <w:proofErr w:type="spellStart"/>
      <w:r w:rsidRPr="00D8382B">
        <w:rPr>
          <w:rFonts w:ascii="Times New Roman" w:eastAsia="Times New Roman" w:hAnsi="Times New Roman" w:cs="Times New Roman"/>
          <w:szCs w:val="24"/>
          <w:lang w:val="en-GB"/>
        </w:rPr>
        <w:t>Sapta</w:t>
      </w:r>
      <w:proofErr w:type="spellEnd"/>
      <w:r w:rsidRPr="00D8382B">
        <w:rPr>
          <w:rFonts w:ascii="Times New Roman" w:eastAsia="Times New Roman" w:hAnsi="Times New Roman" w:cs="Times New Roman"/>
          <w:szCs w:val="24"/>
          <w:lang w:val="en-GB"/>
        </w:rPr>
        <w:t xml:space="preserve"> </w:t>
      </w:r>
      <w:r w:rsidRPr="00D8382B">
        <w:rPr>
          <w:rFonts w:ascii="Times New Roman" w:eastAsia="Times New Roman" w:hAnsi="Times New Roman" w:cs="Times New Roman"/>
          <w:i/>
          <w:szCs w:val="24"/>
          <w:lang w:val="en-GB"/>
        </w:rPr>
        <w:t xml:space="preserve">et al. </w:t>
      </w:r>
      <w:r w:rsidRPr="00D8382B">
        <w:rPr>
          <w:rFonts w:ascii="Times New Roman" w:eastAsia="Times New Roman" w:hAnsi="Times New Roman" w:cs="Times New Roman"/>
          <w:szCs w:val="24"/>
          <w:lang w:val="en-GB"/>
        </w:rPr>
        <w:t xml:space="preserve">2021). These human resources information systems guide both the managers and employees through the review cycle while storing the performance documentation in a secure online environment. Built-in analytics help the decision-makers to identify the professional development needs and reward the top talent. Of course, no digital solution can replace the qualitative insights gathered from regular one-on-one meetings with the remote staff. Video conferencing technology enables continual coaching conversations, impromptu check-ins, and relationship-building that are very vital for understanding morale, challenges, and work styles that underpin performance. Ultimately, the technology serves as a supplement, not a substitute, for the human judgment and observation involved in managing a much more dispersed workforce. By combining automated monitoring capabilities with personalized qualitative insights, today's mix of cloud-based tools empowers managers to take a data-driven approach to overseeing remote employee productivity (Vahdat, 2022). Technology provides the visibility and analytical components to evaluate the performance, while still keeping the individual at the </w:t>
      </w:r>
      <w:r w:rsidR="00D8382B">
        <w:rPr>
          <w:rFonts w:ascii="Times New Roman" w:eastAsia="Times New Roman" w:hAnsi="Times New Roman" w:cs="Times New Roman"/>
          <w:szCs w:val="24"/>
          <w:lang w:val="en-GB"/>
        </w:rPr>
        <w:t>centre</w:t>
      </w:r>
      <w:r w:rsidRPr="00D8382B">
        <w:rPr>
          <w:rFonts w:ascii="Times New Roman" w:eastAsia="Times New Roman" w:hAnsi="Times New Roman" w:cs="Times New Roman"/>
          <w:szCs w:val="24"/>
          <w:lang w:val="en-GB"/>
        </w:rPr>
        <w:t xml:space="preserve"> through virtual communication. This modern </w:t>
      </w:r>
      <w:r w:rsidRPr="00D8382B">
        <w:rPr>
          <w:rFonts w:ascii="Times New Roman" w:eastAsia="Times New Roman" w:hAnsi="Times New Roman" w:cs="Times New Roman"/>
          <w:szCs w:val="24"/>
          <w:lang w:val="en-GB"/>
        </w:rPr>
        <w:lastRenderedPageBreak/>
        <w:t>framework allows businesses to translate traditional management techniques into effective support for the growing remote employee population.</w:t>
      </w:r>
    </w:p>
    <w:p w14:paraId="00000007" w14:textId="69F8EB55" w:rsidR="00881579" w:rsidRPr="00D8382B" w:rsidRDefault="00D8484A">
      <w:pPr>
        <w:jc w:val="both"/>
        <w:rPr>
          <w:rFonts w:ascii="Times New Roman" w:eastAsia="Times New Roman" w:hAnsi="Times New Roman" w:cs="Times New Roman"/>
          <w:szCs w:val="24"/>
          <w:lang w:val="en-GB"/>
        </w:rPr>
      </w:pPr>
      <w:r w:rsidRPr="00D8382B">
        <w:rPr>
          <w:rFonts w:ascii="Times New Roman" w:eastAsia="Times New Roman" w:hAnsi="Times New Roman" w:cs="Times New Roman"/>
          <w:szCs w:val="24"/>
          <w:lang w:val="en-GB"/>
        </w:rPr>
        <w:t xml:space="preserve">With remote work becoming more and more prevalent, employers must implement effective </w:t>
      </w:r>
      <w:r w:rsidRPr="00D8382B">
        <w:rPr>
          <w:rFonts w:ascii="Times New Roman" w:eastAsia="Times New Roman" w:hAnsi="Times New Roman" w:cs="Times New Roman"/>
          <w:b/>
          <w:i/>
          <w:szCs w:val="24"/>
          <w:lang w:val="en-GB"/>
        </w:rPr>
        <w:t>techniques to measure employee performance</w:t>
      </w:r>
      <w:r w:rsidRPr="00D8382B">
        <w:rPr>
          <w:rFonts w:ascii="Times New Roman" w:eastAsia="Times New Roman" w:hAnsi="Times New Roman" w:cs="Times New Roman"/>
          <w:szCs w:val="24"/>
          <w:lang w:val="en-GB"/>
        </w:rPr>
        <w:t xml:space="preserve">. Employers can use techniques like setting clear goals and metrics for the remote employees to track productivity, monitoring the project management software to assess the progress, conducting regular video check-ins, and </w:t>
      </w:r>
      <w:r w:rsidR="00D8382B">
        <w:rPr>
          <w:rFonts w:ascii="Times New Roman" w:eastAsia="Times New Roman" w:hAnsi="Times New Roman" w:cs="Times New Roman"/>
          <w:szCs w:val="24"/>
          <w:lang w:val="en-GB"/>
        </w:rPr>
        <w:t>analys</w:t>
      </w:r>
      <w:r w:rsidRPr="00D8382B">
        <w:rPr>
          <w:rFonts w:ascii="Times New Roman" w:eastAsia="Times New Roman" w:hAnsi="Times New Roman" w:cs="Times New Roman"/>
          <w:szCs w:val="24"/>
          <w:lang w:val="en-GB"/>
        </w:rPr>
        <w:t xml:space="preserve">ing metrics like output, customer satisfaction, and the ability to meet deadlines (Diab-Bahman and Al-Enzi, 2020). Evaluating techniques based on alignment with the company values, impact on employee engagement, and also capability to provide actionable insights can help to determine the most appropriate performance measurement approaches for a remote workforce. Four potential methods include productivity tracking software, project management systems, regular one-on-one meetings, and also goal setting paired with self-evaluations. Productivity tracking software provides a lot of insights into how workers spend their time and their level of output. Project management systems allow the managers to monitor the progress and deadlines. Holding one-on-one video meetings builds many relationships while enabling the observation of productivity and also obstacles (Wang </w:t>
      </w:r>
      <w:r w:rsidRPr="00D8382B">
        <w:rPr>
          <w:rFonts w:ascii="Times New Roman" w:eastAsia="Times New Roman" w:hAnsi="Times New Roman" w:cs="Times New Roman"/>
          <w:i/>
          <w:szCs w:val="24"/>
          <w:lang w:val="en-GB"/>
        </w:rPr>
        <w:t xml:space="preserve">et al. </w:t>
      </w:r>
      <w:r w:rsidRPr="00D8382B">
        <w:rPr>
          <w:rFonts w:ascii="Times New Roman" w:eastAsia="Times New Roman" w:hAnsi="Times New Roman" w:cs="Times New Roman"/>
          <w:szCs w:val="24"/>
          <w:lang w:val="en-GB"/>
        </w:rPr>
        <w:t xml:space="preserve">2021). Finally, clearly defined goals and self-evaluations empower the employees to manage their performance, while giving the managers measurable benchmarks. Each technique has many advantages and also limitations, so </w:t>
      </w:r>
      <w:r w:rsidR="00D8382B">
        <w:rPr>
          <w:rFonts w:ascii="Times New Roman" w:eastAsia="Times New Roman" w:hAnsi="Times New Roman" w:cs="Times New Roman"/>
          <w:szCs w:val="24"/>
          <w:lang w:val="en-GB"/>
        </w:rPr>
        <w:t>organis</w:t>
      </w:r>
      <w:r w:rsidRPr="00D8382B">
        <w:rPr>
          <w:rFonts w:ascii="Times New Roman" w:eastAsia="Times New Roman" w:hAnsi="Times New Roman" w:cs="Times New Roman"/>
          <w:szCs w:val="24"/>
          <w:lang w:val="en-GB"/>
        </w:rPr>
        <w:t xml:space="preserve">ations should consider pilot testing multiple approaches. Most importantly, managers should clearly communicate their expectations, provide regular feedback, and also focus on the outcomes rather than the time spent online. With thoughtfully implemented techniques, the rise in remote work does not have to hamper the ability to evaluate and enhance employee performance. The shift to remote work during the COVID-19 pandemic was unprecedented, with nearly half of the working adults in the UK reporting working </w:t>
      </w:r>
      <w:r w:rsidRPr="00D8382B">
        <w:rPr>
          <w:rFonts w:ascii="Times New Roman" w:eastAsia="Times New Roman" w:hAnsi="Times New Roman" w:cs="Times New Roman"/>
          <w:szCs w:val="24"/>
          <w:lang w:val="en-GB"/>
        </w:rPr>
        <w:lastRenderedPageBreak/>
        <w:t xml:space="preserve">from home at some point in early 2020. Two years later, even as lockdowns and restrictions have eased, working from home remains very common, with around 40% of adults still working remotely in early 2023. This lasting change has presented employers with many new challenges in managing and measuring employee performance. With workers distributed instead of centrally located, traditional techniques like direct observation and also supervision are no longer feasible. Instead, companies must adopt many new technology-based approaches tailored to tracking the productivity and output in a remote environment (Galanti </w:t>
      </w:r>
      <w:r w:rsidRPr="00D8382B">
        <w:rPr>
          <w:rFonts w:ascii="Times New Roman" w:eastAsia="Times New Roman" w:hAnsi="Times New Roman" w:cs="Times New Roman"/>
          <w:i/>
          <w:szCs w:val="24"/>
          <w:lang w:val="en-GB"/>
        </w:rPr>
        <w:t xml:space="preserve">et al. </w:t>
      </w:r>
      <w:r w:rsidRPr="00D8382B">
        <w:rPr>
          <w:rFonts w:ascii="Times New Roman" w:eastAsia="Times New Roman" w:hAnsi="Times New Roman" w:cs="Times New Roman"/>
          <w:szCs w:val="24"/>
          <w:lang w:val="en-GB"/>
        </w:rPr>
        <w:t xml:space="preserve">2021). One technique for employers to measure remote worker performance is through project management software. Tools like Asana, Trello, and Basecamp allow managers to assign tasks to employees, set deadlines, and track the progress. By regularly reviewing the project boards, managers can monitor the employee workload, timeliness, and productivity on both individual and also team levels. However, this method is limited to the work that can be clearly defined as discrete deliverables and doesn't provide any insight into activities like communication, collaboration, or innovation. Another approach is using customer relationship management platforms to </w:t>
      </w:r>
      <w:r w:rsidR="00D8382B">
        <w:rPr>
          <w:rFonts w:ascii="Times New Roman" w:eastAsia="Times New Roman" w:hAnsi="Times New Roman" w:cs="Times New Roman"/>
          <w:szCs w:val="24"/>
          <w:lang w:val="en-GB"/>
        </w:rPr>
        <w:t>analys</w:t>
      </w:r>
      <w:r w:rsidRPr="00D8382B">
        <w:rPr>
          <w:rFonts w:ascii="Times New Roman" w:eastAsia="Times New Roman" w:hAnsi="Times New Roman" w:cs="Times New Roman"/>
          <w:szCs w:val="24"/>
          <w:lang w:val="en-GB"/>
        </w:rPr>
        <w:t xml:space="preserve">e the quantitative metrics around customer interactions like call volume, case resolution rates, or customer satisfaction scores. By drawing from the hard data embedded in CRM systems, managers gain objective visibility into remote employees' contributions when working directly with clients and stakeholders. </w:t>
      </w:r>
      <w:proofErr w:type="gramStart"/>
      <w:r w:rsidRPr="00D8382B">
        <w:rPr>
          <w:rFonts w:ascii="Times New Roman" w:eastAsia="Times New Roman" w:hAnsi="Times New Roman" w:cs="Times New Roman"/>
          <w:szCs w:val="24"/>
          <w:lang w:val="en-GB"/>
        </w:rPr>
        <w:t>However</w:t>
      </w:r>
      <w:proofErr w:type="gramEnd"/>
      <w:r w:rsidRPr="00D8382B">
        <w:rPr>
          <w:rFonts w:ascii="Times New Roman" w:eastAsia="Times New Roman" w:hAnsi="Times New Roman" w:cs="Times New Roman"/>
          <w:szCs w:val="24"/>
          <w:lang w:val="en-GB"/>
        </w:rPr>
        <w:t xml:space="preserve"> relying solely on quantitative metrics fails to capture important qualitative aspects of performance like written and also verbal communication skills, analytical thinking, and adaptability. Employers are also turning to time-tracking apps like </w:t>
      </w:r>
      <w:proofErr w:type="spellStart"/>
      <w:r w:rsidRPr="00D8382B">
        <w:rPr>
          <w:rFonts w:ascii="Times New Roman" w:eastAsia="Times New Roman" w:hAnsi="Times New Roman" w:cs="Times New Roman"/>
          <w:szCs w:val="24"/>
          <w:lang w:val="en-GB"/>
        </w:rPr>
        <w:t>TimeDoctor</w:t>
      </w:r>
      <w:proofErr w:type="spellEnd"/>
      <w:r w:rsidRPr="00D8382B">
        <w:rPr>
          <w:rFonts w:ascii="Times New Roman" w:eastAsia="Times New Roman" w:hAnsi="Times New Roman" w:cs="Times New Roman"/>
          <w:szCs w:val="24"/>
          <w:lang w:val="en-GB"/>
        </w:rPr>
        <w:t xml:space="preserve">, Harvest, and </w:t>
      </w:r>
      <w:proofErr w:type="spellStart"/>
      <w:r w:rsidRPr="00D8382B">
        <w:rPr>
          <w:rFonts w:ascii="Times New Roman" w:eastAsia="Times New Roman" w:hAnsi="Times New Roman" w:cs="Times New Roman"/>
          <w:szCs w:val="24"/>
          <w:lang w:val="en-GB"/>
        </w:rPr>
        <w:t>Hubstaff</w:t>
      </w:r>
      <w:proofErr w:type="spellEnd"/>
      <w:r w:rsidRPr="00D8382B">
        <w:rPr>
          <w:rFonts w:ascii="Times New Roman" w:eastAsia="Times New Roman" w:hAnsi="Times New Roman" w:cs="Times New Roman"/>
          <w:szCs w:val="24"/>
          <w:lang w:val="en-GB"/>
        </w:rPr>
        <w:t xml:space="preserve"> which run passively in the background on the employee devices to record activity in real-time (Oakman </w:t>
      </w:r>
      <w:r w:rsidRPr="00D8382B">
        <w:rPr>
          <w:rFonts w:ascii="Times New Roman" w:eastAsia="Times New Roman" w:hAnsi="Times New Roman" w:cs="Times New Roman"/>
          <w:i/>
          <w:szCs w:val="24"/>
          <w:lang w:val="en-GB"/>
        </w:rPr>
        <w:t xml:space="preserve">et al. </w:t>
      </w:r>
      <w:r w:rsidRPr="00D8382B">
        <w:rPr>
          <w:rFonts w:ascii="Times New Roman" w:eastAsia="Times New Roman" w:hAnsi="Times New Roman" w:cs="Times New Roman"/>
          <w:szCs w:val="24"/>
          <w:lang w:val="en-GB"/>
        </w:rPr>
        <w:t xml:space="preserve">2020). The detailed timestamps provide transparency around how the remote teams allocate their time, helping the managers identify productivity gaps or capacity issues. </w:t>
      </w:r>
      <w:r w:rsidRPr="00D8382B">
        <w:rPr>
          <w:rFonts w:ascii="Times New Roman" w:eastAsia="Times New Roman" w:hAnsi="Times New Roman" w:cs="Times New Roman"/>
          <w:szCs w:val="24"/>
          <w:lang w:val="en-GB"/>
        </w:rPr>
        <w:lastRenderedPageBreak/>
        <w:t>However, constant monitoring can seem very invasive and damage employee morale and also trust. As a supplement to the hard performance data, conducting regular pulse surveys and one-on-one check-ins enables the managers to take a more holistic view. By directly asking about the accomplishments, challenges, and career goals, they gain many valuable qualitative insights around remote workers’ productivity, engagement, and job satisfaction that traditional metrics often miss. Combining the technology-enabled data with human conversations creates a more complete picture for accurately evaluating individual and team performance from afar. As remote and hybrid arrangements become the norm, employers must rethink how they measure productivity without sacrificing the employee experience. Rather than taking a one-size-fits-all approach, the managers should consider blending a mix of quantitative performance data from the project management, CRM, and time-tracking tools with the qualitative feedback gathered through surveys and check-ins. This allows for flexibility in evaluating different roles while balancing productivity, transparency, and also employee wellbeing.</w:t>
      </w:r>
    </w:p>
    <w:p w14:paraId="00000008" w14:textId="33B2106A" w:rsidR="00881579" w:rsidRPr="00D8382B" w:rsidRDefault="00D8484A">
      <w:pPr>
        <w:jc w:val="both"/>
        <w:rPr>
          <w:rFonts w:ascii="Times New Roman" w:eastAsia="Times New Roman" w:hAnsi="Times New Roman" w:cs="Times New Roman"/>
          <w:szCs w:val="24"/>
          <w:lang w:val="en-GB"/>
        </w:rPr>
      </w:pPr>
      <w:r w:rsidRPr="00D8382B">
        <w:rPr>
          <w:rFonts w:ascii="Times New Roman" w:eastAsia="Times New Roman" w:hAnsi="Times New Roman" w:cs="Times New Roman"/>
          <w:szCs w:val="24"/>
          <w:lang w:val="en-GB"/>
        </w:rPr>
        <w:t xml:space="preserve">With the rise of remote work, employers must evaluate various </w:t>
      </w:r>
      <w:r w:rsidRPr="00D8382B">
        <w:rPr>
          <w:rFonts w:ascii="Times New Roman" w:eastAsia="Times New Roman" w:hAnsi="Times New Roman" w:cs="Times New Roman"/>
          <w:b/>
          <w:i/>
          <w:szCs w:val="24"/>
          <w:lang w:val="en-GB"/>
        </w:rPr>
        <w:t xml:space="preserve">performance appraisal tools </w:t>
      </w:r>
      <w:r w:rsidRPr="00D8382B">
        <w:rPr>
          <w:rFonts w:ascii="Times New Roman" w:eastAsia="Times New Roman" w:hAnsi="Times New Roman" w:cs="Times New Roman"/>
          <w:szCs w:val="24"/>
          <w:lang w:val="en-GB"/>
        </w:rPr>
        <w:t>tailored specifically for remote employees. Four options worth considering are monthly check-ins, project management software, weekly updates, and peer reviews. Monthly video check-ins allow the managers to connect one-on-one with each remote employee to discuss the recent work, challenges, and also goals (</w:t>
      </w:r>
      <w:r w:rsidR="00E91127">
        <w:rPr>
          <w:shd w:val="clear" w:color="auto" w:fill="FFFFFF"/>
        </w:rPr>
        <w:t>Dangol, 2021)</w:t>
      </w:r>
      <w:r w:rsidRPr="00D8382B">
        <w:rPr>
          <w:rFonts w:ascii="Times New Roman" w:eastAsia="Times New Roman" w:hAnsi="Times New Roman" w:cs="Times New Roman"/>
          <w:szCs w:val="24"/>
          <w:lang w:val="en-GB"/>
        </w:rPr>
        <w:t xml:space="preserve">. Scheduling regular monthly meetings fosters relationship building while enabling closer monitoring. Project management software like Asana tracks the task completion and productivity metrics, highlighting the progress on objectives which offers the quantitative data to complement the qualitative discussions. Requiring weekly written updates, whether through email or an internal messaging platform, is another way to monitor remote workers’ output and also obstacles. These regular reports give the managers increased </w:t>
      </w:r>
      <w:r w:rsidRPr="00D8382B">
        <w:rPr>
          <w:rFonts w:ascii="Times New Roman" w:eastAsia="Times New Roman" w:hAnsi="Times New Roman" w:cs="Times New Roman"/>
          <w:szCs w:val="24"/>
          <w:lang w:val="en-GB"/>
        </w:rPr>
        <w:lastRenderedPageBreak/>
        <w:t xml:space="preserve">insight into the day-to-day work rather than just the final product. Finally, incorporating peer reviews into the annual performance evaluations provides 360-degree feedback from the colleagues who directly interact with and observe each employee (Toscano and </w:t>
      </w:r>
      <w:proofErr w:type="spellStart"/>
      <w:r w:rsidRPr="00D8382B">
        <w:rPr>
          <w:rFonts w:ascii="Times New Roman" w:eastAsia="Times New Roman" w:hAnsi="Times New Roman" w:cs="Times New Roman"/>
          <w:szCs w:val="24"/>
          <w:lang w:val="en-GB"/>
        </w:rPr>
        <w:t>Zappalà</w:t>
      </w:r>
      <w:proofErr w:type="spellEnd"/>
      <w:r w:rsidRPr="00D8382B">
        <w:rPr>
          <w:rFonts w:ascii="Times New Roman" w:eastAsia="Times New Roman" w:hAnsi="Times New Roman" w:cs="Times New Roman"/>
          <w:szCs w:val="24"/>
          <w:lang w:val="en-GB"/>
        </w:rPr>
        <w:t xml:space="preserve">, 2020). Together, these four modern performance management tools for remote workers emphasize frequent communication, transparency through documentation, leveraging technology, and multidirectional input. Adopting just one or a combination can aid the managers in setting clear expectations, better understanding the challenges unique to remote work, closely tracking productivity, and also gathering diverse perspectives on individual and team performance. With thoughtful implementation, managers can effectively adapt the appraisals to the emerging remote and hybrid work arrangements. The shift to remote work during the COVID-19 pandemic was unprecedented, with nearly half of the working adults in the UK reporting having worked from home at some point in early 2020. Two years later, the numbers remain very high, with around 40% of the workers still operating remotely as of early 2023. This persisting remote work revolution brings new challenges for employers seeking to manage employee performance. With workers distributed outside of the traditional office setting, new technology-enabled solutions are very necessary. When evaluating the performance management tools for remote staff, the key criteria include integration with the existing systems, customizability, data security, and user experience. Four leading options that meet these standards to varying degrees are Culture Amp, Lattice, </w:t>
      </w:r>
      <w:proofErr w:type="spellStart"/>
      <w:r w:rsidRPr="00D8382B">
        <w:rPr>
          <w:rFonts w:ascii="Times New Roman" w:eastAsia="Times New Roman" w:hAnsi="Times New Roman" w:cs="Times New Roman"/>
          <w:szCs w:val="24"/>
          <w:lang w:val="en-GB"/>
        </w:rPr>
        <w:t>Betterworks</w:t>
      </w:r>
      <w:proofErr w:type="spellEnd"/>
      <w:r w:rsidRPr="00D8382B">
        <w:rPr>
          <w:rFonts w:ascii="Times New Roman" w:eastAsia="Times New Roman" w:hAnsi="Times New Roman" w:cs="Times New Roman"/>
          <w:szCs w:val="24"/>
          <w:lang w:val="en-GB"/>
        </w:rPr>
        <w:t xml:space="preserve">, and also Zenefits. Culture Amp offers robust performance management components built into its broader employee experience platform (Hamouche, 2023). Its standout features for managing remote workers include goal setting and tracking, real-time feedback collection from multiple reviewers, and also anonymous employee engagement pulse surveys. The intuitive, aesthetically pleasing interface promotes staff adoption. However, custom reporting is </w:t>
      </w:r>
      <w:r w:rsidRPr="00D8382B">
        <w:rPr>
          <w:rFonts w:ascii="Times New Roman" w:eastAsia="Times New Roman" w:hAnsi="Times New Roman" w:cs="Times New Roman"/>
          <w:szCs w:val="24"/>
          <w:lang w:val="en-GB"/>
        </w:rPr>
        <w:lastRenderedPageBreak/>
        <w:t xml:space="preserve">very limited without the costly developer resources, and Culture Amp lacks native integration abilities with some HCM systems. Lattice conversely specializes specifically in performance management, making it lean and focused if not as broad in scope. It facilitates agile goal setting, continuous performance feedback, peer recognition, and also reviews. Lattice also provides employee sentiment analysis and benchmarks the performance data versus industry standards. Yet, some users report insufficient customization within the predefined framework. </w:t>
      </w:r>
      <w:proofErr w:type="spellStart"/>
      <w:r w:rsidRPr="00D8382B">
        <w:rPr>
          <w:rFonts w:ascii="Times New Roman" w:eastAsia="Times New Roman" w:hAnsi="Times New Roman" w:cs="Times New Roman"/>
          <w:szCs w:val="24"/>
          <w:lang w:val="en-GB"/>
        </w:rPr>
        <w:t>Betterworks</w:t>
      </w:r>
      <w:proofErr w:type="spellEnd"/>
      <w:r w:rsidRPr="00D8382B">
        <w:rPr>
          <w:rFonts w:ascii="Times New Roman" w:eastAsia="Times New Roman" w:hAnsi="Times New Roman" w:cs="Times New Roman"/>
          <w:szCs w:val="24"/>
          <w:lang w:val="en-GB"/>
        </w:rPr>
        <w:t xml:space="preserve"> similarly </w:t>
      </w:r>
      <w:r w:rsidR="00D8382B">
        <w:rPr>
          <w:rFonts w:ascii="Times New Roman" w:eastAsia="Times New Roman" w:hAnsi="Times New Roman" w:cs="Times New Roman"/>
          <w:szCs w:val="24"/>
          <w:lang w:val="en-GB"/>
        </w:rPr>
        <w:t>centre</w:t>
      </w:r>
      <w:r w:rsidRPr="00D8382B">
        <w:rPr>
          <w:rFonts w:ascii="Times New Roman" w:eastAsia="Times New Roman" w:hAnsi="Times New Roman" w:cs="Times New Roman"/>
          <w:szCs w:val="24"/>
          <w:lang w:val="en-GB"/>
        </w:rPr>
        <w:t xml:space="preserve">s its solution exclusively on OKR-based performance management. Users praise its very flexible goal planning and also review workflow automation that reduces the administrative burden. </w:t>
      </w:r>
      <w:r w:rsidR="00292645">
        <w:rPr>
          <w:rFonts w:ascii="Times New Roman" w:eastAsia="Times New Roman" w:hAnsi="Times New Roman" w:cs="Times New Roman"/>
          <w:szCs w:val="24"/>
          <w:lang w:val="en-GB"/>
        </w:rPr>
        <w:t>However,</w:t>
      </w:r>
      <w:r w:rsidRPr="00D8382B">
        <w:rPr>
          <w:rFonts w:ascii="Times New Roman" w:eastAsia="Times New Roman" w:hAnsi="Times New Roman" w:cs="Times New Roman"/>
          <w:szCs w:val="24"/>
          <w:lang w:val="en-GB"/>
        </w:rPr>
        <w:t xml:space="preserve"> </w:t>
      </w:r>
      <w:proofErr w:type="spellStart"/>
      <w:r w:rsidRPr="00D8382B">
        <w:rPr>
          <w:rFonts w:ascii="Times New Roman" w:eastAsia="Times New Roman" w:hAnsi="Times New Roman" w:cs="Times New Roman"/>
          <w:szCs w:val="24"/>
          <w:lang w:val="en-GB"/>
        </w:rPr>
        <w:t>Betterworks</w:t>
      </w:r>
      <w:proofErr w:type="spellEnd"/>
      <w:r w:rsidRPr="00D8382B">
        <w:rPr>
          <w:rFonts w:ascii="Times New Roman" w:eastAsia="Times New Roman" w:hAnsi="Times New Roman" w:cs="Times New Roman"/>
          <w:szCs w:val="24"/>
          <w:lang w:val="en-GB"/>
        </w:rPr>
        <w:t xml:space="preserve"> demands a strong results orientation and may prove too overly rigid for some </w:t>
      </w:r>
      <w:r w:rsidR="00D8382B">
        <w:rPr>
          <w:rFonts w:ascii="Times New Roman" w:eastAsia="Times New Roman" w:hAnsi="Times New Roman" w:cs="Times New Roman"/>
          <w:szCs w:val="24"/>
          <w:lang w:val="en-GB"/>
        </w:rPr>
        <w:t>organis</w:t>
      </w:r>
      <w:r w:rsidRPr="00D8382B">
        <w:rPr>
          <w:rFonts w:ascii="Times New Roman" w:eastAsia="Times New Roman" w:hAnsi="Times New Roman" w:cs="Times New Roman"/>
          <w:szCs w:val="24"/>
          <w:lang w:val="en-GB"/>
        </w:rPr>
        <w:t xml:space="preserve">ational cultures (Van der Lippe and </w:t>
      </w:r>
      <w:proofErr w:type="spellStart"/>
      <w:r w:rsidRPr="00D8382B">
        <w:rPr>
          <w:rFonts w:ascii="Times New Roman" w:eastAsia="Times New Roman" w:hAnsi="Times New Roman" w:cs="Times New Roman"/>
          <w:szCs w:val="24"/>
          <w:lang w:val="en-GB"/>
        </w:rPr>
        <w:t>Lippényi</w:t>
      </w:r>
      <w:proofErr w:type="spellEnd"/>
      <w:r w:rsidRPr="00D8382B">
        <w:rPr>
          <w:rFonts w:ascii="Times New Roman" w:eastAsia="Times New Roman" w:hAnsi="Times New Roman" w:cs="Times New Roman"/>
          <w:szCs w:val="24"/>
          <w:lang w:val="en-GB"/>
        </w:rPr>
        <w:t xml:space="preserve">, 2020). Finally, Zenefits delivers basic performance tools alongside the full-suite HRM functionality. Its core strength is the seamless integration across the Zenefits modules, allowing the remote workers to access other HR information within a single login. However, custom reporting is very limited, and users cannot handle the complex performance management in Zenefits alone. In deciding between these and other alternatives, the leaders must weigh the priorities around the integration, analysis, flexibility, and user experience. Although none of the highlighted tools provide a perfect turnkey performance solution, each has many merits depending on an </w:t>
      </w:r>
      <w:r w:rsidR="00D8382B">
        <w:rPr>
          <w:rFonts w:ascii="Times New Roman" w:eastAsia="Times New Roman" w:hAnsi="Times New Roman" w:cs="Times New Roman"/>
          <w:szCs w:val="24"/>
          <w:lang w:val="en-GB"/>
        </w:rPr>
        <w:t>organis</w:t>
      </w:r>
      <w:r w:rsidRPr="00D8382B">
        <w:rPr>
          <w:rFonts w:ascii="Times New Roman" w:eastAsia="Times New Roman" w:hAnsi="Times New Roman" w:cs="Times New Roman"/>
          <w:szCs w:val="24"/>
          <w:lang w:val="en-GB"/>
        </w:rPr>
        <w:t>ation’s specific remote work environment and strategic goals. While functionalities continue improving across the vendors, remote work is undoubtedly the new normal, requiring employers to actively evaluate and adopt appropriate technologies to manage a distributed workforce. No universal best choice exists, but through methodical assessment, employers can implement performance solutions tailored to their remote staffing needs now and into the future.</w:t>
      </w:r>
    </w:p>
    <w:p w14:paraId="0000000A" w14:textId="77777777" w:rsidR="00881579" w:rsidRPr="00D8382B" w:rsidRDefault="00D8484A">
      <w:pPr>
        <w:jc w:val="both"/>
        <w:rPr>
          <w:rFonts w:ascii="Times New Roman" w:eastAsia="Times New Roman" w:hAnsi="Times New Roman" w:cs="Times New Roman"/>
          <w:szCs w:val="24"/>
          <w:lang w:val="en-GB"/>
        </w:rPr>
      </w:pPr>
      <w:r w:rsidRPr="00D8382B">
        <w:rPr>
          <w:rFonts w:ascii="Times New Roman" w:eastAsia="Times New Roman" w:hAnsi="Times New Roman" w:cs="Times New Roman"/>
          <w:szCs w:val="24"/>
          <w:lang w:val="en-GB"/>
        </w:rPr>
        <w:lastRenderedPageBreak/>
        <w:t>As remote work persists, employers must leverage the technology to effectively manage their distributed teams. Tools like project management software, time trackers, and also video conferencing provide visibility into productivity. However, no digital solution replaces the qualitative insights from regular check-ins. By combining automated monitoring with personalized communication, managers can evaluate the performance and support remote staff through a modern data-driven approach.</w:t>
      </w:r>
      <w:r w:rsidRPr="00D8382B">
        <w:rPr>
          <w:lang w:val="en-GB"/>
        </w:rPr>
        <w:br w:type="page"/>
      </w:r>
    </w:p>
    <w:p w14:paraId="0000000B" w14:textId="77777777" w:rsidR="00881579" w:rsidRPr="00D8382B" w:rsidRDefault="00D8484A">
      <w:pPr>
        <w:jc w:val="both"/>
        <w:rPr>
          <w:rFonts w:ascii="Times New Roman" w:eastAsia="Times New Roman" w:hAnsi="Times New Roman" w:cs="Times New Roman"/>
          <w:b/>
          <w:szCs w:val="24"/>
          <w:lang w:val="en-GB"/>
        </w:rPr>
      </w:pPr>
      <w:r w:rsidRPr="00D8382B">
        <w:rPr>
          <w:rFonts w:ascii="Times New Roman" w:eastAsia="Times New Roman" w:hAnsi="Times New Roman" w:cs="Times New Roman"/>
          <w:b/>
          <w:szCs w:val="24"/>
          <w:lang w:val="en-GB"/>
        </w:rPr>
        <w:lastRenderedPageBreak/>
        <w:t>References</w:t>
      </w:r>
    </w:p>
    <w:p w14:paraId="04D6CBA0"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r w:rsidRPr="00D8382B">
        <w:rPr>
          <w:rFonts w:ascii="Times New Roman" w:eastAsia="Times New Roman" w:hAnsi="Times New Roman" w:cs="Times New Roman"/>
          <w:color w:val="222222"/>
          <w:szCs w:val="24"/>
          <w:highlight w:val="white"/>
          <w:lang w:val="en-GB"/>
        </w:rPr>
        <w:t xml:space="preserve">Abelsen, S.N., Vatne, S.H., </w:t>
      </w:r>
      <w:proofErr w:type="spellStart"/>
      <w:r w:rsidRPr="00D8382B">
        <w:rPr>
          <w:rFonts w:ascii="Times New Roman" w:eastAsia="Times New Roman" w:hAnsi="Times New Roman" w:cs="Times New Roman"/>
          <w:color w:val="222222"/>
          <w:szCs w:val="24"/>
          <w:highlight w:val="white"/>
          <w:lang w:val="en-GB"/>
        </w:rPr>
        <w:t>Mikalef</w:t>
      </w:r>
      <w:proofErr w:type="spellEnd"/>
      <w:r w:rsidRPr="00D8382B">
        <w:rPr>
          <w:rFonts w:ascii="Times New Roman" w:eastAsia="Times New Roman" w:hAnsi="Times New Roman" w:cs="Times New Roman"/>
          <w:color w:val="222222"/>
          <w:szCs w:val="24"/>
          <w:highlight w:val="white"/>
          <w:lang w:val="en-GB"/>
        </w:rPr>
        <w:t xml:space="preserve">, P. and </w:t>
      </w:r>
      <w:proofErr w:type="spellStart"/>
      <w:r w:rsidRPr="00D8382B">
        <w:rPr>
          <w:rFonts w:ascii="Times New Roman" w:eastAsia="Times New Roman" w:hAnsi="Times New Roman" w:cs="Times New Roman"/>
          <w:color w:val="222222"/>
          <w:szCs w:val="24"/>
          <w:highlight w:val="white"/>
          <w:lang w:val="en-GB"/>
        </w:rPr>
        <w:t>Choudrie</w:t>
      </w:r>
      <w:proofErr w:type="spellEnd"/>
      <w:r w:rsidRPr="00D8382B">
        <w:rPr>
          <w:rFonts w:ascii="Times New Roman" w:eastAsia="Times New Roman" w:hAnsi="Times New Roman" w:cs="Times New Roman"/>
          <w:color w:val="222222"/>
          <w:szCs w:val="24"/>
          <w:highlight w:val="white"/>
          <w:lang w:val="en-GB"/>
        </w:rPr>
        <w:t xml:space="preserve">, J., (2023). Digital working during the COVID-19 pandemic: how task–technology fit improves work performance and lessens feelings of loneliness. </w:t>
      </w:r>
      <w:r w:rsidRPr="00D8382B">
        <w:rPr>
          <w:rFonts w:ascii="Times New Roman" w:eastAsia="Times New Roman" w:hAnsi="Times New Roman" w:cs="Times New Roman"/>
          <w:i/>
          <w:color w:val="222222"/>
          <w:szCs w:val="24"/>
          <w:highlight w:val="white"/>
          <w:lang w:val="en-GB"/>
        </w:rPr>
        <w:t>Information Technology &amp; People</w:t>
      </w:r>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36</w:t>
      </w:r>
      <w:r w:rsidRPr="00D8382B">
        <w:rPr>
          <w:rFonts w:ascii="Times New Roman" w:eastAsia="Times New Roman" w:hAnsi="Times New Roman" w:cs="Times New Roman"/>
          <w:color w:val="222222"/>
          <w:szCs w:val="24"/>
          <w:highlight w:val="white"/>
          <w:lang w:val="en-GB"/>
        </w:rPr>
        <w:t>(5), pp.2063-2087.</w:t>
      </w:r>
    </w:p>
    <w:p w14:paraId="3F4E634F"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proofErr w:type="spellStart"/>
      <w:r w:rsidRPr="00D8382B">
        <w:rPr>
          <w:rFonts w:ascii="Times New Roman" w:eastAsia="Times New Roman" w:hAnsi="Times New Roman" w:cs="Times New Roman"/>
          <w:color w:val="222222"/>
          <w:szCs w:val="24"/>
          <w:highlight w:val="white"/>
          <w:lang w:val="en-GB"/>
        </w:rPr>
        <w:t>Ausat</w:t>
      </w:r>
      <w:proofErr w:type="spellEnd"/>
      <w:r w:rsidRPr="00D8382B">
        <w:rPr>
          <w:rFonts w:ascii="Times New Roman" w:eastAsia="Times New Roman" w:hAnsi="Times New Roman" w:cs="Times New Roman"/>
          <w:color w:val="222222"/>
          <w:szCs w:val="24"/>
          <w:highlight w:val="white"/>
          <w:lang w:val="en-GB"/>
        </w:rPr>
        <w:t xml:space="preserve">, A.M.A., (2023). The Application of Technology in the Age of Covid-19 and Its Effects on Performance. </w:t>
      </w:r>
      <w:r w:rsidRPr="00D8382B">
        <w:rPr>
          <w:rFonts w:ascii="Times New Roman" w:eastAsia="Times New Roman" w:hAnsi="Times New Roman" w:cs="Times New Roman"/>
          <w:i/>
          <w:color w:val="222222"/>
          <w:szCs w:val="24"/>
          <w:highlight w:val="white"/>
          <w:lang w:val="en-GB"/>
        </w:rPr>
        <w:t>Apollo: Journal of Tourism and Business</w:t>
      </w:r>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1</w:t>
      </w:r>
      <w:r w:rsidRPr="00D8382B">
        <w:rPr>
          <w:rFonts w:ascii="Times New Roman" w:eastAsia="Times New Roman" w:hAnsi="Times New Roman" w:cs="Times New Roman"/>
          <w:color w:val="222222"/>
          <w:szCs w:val="24"/>
          <w:highlight w:val="white"/>
          <w:lang w:val="en-GB"/>
        </w:rPr>
        <w:t>(1), pp.14-22.</w:t>
      </w:r>
    </w:p>
    <w:p w14:paraId="3D44B1A7" w14:textId="77777777" w:rsidR="00E91127" w:rsidRPr="00D8382B" w:rsidRDefault="00E91127" w:rsidP="00E91127">
      <w:pPr>
        <w:jc w:val="both"/>
        <w:rPr>
          <w:rFonts w:ascii="Times New Roman" w:eastAsia="Times New Roman" w:hAnsi="Times New Roman" w:cs="Times New Roman"/>
          <w:szCs w:val="24"/>
          <w:highlight w:val="white"/>
          <w:lang w:val="en-GB"/>
        </w:rPr>
      </w:pPr>
      <w:r>
        <w:rPr>
          <w:shd w:val="clear" w:color="auto" w:fill="FFFFFF"/>
        </w:rPr>
        <w:t xml:space="preserve">Dangol, P., </w:t>
      </w:r>
      <w:r>
        <w:rPr>
          <w:shd w:val="clear" w:color="auto" w:fill="FFFFFF"/>
        </w:rPr>
        <w:t>(</w:t>
      </w:r>
      <w:r>
        <w:rPr>
          <w:shd w:val="clear" w:color="auto" w:fill="FFFFFF"/>
        </w:rPr>
        <w:t>2021</w:t>
      </w:r>
      <w:r>
        <w:rPr>
          <w:shd w:val="clear" w:color="auto" w:fill="FFFFFF"/>
        </w:rPr>
        <w:t>)</w:t>
      </w:r>
      <w:r>
        <w:rPr>
          <w:shd w:val="clear" w:color="auto" w:fill="FFFFFF"/>
        </w:rPr>
        <w:t xml:space="preserve">. Role of performance appraisal system and its impact on </w:t>
      </w:r>
      <w:proofErr w:type="gramStart"/>
      <w:r>
        <w:rPr>
          <w:shd w:val="clear" w:color="auto" w:fill="FFFFFF"/>
        </w:rPr>
        <w:t>employees</w:t>
      </w:r>
      <w:proofErr w:type="gramEnd"/>
      <w:r>
        <w:rPr>
          <w:shd w:val="clear" w:color="auto" w:fill="FFFFFF"/>
        </w:rPr>
        <w:t xml:space="preserve"> motivation</w:t>
      </w:r>
      <w:r w:rsidRPr="00E91127">
        <w:t>.</w:t>
      </w:r>
      <w:r>
        <w:rPr>
          <w:shd w:val="clear" w:color="auto" w:fill="FFFFFF"/>
        </w:rPr>
        <w:t> </w:t>
      </w:r>
      <w:r>
        <w:rPr>
          <w:i/>
          <w:iCs/>
          <w:shd w:val="clear" w:color="auto" w:fill="FFFFFF"/>
        </w:rPr>
        <w:t>Quantitative Economics and Management Studies</w:t>
      </w:r>
      <w:r>
        <w:rPr>
          <w:shd w:val="clear" w:color="auto" w:fill="FFFFFF"/>
        </w:rPr>
        <w:t>, </w:t>
      </w:r>
      <w:r>
        <w:rPr>
          <w:i/>
          <w:iCs/>
          <w:shd w:val="clear" w:color="auto" w:fill="FFFFFF"/>
        </w:rPr>
        <w:t>2</w:t>
      </w:r>
      <w:r>
        <w:rPr>
          <w:shd w:val="clear" w:color="auto" w:fill="FFFFFF"/>
        </w:rPr>
        <w:t>(1), pp.13-26.</w:t>
      </w:r>
    </w:p>
    <w:p w14:paraId="0F603959"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r w:rsidRPr="00D8382B">
        <w:rPr>
          <w:rFonts w:ascii="Times New Roman" w:eastAsia="Times New Roman" w:hAnsi="Times New Roman" w:cs="Times New Roman"/>
          <w:color w:val="222222"/>
          <w:szCs w:val="24"/>
          <w:highlight w:val="white"/>
          <w:lang w:val="en-GB"/>
        </w:rPr>
        <w:t xml:space="preserve">Diab-Bahman, R. and Al-Enzi, A., (2020). The impact of COVID-19 pandemic on conventional work settings. </w:t>
      </w:r>
      <w:r w:rsidRPr="00D8382B">
        <w:rPr>
          <w:rFonts w:ascii="Times New Roman" w:eastAsia="Times New Roman" w:hAnsi="Times New Roman" w:cs="Times New Roman"/>
          <w:i/>
          <w:color w:val="222222"/>
          <w:szCs w:val="24"/>
          <w:highlight w:val="white"/>
          <w:lang w:val="en-GB"/>
        </w:rPr>
        <w:t>International Journal of Sociology and Social Policy</w:t>
      </w:r>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40</w:t>
      </w:r>
      <w:r w:rsidRPr="00D8382B">
        <w:rPr>
          <w:rFonts w:ascii="Times New Roman" w:eastAsia="Times New Roman" w:hAnsi="Times New Roman" w:cs="Times New Roman"/>
          <w:color w:val="222222"/>
          <w:szCs w:val="24"/>
          <w:highlight w:val="white"/>
          <w:lang w:val="en-GB"/>
        </w:rPr>
        <w:t>(9/10), pp.909-927.</w:t>
      </w:r>
    </w:p>
    <w:p w14:paraId="7984D176"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r w:rsidRPr="00D8382B">
        <w:rPr>
          <w:rFonts w:ascii="Times New Roman" w:eastAsia="Times New Roman" w:hAnsi="Times New Roman" w:cs="Times New Roman"/>
          <w:color w:val="222222"/>
          <w:szCs w:val="24"/>
          <w:highlight w:val="white"/>
          <w:lang w:val="en-GB"/>
        </w:rPr>
        <w:t xml:space="preserve">Galanti, T., Guidetti, G., Mazzei, E., </w:t>
      </w:r>
      <w:proofErr w:type="spellStart"/>
      <w:r w:rsidRPr="00D8382B">
        <w:rPr>
          <w:rFonts w:ascii="Times New Roman" w:eastAsia="Times New Roman" w:hAnsi="Times New Roman" w:cs="Times New Roman"/>
          <w:color w:val="222222"/>
          <w:szCs w:val="24"/>
          <w:highlight w:val="white"/>
          <w:lang w:val="en-GB"/>
        </w:rPr>
        <w:t>Zappalà</w:t>
      </w:r>
      <w:proofErr w:type="spellEnd"/>
      <w:r w:rsidRPr="00D8382B">
        <w:rPr>
          <w:rFonts w:ascii="Times New Roman" w:eastAsia="Times New Roman" w:hAnsi="Times New Roman" w:cs="Times New Roman"/>
          <w:color w:val="222222"/>
          <w:szCs w:val="24"/>
          <w:highlight w:val="white"/>
          <w:lang w:val="en-GB"/>
        </w:rPr>
        <w:t xml:space="preserve">, S. and Toscano, F., (2021). Work from home during the COVID-19 outbreak: The impact on employees’ remote work productivity, engagement, and stress. </w:t>
      </w:r>
      <w:r w:rsidRPr="00D8382B">
        <w:rPr>
          <w:rFonts w:ascii="Times New Roman" w:eastAsia="Times New Roman" w:hAnsi="Times New Roman" w:cs="Times New Roman"/>
          <w:i/>
          <w:color w:val="222222"/>
          <w:szCs w:val="24"/>
          <w:highlight w:val="white"/>
          <w:lang w:val="en-GB"/>
        </w:rPr>
        <w:t>Journal of occupational and environmental medicine</w:t>
      </w:r>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63</w:t>
      </w:r>
      <w:r w:rsidRPr="00D8382B">
        <w:rPr>
          <w:rFonts w:ascii="Times New Roman" w:eastAsia="Times New Roman" w:hAnsi="Times New Roman" w:cs="Times New Roman"/>
          <w:color w:val="222222"/>
          <w:szCs w:val="24"/>
          <w:highlight w:val="white"/>
          <w:lang w:val="en-GB"/>
        </w:rPr>
        <w:t>(7), p.e426.</w:t>
      </w:r>
    </w:p>
    <w:p w14:paraId="77649CAA"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r w:rsidRPr="00D8382B">
        <w:rPr>
          <w:rFonts w:ascii="Times New Roman" w:eastAsia="Times New Roman" w:hAnsi="Times New Roman" w:cs="Times New Roman"/>
          <w:color w:val="222222"/>
          <w:szCs w:val="24"/>
          <w:highlight w:val="white"/>
          <w:lang w:val="en-GB"/>
        </w:rPr>
        <w:t xml:space="preserve">Hamouche, S., (2023). Human resource management and the COVID-19 crisis: Implications, challenges, opportunities, and future </w:t>
      </w:r>
      <w:r>
        <w:rPr>
          <w:rFonts w:ascii="Times New Roman" w:eastAsia="Times New Roman" w:hAnsi="Times New Roman" w:cs="Times New Roman"/>
          <w:color w:val="222222"/>
          <w:szCs w:val="24"/>
          <w:highlight w:val="white"/>
          <w:lang w:val="en-GB"/>
        </w:rPr>
        <w:t>organis</w:t>
      </w:r>
      <w:r w:rsidRPr="00D8382B">
        <w:rPr>
          <w:rFonts w:ascii="Times New Roman" w:eastAsia="Times New Roman" w:hAnsi="Times New Roman" w:cs="Times New Roman"/>
          <w:color w:val="222222"/>
          <w:szCs w:val="24"/>
          <w:highlight w:val="white"/>
          <w:lang w:val="en-GB"/>
        </w:rPr>
        <w:t xml:space="preserve">ational directions. </w:t>
      </w:r>
      <w:r w:rsidRPr="00D8382B">
        <w:rPr>
          <w:rFonts w:ascii="Times New Roman" w:eastAsia="Times New Roman" w:hAnsi="Times New Roman" w:cs="Times New Roman"/>
          <w:i/>
          <w:color w:val="222222"/>
          <w:szCs w:val="24"/>
          <w:highlight w:val="white"/>
          <w:lang w:val="en-GB"/>
        </w:rPr>
        <w:t xml:space="preserve">Journal of Management &amp; </w:t>
      </w:r>
      <w:r>
        <w:rPr>
          <w:rFonts w:ascii="Times New Roman" w:eastAsia="Times New Roman" w:hAnsi="Times New Roman" w:cs="Times New Roman"/>
          <w:i/>
          <w:color w:val="222222"/>
          <w:szCs w:val="24"/>
          <w:highlight w:val="white"/>
          <w:lang w:val="en-GB"/>
        </w:rPr>
        <w:t>Organis</w:t>
      </w:r>
      <w:r w:rsidRPr="00D8382B">
        <w:rPr>
          <w:rFonts w:ascii="Times New Roman" w:eastAsia="Times New Roman" w:hAnsi="Times New Roman" w:cs="Times New Roman"/>
          <w:i/>
          <w:color w:val="222222"/>
          <w:szCs w:val="24"/>
          <w:highlight w:val="white"/>
          <w:lang w:val="en-GB"/>
        </w:rPr>
        <w:t>ation</w:t>
      </w:r>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29</w:t>
      </w:r>
      <w:r w:rsidRPr="00D8382B">
        <w:rPr>
          <w:rFonts w:ascii="Times New Roman" w:eastAsia="Times New Roman" w:hAnsi="Times New Roman" w:cs="Times New Roman"/>
          <w:color w:val="222222"/>
          <w:szCs w:val="24"/>
          <w:highlight w:val="white"/>
          <w:lang w:val="en-GB"/>
        </w:rPr>
        <w:t>(5), pp.799-814.</w:t>
      </w:r>
    </w:p>
    <w:p w14:paraId="69DB2F40"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r w:rsidRPr="00D8382B">
        <w:rPr>
          <w:rFonts w:ascii="Times New Roman" w:eastAsia="Times New Roman" w:hAnsi="Times New Roman" w:cs="Times New Roman"/>
          <w:color w:val="222222"/>
          <w:szCs w:val="24"/>
          <w:highlight w:val="white"/>
          <w:lang w:val="en-GB"/>
        </w:rPr>
        <w:t xml:space="preserve">Oakman, J., Kinsman, N., Stuckey, R., Graham, M. and Weale, V., (2020). A rapid review of mental and physical health effects of working at home: how do we optimise </w:t>
      </w:r>
      <w:proofErr w:type="gramStart"/>
      <w:r w:rsidRPr="00D8382B">
        <w:rPr>
          <w:rFonts w:ascii="Times New Roman" w:eastAsia="Times New Roman" w:hAnsi="Times New Roman" w:cs="Times New Roman"/>
          <w:color w:val="222222"/>
          <w:szCs w:val="24"/>
          <w:highlight w:val="white"/>
          <w:lang w:val="en-GB"/>
        </w:rPr>
        <w:t>health?.</w:t>
      </w:r>
      <w:proofErr w:type="gramEnd"/>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BMC public health</w:t>
      </w:r>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20</w:t>
      </w:r>
      <w:r w:rsidRPr="00D8382B">
        <w:rPr>
          <w:rFonts w:ascii="Times New Roman" w:eastAsia="Times New Roman" w:hAnsi="Times New Roman" w:cs="Times New Roman"/>
          <w:color w:val="222222"/>
          <w:szCs w:val="24"/>
          <w:highlight w:val="white"/>
          <w:lang w:val="en-GB"/>
        </w:rPr>
        <w:t>, pp.1-13.</w:t>
      </w:r>
    </w:p>
    <w:p w14:paraId="18B09015"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proofErr w:type="spellStart"/>
      <w:r w:rsidRPr="00D8382B">
        <w:rPr>
          <w:rFonts w:ascii="Times New Roman" w:eastAsia="Times New Roman" w:hAnsi="Times New Roman" w:cs="Times New Roman"/>
          <w:color w:val="222222"/>
          <w:szCs w:val="24"/>
          <w:highlight w:val="white"/>
          <w:lang w:val="en-GB"/>
        </w:rPr>
        <w:lastRenderedPageBreak/>
        <w:t>Sapta</w:t>
      </w:r>
      <w:proofErr w:type="spellEnd"/>
      <w:r w:rsidRPr="00D8382B">
        <w:rPr>
          <w:rFonts w:ascii="Times New Roman" w:eastAsia="Times New Roman" w:hAnsi="Times New Roman" w:cs="Times New Roman"/>
          <w:color w:val="222222"/>
          <w:szCs w:val="24"/>
          <w:highlight w:val="white"/>
          <w:lang w:val="en-GB"/>
        </w:rPr>
        <w:t xml:space="preserve">, I., </w:t>
      </w:r>
      <w:proofErr w:type="spellStart"/>
      <w:r w:rsidRPr="00D8382B">
        <w:rPr>
          <w:rFonts w:ascii="Times New Roman" w:eastAsia="Times New Roman" w:hAnsi="Times New Roman" w:cs="Times New Roman"/>
          <w:color w:val="222222"/>
          <w:szCs w:val="24"/>
          <w:highlight w:val="white"/>
          <w:lang w:val="en-GB"/>
        </w:rPr>
        <w:t>Muafi</w:t>
      </w:r>
      <w:proofErr w:type="spellEnd"/>
      <w:r w:rsidRPr="00D8382B">
        <w:rPr>
          <w:rFonts w:ascii="Times New Roman" w:eastAsia="Times New Roman" w:hAnsi="Times New Roman" w:cs="Times New Roman"/>
          <w:color w:val="222222"/>
          <w:szCs w:val="24"/>
          <w:highlight w:val="white"/>
          <w:lang w:val="en-GB"/>
        </w:rPr>
        <w:t xml:space="preserve">, M. and </w:t>
      </w:r>
      <w:proofErr w:type="spellStart"/>
      <w:r w:rsidRPr="00D8382B">
        <w:rPr>
          <w:rFonts w:ascii="Times New Roman" w:eastAsia="Times New Roman" w:hAnsi="Times New Roman" w:cs="Times New Roman"/>
          <w:color w:val="222222"/>
          <w:szCs w:val="24"/>
          <w:highlight w:val="white"/>
          <w:lang w:val="en-GB"/>
        </w:rPr>
        <w:t>Setini</w:t>
      </w:r>
      <w:proofErr w:type="spellEnd"/>
      <w:r w:rsidRPr="00D8382B">
        <w:rPr>
          <w:rFonts w:ascii="Times New Roman" w:eastAsia="Times New Roman" w:hAnsi="Times New Roman" w:cs="Times New Roman"/>
          <w:color w:val="222222"/>
          <w:szCs w:val="24"/>
          <w:highlight w:val="white"/>
          <w:lang w:val="en-GB"/>
        </w:rPr>
        <w:t xml:space="preserve">, N.M., (2021). The role of technology, </w:t>
      </w:r>
      <w:r>
        <w:rPr>
          <w:rFonts w:ascii="Times New Roman" w:eastAsia="Times New Roman" w:hAnsi="Times New Roman" w:cs="Times New Roman"/>
          <w:color w:val="222222"/>
          <w:szCs w:val="24"/>
          <w:highlight w:val="white"/>
          <w:lang w:val="en-GB"/>
        </w:rPr>
        <w:t>organis</w:t>
      </w:r>
      <w:r w:rsidRPr="00D8382B">
        <w:rPr>
          <w:rFonts w:ascii="Times New Roman" w:eastAsia="Times New Roman" w:hAnsi="Times New Roman" w:cs="Times New Roman"/>
          <w:color w:val="222222"/>
          <w:szCs w:val="24"/>
          <w:highlight w:val="white"/>
          <w:lang w:val="en-GB"/>
        </w:rPr>
        <w:t xml:space="preserve">ational culture, and job satisfaction in improving employee performance during the Covid-19 pandemic. </w:t>
      </w:r>
      <w:r w:rsidRPr="00D8382B">
        <w:rPr>
          <w:rFonts w:ascii="Times New Roman" w:eastAsia="Times New Roman" w:hAnsi="Times New Roman" w:cs="Times New Roman"/>
          <w:i/>
          <w:color w:val="222222"/>
          <w:szCs w:val="24"/>
          <w:highlight w:val="white"/>
          <w:lang w:val="en-GB"/>
        </w:rPr>
        <w:t>The Journal of Asian Finance, Economics and Business</w:t>
      </w:r>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8</w:t>
      </w:r>
      <w:r w:rsidRPr="00D8382B">
        <w:rPr>
          <w:rFonts w:ascii="Times New Roman" w:eastAsia="Times New Roman" w:hAnsi="Times New Roman" w:cs="Times New Roman"/>
          <w:color w:val="222222"/>
          <w:szCs w:val="24"/>
          <w:highlight w:val="white"/>
          <w:lang w:val="en-GB"/>
        </w:rPr>
        <w:t>(1), pp.495-505.</w:t>
      </w:r>
    </w:p>
    <w:p w14:paraId="48942356"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r w:rsidRPr="00D8382B">
        <w:rPr>
          <w:rFonts w:ascii="Times New Roman" w:eastAsia="Times New Roman" w:hAnsi="Times New Roman" w:cs="Times New Roman"/>
          <w:color w:val="222222"/>
          <w:szCs w:val="24"/>
          <w:highlight w:val="white"/>
          <w:lang w:val="en-GB"/>
        </w:rPr>
        <w:t xml:space="preserve">Toscano, F. and </w:t>
      </w:r>
      <w:proofErr w:type="spellStart"/>
      <w:r w:rsidRPr="00D8382B">
        <w:rPr>
          <w:rFonts w:ascii="Times New Roman" w:eastAsia="Times New Roman" w:hAnsi="Times New Roman" w:cs="Times New Roman"/>
          <w:color w:val="222222"/>
          <w:szCs w:val="24"/>
          <w:highlight w:val="white"/>
          <w:lang w:val="en-GB"/>
        </w:rPr>
        <w:t>Zappalà</w:t>
      </w:r>
      <w:proofErr w:type="spellEnd"/>
      <w:r w:rsidRPr="00D8382B">
        <w:rPr>
          <w:rFonts w:ascii="Times New Roman" w:eastAsia="Times New Roman" w:hAnsi="Times New Roman" w:cs="Times New Roman"/>
          <w:color w:val="222222"/>
          <w:szCs w:val="24"/>
          <w:highlight w:val="white"/>
          <w:lang w:val="en-GB"/>
        </w:rPr>
        <w:t xml:space="preserve">, S., (2020). Social isolation and stress as predictors of productivity perception and remote work satisfaction during the COVID-19 pandemic: The role of concern about the virus in a moderated double mediation. </w:t>
      </w:r>
      <w:r w:rsidRPr="00D8382B">
        <w:rPr>
          <w:rFonts w:ascii="Times New Roman" w:eastAsia="Times New Roman" w:hAnsi="Times New Roman" w:cs="Times New Roman"/>
          <w:i/>
          <w:color w:val="222222"/>
          <w:szCs w:val="24"/>
          <w:highlight w:val="white"/>
          <w:lang w:val="en-GB"/>
        </w:rPr>
        <w:t>Sustainability</w:t>
      </w:r>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12</w:t>
      </w:r>
      <w:r w:rsidRPr="00D8382B">
        <w:rPr>
          <w:rFonts w:ascii="Times New Roman" w:eastAsia="Times New Roman" w:hAnsi="Times New Roman" w:cs="Times New Roman"/>
          <w:color w:val="222222"/>
          <w:szCs w:val="24"/>
          <w:highlight w:val="white"/>
          <w:lang w:val="en-GB"/>
        </w:rPr>
        <w:t>(23), p.9804.</w:t>
      </w:r>
    </w:p>
    <w:p w14:paraId="761C6C70"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r w:rsidRPr="00D8382B">
        <w:rPr>
          <w:rFonts w:ascii="Times New Roman" w:eastAsia="Times New Roman" w:hAnsi="Times New Roman" w:cs="Times New Roman"/>
          <w:color w:val="222222"/>
          <w:szCs w:val="24"/>
          <w:highlight w:val="white"/>
          <w:lang w:val="en-GB"/>
        </w:rPr>
        <w:t xml:space="preserve">Vahdat, S., (2022). The role of IT-based technologies on the management of human resources in the COVID-19 era. </w:t>
      </w:r>
      <w:proofErr w:type="spellStart"/>
      <w:r w:rsidRPr="00D8382B">
        <w:rPr>
          <w:rFonts w:ascii="Times New Roman" w:eastAsia="Times New Roman" w:hAnsi="Times New Roman" w:cs="Times New Roman"/>
          <w:i/>
          <w:color w:val="222222"/>
          <w:szCs w:val="24"/>
          <w:highlight w:val="white"/>
          <w:lang w:val="en-GB"/>
        </w:rPr>
        <w:t>Kybernetes</w:t>
      </w:r>
      <w:proofErr w:type="spellEnd"/>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51</w:t>
      </w:r>
      <w:r w:rsidRPr="00D8382B">
        <w:rPr>
          <w:rFonts w:ascii="Times New Roman" w:eastAsia="Times New Roman" w:hAnsi="Times New Roman" w:cs="Times New Roman"/>
          <w:color w:val="222222"/>
          <w:szCs w:val="24"/>
          <w:highlight w:val="white"/>
          <w:lang w:val="en-GB"/>
        </w:rPr>
        <w:t>(6), pp.2065-2088.</w:t>
      </w:r>
    </w:p>
    <w:p w14:paraId="3B78E87E"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r w:rsidRPr="00D8382B">
        <w:rPr>
          <w:rFonts w:ascii="Times New Roman" w:eastAsia="Times New Roman" w:hAnsi="Times New Roman" w:cs="Times New Roman"/>
          <w:color w:val="222222"/>
          <w:szCs w:val="24"/>
          <w:highlight w:val="white"/>
          <w:lang w:val="en-GB"/>
        </w:rPr>
        <w:t xml:space="preserve">Van der Lippe, T. and </w:t>
      </w:r>
      <w:proofErr w:type="spellStart"/>
      <w:r w:rsidRPr="00D8382B">
        <w:rPr>
          <w:rFonts w:ascii="Times New Roman" w:eastAsia="Times New Roman" w:hAnsi="Times New Roman" w:cs="Times New Roman"/>
          <w:color w:val="222222"/>
          <w:szCs w:val="24"/>
          <w:highlight w:val="white"/>
          <w:lang w:val="en-GB"/>
        </w:rPr>
        <w:t>Lippényi</w:t>
      </w:r>
      <w:proofErr w:type="spellEnd"/>
      <w:r w:rsidRPr="00D8382B">
        <w:rPr>
          <w:rFonts w:ascii="Times New Roman" w:eastAsia="Times New Roman" w:hAnsi="Times New Roman" w:cs="Times New Roman"/>
          <w:color w:val="222222"/>
          <w:szCs w:val="24"/>
          <w:highlight w:val="white"/>
          <w:lang w:val="en-GB"/>
        </w:rPr>
        <w:t xml:space="preserve">, Z., (2020). Co‐workers working from home and individual and team performance. </w:t>
      </w:r>
      <w:r w:rsidRPr="00D8382B">
        <w:rPr>
          <w:rFonts w:ascii="Times New Roman" w:eastAsia="Times New Roman" w:hAnsi="Times New Roman" w:cs="Times New Roman"/>
          <w:i/>
          <w:color w:val="222222"/>
          <w:szCs w:val="24"/>
          <w:highlight w:val="white"/>
          <w:lang w:val="en-GB"/>
        </w:rPr>
        <w:t>New technology, work and employment</w:t>
      </w:r>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35</w:t>
      </w:r>
      <w:r w:rsidRPr="00D8382B">
        <w:rPr>
          <w:rFonts w:ascii="Times New Roman" w:eastAsia="Times New Roman" w:hAnsi="Times New Roman" w:cs="Times New Roman"/>
          <w:color w:val="222222"/>
          <w:szCs w:val="24"/>
          <w:highlight w:val="white"/>
          <w:lang w:val="en-GB"/>
        </w:rPr>
        <w:t>(1), pp.60-79.</w:t>
      </w:r>
    </w:p>
    <w:p w14:paraId="287C0184" w14:textId="77777777" w:rsidR="00E91127" w:rsidRPr="00D8382B" w:rsidRDefault="00E91127">
      <w:pPr>
        <w:spacing w:before="240" w:after="200"/>
        <w:jc w:val="both"/>
        <w:rPr>
          <w:rFonts w:ascii="Times New Roman" w:eastAsia="Times New Roman" w:hAnsi="Times New Roman" w:cs="Times New Roman"/>
          <w:color w:val="222222"/>
          <w:szCs w:val="24"/>
          <w:highlight w:val="white"/>
          <w:lang w:val="en-GB"/>
        </w:rPr>
      </w:pPr>
      <w:r w:rsidRPr="00D8382B">
        <w:rPr>
          <w:rFonts w:ascii="Times New Roman" w:eastAsia="Times New Roman" w:hAnsi="Times New Roman" w:cs="Times New Roman"/>
          <w:color w:val="222222"/>
          <w:szCs w:val="24"/>
          <w:highlight w:val="white"/>
          <w:lang w:val="en-GB"/>
        </w:rPr>
        <w:t xml:space="preserve">Wang, B., Liu, Y., Qian, J. and Parker, S.K., (2021). Achieving effective remote working during the COVID‐19 pandemic: A work design perspective. </w:t>
      </w:r>
      <w:r w:rsidRPr="00D8382B">
        <w:rPr>
          <w:rFonts w:ascii="Times New Roman" w:eastAsia="Times New Roman" w:hAnsi="Times New Roman" w:cs="Times New Roman"/>
          <w:i/>
          <w:color w:val="222222"/>
          <w:szCs w:val="24"/>
          <w:highlight w:val="white"/>
          <w:lang w:val="en-GB"/>
        </w:rPr>
        <w:t>Applied psychology</w:t>
      </w:r>
      <w:r w:rsidRPr="00D8382B">
        <w:rPr>
          <w:rFonts w:ascii="Times New Roman" w:eastAsia="Times New Roman" w:hAnsi="Times New Roman" w:cs="Times New Roman"/>
          <w:color w:val="222222"/>
          <w:szCs w:val="24"/>
          <w:highlight w:val="white"/>
          <w:lang w:val="en-GB"/>
        </w:rPr>
        <w:t xml:space="preserve">, </w:t>
      </w:r>
      <w:r w:rsidRPr="00D8382B">
        <w:rPr>
          <w:rFonts w:ascii="Times New Roman" w:eastAsia="Times New Roman" w:hAnsi="Times New Roman" w:cs="Times New Roman"/>
          <w:i/>
          <w:color w:val="222222"/>
          <w:szCs w:val="24"/>
          <w:highlight w:val="white"/>
          <w:lang w:val="en-GB"/>
        </w:rPr>
        <w:t>70</w:t>
      </w:r>
      <w:r w:rsidRPr="00D8382B">
        <w:rPr>
          <w:rFonts w:ascii="Times New Roman" w:eastAsia="Times New Roman" w:hAnsi="Times New Roman" w:cs="Times New Roman"/>
          <w:color w:val="222222"/>
          <w:szCs w:val="24"/>
          <w:highlight w:val="white"/>
          <w:lang w:val="en-GB"/>
        </w:rPr>
        <w:t>(1), pp.16-59.</w:t>
      </w:r>
    </w:p>
    <w:p w14:paraId="00000018" w14:textId="77777777" w:rsidR="00881579" w:rsidRPr="00D8382B" w:rsidRDefault="00881579">
      <w:pPr>
        <w:jc w:val="both"/>
        <w:rPr>
          <w:rFonts w:ascii="Times New Roman" w:eastAsia="Times New Roman" w:hAnsi="Times New Roman" w:cs="Times New Roman"/>
          <w:b/>
          <w:szCs w:val="24"/>
          <w:lang w:val="en-GB"/>
        </w:rPr>
      </w:pPr>
    </w:p>
    <w:p w14:paraId="00000019" w14:textId="77777777" w:rsidR="00881579" w:rsidRPr="00D8382B" w:rsidRDefault="00881579">
      <w:pPr>
        <w:jc w:val="both"/>
        <w:rPr>
          <w:rFonts w:ascii="Times New Roman" w:eastAsia="Times New Roman" w:hAnsi="Times New Roman" w:cs="Times New Roman"/>
          <w:szCs w:val="24"/>
          <w:lang w:val="en-GB"/>
        </w:rPr>
      </w:pPr>
    </w:p>
    <w:p w14:paraId="0000001A" w14:textId="77777777" w:rsidR="00881579" w:rsidRPr="00D8382B" w:rsidRDefault="00881579">
      <w:pPr>
        <w:jc w:val="both"/>
        <w:rPr>
          <w:rFonts w:ascii="Times New Roman" w:eastAsia="Times New Roman" w:hAnsi="Times New Roman" w:cs="Times New Roman"/>
          <w:b/>
          <w:szCs w:val="24"/>
          <w:lang w:val="en-GB"/>
        </w:rPr>
      </w:pPr>
    </w:p>
    <w:sectPr w:rsidR="00881579" w:rsidRPr="00D8382B" w:rsidSect="00914265">
      <w:headerReference w:type="default" r:id="rId6"/>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DD292" w14:textId="77777777" w:rsidR="00914265" w:rsidRDefault="00914265" w:rsidP="00EF4D46">
      <w:pPr>
        <w:spacing w:line="240" w:lineRule="auto"/>
      </w:pPr>
      <w:r>
        <w:separator/>
      </w:r>
    </w:p>
  </w:endnote>
  <w:endnote w:type="continuationSeparator" w:id="0">
    <w:p w14:paraId="5844EDE4" w14:textId="77777777" w:rsidR="00914265" w:rsidRDefault="00914265" w:rsidP="00EF4D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386495"/>
      <w:docPartObj>
        <w:docPartGallery w:val="Page Numbers (Bottom of Page)"/>
        <w:docPartUnique/>
      </w:docPartObj>
    </w:sdtPr>
    <w:sdtContent>
      <w:sdt>
        <w:sdtPr>
          <w:id w:val="-1769616900"/>
          <w:docPartObj>
            <w:docPartGallery w:val="Page Numbers (Top of Page)"/>
            <w:docPartUnique/>
          </w:docPartObj>
        </w:sdtPr>
        <w:sdtContent>
          <w:p w14:paraId="21D98CB2" w14:textId="7654D108" w:rsidR="001E5B0C" w:rsidRDefault="001E5B0C" w:rsidP="001E5B0C">
            <w:pPr>
              <w:pStyle w:val="Footer"/>
              <w:spacing w:line="480" w:lineRule="auto"/>
              <w:jc w:val="right"/>
            </w:pPr>
            <w:r w:rsidRPr="001E5B0C">
              <w:rPr>
                <w:rFonts w:ascii="Times New Roman" w:hAnsi="Times New Roman" w:cs="Times New Roman"/>
                <w:sz w:val="20"/>
                <w:szCs w:val="20"/>
              </w:rPr>
              <w:t xml:space="preserve">Page </w:t>
            </w:r>
            <w:r w:rsidRPr="001E5B0C">
              <w:rPr>
                <w:rFonts w:ascii="Times New Roman" w:hAnsi="Times New Roman" w:cs="Times New Roman"/>
                <w:b/>
                <w:bCs/>
                <w:sz w:val="20"/>
                <w:szCs w:val="20"/>
              </w:rPr>
              <w:fldChar w:fldCharType="begin"/>
            </w:r>
            <w:r w:rsidRPr="001E5B0C">
              <w:rPr>
                <w:rFonts w:ascii="Times New Roman" w:hAnsi="Times New Roman" w:cs="Times New Roman"/>
                <w:b/>
                <w:bCs/>
                <w:sz w:val="20"/>
                <w:szCs w:val="20"/>
              </w:rPr>
              <w:instrText xml:space="preserve"> PAGE </w:instrText>
            </w:r>
            <w:r w:rsidRPr="001E5B0C">
              <w:rPr>
                <w:rFonts w:ascii="Times New Roman" w:hAnsi="Times New Roman" w:cs="Times New Roman"/>
                <w:b/>
                <w:bCs/>
                <w:sz w:val="20"/>
                <w:szCs w:val="20"/>
              </w:rPr>
              <w:fldChar w:fldCharType="separate"/>
            </w:r>
            <w:r w:rsidRPr="001E5B0C">
              <w:rPr>
                <w:rFonts w:ascii="Times New Roman" w:hAnsi="Times New Roman" w:cs="Times New Roman"/>
                <w:b/>
                <w:bCs/>
                <w:noProof/>
                <w:sz w:val="20"/>
                <w:szCs w:val="20"/>
              </w:rPr>
              <w:t>2</w:t>
            </w:r>
            <w:r w:rsidRPr="001E5B0C">
              <w:rPr>
                <w:rFonts w:ascii="Times New Roman" w:hAnsi="Times New Roman" w:cs="Times New Roman"/>
                <w:b/>
                <w:bCs/>
                <w:sz w:val="20"/>
                <w:szCs w:val="20"/>
              </w:rPr>
              <w:fldChar w:fldCharType="end"/>
            </w:r>
            <w:r w:rsidRPr="001E5B0C">
              <w:rPr>
                <w:rFonts w:ascii="Times New Roman" w:hAnsi="Times New Roman" w:cs="Times New Roman"/>
                <w:sz w:val="20"/>
                <w:szCs w:val="20"/>
              </w:rPr>
              <w:t xml:space="preserve"> of </w:t>
            </w:r>
            <w:r w:rsidRPr="001E5B0C">
              <w:rPr>
                <w:rFonts w:ascii="Times New Roman" w:hAnsi="Times New Roman" w:cs="Times New Roman"/>
                <w:b/>
                <w:bCs/>
                <w:sz w:val="20"/>
                <w:szCs w:val="20"/>
              </w:rPr>
              <w:fldChar w:fldCharType="begin"/>
            </w:r>
            <w:r w:rsidRPr="001E5B0C">
              <w:rPr>
                <w:rFonts w:ascii="Times New Roman" w:hAnsi="Times New Roman" w:cs="Times New Roman"/>
                <w:b/>
                <w:bCs/>
                <w:sz w:val="20"/>
                <w:szCs w:val="20"/>
              </w:rPr>
              <w:instrText xml:space="preserve"> NUMPAGES  </w:instrText>
            </w:r>
            <w:r w:rsidRPr="001E5B0C">
              <w:rPr>
                <w:rFonts w:ascii="Times New Roman" w:hAnsi="Times New Roman" w:cs="Times New Roman"/>
                <w:b/>
                <w:bCs/>
                <w:sz w:val="20"/>
                <w:szCs w:val="20"/>
              </w:rPr>
              <w:fldChar w:fldCharType="separate"/>
            </w:r>
            <w:r w:rsidRPr="001E5B0C">
              <w:rPr>
                <w:rFonts w:ascii="Times New Roman" w:hAnsi="Times New Roman" w:cs="Times New Roman"/>
                <w:b/>
                <w:bCs/>
                <w:noProof/>
                <w:sz w:val="20"/>
                <w:szCs w:val="20"/>
              </w:rPr>
              <w:t>2</w:t>
            </w:r>
            <w:r w:rsidRPr="001E5B0C">
              <w:rPr>
                <w:rFonts w:ascii="Times New Roman" w:hAnsi="Times New Roman" w:cs="Times New Roman"/>
                <w:b/>
                <w:bCs/>
                <w:sz w:val="20"/>
                <w:szCs w:val="20"/>
              </w:rPr>
              <w:fldChar w:fldCharType="end"/>
            </w:r>
          </w:p>
        </w:sdtContent>
      </w:sdt>
    </w:sdtContent>
  </w:sdt>
  <w:p w14:paraId="684EDB83" w14:textId="77777777" w:rsidR="00EF4D46" w:rsidRDefault="00EF4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EB5C5" w14:textId="77777777" w:rsidR="00914265" w:rsidRDefault="00914265" w:rsidP="00EF4D46">
      <w:pPr>
        <w:spacing w:line="240" w:lineRule="auto"/>
      </w:pPr>
      <w:r>
        <w:separator/>
      </w:r>
    </w:p>
  </w:footnote>
  <w:footnote w:type="continuationSeparator" w:id="0">
    <w:p w14:paraId="4F2FE438" w14:textId="77777777" w:rsidR="00914265" w:rsidRDefault="00914265" w:rsidP="00EF4D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59524" w14:textId="03B092AE" w:rsidR="001E5B0C" w:rsidRPr="001E5B0C" w:rsidRDefault="001E5B0C" w:rsidP="001E5B0C">
    <w:pPr>
      <w:pStyle w:val="Header"/>
      <w:spacing w:line="480" w:lineRule="auto"/>
      <w:jc w:val="right"/>
      <w:rPr>
        <w:rFonts w:ascii="Times New Roman" w:hAnsi="Times New Roman" w:cs="Times New Roman"/>
        <w:b/>
        <w:bCs/>
        <w:sz w:val="20"/>
        <w:szCs w:val="20"/>
      </w:rPr>
    </w:pPr>
    <w:r w:rsidRPr="001E5B0C">
      <w:rPr>
        <w:rFonts w:ascii="Times New Roman" w:hAnsi="Times New Roman" w:cs="Times New Roman"/>
        <w:b/>
        <w:bCs/>
        <w:sz w:val="20"/>
        <w:szCs w:val="20"/>
      </w:rPr>
      <w:t>Business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1579"/>
    <w:rsid w:val="000806AA"/>
    <w:rsid w:val="001E5B0C"/>
    <w:rsid w:val="00292645"/>
    <w:rsid w:val="002D286A"/>
    <w:rsid w:val="00881579"/>
    <w:rsid w:val="00886F25"/>
    <w:rsid w:val="00914265"/>
    <w:rsid w:val="00D8382B"/>
    <w:rsid w:val="00D8484A"/>
    <w:rsid w:val="00E91127"/>
    <w:rsid w:val="00EF4D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7BA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91127"/>
    <w:pPr>
      <w:spacing w:line="480" w:lineRule="auto"/>
    </w:pPr>
    <w:rPr>
      <w:rFonts w:asciiTheme="majorBidi" w:hAnsiTheme="majorBidi"/>
      <w:sz w:val="24"/>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EF4D46"/>
    <w:pPr>
      <w:tabs>
        <w:tab w:val="center" w:pos="4513"/>
        <w:tab w:val="right" w:pos="9026"/>
      </w:tabs>
      <w:spacing w:line="240" w:lineRule="auto"/>
    </w:pPr>
  </w:style>
  <w:style w:type="character" w:customStyle="1" w:styleId="HeaderChar">
    <w:name w:val="Header Char"/>
    <w:basedOn w:val="DefaultParagraphFont"/>
    <w:link w:val="Header"/>
    <w:uiPriority w:val="99"/>
    <w:rsid w:val="00EF4D46"/>
  </w:style>
  <w:style w:type="paragraph" w:styleId="Footer">
    <w:name w:val="footer"/>
    <w:basedOn w:val="Normal"/>
    <w:link w:val="FooterChar"/>
    <w:uiPriority w:val="99"/>
    <w:unhideWhenUsed/>
    <w:rsid w:val="00EF4D46"/>
    <w:pPr>
      <w:tabs>
        <w:tab w:val="center" w:pos="4513"/>
        <w:tab w:val="right" w:pos="9026"/>
      </w:tabs>
      <w:spacing w:line="240" w:lineRule="auto"/>
    </w:pPr>
  </w:style>
  <w:style w:type="character" w:customStyle="1" w:styleId="FooterChar">
    <w:name w:val="Footer Char"/>
    <w:basedOn w:val="DefaultParagraphFont"/>
    <w:link w:val="Footer"/>
    <w:uiPriority w:val="99"/>
    <w:rsid w:val="00EF4D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2640</Words>
  <Characters>15050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2024-02-28T19:44:00Z</dcterms:created>
  <dcterms:modified xsi:type="dcterms:W3CDTF">2024-02-28T19:45:00Z</dcterms:modified>
</cp:coreProperties>
</file>