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13707" w14:textId="1DDFB6D4" w:rsidR="00FA49FD" w:rsidRPr="00D611D8" w:rsidRDefault="00B46BEE">
      <w:pPr>
        <w:rPr>
          <w:rFonts w:cstheme="minorHAnsi"/>
          <w:sz w:val="24"/>
          <w:szCs w:val="24"/>
        </w:rPr>
      </w:pPr>
      <w:r w:rsidRPr="00D611D8">
        <w:rPr>
          <w:rFonts w:cstheme="minorHAnsi"/>
          <w:sz w:val="24"/>
          <w:szCs w:val="24"/>
        </w:rPr>
        <w:t>Response to ‘</w:t>
      </w:r>
      <w:r w:rsidR="00D6598E">
        <w:rPr>
          <w:rFonts w:cstheme="minorHAnsi"/>
          <w:sz w:val="24"/>
          <w:szCs w:val="24"/>
        </w:rPr>
        <w:t>Women and the Dioscuri</w:t>
      </w:r>
      <w:r w:rsidRPr="00D611D8">
        <w:rPr>
          <w:rFonts w:cstheme="minorHAnsi"/>
          <w:sz w:val="24"/>
          <w:szCs w:val="24"/>
        </w:rPr>
        <w:t>’, by</w:t>
      </w:r>
      <w:r w:rsidR="00DF274E" w:rsidRPr="00D611D8">
        <w:rPr>
          <w:rFonts w:cstheme="minorHAnsi"/>
          <w:sz w:val="24"/>
          <w:szCs w:val="24"/>
        </w:rPr>
        <w:t xml:space="preserve"> Joe Mann</w:t>
      </w:r>
      <w:r w:rsidRPr="00D611D8">
        <w:rPr>
          <w:rFonts w:cstheme="minorHAnsi"/>
          <w:sz w:val="24"/>
          <w:szCs w:val="24"/>
        </w:rPr>
        <w:t>.</w:t>
      </w:r>
    </w:p>
    <w:p w14:paraId="00C8F205" w14:textId="77777777" w:rsidR="00B46BEE" w:rsidRPr="00D611D8" w:rsidRDefault="00B46BEE">
      <w:pPr>
        <w:rPr>
          <w:rFonts w:cstheme="minorHAnsi"/>
          <w:sz w:val="24"/>
          <w:szCs w:val="24"/>
        </w:rPr>
      </w:pPr>
      <w:bookmarkStart w:id="0" w:name="_GoBack"/>
      <w:bookmarkEnd w:id="0"/>
    </w:p>
    <w:p w14:paraId="37F96190" w14:textId="0861D27E" w:rsidR="00B46BEE" w:rsidRPr="00D611D8" w:rsidRDefault="00DF274E">
      <w:pPr>
        <w:rPr>
          <w:rFonts w:cstheme="minorHAnsi"/>
          <w:sz w:val="24"/>
          <w:szCs w:val="24"/>
        </w:rPr>
      </w:pPr>
      <w:r w:rsidRPr="00D611D8">
        <w:rPr>
          <w:rFonts w:cstheme="minorHAnsi"/>
          <w:sz w:val="24"/>
          <w:szCs w:val="24"/>
        </w:rPr>
        <w:t>Joe Mann’s</w:t>
      </w:r>
      <w:r w:rsidR="00B46BEE" w:rsidRPr="00D611D8">
        <w:rPr>
          <w:rFonts w:cstheme="minorHAnsi"/>
          <w:sz w:val="24"/>
          <w:szCs w:val="24"/>
        </w:rPr>
        <w:t xml:space="preserve"> entry discusses the Dioscuri and their relationships with women, </w:t>
      </w:r>
      <w:proofErr w:type="gramStart"/>
      <w:r w:rsidR="00B46BEE" w:rsidRPr="00D611D8">
        <w:rPr>
          <w:rFonts w:cstheme="minorHAnsi"/>
          <w:sz w:val="24"/>
          <w:szCs w:val="24"/>
        </w:rPr>
        <w:t xml:space="preserve">and in particular, </w:t>
      </w:r>
      <w:r w:rsidR="00B723FB" w:rsidRPr="00D611D8">
        <w:rPr>
          <w:rFonts w:cstheme="minorHAnsi"/>
          <w:sz w:val="24"/>
          <w:szCs w:val="24"/>
        </w:rPr>
        <w:t>Helen</w:t>
      </w:r>
      <w:proofErr w:type="gramEnd"/>
      <w:r w:rsidR="00B723FB" w:rsidRPr="00D611D8">
        <w:rPr>
          <w:rFonts w:cstheme="minorHAnsi"/>
          <w:sz w:val="24"/>
          <w:szCs w:val="24"/>
        </w:rPr>
        <w:t xml:space="preserve">, Leda, and the </w:t>
      </w:r>
      <w:proofErr w:type="spellStart"/>
      <w:r w:rsidR="00B723FB" w:rsidRPr="00D611D8">
        <w:rPr>
          <w:rFonts w:cstheme="minorHAnsi"/>
          <w:sz w:val="24"/>
          <w:szCs w:val="24"/>
        </w:rPr>
        <w:t>Leucippides</w:t>
      </w:r>
      <w:proofErr w:type="spellEnd"/>
      <w:r w:rsidR="00B46BEE" w:rsidRPr="00D611D8">
        <w:rPr>
          <w:rFonts w:cstheme="minorHAnsi"/>
          <w:sz w:val="24"/>
          <w:szCs w:val="24"/>
        </w:rPr>
        <w:t xml:space="preserve">. Overall, </w:t>
      </w:r>
      <w:r w:rsidR="00572B0F" w:rsidRPr="00D611D8">
        <w:rPr>
          <w:rFonts w:cstheme="minorHAnsi"/>
          <w:sz w:val="24"/>
          <w:szCs w:val="24"/>
        </w:rPr>
        <w:t>the extract’s</w:t>
      </w:r>
      <w:r w:rsidR="00B46BEE" w:rsidRPr="00D611D8">
        <w:rPr>
          <w:rFonts w:cstheme="minorHAnsi"/>
          <w:sz w:val="24"/>
          <w:szCs w:val="24"/>
        </w:rPr>
        <w:t xml:space="preserve"> main points and argument</w:t>
      </w:r>
      <w:r w:rsidR="0067492A" w:rsidRPr="00D611D8">
        <w:rPr>
          <w:rFonts w:cstheme="minorHAnsi"/>
          <w:sz w:val="24"/>
          <w:szCs w:val="24"/>
        </w:rPr>
        <w:t xml:space="preserve"> </w:t>
      </w:r>
      <w:r w:rsidR="00384296" w:rsidRPr="00D611D8">
        <w:rPr>
          <w:rFonts w:cstheme="minorHAnsi"/>
          <w:sz w:val="24"/>
          <w:szCs w:val="24"/>
        </w:rPr>
        <w:t>are</w:t>
      </w:r>
      <w:r w:rsidR="00B46BEE" w:rsidRPr="00D611D8">
        <w:rPr>
          <w:rFonts w:cstheme="minorHAnsi"/>
          <w:sz w:val="24"/>
          <w:szCs w:val="24"/>
        </w:rPr>
        <w:t xml:space="preserve"> supported by </w:t>
      </w:r>
      <w:r w:rsidR="00384296" w:rsidRPr="00D611D8">
        <w:rPr>
          <w:rFonts w:cstheme="minorHAnsi"/>
          <w:sz w:val="24"/>
          <w:szCs w:val="24"/>
        </w:rPr>
        <w:t xml:space="preserve">the </w:t>
      </w:r>
      <w:r w:rsidR="00B46BEE" w:rsidRPr="00D611D8">
        <w:rPr>
          <w:rFonts w:cstheme="minorHAnsi"/>
          <w:sz w:val="24"/>
          <w:szCs w:val="24"/>
        </w:rPr>
        <w:t xml:space="preserve">evidence, however </w:t>
      </w:r>
      <w:r w:rsidR="0067492A" w:rsidRPr="00D611D8">
        <w:rPr>
          <w:rFonts w:cstheme="minorHAnsi"/>
          <w:sz w:val="24"/>
          <w:szCs w:val="24"/>
        </w:rPr>
        <w:t xml:space="preserve">there are </w:t>
      </w:r>
      <w:r w:rsidR="00B46BEE" w:rsidRPr="00D611D8">
        <w:rPr>
          <w:rFonts w:cstheme="minorHAnsi"/>
          <w:sz w:val="24"/>
          <w:szCs w:val="24"/>
        </w:rPr>
        <w:t xml:space="preserve">some statements </w:t>
      </w:r>
      <w:r w:rsidR="0067492A" w:rsidRPr="00D611D8">
        <w:rPr>
          <w:rFonts w:cstheme="minorHAnsi"/>
          <w:sz w:val="24"/>
          <w:szCs w:val="24"/>
        </w:rPr>
        <w:t xml:space="preserve">that </w:t>
      </w:r>
      <w:r w:rsidR="00B46BEE" w:rsidRPr="00D611D8">
        <w:rPr>
          <w:rFonts w:cstheme="minorHAnsi"/>
          <w:sz w:val="24"/>
          <w:szCs w:val="24"/>
        </w:rPr>
        <w:t>can be disagreed with by examining the relevant sources.</w:t>
      </w:r>
      <w:r w:rsidR="00384296" w:rsidRPr="00D611D8">
        <w:rPr>
          <w:rFonts w:cstheme="minorHAnsi"/>
          <w:sz w:val="24"/>
          <w:szCs w:val="24"/>
        </w:rPr>
        <w:t xml:space="preserve"> This response agrees with </w:t>
      </w:r>
      <w:r w:rsidR="00572B0F" w:rsidRPr="00D611D8">
        <w:rPr>
          <w:rFonts w:cstheme="minorHAnsi"/>
          <w:sz w:val="24"/>
          <w:szCs w:val="24"/>
        </w:rPr>
        <w:t>the extract’s</w:t>
      </w:r>
      <w:r w:rsidR="00384296" w:rsidRPr="00D611D8">
        <w:rPr>
          <w:rFonts w:cstheme="minorHAnsi"/>
          <w:sz w:val="24"/>
          <w:szCs w:val="24"/>
        </w:rPr>
        <w:t xml:space="preserve"> arguments concerning the overlooking of women, their reduced and negative portrayal in myth, and the way in which men treated women like possessions in ancient Greece.</w:t>
      </w:r>
      <w:r w:rsidR="00B46BEE" w:rsidRPr="00D611D8">
        <w:rPr>
          <w:rFonts w:cstheme="minorHAnsi"/>
          <w:sz w:val="24"/>
          <w:szCs w:val="24"/>
        </w:rPr>
        <w:t xml:space="preserve"> Therefore, this response addresses the points about women’s representation, </w:t>
      </w:r>
      <w:r w:rsidR="00B723FB" w:rsidRPr="00D611D8">
        <w:rPr>
          <w:rFonts w:cstheme="minorHAnsi"/>
          <w:sz w:val="24"/>
          <w:szCs w:val="24"/>
        </w:rPr>
        <w:t>their place in ancient society</w:t>
      </w:r>
      <w:r w:rsidR="00C41FF4" w:rsidRPr="00D611D8">
        <w:rPr>
          <w:rFonts w:cstheme="minorHAnsi"/>
          <w:sz w:val="24"/>
          <w:szCs w:val="24"/>
        </w:rPr>
        <w:t xml:space="preserve">, </w:t>
      </w:r>
      <w:r w:rsidR="00B46BEE" w:rsidRPr="00D611D8">
        <w:rPr>
          <w:rFonts w:cstheme="minorHAnsi"/>
          <w:sz w:val="24"/>
          <w:szCs w:val="24"/>
        </w:rPr>
        <w:t>the negative portrayal of females in mythology, the Dioscuri in relation to the abduction of Helen, and Castor and Pol</w:t>
      </w:r>
      <w:r w:rsidR="00CD4974" w:rsidRPr="00D611D8">
        <w:rPr>
          <w:rFonts w:cstheme="minorHAnsi"/>
          <w:sz w:val="24"/>
          <w:szCs w:val="24"/>
        </w:rPr>
        <w:t>lux</w:t>
      </w:r>
      <w:r w:rsidR="00C41FF4" w:rsidRPr="00D611D8">
        <w:rPr>
          <w:rFonts w:cstheme="minorHAnsi"/>
          <w:sz w:val="24"/>
          <w:szCs w:val="24"/>
        </w:rPr>
        <w:t>’s</w:t>
      </w:r>
      <w:r w:rsidR="00B46BEE" w:rsidRPr="00D611D8">
        <w:rPr>
          <w:rFonts w:cstheme="minorHAnsi"/>
          <w:sz w:val="24"/>
          <w:szCs w:val="24"/>
        </w:rPr>
        <w:t xml:space="preserve"> own abduction of the Messenian priestesses.</w:t>
      </w:r>
      <w:r w:rsidR="00B46BEE" w:rsidRPr="00D611D8">
        <w:rPr>
          <w:rStyle w:val="FootnoteReference"/>
          <w:rFonts w:cstheme="minorHAnsi"/>
          <w:sz w:val="24"/>
          <w:szCs w:val="24"/>
        </w:rPr>
        <w:footnoteReference w:id="1"/>
      </w:r>
      <w:r w:rsidR="00C56BAF" w:rsidRPr="00D611D8">
        <w:rPr>
          <w:rFonts w:cstheme="minorHAnsi"/>
          <w:sz w:val="24"/>
          <w:szCs w:val="24"/>
        </w:rPr>
        <w:t xml:space="preserve"> </w:t>
      </w:r>
    </w:p>
    <w:p w14:paraId="7520B08B" w14:textId="2F670892" w:rsidR="00B46BEE" w:rsidRPr="00D611D8" w:rsidRDefault="0067492A">
      <w:pPr>
        <w:rPr>
          <w:rFonts w:cstheme="minorHAnsi"/>
          <w:sz w:val="24"/>
          <w:szCs w:val="24"/>
        </w:rPr>
      </w:pPr>
      <w:r w:rsidRPr="00D611D8">
        <w:rPr>
          <w:rFonts w:cstheme="minorHAnsi"/>
          <w:sz w:val="24"/>
          <w:szCs w:val="24"/>
        </w:rPr>
        <w:t xml:space="preserve">The beginning of the entry states that women were overlooked in </w:t>
      </w:r>
      <w:r w:rsidR="00B723FB" w:rsidRPr="00D611D8">
        <w:rPr>
          <w:rFonts w:cstheme="minorHAnsi"/>
          <w:sz w:val="24"/>
          <w:szCs w:val="24"/>
        </w:rPr>
        <w:t xml:space="preserve">both </w:t>
      </w:r>
      <w:r w:rsidRPr="00D611D8">
        <w:rPr>
          <w:rFonts w:cstheme="minorHAnsi"/>
          <w:sz w:val="24"/>
          <w:szCs w:val="24"/>
        </w:rPr>
        <w:t xml:space="preserve">the society, and the history, </w:t>
      </w:r>
      <w:r w:rsidR="00B723FB" w:rsidRPr="00D611D8">
        <w:rPr>
          <w:rFonts w:cstheme="minorHAnsi"/>
          <w:sz w:val="24"/>
          <w:szCs w:val="24"/>
        </w:rPr>
        <w:t>of</w:t>
      </w:r>
      <w:r w:rsidRPr="00D611D8">
        <w:rPr>
          <w:rFonts w:cstheme="minorHAnsi"/>
          <w:sz w:val="24"/>
          <w:szCs w:val="24"/>
        </w:rPr>
        <w:t xml:space="preserve"> Sparta and the rest of Greece. While this may be true it is worth looking at the scholarship and evidence more carefully </w:t>
      </w:r>
      <w:proofErr w:type="gramStart"/>
      <w:r w:rsidRPr="00D611D8">
        <w:rPr>
          <w:rFonts w:cstheme="minorHAnsi"/>
          <w:sz w:val="24"/>
          <w:szCs w:val="24"/>
        </w:rPr>
        <w:t>in order to</w:t>
      </w:r>
      <w:proofErr w:type="gramEnd"/>
      <w:r w:rsidRPr="00D611D8">
        <w:rPr>
          <w:rFonts w:cstheme="minorHAnsi"/>
          <w:sz w:val="24"/>
          <w:szCs w:val="24"/>
        </w:rPr>
        <w:t xml:space="preserve"> assess this statement fully to further support this argument. Firstly, </w:t>
      </w:r>
      <w:r w:rsidR="00877B0E" w:rsidRPr="00D611D8">
        <w:rPr>
          <w:rFonts w:cstheme="minorHAnsi"/>
          <w:sz w:val="24"/>
          <w:szCs w:val="24"/>
        </w:rPr>
        <w:t>it is stated by Katz to be—in Ionian societies of Greece at least—that women were given increasingly secluded roles in life, being less involved in public affairs, and therefore, easier for historians to overlook.</w:t>
      </w:r>
      <w:r w:rsidR="00877B0E" w:rsidRPr="00D611D8">
        <w:rPr>
          <w:rStyle w:val="FootnoteReference"/>
          <w:rFonts w:cstheme="minorHAnsi"/>
          <w:sz w:val="24"/>
          <w:szCs w:val="24"/>
        </w:rPr>
        <w:footnoteReference w:id="2"/>
      </w:r>
      <w:r w:rsidR="006E5C92" w:rsidRPr="00D611D8">
        <w:rPr>
          <w:rFonts w:cstheme="minorHAnsi"/>
          <w:sz w:val="24"/>
          <w:szCs w:val="24"/>
        </w:rPr>
        <w:t xml:space="preserve"> Also</w:t>
      </w:r>
      <w:r w:rsidR="00877B0E" w:rsidRPr="00D611D8">
        <w:rPr>
          <w:rFonts w:cstheme="minorHAnsi"/>
          <w:sz w:val="24"/>
          <w:szCs w:val="24"/>
        </w:rPr>
        <w:t xml:space="preserve">, </w:t>
      </w:r>
      <w:r w:rsidR="00744BA5" w:rsidRPr="00D611D8">
        <w:rPr>
          <w:rFonts w:cstheme="minorHAnsi"/>
          <w:sz w:val="24"/>
          <w:szCs w:val="24"/>
        </w:rPr>
        <w:t>Katz</w:t>
      </w:r>
      <w:r w:rsidR="006E5C92" w:rsidRPr="00D611D8">
        <w:rPr>
          <w:rFonts w:cstheme="minorHAnsi"/>
          <w:sz w:val="24"/>
          <w:szCs w:val="24"/>
        </w:rPr>
        <w:t xml:space="preserve"> outlines that while it is acknowledged that women had some power </w:t>
      </w:r>
      <w:r w:rsidR="0032595E" w:rsidRPr="00D611D8">
        <w:rPr>
          <w:rFonts w:cstheme="minorHAnsi"/>
          <w:sz w:val="24"/>
          <w:szCs w:val="24"/>
        </w:rPr>
        <w:t>in the</w:t>
      </w:r>
      <w:r w:rsidR="006E5C92" w:rsidRPr="00D611D8">
        <w:rPr>
          <w:rFonts w:cstheme="minorHAnsi"/>
          <w:sz w:val="24"/>
          <w:szCs w:val="24"/>
        </w:rPr>
        <w:t xml:space="preserve"> home, most scholarship traditionally has shunned the roles of women in history</w:t>
      </w:r>
      <w:r w:rsidR="0032595E" w:rsidRPr="00D611D8">
        <w:rPr>
          <w:rFonts w:cstheme="minorHAnsi"/>
          <w:sz w:val="24"/>
          <w:szCs w:val="24"/>
        </w:rPr>
        <w:t xml:space="preserve"> even more</w:t>
      </w:r>
      <w:r w:rsidR="006E5C92" w:rsidRPr="00D611D8">
        <w:rPr>
          <w:rFonts w:cstheme="minorHAnsi"/>
          <w:sz w:val="24"/>
          <w:szCs w:val="24"/>
        </w:rPr>
        <w:t xml:space="preserve">, pushing them further into their obscurity, which ignores </w:t>
      </w:r>
      <w:r w:rsidR="00B723FB" w:rsidRPr="00D611D8">
        <w:rPr>
          <w:rFonts w:cstheme="minorHAnsi"/>
          <w:sz w:val="24"/>
          <w:szCs w:val="24"/>
        </w:rPr>
        <w:t xml:space="preserve">some of </w:t>
      </w:r>
      <w:r w:rsidR="006E5C92" w:rsidRPr="00D611D8">
        <w:rPr>
          <w:rFonts w:cstheme="minorHAnsi"/>
          <w:sz w:val="24"/>
          <w:szCs w:val="24"/>
        </w:rPr>
        <w:t>the</w:t>
      </w:r>
      <w:r w:rsidR="00B723FB" w:rsidRPr="00D611D8">
        <w:rPr>
          <w:rFonts w:cstheme="minorHAnsi"/>
          <w:sz w:val="24"/>
          <w:szCs w:val="24"/>
        </w:rPr>
        <w:t xml:space="preserve"> more</w:t>
      </w:r>
      <w:r w:rsidR="006E5C92" w:rsidRPr="00D611D8">
        <w:rPr>
          <w:rFonts w:cstheme="minorHAnsi"/>
          <w:sz w:val="24"/>
          <w:szCs w:val="24"/>
        </w:rPr>
        <w:t xml:space="preserve"> multifaceted evidence</w:t>
      </w:r>
      <w:r w:rsidR="00744BA5" w:rsidRPr="00D611D8">
        <w:rPr>
          <w:rFonts w:cstheme="minorHAnsi"/>
          <w:sz w:val="24"/>
          <w:szCs w:val="24"/>
        </w:rPr>
        <w:t>.</w:t>
      </w:r>
      <w:r w:rsidR="00744BA5" w:rsidRPr="00D611D8">
        <w:rPr>
          <w:rStyle w:val="FootnoteReference"/>
          <w:rFonts w:cstheme="minorHAnsi"/>
          <w:sz w:val="24"/>
          <w:szCs w:val="24"/>
        </w:rPr>
        <w:footnoteReference w:id="3"/>
      </w:r>
      <w:r w:rsidR="00CA7479" w:rsidRPr="00D611D8">
        <w:rPr>
          <w:rFonts w:cstheme="minorHAnsi"/>
          <w:sz w:val="24"/>
          <w:szCs w:val="24"/>
        </w:rPr>
        <w:t xml:space="preserve"> An argument against the complete overlooking of women in ancient Greece, is Herodotus’ treatment and praise of </w:t>
      </w:r>
      <w:proofErr w:type="spellStart"/>
      <w:r w:rsidR="00CA7479" w:rsidRPr="00D611D8">
        <w:rPr>
          <w:rFonts w:cstheme="minorHAnsi"/>
          <w:sz w:val="24"/>
          <w:szCs w:val="24"/>
        </w:rPr>
        <w:t>Gorgo</w:t>
      </w:r>
      <w:proofErr w:type="spellEnd"/>
      <w:r w:rsidR="00CA7479" w:rsidRPr="00D611D8">
        <w:rPr>
          <w:rFonts w:cstheme="minorHAnsi"/>
          <w:sz w:val="24"/>
          <w:szCs w:val="24"/>
        </w:rPr>
        <w:t>, who is seen to possess wit, and prove more capable than her adult male counterparts, showing that even a young girl could be intelligent and accomplished.</w:t>
      </w:r>
      <w:r w:rsidR="00CA7479" w:rsidRPr="00D611D8">
        <w:rPr>
          <w:rStyle w:val="FootnoteReference"/>
          <w:rFonts w:cstheme="minorHAnsi"/>
          <w:sz w:val="24"/>
          <w:szCs w:val="24"/>
        </w:rPr>
        <w:footnoteReference w:id="4"/>
      </w:r>
      <w:r w:rsidR="00CA7479" w:rsidRPr="00D611D8">
        <w:rPr>
          <w:rFonts w:cstheme="minorHAnsi"/>
          <w:sz w:val="24"/>
          <w:szCs w:val="24"/>
        </w:rPr>
        <w:t xml:space="preserve"> </w:t>
      </w:r>
      <w:r w:rsidR="0032595E" w:rsidRPr="00D611D8">
        <w:rPr>
          <w:rFonts w:cstheme="minorHAnsi"/>
          <w:sz w:val="24"/>
          <w:szCs w:val="24"/>
        </w:rPr>
        <w:t xml:space="preserve">It is also noteworthy that the women of Sparta, according to Pomeroy, famously competed in the Olympic games in great numbers, having a dedicated system of female physical education, which is attested to by </w:t>
      </w:r>
      <w:r w:rsidR="0020168B" w:rsidRPr="00D611D8">
        <w:rPr>
          <w:rFonts w:cstheme="minorHAnsi"/>
          <w:sz w:val="24"/>
          <w:szCs w:val="24"/>
        </w:rPr>
        <w:t>Theocritu</w:t>
      </w:r>
      <w:r w:rsidR="00FD121C" w:rsidRPr="00D611D8">
        <w:rPr>
          <w:rFonts w:cstheme="minorHAnsi"/>
          <w:sz w:val="24"/>
          <w:szCs w:val="24"/>
        </w:rPr>
        <w:t>s</w:t>
      </w:r>
      <w:r w:rsidR="0020168B" w:rsidRPr="00D611D8">
        <w:rPr>
          <w:rFonts w:cstheme="minorHAnsi"/>
          <w:sz w:val="24"/>
          <w:szCs w:val="24"/>
        </w:rPr>
        <w:t>.</w:t>
      </w:r>
      <w:r w:rsidR="0032595E" w:rsidRPr="00D611D8">
        <w:rPr>
          <w:rStyle w:val="FootnoteReference"/>
          <w:rFonts w:cstheme="minorHAnsi"/>
          <w:sz w:val="24"/>
          <w:szCs w:val="24"/>
        </w:rPr>
        <w:footnoteReference w:id="5"/>
      </w:r>
      <w:r w:rsidR="00FD121C" w:rsidRPr="00D611D8">
        <w:rPr>
          <w:rFonts w:cstheme="minorHAnsi"/>
          <w:sz w:val="24"/>
          <w:szCs w:val="24"/>
        </w:rPr>
        <w:t xml:space="preserve"> There is also record that a Spartan was the first female to claim an Olympic victory, which shows they must have had some involvement with that aspect of sports.</w:t>
      </w:r>
      <w:r w:rsidR="00FD121C" w:rsidRPr="00D611D8">
        <w:rPr>
          <w:rStyle w:val="FootnoteReference"/>
          <w:rFonts w:cstheme="minorHAnsi"/>
          <w:sz w:val="24"/>
          <w:szCs w:val="24"/>
        </w:rPr>
        <w:footnoteReference w:id="6"/>
      </w:r>
    </w:p>
    <w:p w14:paraId="0221CAFF" w14:textId="30C90FC3" w:rsidR="00B46BEE" w:rsidRPr="00D611D8" w:rsidRDefault="00CA7479">
      <w:pPr>
        <w:rPr>
          <w:rFonts w:cstheme="minorHAnsi"/>
          <w:sz w:val="24"/>
          <w:szCs w:val="24"/>
        </w:rPr>
      </w:pPr>
      <w:r w:rsidRPr="00D611D8">
        <w:rPr>
          <w:rFonts w:cstheme="minorHAnsi"/>
          <w:sz w:val="24"/>
          <w:szCs w:val="24"/>
        </w:rPr>
        <w:t>In the second paragraph</w:t>
      </w:r>
      <w:r w:rsidR="00B723FB" w:rsidRPr="00D611D8">
        <w:rPr>
          <w:rFonts w:cstheme="minorHAnsi"/>
          <w:sz w:val="24"/>
          <w:szCs w:val="24"/>
        </w:rPr>
        <w:t xml:space="preserve"> of the extract</w:t>
      </w:r>
      <w:r w:rsidRPr="00D611D8">
        <w:rPr>
          <w:rFonts w:cstheme="minorHAnsi"/>
          <w:sz w:val="24"/>
          <w:szCs w:val="24"/>
        </w:rPr>
        <w:t xml:space="preserve"> it is noted that the female siblings of Leda’s offspring ‘are on or are close to equal with them, in their godly descent.</w:t>
      </w:r>
      <w:r w:rsidR="00CD4974" w:rsidRPr="00D611D8">
        <w:rPr>
          <w:rFonts w:cstheme="minorHAnsi"/>
          <w:sz w:val="24"/>
          <w:szCs w:val="24"/>
        </w:rPr>
        <w:t xml:space="preserve">’, however, </w:t>
      </w:r>
      <w:r w:rsidR="003C522F" w:rsidRPr="00D611D8">
        <w:rPr>
          <w:rFonts w:cstheme="minorHAnsi"/>
          <w:sz w:val="24"/>
          <w:szCs w:val="24"/>
        </w:rPr>
        <w:t>Pseudo-</w:t>
      </w:r>
      <w:r w:rsidR="00CD4974" w:rsidRPr="00D611D8">
        <w:rPr>
          <w:rFonts w:cstheme="minorHAnsi"/>
          <w:sz w:val="24"/>
          <w:szCs w:val="24"/>
        </w:rPr>
        <w:t>Apollodorus tells us that this divine descendancy has nothing to do with their sex, and only Helen and Pollux were Zeus’ children.</w:t>
      </w:r>
      <w:r w:rsidR="00CD4974" w:rsidRPr="00D611D8">
        <w:rPr>
          <w:rStyle w:val="FootnoteReference"/>
          <w:rFonts w:cstheme="minorHAnsi"/>
          <w:sz w:val="24"/>
          <w:szCs w:val="24"/>
        </w:rPr>
        <w:footnoteReference w:id="7"/>
      </w:r>
      <w:r w:rsidR="007A69A0" w:rsidRPr="00D611D8">
        <w:rPr>
          <w:rFonts w:cstheme="minorHAnsi"/>
          <w:sz w:val="24"/>
          <w:szCs w:val="24"/>
        </w:rPr>
        <w:t xml:space="preserve"> It is however unsure as in some sources both brothers are divine</w:t>
      </w:r>
      <w:r w:rsidR="00B723FB" w:rsidRPr="00D611D8">
        <w:rPr>
          <w:rFonts w:cstheme="minorHAnsi"/>
          <w:sz w:val="24"/>
          <w:szCs w:val="24"/>
        </w:rPr>
        <w:t xml:space="preserve"> from the beginning</w:t>
      </w:r>
      <w:r w:rsidR="007A69A0" w:rsidRPr="00D611D8">
        <w:rPr>
          <w:rFonts w:cstheme="minorHAnsi"/>
          <w:sz w:val="24"/>
          <w:szCs w:val="24"/>
        </w:rPr>
        <w:t>.</w:t>
      </w:r>
      <w:r w:rsidR="007A69A0" w:rsidRPr="00D611D8">
        <w:rPr>
          <w:rStyle w:val="FootnoteReference"/>
          <w:rFonts w:cstheme="minorHAnsi"/>
          <w:sz w:val="24"/>
          <w:szCs w:val="24"/>
        </w:rPr>
        <w:footnoteReference w:id="8"/>
      </w:r>
      <w:r w:rsidR="00CD4974" w:rsidRPr="00D611D8">
        <w:rPr>
          <w:rFonts w:cstheme="minorHAnsi"/>
          <w:sz w:val="24"/>
          <w:szCs w:val="24"/>
        </w:rPr>
        <w:t xml:space="preserve"> In the third paragraph, Mann’s statement</w:t>
      </w:r>
      <w:r w:rsidR="007A69A0" w:rsidRPr="00D611D8">
        <w:rPr>
          <w:rFonts w:cstheme="minorHAnsi"/>
          <w:sz w:val="24"/>
          <w:szCs w:val="24"/>
        </w:rPr>
        <w:t>s</w:t>
      </w:r>
      <w:r w:rsidR="00CD4974" w:rsidRPr="00D611D8">
        <w:rPr>
          <w:rFonts w:cstheme="minorHAnsi"/>
          <w:sz w:val="24"/>
          <w:szCs w:val="24"/>
        </w:rPr>
        <w:t xml:space="preserve"> concerning Leda’s role in the sources is heavily supported, as again we see her being </w:t>
      </w:r>
      <w:r w:rsidR="00CD4974" w:rsidRPr="00D611D8">
        <w:rPr>
          <w:rFonts w:cstheme="minorHAnsi"/>
          <w:sz w:val="24"/>
          <w:szCs w:val="24"/>
        </w:rPr>
        <w:lastRenderedPageBreak/>
        <w:t>mentioned by</w:t>
      </w:r>
      <w:r w:rsidR="00E82664" w:rsidRPr="00D611D8">
        <w:rPr>
          <w:rFonts w:cstheme="minorHAnsi"/>
          <w:sz w:val="24"/>
          <w:szCs w:val="24"/>
        </w:rPr>
        <w:t xml:space="preserve"> many sources—including</w:t>
      </w:r>
      <w:r w:rsidR="00CD4974" w:rsidRPr="00D611D8">
        <w:rPr>
          <w:rFonts w:cstheme="minorHAnsi"/>
          <w:sz w:val="24"/>
          <w:szCs w:val="24"/>
        </w:rPr>
        <w:t xml:space="preserve"> H</w:t>
      </w:r>
      <w:r w:rsidR="007A69A0" w:rsidRPr="00D611D8">
        <w:rPr>
          <w:rFonts w:cstheme="minorHAnsi"/>
          <w:sz w:val="24"/>
          <w:szCs w:val="24"/>
        </w:rPr>
        <w:t>omer</w:t>
      </w:r>
      <w:r w:rsidR="00CD4974" w:rsidRPr="00D611D8">
        <w:rPr>
          <w:rFonts w:cstheme="minorHAnsi"/>
          <w:sz w:val="24"/>
          <w:szCs w:val="24"/>
        </w:rPr>
        <w:t xml:space="preserve"> and </w:t>
      </w:r>
      <w:r w:rsidR="003C522F" w:rsidRPr="00D611D8">
        <w:rPr>
          <w:rFonts w:cstheme="minorHAnsi"/>
          <w:sz w:val="24"/>
          <w:szCs w:val="24"/>
        </w:rPr>
        <w:t xml:space="preserve">P. </w:t>
      </w:r>
      <w:r w:rsidR="00CD4974" w:rsidRPr="00D611D8">
        <w:rPr>
          <w:rFonts w:cstheme="minorHAnsi"/>
          <w:sz w:val="24"/>
          <w:szCs w:val="24"/>
        </w:rPr>
        <w:t>Apollodorus</w:t>
      </w:r>
      <w:r w:rsidR="00E82664" w:rsidRPr="00D611D8">
        <w:rPr>
          <w:rFonts w:cstheme="minorHAnsi"/>
          <w:sz w:val="24"/>
          <w:szCs w:val="24"/>
        </w:rPr>
        <w:t>—</w:t>
      </w:r>
      <w:r w:rsidR="00CD4974" w:rsidRPr="00D611D8">
        <w:rPr>
          <w:rFonts w:cstheme="minorHAnsi"/>
          <w:sz w:val="24"/>
          <w:szCs w:val="24"/>
        </w:rPr>
        <w:t>only as a frame</w:t>
      </w:r>
      <w:r w:rsidR="00B723FB" w:rsidRPr="00D611D8">
        <w:rPr>
          <w:rFonts w:cstheme="minorHAnsi"/>
          <w:sz w:val="24"/>
          <w:szCs w:val="24"/>
        </w:rPr>
        <w:t xml:space="preserve"> of reference</w:t>
      </w:r>
      <w:r w:rsidR="00CD4974" w:rsidRPr="00D611D8">
        <w:rPr>
          <w:rFonts w:cstheme="minorHAnsi"/>
          <w:sz w:val="24"/>
          <w:szCs w:val="24"/>
        </w:rPr>
        <w:t xml:space="preserve"> to either her children, or to her Husband; as Tyndareus’ wife.</w:t>
      </w:r>
      <w:r w:rsidR="00CD4974" w:rsidRPr="00D611D8">
        <w:rPr>
          <w:rStyle w:val="FootnoteReference"/>
          <w:rFonts w:cstheme="minorHAnsi"/>
          <w:sz w:val="24"/>
          <w:szCs w:val="24"/>
        </w:rPr>
        <w:footnoteReference w:id="9"/>
      </w:r>
      <w:r w:rsidR="00700295" w:rsidRPr="00D611D8">
        <w:rPr>
          <w:rFonts w:cstheme="minorHAnsi"/>
          <w:sz w:val="24"/>
          <w:szCs w:val="24"/>
        </w:rPr>
        <w:t xml:space="preserve"> However, </w:t>
      </w:r>
      <w:r w:rsidR="00B723FB" w:rsidRPr="00D611D8">
        <w:rPr>
          <w:rFonts w:cstheme="minorHAnsi"/>
          <w:sz w:val="24"/>
          <w:szCs w:val="24"/>
        </w:rPr>
        <w:t xml:space="preserve">in some literature, </w:t>
      </w:r>
      <w:r w:rsidR="00700295" w:rsidRPr="00D611D8">
        <w:rPr>
          <w:rFonts w:cstheme="minorHAnsi"/>
          <w:sz w:val="24"/>
          <w:szCs w:val="24"/>
        </w:rPr>
        <w:t xml:space="preserve">the women surrounding the </w:t>
      </w:r>
      <w:r w:rsidR="00D26962" w:rsidRPr="00D611D8">
        <w:rPr>
          <w:rFonts w:cstheme="minorHAnsi"/>
          <w:sz w:val="24"/>
          <w:szCs w:val="24"/>
        </w:rPr>
        <w:t xml:space="preserve">Dioscuri can show some independence </w:t>
      </w:r>
      <w:r w:rsidR="00B723FB" w:rsidRPr="00D611D8">
        <w:rPr>
          <w:rFonts w:cstheme="minorHAnsi"/>
          <w:sz w:val="24"/>
          <w:szCs w:val="24"/>
        </w:rPr>
        <w:t>from</w:t>
      </w:r>
      <w:r w:rsidR="00D26962" w:rsidRPr="00D611D8">
        <w:rPr>
          <w:rFonts w:cstheme="minorHAnsi"/>
          <w:sz w:val="24"/>
          <w:szCs w:val="24"/>
        </w:rPr>
        <w:t xml:space="preserve"> their family, as in Euripides’ play </w:t>
      </w:r>
      <w:r w:rsidR="00D26962" w:rsidRPr="00D611D8">
        <w:rPr>
          <w:rFonts w:cstheme="minorHAnsi"/>
          <w:i/>
          <w:sz w:val="24"/>
          <w:szCs w:val="24"/>
        </w:rPr>
        <w:t xml:space="preserve">Helen, </w:t>
      </w:r>
      <w:r w:rsidR="00D26962" w:rsidRPr="00D611D8">
        <w:rPr>
          <w:rFonts w:cstheme="minorHAnsi"/>
          <w:sz w:val="24"/>
          <w:szCs w:val="24"/>
        </w:rPr>
        <w:t>only a single time does the a name of one of her brother’s appear in the text.</w:t>
      </w:r>
      <w:r w:rsidR="00D26962" w:rsidRPr="00D611D8">
        <w:rPr>
          <w:rStyle w:val="FootnoteReference"/>
          <w:rFonts w:cstheme="minorHAnsi"/>
          <w:sz w:val="24"/>
          <w:szCs w:val="24"/>
        </w:rPr>
        <w:footnoteReference w:id="10"/>
      </w:r>
      <w:r w:rsidR="00D26962" w:rsidRPr="00D611D8">
        <w:rPr>
          <w:rFonts w:cstheme="minorHAnsi"/>
          <w:sz w:val="24"/>
          <w:szCs w:val="24"/>
        </w:rPr>
        <w:t xml:space="preserve"> </w:t>
      </w:r>
    </w:p>
    <w:p w14:paraId="506BC1F7" w14:textId="0BF7A3FE" w:rsidR="00C10C8C" w:rsidRPr="00D611D8" w:rsidRDefault="0081105D">
      <w:pPr>
        <w:rPr>
          <w:rFonts w:cstheme="minorHAnsi"/>
          <w:sz w:val="24"/>
          <w:szCs w:val="24"/>
        </w:rPr>
      </w:pPr>
      <w:r w:rsidRPr="00D611D8">
        <w:rPr>
          <w:rFonts w:cstheme="minorHAnsi"/>
          <w:sz w:val="24"/>
          <w:szCs w:val="24"/>
        </w:rPr>
        <w:t xml:space="preserve">Plutarch’s sentiments concerning the abduction of Helen, are in accordance with </w:t>
      </w:r>
      <w:r w:rsidR="006753BB" w:rsidRPr="00D611D8">
        <w:rPr>
          <w:rFonts w:cstheme="minorHAnsi"/>
          <w:sz w:val="24"/>
          <w:szCs w:val="24"/>
        </w:rPr>
        <w:t xml:space="preserve">the extract’s </w:t>
      </w:r>
      <w:r w:rsidRPr="00D611D8">
        <w:rPr>
          <w:rFonts w:cstheme="minorHAnsi"/>
          <w:sz w:val="24"/>
          <w:szCs w:val="24"/>
        </w:rPr>
        <w:t>statement that Theseus abducted Helen, as Plutarch addresses the other possibilities, and finds that abduction is the most likely version of events</w:t>
      </w:r>
      <w:r w:rsidR="00FA7C6B" w:rsidRPr="00D611D8">
        <w:rPr>
          <w:rFonts w:cstheme="minorHAnsi"/>
          <w:sz w:val="24"/>
          <w:szCs w:val="24"/>
        </w:rPr>
        <w:t>, although it is thought that Theseus did not rape the young Helen</w:t>
      </w:r>
      <w:r w:rsidRPr="00D611D8">
        <w:rPr>
          <w:rFonts w:cstheme="minorHAnsi"/>
          <w:sz w:val="24"/>
          <w:szCs w:val="24"/>
        </w:rPr>
        <w:t>.</w:t>
      </w:r>
      <w:r w:rsidRPr="00D611D8">
        <w:rPr>
          <w:rStyle w:val="FootnoteReference"/>
          <w:rFonts w:cstheme="minorHAnsi"/>
          <w:sz w:val="24"/>
          <w:szCs w:val="24"/>
        </w:rPr>
        <w:footnoteReference w:id="11"/>
      </w:r>
      <w:r w:rsidRPr="00D611D8">
        <w:rPr>
          <w:rFonts w:cstheme="minorHAnsi"/>
          <w:sz w:val="24"/>
          <w:szCs w:val="24"/>
        </w:rPr>
        <w:t xml:space="preserve"> Plutarch’s account also supports the notion that Helen’s abduction was used as a device to further the prowess and heroism of her brothers, who </w:t>
      </w:r>
      <w:r w:rsidR="009F1D5D" w:rsidRPr="00D611D8">
        <w:rPr>
          <w:rFonts w:cstheme="minorHAnsi"/>
          <w:sz w:val="24"/>
          <w:szCs w:val="24"/>
        </w:rPr>
        <w:t>come in force against the abductors and act honourably during the expedition.</w:t>
      </w:r>
      <w:r w:rsidR="009F1D5D" w:rsidRPr="00D611D8">
        <w:rPr>
          <w:rStyle w:val="FootnoteReference"/>
          <w:rFonts w:cstheme="minorHAnsi"/>
          <w:sz w:val="24"/>
          <w:szCs w:val="24"/>
        </w:rPr>
        <w:footnoteReference w:id="12"/>
      </w:r>
      <w:r w:rsidR="009F1D5D" w:rsidRPr="00D611D8">
        <w:rPr>
          <w:rFonts w:cstheme="minorHAnsi"/>
          <w:sz w:val="24"/>
          <w:szCs w:val="24"/>
        </w:rPr>
        <w:t xml:space="preserve"> In this account, Helen</w:t>
      </w:r>
      <w:r w:rsidR="00B723FB" w:rsidRPr="00D611D8">
        <w:rPr>
          <w:rFonts w:cstheme="minorHAnsi"/>
          <w:sz w:val="24"/>
          <w:szCs w:val="24"/>
        </w:rPr>
        <w:t>’s portrayal</w:t>
      </w:r>
      <w:r w:rsidR="009F1D5D" w:rsidRPr="00D611D8">
        <w:rPr>
          <w:rFonts w:cstheme="minorHAnsi"/>
          <w:sz w:val="24"/>
          <w:szCs w:val="24"/>
        </w:rPr>
        <w:t xml:space="preserve"> </w:t>
      </w:r>
      <w:r w:rsidR="00B723FB" w:rsidRPr="00D611D8">
        <w:rPr>
          <w:rFonts w:cstheme="minorHAnsi"/>
          <w:sz w:val="24"/>
          <w:szCs w:val="24"/>
        </w:rPr>
        <w:t>fits w</w:t>
      </w:r>
      <w:r w:rsidR="009F1D5D" w:rsidRPr="00D611D8">
        <w:rPr>
          <w:rFonts w:cstheme="minorHAnsi"/>
          <w:sz w:val="24"/>
          <w:szCs w:val="24"/>
        </w:rPr>
        <w:t xml:space="preserve">ith the damsel stereotype in Greek mythology, </w:t>
      </w:r>
      <w:r w:rsidR="00B723FB" w:rsidRPr="00D611D8">
        <w:rPr>
          <w:rFonts w:cstheme="minorHAnsi"/>
          <w:sz w:val="24"/>
          <w:szCs w:val="24"/>
        </w:rPr>
        <w:t xml:space="preserve">as she </w:t>
      </w:r>
      <w:r w:rsidR="009F1D5D" w:rsidRPr="00D611D8">
        <w:rPr>
          <w:rFonts w:cstheme="minorHAnsi"/>
          <w:sz w:val="24"/>
          <w:szCs w:val="24"/>
        </w:rPr>
        <w:t>need</w:t>
      </w:r>
      <w:r w:rsidR="00B723FB" w:rsidRPr="00D611D8">
        <w:rPr>
          <w:rFonts w:cstheme="minorHAnsi"/>
          <w:sz w:val="24"/>
          <w:szCs w:val="24"/>
        </w:rPr>
        <w:t xml:space="preserve">s </w:t>
      </w:r>
      <w:r w:rsidR="009F1D5D" w:rsidRPr="00D611D8">
        <w:rPr>
          <w:rFonts w:cstheme="minorHAnsi"/>
          <w:sz w:val="24"/>
          <w:szCs w:val="24"/>
        </w:rPr>
        <w:t>to be saved by her brothers.</w:t>
      </w:r>
      <w:r w:rsidR="00CF2552" w:rsidRPr="00D611D8">
        <w:rPr>
          <w:rFonts w:cstheme="minorHAnsi"/>
          <w:sz w:val="24"/>
          <w:szCs w:val="24"/>
        </w:rPr>
        <w:t xml:space="preserve"> Whilst it is true that there is a parallel between this account and her abduction by Paris, it may be that this is simply a more common occurrence of the time, and that there is no intentional foreshadowing in this myth, especially considering the varying authorships of the two tales.</w:t>
      </w:r>
      <w:r w:rsidR="00CF2552" w:rsidRPr="00D611D8">
        <w:rPr>
          <w:rStyle w:val="FootnoteReference"/>
          <w:rFonts w:cstheme="minorHAnsi"/>
          <w:sz w:val="24"/>
          <w:szCs w:val="24"/>
        </w:rPr>
        <w:footnoteReference w:id="13"/>
      </w:r>
      <w:r w:rsidR="00CF2552" w:rsidRPr="00D611D8">
        <w:rPr>
          <w:rFonts w:cstheme="minorHAnsi"/>
          <w:sz w:val="24"/>
          <w:szCs w:val="24"/>
        </w:rPr>
        <w:t xml:space="preserve"> </w:t>
      </w:r>
      <w:r w:rsidR="002D7440" w:rsidRPr="00D611D8">
        <w:rPr>
          <w:rFonts w:cstheme="minorHAnsi"/>
          <w:sz w:val="24"/>
          <w:szCs w:val="24"/>
        </w:rPr>
        <w:t>Mann’s comment about the war being more in aid of advancing Sparta’s prowess, seems unfounded as it would be only logical that the Dioscuri—or most other siblings—would gladly wage war in defence of their infant sister, and indeed they seem to only be attacking a single agent.</w:t>
      </w:r>
      <w:r w:rsidR="002D7440" w:rsidRPr="00D611D8">
        <w:rPr>
          <w:rStyle w:val="FootnoteReference"/>
          <w:rFonts w:cstheme="minorHAnsi"/>
          <w:sz w:val="24"/>
          <w:szCs w:val="24"/>
        </w:rPr>
        <w:footnoteReference w:id="14"/>
      </w:r>
    </w:p>
    <w:p w14:paraId="441D566D" w14:textId="38FB282D" w:rsidR="003A4A0F" w:rsidRPr="00D611D8" w:rsidRDefault="003A4A0F">
      <w:pPr>
        <w:rPr>
          <w:rFonts w:cstheme="minorHAnsi"/>
          <w:sz w:val="24"/>
          <w:szCs w:val="24"/>
        </w:rPr>
      </w:pPr>
      <w:r w:rsidRPr="00D611D8">
        <w:rPr>
          <w:rFonts w:cstheme="minorHAnsi"/>
          <w:sz w:val="24"/>
          <w:szCs w:val="24"/>
        </w:rPr>
        <w:t>While</w:t>
      </w:r>
      <w:r w:rsidR="006E69C0" w:rsidRPr="00D611D8">
        <w:rPr>
          <w:rFonts w:cstheme="minorHAnsi"/>
          <w:sz w:val="24"/>
          <w:szCs w:val="24"/>
        </w:rPr>
        <w:t xml:space="preserve"> Mann provides several sources to assert that the Dioscuri’s abduction of the Messenian priestesses was the principle cause of Sparta’s war with the Messenians, it seems more </w:t>
      </w:r>
      <w:r w:rsidR="00B723FB" w:rsidRPr="00D611D8">
        <w:rPr>
          <w:rFonts w:cstheme="minorHAnsi"/>
          <w:sz w:val="24"/>
          <w:szCs w:val="24"/>
        </w:rPr>
        <w:t>pertinent</w:t>
      </w:r>
      <w:r w:rsidR="006E69C0" w:rsidRPr="00D611D8">
        <w:rPr>
          <w:rFonts w:cstheme="minorHAnsi"/>
          <w:sz w:val="24"/>
          <w:szCs w:val="24"/>
        </w:rPr>
        <w:t xml:space="preserve"> to look at Pausanias’ interpretation</w:t>
      </w:r>
      <w:r w:rsidR="00B723FB" w:rsidRPr="00D611D8">
        <w:rPr>
          <w:rFonts w:cstheme="minorHAnsi"/>
          <w:sz w:val="24"/>
          <w:szCs w:val="24"/>
        </w:rPr>
        <w:t xml:space="preserve"> due to his rational approach</w:t>
      </w:r>
      <w:r w:rsidR="006E69C0" w:rsidRPr="00D611D8">
        <w:rPr>
          <w:rFonts w:cstheme="minorHAnsi"/>
          <w:sz w:val="24"/>
          <w:szCs w:val="24"/>
        </w:rPr>
        <w:t>.</w:t>
      </w:r>
      <w:r w:rsidR="006E69C0" w:rsidRPr="00D611D8">
        <w:rPr>
          <w:rStyle w:val="FootnoteReference"/>
          <w:rFonts w:cstheme="minorHAnsi"/>
          <w:sz w:val="24"/>
          <w:szCs w:val="24"/>
        </w:rPr>
        <w:footnoteReference w:id="15"/>
      </w:r>
      <w:r w:rsidR="006E69C0" w:rsidRPr="00D611D8">
        <w:rPr>
          <w:rFonts w:cstheme="minorHAnsi"/>
          <w:sz w:val="24"/>
          <w:szCs w:val="24"/>
        </w:rPr>
        <w:t xml:space="preserve"> Pausanias presents many different reasons for the hostility between the two peoples, and presents a very reasonable version of events that would trigger a war, bearing in mind the history of problems between Sparta and Messenia.</w:t>
      </w:r>
      <w:r w:rsidR="006E69C0" w:rsidRPr="00D611D8">
        <w:rPr>
          <w:rStyle w:val="FootnoteReference"/>
          <w:rFonts w:cstheme="minorHAnsi"/>
          <w:sz w:val="24"/>
          <w:szCs w:val="24"/>
        </w:rPr>
        <w:footnoteReference w:id="16"/>
      </w:r>
      <w:r w:rsidR="006E69C0" w:rsidRPr="00D611D8">
        <w:rPr>
          <w:rFonts w:cstheme="minorHAnsi"/>
          <w:sz w:val="24"/>
          <w:szCs w:val="24"/>
        </w:rPr>
        <w:t xml:space="preserve"> Pausanias, being so well-read, is a useful source that does not seem to make</w:t>
      </w:r>
      <w:r w:rsidR="008B390F" w:rsidRPr="00D611D8">
        <w:rPr>
          <w:rFonts w:cstheme="minorHAnsi"/>
          <w:sz w:val="24"/>
          <w:szCs w:val="24"/>
        </w:rPr>
        <w:t xml:space="preserve"> direct</w:t>
      </w:r>
      <w:r w:rsidR="006E69C0" w:rsidRPr="00D611D8">
        <w:rPr>
          <w:rFonts w:cstheme="minorHAnsi"/>
          <w:sz w:val="24"/>
          <w:szCs w:val="24"/>
        </w:rPr>
        <w:t xml:space="preserve"> mention of the Dioscuri causing this conflict.</w:t>
      </w:r>
      <w:r w:rsidR="006E69C0" w:rsidRPr="00D611D8">
        <w:rPr>
          <w:rStyle w:val="FootnoteReference"/>
          <w:rFonts w:cstheme="minorHAnsi"/>
          <w:sz w:val="24"/>
          <w:szCs w:val="24"/>
        </w:rPr>
        <w:footnoteReference w:id="17"/>
      </w:r>
      <w:r w:rsidR="008B390F" w:rsidRPr="00D611D8">
        <w:rPr>
          <w:rFonts w:cstheme="minorHAnsi"/>
          <w:sz w:val="24"/>
          <w:szCs w:val="24"/>
        </w:rPr>
        <w:t xml:space="preserve"> The interpretation of </w:t>
      </w:r>
      <w:r w:rsidR="003C522F" w:rsidRPr="00D611D8">
        <w:rPr>
          <w:rFonts w:cstheme="minorHAnsi"/>
          <w:sz w:val="24"/>
          <w:szCs w:val="24"/>
        </w:rPr>
        <w:t xml:space="preserve">Castor and Pollux abducting the two women when they were to marry </w:t>
      </w:r>
      <w:proofErr w:type="spellStart"/>
      <w:r w:rsidR="003C522F" w:rsidRPr="00D611D8">
        <w:rPr>
          <w:rFonts w:cstheme="minorHAnsi"/>
          <w:sz w:val="24"/>
          <w:szCs w:val="24"/>
        </w:rPr>
        <w:t>Idas</w:t>
      </w:r>
      <w:proofErr w:type="spellEnd"/>
      <w:r w:rsidR="003C522F" w:rsidRPr="00D611D8">
        <w:rPr>
          <w:rFonts w:cstheme="minorHAnsi"/>
          <w:sz w:val="24"/>
          <w:szCs w:val="24"/>
        </w:rPr>
        <w:t xml:space="preserve"> and </w:t>
      </w:r>
      <w:proofErr w:type="spellStart"/>
      <w:r w:rsidR="003C522F" w:rsidRPr="00D611D8">
        <w:rPr>
          <w:rFonts w:cstheme="minorHAnsi"/>
          <w:sz w:val="24"/>
          <w:szCs w:val="24"/>
        </w:rPr>
        <w:t>Lynceus</w:t>
      </w:r>
      <w:proofErr w:type="spellEnd"/>
      <w:r w:rsidR="00093E09" w:rsidRPr="00D611D8">
        <w:rPr>
          <w:rFonts w:cstheme="minorHAnsi"/>
          <w:sz w:val="24"/>
          <w:szCs w:val="24"/>
        </w:rPr>
        <w:t>—two Messenian princes—</w:t>
      </w:r>
      <w:r w:rsidR="003C522F" w:rsidRPr="00D611D8">
        <w:rPr>
          <w:rFonts w:cstheme="minorHAnsi"/>
          <w:sz w:val="24"/>
          <w:szCs w:val="24"/>
        </w:rPr>
        <w:t>seems unsupported by P. Apollodorus’ account it only makes brief mention they were abducted, and the interactions of the characters does not elude such a subtext.</w:t>
      </w:r>
      <w:r w:rsidR="003C522F" w:rsidRPr="00D611D8">
        <w:rPr>
          <w:rStyle w:val="FootnoteReference"/>
          <w:rFonts w:cstheme="minorHAnsi"/>
          <w:sz w:val="24"/>
          <w:szCs w:val="24"/>
        </w:rPr>
        <w:footnoteReference w:id="18"/>
      </w:r>
    </w:p>
    <w:p w14:paraId="39453C6F" w14:textId="21BF0721" w:rsidR="003C522F" w:rsidRPr="00D611D8" w:rsidRDefault="003C522F">
      <w:pPr>
        <w:rPr>
          <w:rFonts w:cstheme="minorHAnsi"/>
          <w:sz w:val="24"/>
          <w:szCs w:val="24"/>
        </w:rPr>
      </w:pPr>
      <w:r w:rsidRPr="00D611D8">
        <w:rPr>
          <w:rFonts w:cstheme="minorHAnsi"/>
          <w:sz w:val="24"/>
          <w:szCs w:val="24"/>
        </w:rPr>
        <w:t>In conclusion, Mann’s interpretation of the Dioscuri’s interactions of women is largely in accordance with the sources. Leda is only referred to because of her relation to her male family members and</w:t>
      </w:r>
      <w:r w:rsidR="00093E09" w:rsidRPr="00D611D8">
        <w:rPr>
          <w:rFonts w:cstheme="minorHAnsi"/>
          <w:sz w:val="24"/>
          <w:szCs w:val="24"/>
        </w:rPr>
        <w:t xml:space="preserve"> the sources</w:t>
      </w:r>
      <w:r w:rsidRPr="00D611D8">
        <w:rPr>
          <w:rFonts w:cstheme="minorHAnsi"/>
          <w:sz w:val="24"/>
          <w:szCs w:val="24"/>
        </w:rPr>
        <w:t xml:space="preserve"> possess no mention of other traits, and their sister Helen is primarily </w:t>
      </w:r>
      <w:r w:rsidR="00093E09" w:rsidRPr="00D611D8">
        <w:rPr>
          <w:rFonts w:cstheme="minorHAnsi"/>
          <w:sz w:val="24"/>
          <w:szCs w:val="24"/>
        </w:rPr>
        <w:t>present</w:t>
      </w:r>
      <w:r w:rsidRPr="00D611D8">
        <w:rPr>
          <w:rFonts w:cstheme="minorHAnsi"/>
          <w:sz w:val="24"/>
          <w:szCs w:val="24"/>
        </w:rPr>
        <w:t xml:space="preserve"> to forward the Dioscuri’s characters</w:t>
      </w:r>
      <w:r w:rsidR="00093E09" w:rsidRPr="00D611D8">
        <w:rPr>
          <w:rFonts w:cstheme="minorHAnsi"/>
          <w:sz w:val="24"/>
          <w:szCs w:val="24"/>
        </w:rPr>
        <w:t xml:space="preserve"> when they are involved in the </w:t>
      </w:r>
      <w:r w:rsidR="00093E09" w:rsidRPr="00D611D8">
        <w:rPr>
          <w:rFonts w:cstheme="minorHAnsi"/>
          <w:sz w:val="24"/>
          <w:szCs w:val="24"/>
        </w:rPr>
        <w:lastRenderedPageBreak/>
        <w:t>narrative</w:t>
      </w:r>
      <w:r w:rsidRPr="00D611D8">
        <w:rPr>
          <w:rFonts w:cstheme="minorHAnsi"/>
          <w:sz w:val="24"/>
          <w:szCs w:val="24"/>
        </w:rPr>
        <w:t>.</w:t>
      </w:r>
      <w:r w:rsidRPr="00D611D8">
        <w:rPr>
          <w:rStyle w:val="FootnoteReference"/>
          <w:rFonts w:cstheme="minorHAnsi"/>
          <w:sz w:val="24"/>
          <w:szCs w:val="24"/>
        </w:rPr>
        <w:footnoteReference w:id="19"/>
      </w:r>
      <w:r w:rsidRPr="00D611D8">
        <w:rPr>
          <w:rFonts w:cstheme="minorHAnsi"/>
          <w:sz w:val="24"/>
          <w:szCs w:val="24"/>
        </w:rPr>
        <w:t xml:space="preserve"> </w:t>
      </w:r>
      <w:r w:rsidR="00FA7C6B" w:rsidRPr="00D611D8">
        <w:rPr>
          <w:rFonts w:cstheme="minorHAnsi"/>
          <w:sz w:val="24"/>
          <w:szCs w:val="24"/>
        </w:rPr>
        <w:t>Also,</w:t>
      </w:r>
      <w:r w:rsidR="006753BB" w:rsidRPr="00D611D8">
        <w:rPr>
          <w:rFonts w:cstheme="minorHAnsi"/>
          <w:sz w:val="24"/>
          <w:szCs w:val="24"/>
        </w:rPr>
        <w:t xml:space="preserve"> the extract’s</w:t>
      </w:r>
      <w:r w:rsidR="00FA7C6B" w:rsidRPr="00D611D8">
        <w:rPr>
          <w:rFonts w:cstheme="minorHAnsi"/>
          <w:sz w:val="24"/>
          <w:szCs w:val="24"/>
        </w:rPr>
        <w:t xml:space="preserve"> assessment that the sources make studying this topic </w:t>
      </w:r>
      <w:r w:rsidR="00E5016D" w:rsidRPr="00D611D8">
        <w:rPr>
          <w:rFonts w:cstheme="minorHAnsi"/>
          <w:sz w:val="24"/>
          <w:szCs w:val="24"/>
        </w:rPr>
        <w:t xml:space="preserve">difficult </w:t>
      </w:r>
      <w:r w:rsidR="00FA7C6B" w:rsidRPr="00D611D8">
        <w:rPr>
          <w:rFonts w:cstheme="minorHAnsi"/>
          <w:sz w:val="24"/>
          <w:szCs w:val="24"/>
        </w:rPr>
        <w:t xml:space="preserve">are correct, as </w:t>
      </w:r>
      <w:r w:rsidR="00093E09" w:rsidRPr="00D611D8">
        <w:rPr>
          <w:rFonts w:cstheme="minorHAnsi"/>
          <w:sz w:val="24"/>
          <w:szCs w:val="24"/>
        </w:rPr>
        <w:t xml:space="preserve">Claassen notes, </w:t>
      </w:r>
      <w:r w:rsidR="00E5016D" w:rsidRPr="00D611D8">
        <w:rPr>
          <w:rFonts w:cstheme="minorHAnsi"/>
          <w:sz w:val="24"/>
          <w:szCs w:val="24"/>
        </w:rPr>
        <w:t xml:space="preserve">an </w:t>
      </w:r>
      <w:r w:rsidR="00FA7C6B" w:rsidRPr="00D611D8">
        <w:rPr>
          <w:rFonts w:cstheme="minorHAnsi"/>
          <w:sz w:val="24"/>
          <w:szCs w:val="24"/>
        </w:rPr>
        <w:t xml:space="preserve">important source like Ovid </w:t>
      </w:r>
      <w:r w:rsidR="00E5016D" w:rsidRPr="00D611D8">
        <w:rPr>
          <w:rFonts w:cstheme="minorHAnsi"/>
          <w:sz w:val="24"/>
          <w:szCs w:val="24"/>
        </w:rPr>
        <w:t>is</w:t>
      </w:r>
      <w:r w:rsidR="00FA7C6B" w:rsidRPr="00D611D8">
        <w:rPr>
          <w:rFonts w:cstheme="minorHAnsi"/>
          <w:sz w:val="24"/>
          <w:szCs w:val="24"/>
        </w:rPr>
        <w:t xml:space="preserve"> writing in </w:t>
      </w:r>
      <w:r w:rsidR="00E5016D" w:rsidRPr="00D611D8">
        <w:rPr>
          <w:rFonts w:cstheme="minorHAnsi"/>
          <w:sz w:val="24"/>
          <w:szCs w:val="24"/>
        </w:rPr>
        <w:t xml:space="preserve">the Augustan period, and under heavy influence from his own time, as correctly </w:t>
      </w:r>
      <w:r w:rsidR="006753BB" w:rsidRPr="00D611D8">
        <w:rPr>
          <w:rFonts w:cstheme="minorHAnsi"/>
          <w:sz w:val="24"/>
          <w:szCs w:val="24"/>
        </w:rPr>
        <w:t>the extract</w:t>
      </w:r>
      <w:r w:rsidR="00E5016D" w:rsidRPr="00D611D8">
        <w:rPr>
          <w:rFonts w:cstheme="minorHAnsi"/>
          <w:sz w:val="24"/>
          <w:szCs w:val="24"/>
        </w:rPr>
        <w:t xml:space="preserve"> identifies.</w:t>
      </w:r>
      <w:r w:rsidR="00E5016D" w:rsidRPr="00D611D8">
        <w:rPr>
          <w:rStyle w:val="FootnoteReference"/>
          <w:rFonts w:cstheme="minorHAnsi"/>
          <w:sz w:val="24"/>
          <w:szCs w:val="24"/>
        </w:rPr>
        <w:footnoteReference w:id="20"/>
      </w:r>
    </w:p>
    <w:p w14:paraId="660815AD" w14:textId="338B5429" w:rsidR="002D7440" w:rsidRPr="00D611D8" w:rsidRDefault="002D7440">
      <w:pPr>
        <w:rPr>
          <w:rFonts w:cstheme="minorHAnsi"/>
          <w:sz w:val="24"/>
          <w:szCs w:val="24"/>
        </w:rPr>
      </w:pPr>
    </w:p>
    <w:p w14:paraId="2421D9F8" w14:textId="77777777" w:rsidR="002D7440" w:rsidRPr="00D611D8" w:rsidRDefault="002D7440">
      <w:pPr>
        <w:rPr>
          <w:rFonts w:cstheme="minorHAnsi"/>
          <w:sz w:val="24"/>
          <w:szCs w:val="24"/>
        </w:rPr>
      </w:pPr>
    </w:p>
    <w:p w14:paraId="00AA074E" w14:textId="15E6ED51" w:rsidR="009F1D5D" w:rsidRPr="00D611D8" w:rsidRDefault="009F1D5D">
      <w:pPr>
        <w:rPr>
          <w:rFonts w:cstheme="minorHAnsi"/>
          <w:sz w:val="24"/>
          <w:szCs w:val="24"/>
        </w:rPr>
      </w:pPr>
    </w:p>
    <w:p w14:paraId="572AF5D2" w14:textId="77777777" w:rsidR="009F1D5D" w:rsidRPr="00D611D8" w:rsidRDefault="009F1D5D">
      <w:pPr>
        <w:rPr>
          <w:rFonts w:cstheme="minorHAnsi"/>
          <w:sz w:val="24"/>
          <w:szCs w:val="24"/>
        </w:rPr>
      </w:pPr>
    </w:p>
    <w:p w14:paraId="495BBD06" w14:textId="77777777" w:rsidR="00B46BEE" w:rsidRPr="00D611D8" w:rsidRDefault="00B46BEE">
      <w:pPr>
        <w:rPr>
          <w:rFonts w:cstheme="minorHAnsi"/>
          <w:sz w:val="24"/>
          <w:szCs w:val="24"/>
        </w:rPr>
      </w:pPr>
    </w:p>
    <w:p w14:paraId="5F6F5D54" w14:textId="77777777" w:rsidR="00B46BEE" w:rsidRPr="00D611D8" w:rsidRDefault="00B46BEE">
      <w:pPr>
        <w:rPr>
          <w:rFonts w:cstheme="minorHAnsi"/>
          <w:sz w:val="24"/>
          <w:szCs w:val="24"/>
        </w:rPr>
      </w:pPr>
    </w:p>
    <w:p w14:paraId="4E5C4AAA" w14:textId="77777777" w:rsidR="00B46BEE" w:rsidRPr="00D611D8" w:rsidRDefault="00B46BEE">
      <w:pPr>
        <w:rPr>
          <w:rFonts w:cstheme="minorHAnsi"/>
          <w:sz w:val="24"/>
          <w:szCs w:val="24"/>
        </w:rPr>
      </w:pPr>
    </w:p>
    <w:p w14:paraId="45A92BDB" w14:textId="77777777" w:rsidR="00B46BEE" w:rsidRPr="00D611D8" w:rsidRDefault="00B46BEE">
      <w:pPr>
        <w:rPr>
          <w:rFonts w:cstheme="minorHAnsi"/>
          <w:sz w:val="24"/>
          <w:szCs w:val="24"/>
        </w:rPr>
      </w:pPr>
    </w:p>
    <w:p w14:paraId="06045112" w14:textId="77777777" w:rsidR="00B46BEE" w:rsidRPr="00D611D8" w:rsidRDefault="00B46BEE">
      <w:pPr>
        <w:rPr>
          <w:rFonts w:cstheme="minorHAnsi"/>
          <w:sz w:val="24"/>
          <w:szCs w:val="24"/>
        </w:rPr>
      </w:pPr>
    </w:p>
    <w:p w14:paraId="6EA6D137" w14:textId="77777777" w:rsidR="00B46BEE" w:rsidRPr="00D611D8" w:rsidRDefault="00B46BEE">
      <w:pPr>
        <w:rPr>
          <w:rFonts w:cstheme="minorHAnsi"/>
          <w:sz w:val="24"/>
          <w:szCs w:val="24"/>
        </w:rPr>
      </w:pPr>
    </w:p>
    <w:p w14:paraId="10B5153B" w14:textId="77777777" w:rsidR="00B46BEE" w:rsidRPr="00D611D8" w:rsidRDefault="00B46BEE">
      <w:pPr>
        <w:rPr>
          <w:rFonts w:cstheme="minorHAnsi"/>
          <w:sz w:val="24"/>
          <w:szCs w:val="24"/>
        </w:rPr>
      </w:pPr>
    </w:p>
    <w:p w14:paraId="0DFC41CB" w14:textId="77777777" w:rsidR="00B46BEE" w:rsidRPr="00D611D8" w:rsidRDefault="00B46BEE">
      <w:pPr>
        <w:rPr>
          <w:rFonts w:cstheme="minorHAnsi"/>
          <w:sz w:val="24"/>
          <w:szCs w:val="24"/>
        </w:rPr>
      </w:pPr>
    </w:p>
    <w:p w14:paraId="2174B58E" w14:textId="77777777" w:rsidR="00B46BEE" w:rsidRPr="00D611D8" w:rsidRDefault="00B46BEE">
      <w:pPr>
        <w:rPr>
          <w:rFonts w:cstheme="minorHAnsi"/>
          <w:sz w:val="24"/>
          <w:szCs w:val="24"/>
        </w:rPr>
      </w:pPr>
    </w:p>
    <w:p w14:paraId="1565D3E4" w14:textId="77777777" w:rsidR="00B46BEE" w:rsidRPr="00D611D8" w:rsidRDefault="00B46BEE">
      <w:pPr>
        <w:rPr>
          <w:rFonts w:cstheme="minorHAnsi"/>
          <w:sz w:val="24"/>
          <w:szCs w:val="24"/>
        </w:rPr>
      </w:pPr>
    </w:p>
    <w:p w14:paraId="7E7E9A5B" w14:textId="77777777" w:rsidR="00B46BEE" w:rsidRPr="00D611D8" w:rsidRDefault="00B46BEE">
      <w:pPr>
        <w:rPr>
          <w:rFonts w:cstheme="minorHAnsi"/>
          <w:sz w:val="24"/>
          <w:szCs w:val="24"/>
        </w:rPr>
      </w:pPr>
    </w:p>
    <w:p w14:paraId="59F48EAA" w14:textId="77777777" w:rsidR="00B46BEE" w:rsidRPr="00D611D8" w:rsidRDefault="00B46BEE">
      <w:pPr>
        <w:rPr>
          <w:rFonts w:cstheme="minorHAnsi"/>
          <w:sz w:val="24"/>
          <w:szCs w:val="24"/>
        </w:rPr>
      </w:pPr>
    </w:p>
    <w:p w14:paraId="16120878" w14:textId="77777777" w:rsidR="00B46BEE" w:rsidRPr="00D611D8" w:rsidRDefault="00B46BEE">
      <w:pPr>
        <w:rPr>
          <w:rFonts w:cstheme="minorHAnsi"/>
          <w:sz w:val="24"/>
          <w:szCs w:val="24"/>
        </w:rPr>
      </w:pPr>
    </w:p>
    <w:p w14:paraId="4CDBAEF9" w14:textId="02A84074" w:rsidR="00B46BEE" w:rsidRPr="00D611D8" w:rsidRDefault="00B46BEE">
      <w:pPr>
        <w:rPr>
          <w:rFonts w:cstheme="minorHAnsi"/>
          <w:sz w:val="24"/>
          <w:szCs w:val="24"/>
        </w:rPr>
      </w:pPr>
    </w:p>
    <w:p w14:paraId="0BBD5D90" w14:textId="7ABB125C" w:rsidR="00A47778" w:rsidRPr="00D611D8" w:rsidRDefault="00A47778">
      <w:pPr>
        <w:rPr>
          <w:rFonts w:cstheme="minorHAnsi"/>
          <w:sz w:val="24"/>
          <w:szCs w:val="24"/>
        </w:rPr>
      </w:pPr>
    </w:p>
    <w:p w14:paraId="75BC5B54" w14:textId="5608A99D" w:rsidR="00A47778" w:rsidRPr="00D611D8" w:rsidRDefault="00A47778">
      <w:pPr>
        <w:rPr>
          <w:rFonts w:cstheme="minorHAnsi"/>
          <w:sz w:val="24"/>
          <w:szCs w:val="24"/>
        </w:rPr>
      </w:pPr>
    </w:p>
    <w:p w14:paraId="255FCEDE" w14:textId="678FE487" w:rsidR="00A47778" w:rsidRPr="00D611D8" w:rsidRDefault="00A47778">
      <w:pPr>
        <w:rPr>
          <w:rFonts w:cstheme="minorHAnsi"/>
          <w:sz w:val="24"/>
          <w:szCs w:val="24"/>
        </w:rPr>
      </w:pPr>
    </w:p>
    <w:p w14:paraId="163EECA2" w14:textId="0708B150" w:rsidR="00A47778" w:rsidRPr="00D611D8" w:rsidRDefault="00A47778">
      <w:pPr>
        <w:rPr>
          <w:rFonts w:cstheme="minorHAnsi"/>
          <w:sz w:val="24"/>
          <w:szCs w:val="24"/>
        </w:rPr>
      </w:pPr>
    </w:p>
    <w:p w14:paraId="7386EED9" w14:textId="1A860228" w:rsidR="00A47778" w:rsidRPr="00D611D8" w:rsidRDefault="00A47778">
      <w:pPr>
        <w:rPr>
          <w:rFonts w:cstheme="minorHAnsi"/>
          <w:sz w:val="24"/>
          <w:szCs w:val="24"/>
        </w:rPr>
      </w:pPr>
    </w:p>
    <w:p w14:paraId="220D6DCF" w14:textId="783A574B" w:rsidR="00A47778" w:rsidRPr="00D611D8" w:rsidRDefault="00A47778">
      <w:pPr>
        <w:rPr>
          <w:rFonts w:cstheme="minorHAnsi"/>
          <w:sz w:val="24"/>
          <w:szCs w:val="24"/>
        </w:rPr>
      </w:pPr>
    </w:p>
    <w:p w14:paraId="5465BAC4" w14:textId="77777777" w:rsidR="00093E09" w:rsidRPr="00D611D8" w:rsidRDefault="00093E09">
      <w:pPr>
        <w:rPr>
          <w:rFonts w:cstheme="minorHAnsi"/>
          <w:sz w:val="24"/>
          <w:szCs w:val="24"/>
        </w:rPr>
      </w:pPr>
    </w:p>
    <w:p w14:paraId="46F26721" w14:textId="3881534E" w:rsidR="00B46BEE" w:rsidRPr="00D611D8" w:rsidRDefault="00B46BEE">
      <w:pPr>
        <w:rPr>
          <w:rFonts w:cstheme="minorHAnsi"/>
          <w:sz w:val="24"/>
          <w:szCs w:val="24"/>
          <w:u w:val="single"/>
        </w:rPr>
      </w:pPr>
      <w:r w:rsidRPr="00D611D8">
        <w:rPr>
          <w:rFonts w:cstheme="minorHAnsi"/>
          <w:sz w:val="24"/>
          <w:szCs w:val="24"/>
          <w:u w:val="single"/>
        </w:rPr>
        <w:lastRenderedPageBreak/>
        <w:t>Bibliography</w:t>
      </w:r>
    </w:p>
    <w:p w14:paraId="6242D435" w14:textId="77777777" w:rsidR="00093E09" w:rsidRPr="00D611D8" w:rsidRDefault="00093E09">
      <w:pPr>
        <w:rPr>
          <w:rFonts w:cstheme="minorHAnsi"/>
          <w:sz w:val="24"/>
          <w:szCs w:val="24"/>
        </w:rPr>
      </w:pPr>
    </w:p>
    <w:p w14:paraId="170F411B" w14:textId="3DAAE3F0" w:rsidR="00B46BEE" w:rsidRPr="00D611D8" w:rsidRDefault="00B46BEE">
      <w:pPr>
        <w:rPr>
          <w:rFonts w:cstheme="minorHAnsi"/>
          <w:sz w:val="24"/>
          <w:szCs w:val="24"/>
          <w:u w:val="single"/>
        </w:rPr>
      </w:pPr>
      <w:r w:rsidRPr="00D611D8">
        <w:rPr>
          <w:rFonts w:cstheme="minorHAnsi"/>
          <w:sz w:val="24"/>
          <w:szCs w:val="24"/>
          <w:u w:val="single"/>
        </w:rPr>
        <w:t>Ancient sources</w:t>
      </w:r>
    </w:p>
    <w:p w14:paraId="5FF74C39" w14:textId="2D33FEF9" w:rsidR="00CD4974" w:rsidRPr="00D611D8" w:rsidRDefault="00CD4974">
      <w:pPr>
        <w:rPr>
          <w:rFonts w:cstheme="minorHAnsi"/>
          <w:sz w:val="24"/>
          <w:szCs w:val="24"/>
          <w:u w:val="single"/>
        </w:rPr>
      </w:pPr>
    </w:p>
    <w:p w14:paraId="3F4167D3" w14:textId="0479A18E" w:rsidR="00B46BEE" w:rsidRPr="00D611D8" w:rsidRDefault="007A69A0">
      <w:pPr>
        <w:rPr>
          <w:rFonts w:cstheme="minorHAnsi"/>
          <w:sz w:val="24"/>
          <w:szCs w:val="24"/>
        </w:rPr>
      </w:pPr>
      <w:r w:rsidRPr="00D611D8">
        <w:rPr>
          <w:rFonts w:cstheme="minorHAnsi"/>
          <w:sz w:val="24"/>
          <w:szCs w:val="24"/>
        </w:rPr>
        <w:t xml:space="preserve">Anonymous, </w:t>
      </w:r>
      <w:r w:rsidRPr="00D611D8">
        <w:rPr>
          <w:rFonts w:cstheme="minorHAnsi"/>
          <w:i/>
          <w:sz w:val="24"/>
          <w:szCs w:val="24"/>
        </w:rPr>
        <w:t xml:space="preserve">The Homeric Hymns. </w:t>
      </w:r>
      <w:r w:rsidRPr="00D611D8">
        <w:rPr>
          <w:rFonts w:cstheme="minorHAnsi"/>
          <w:sz w:val="24"/>
          <w:szCs w:val="24"/>
        </w:rPr>
        <w:t>H.G. Evelyn-White (trans.). 1914. London: William Heinemann Ltd.</w:t>
      </w:r>
    </w:p>
    <w:p w14:paraId="6EF65D94" w14:textId="77777777" w:rsidR="00CD4974" w:rsidRPr="00D611D8" w:rsidRDefault="00CD4974">
      <w:pPr>
        <w:rPr>
          <w:rFonts w:cstheme="minorHAnsi"/>
          <w:sz w:val="24"/>
          <w:szCs w:val="24"/>
        </w:rPr>
      </w:pPr>
    </w:p>
    <w:p w14:paraId="4B38DA46" w14:textId="7EDD6622" w:rsidR="00B46BEE" w:rsidRPr="00D611D8" w:rsidRDefault="00B46BEE">
      <w:pPr>
        <w:rPr>
          <w:rFonts w:cstheme="minorHAnsi"/>
          <w:sz w:val="24"/>
          <w:szCs w:val="24"/>
        </w:rPr>
      </w:pPr>
      <w:r w:rsidRPr="00D611D8">
        <w:rPr>
          <w:rFonts w:cstheme="minorHAnsi"/>
          <w:sz w:val="24"/>
          <w:szCs w:val="24"/>
        </w:rPr>
        <w:t xml:space="preserve">Diodorus, </w:t>
      </w:r>
      <w:r w:rsidR="00E82664" w:rsidRPr="00D611D8">
        <w:rPr>
          <w:rFonts w:cstheme="minorHAnsi"/>
          <w:i/>
          <w:sz w:val="24"/>
          <w:szCs w:val="24"/>
        </w:rPr>
        <w:t>Bibliotheca</w:t>
      </w:r>
      <w:r w:rsidR="00312F42" w:rsidRPr="00D611D8">
        <w:rPr>
          <w:rFonts w:cstheme="minorHAnsi"/>
          <w:sz w:val="24"/>
          <w:szCs w:val="24"/>
        </w:rPr>
        <w:t xml:space="preserve">. C.H. </w:t>
      </w:r>
      <w:proofErr w:type="spellStart"/>
      <w:r w:rsidR="00312F42" w:rsidRPr="00D611D8">
        <w:rPr>
          <w:rFonts w:cstheme="minorHAnsi"/>
          <w:sz w:val="24"/>
          <w:szCs w:val="24"/>
        </w:rPr>
        <w:t>Oldfather</w:t>
      </w:r>
      <w:proofErr w:type="spellEnd"/>
      <w:r w:rsidR="00312F42" w:rsidRPr="00D611D8">
        <w:rPr>
          <w:rFonts w:cstheme="minorHAnsi"/>
          <w:sz w:val="24"/>
          <w:szCs w:val="24"/>
        </w:rPr>
        <w:t xml:space="preserve"> (trans.). 1935. London: William Heinemann Ltd.</w:t>
      </w:r>
    </w:p>
    <w:p w14:paraId="557A0339" w14:textId="77777777" w:rsidR="00C56BAF" w:rsidRPr="00D611D8" w:rsidRDefault="00C56BAF">
      <w:pPr>
        <w:rPr>
          <w:rFonts w:cstheme="minorHAnsi"/>
          <w:sz w:val="24"/>
          <w:szCs w:val="24"/>
        </w:rPr>
      </w:pPr>
    </w:p>
    <w:p w14:paraId="509A975F" w14:textId="07AD6863" w:rsidR="00E82664" w:rsidRPr="00D611D8" w:rsidRDefault="00C56BAF">
      <w:pPr>
        <w:rPr>
          <w:rFonts w:cstheme="minorHAnsi"/>
          <w:sz w:val="24"/>
          <w:szCs w:val="24"/>
        </w:rPr>
      </w:pPr>
      <w:r w:rsidRPr="00D611D8">
        <w:rPr>
          <w:rFonts w:cstheme="minorHAnsi"/>
          <w:sz w:val="24"/>
          <w:szCs w:val="24"/>
        </w:rPr>
        <w:t xml:space="preserve">Herodotus, </w:t>
      </w:r>
      <w:r w:rsidRPr="00D611D8">
        <w:rPr>
          <w:rFonts w:cstheme="minorHAnsi"/>
          <w:i/>
          <w:sz w:val="24"/>
          <w:szCs w:val="24"/>
        </w:rPr>
        <w:t xml:space="preserve">Histories. </w:t>
      </w:r>
      <w:r w:rsidRPr="00D611D8">
        <w:rPr>
          <w:rFonts w:cstheme="minorHAnsi"/>
          <w:sz w:val="24"/>
          <w:szCs w:val="24"/>
        </w:rPr>
        <w:t>A.D. Godley (trans.). 1920. Cambridge: Harvard University Press.</w:t>
      </w:r>
    </w:p>
    <w:p w14:paraId="228A405C" w14:textId="2CD3CB36" w:rsidR="00FA0BA1" w:rsidRPr="00D611D8" w:rsidRDefault="00FA0BA1">
      <w:pPr>
        <w:rPr>
          <w:rFonts w:cstheme="minorHAnsi"/>
          <w:sz w:val="24"/>
          <w:szCs w:val="24"/>
        </w:rPr>
      </w:pPr>
    </w:p>
    <w:p w14:paraId="54279C86" w14:textId="4E38E803" w:rsidR="00FA0BA1" w:rsidRPr="00D611D8" w:rsidRDefault="00FA0BA1">
      <w:pPr>
        <w:rPr>
          <w:rFonts w:cstheme="minorHAnsi"/>
          <w:sz w:val="24"/>
          <w:szCs w:val="24"/>
        </w:rPr>
      </w:pPr>
      <w:r w:rsidRPr="00D611D8">
        <w:rPr>
          <w:rFonts w:cstheme="minorHAnsi"/>
          <w:sz w:val="24"/>
          <w:szCs w:val="24"/>
        </w:rPr>
        <w:t xml:space="preserve">Pausanias, </w:t>
      </w:r>
      <w:r w:rsidRPr="00D611D8">
        <w:rPr>
          <w:rFonts w:cstheme="minorHAnsi"/>
          <w:i/>
          <w:sz w:val="24"/>
          <w:szCs w:val="24"/>
        </w:rPr>
        <w:t xml:space="preserve">Description of Greece. </w:t>
      </w:r>
      <w:r w:rsidRPr="00D611D8">
        <w:rPr>
          <w:rFonts w:cstheme="minorHAnsi"/>
          <w:sz w:val="24"/>
          <w:szCs w:val="24"/>
        </w:rPr>
        <w:t xml:space="preserve">W.H.S. Jones (trans.). 1918. London: William Heinemann Ltd. </w:t>
      </w:r>
    </w:p>
    <w:p w14:paraId="6D29CFD5" w14:textId="781722A0" w:rsidR="00171149" w:rsidRPr="00D611D8" w:rsidRDefault="00171149">
      <w:pPr>
        <w:rPr>
          <w:rFonts w:cstheme="minorHAnsi"/>
          <w:sz w:val="24"/>
          <w:szCs w:val="24"/>
        </w:rPr>
      </w:pPr>
    </w:p>
    <w:p w14:paraId="2A9844E5" w14:textId="2B8A4A38" w:rsidR="00171149" w:rsidRPr="00D611D8" w:rsidRDefault="00171149">
      <w:pPr>
        <w:rPr>
          <w:rFonts w:cstheme="minorHAnsi"/>
          <w:sz w:val="24"/>
          <w:szCs w:val="24"/>
        </w:rPr>
      </w:pPr>
      <w:r w:rsidRPr="00D611D8">
        <w:rPr>
          <w:rFonts w:cstheme="minorHAnsi"/>
          <w:sz w:val="24"/>
          <w:szCs w:val="24"/>
        </w:rPr>
        <w:t xml:space="preserve">Pindar, </w:t>
      </w:r>
      <w:r w:rsidRPr="00D611D8">
        <w:rPr>
          <w:rFonts w:cstheme="minorHAnsi"/>
          <w:i/>
          <w:sz w:val="24"/>
          <w:szCs w:val="24"/>
        </w:rPr>
        <w:t xml:space="preserve">Nemean. </w:t>
      </w:r>
      <w:r w:rsidRPr="00D611D8">
        <w:rPr>
          <w:rFonts w:cstheme="minorHAnsi"/>
          <w:sz w:val="24"/>
          <w:szCs w:val="24"/>
        </w:rPr>
        <w:t>W.H. Race (trans.). 1997. Cambridge: Harvard University Press.</w:t>
      </w:r>
    </w:p>
    <w:p w14:paraId="734E213B" w14:textId="175DBAF0" w:rsidR="009F1D5D" w:rsidRPr="00D611D8" w:rsidRDefault="009F1D5D">
      <w:pPr>
        <w:rPr>
          <w:rFonts w:cstheme="minorHAnsi"/>
          <w:sz w:val="24"/>
          <w:szCs w:val="24"/>
        </w:rPr>
      </w:pPr>
    </w:p>
    <w:p w14:paraId="01D94F40" w14:textId="67090448" w:rsidR="009F1D5D" w:rsidRPr="00D611D8" w:rsidRDefault="009F1D5D">
      <w:pPr>
        <w:rPr>
          <w:rFonts w:cstheme="minorHAnsi"/>
          <w:sz w:val="24"/>
          <w:szCs w:val="24"/>
        </w:rPr>
      </w:pPr>
      <w:r w:rsidRPr="00D611D8">
        <w:rPr>
          <w:rFonts w:cstheme="minorHAnsi"/>
          <w:sz w:val="24"/>
          <w:szCs w:val="24"/>
        </w:rPr>
        <w:t xml:space="preserve">Plutarch, </w:t>
      </w:r>
      <w:r w:rsidRPr="00D611D8">
        <w:rPr>
          <w:rFonts w:cstheme="minorHAnsi"/>
          <w:i/>
          <w:sz w:val="24"/>
          <w:szCs w:val="24"/>
        </w:rPr>
        <w:t>Theseus</w:t>
      </w:r>
      <w:r w:rsidRPr="00D611D8">
        <w:rPr>
          <w:rFonts w:cstheme="minorHAnsi"/>
          <w:sz w:val="24"/>
          <w:szCs w:val="24"/>
        </w:rPr>
        <w:t xml:space="preserve">. B. Perrin (trans.). 1914. London: William Heinemann Ltd. </w:t>
      </w:r>
    </w:p>
    <w:p w14:paraId="63E04F0C" w14:textId="629B29B3" w:rsidR="00E82664" w:rsidRPr="00D611D8" w:rsidRDefault="00E82664">
      <w:pPr>
        <w:rPr>
          <w:rFonts w:cstheme="minorHAnsi"/>
          <w:sz w:val="24"/>
          <w:szCs w:val="24"/>
        </w:rPr>
      </w:pPr>
    </w:p>
    <w:p w14:paraId="759B95D6" w14:textId="06E0E676" w:rsidR="003A4A0F" w:rsidRPr="00D611D8" w:rsidRDefault="003A4A0F">
      <w:pPr>
        <w:rPr>
          <w:rFonts w:cstheme="minorHAnsi"/>
          <w:sz w:val="24"/>
          <w:szCs w:val="24"/>
        </w:rPr>
      </w:pPr>
      <w:r w:rsidRPr="00D611D8">
        <w:rPr>
          <w:rFonts w:cstheme="minorHAnsi"/>
          <w:sz w:val="24"/>
          <w:szCs w:val="24"/>
        </w:rPr>
        <w:t xml:space="preserve">Pseudo-Apollodorus, </w:t>
      </w:r>
      <w:r w:rsidRPr="00D611D8">
        <w:rPr>
          <w:rFonts w:cstheme="minorHAnsi"/>
          <w:i/>
          <w:sz w:val="24"/>
          <w:szCs w:val="24"/>
        </w:rPr>
        <w:t>Bibliotheca.</w:t>
      </w:r>
      <w:r w:rsidRPr="00D611D8">
        <w:rPr>
          <w:rFonts w:cstheme="minorHAnsi"/>
          <w:sz w:val="24"/>
          <w:szCs w:val="24"/>
        </w:rPr>
        <w:t xml:space="preserve"> J.G. Frazer (trans.). 1921. London: William Heinemann Ltd.</w:t>
      </w:r>
    </w:p>
    <w:p w14:paraId="1B09D0C7" w14:textId="77777777" w:rsidR="003A4A0F" w:rsidRPr="00D611D8" w:rsidRDefault="003A4A0F">
      <w:pPr>
        <w:rPr>
          <w:rFonts w:cstheme="minorHAnsi"/>
          <w:sz w:val="24"/>
          <w:szCs w:val="24"/>
        </w:rPr>
      </w:pPr>
    </w:p>
    <w:p w14:paraId="100A9919" w14:textId="4F5D4E6C" w:rsidR="00E82664" w:rsidRPr="00D611D8" w:rsidRDefault="00E82664">
      <w:pPr>
        <w:rPr>
          <w:rFonts w:cstheme="minorHAnsi"/>
          <w:sz w:val="24"/>
          <w:szCs w:val="24"/>
        </w:rPr>
      </w:pPr>
      <w:r w:rsidRPr="00D611D8">
        <w:rPr>
          <w:rFonts w:cstheme="minorHAnsi"/>
          <w:sz w:val="24"/>
          <w:szCs w:val="24"/>
        </w:rPr>
        <w:t xml:space="preserve">Strabo, </w:t>
      </w:r>
      <w:r w:rsidRPr="00D611D8">
        <w:rPr>
          <w:rFonts w:cstheme="minorHAnsi"/>
          <w:i/>
          <w:sz w:val="24"/>
          <w:szCs w:val="24"/>
        </w:rPr>
        <w:t>Geography.</w:t>
      </w:r>
      <w:r w:rsidRPr="00D611D8">
        <w:rPr>
          <w:rFonts w:cstheme="minorHAnsi"/>
          <w:sz w:val="24"/>
          <w:szCs w:val="24"/>
        </w:rPr>
        <w:t xml:space="preserve"> E.L. Jones (trans.). 1924. London: William Heinemann Ltd.</w:t>
      </w:r>
    </w:p>
    <w:p w14:paraId="0DB3F0AC" w14:textId="77777777" w:rsidR="00C56BAF" w:rsidRPr="00D611D8" w:rsidRDefault="00C56BAF">
      <w:pPr>
        <w:rPr>
          <w:rFonts w:cstheme="minorHAnsi"/>
          <w:sz w:val="24"/>
          <w:szCs w:val="24"/>
        </w:rPr>
      </w:pPr>
    </w:p>
    <w:p w14:paraId="5F1A9A5A" w14:textId="535A5860" w:rsidR="00DF274E" w:rsidRPr="00D611D8" w:rsidRDefault="00DF274E">
      <w:pPr>
        <w:rPr>
          <w:rFonts w:cstheme="minorHAnsi"/>
          <w:i/>
          <w:sz w:val="24"/>
          <w:szCs w:val="24"/>
        </w:rPr>
      </w:pPr>
      <w:r w:rsidRPr="00D611D8">
        <w:rPr>
          <w:rFonts w:cstheme="minorHAnsi"/>
          <w:sz w:val="24"/>
          <w:szCs w:val="24"/>
        </w:rPr>
        <w:t xml:space="preserve">Theocritus, </w:t>
      </w:r>
      <w:r w:rsidRPr="00D611D8">
        <w:rPr>
          <w:rFonts w:cstheme="minorHAnsi"/>
          <w:i/>
          <w:sz w:val="24"/>
          <w:szCs w:val="24"/>
        </w:rPr>
        <w:t xml:space="preserve">Idylls. </w:t>
      </w:r>
      <w:r w:rsidRPr="00D611D8">
        <w:rPr>
          <w:rFonts w:cstheme="minorHAnsi"/>
          <w:sz w:val="24"/>
          <w:szCs w:val="24"/>
        </w:rPr>
        <w:t>J.M. Edmonds (trans.). 1912. Cambridge: Harvard University Press.</w:t>
      </w:r>
      <w:r w:rsidRPr="00D611D8">
        <w:rPr>
          <w:rFonts w:cstheme="minorHAnsi"/>
          <w:i/>
          <w:sz w:val="24"/>
          <w:szCs w:val="24"/>
        </w:rPr>
        <w:t xml:space="preserve"> </w:t>
      </w:r>
    </w:p>
    <w:p w14:paraId="4BFD31A4" w14:textId="4B664774" w:rsidR="00FD121C" w:rsidRPr="00D611D8" w:rsidRDefault="00FD121C">
      <w:pPr>
        <w:rPr>
          <w:rFonts w:cstheme="minorHAnsi"/>
          <w:i/>
          <w:sz w:val="24"/>
          <w:szCs w:val="24"/>
        </w:rPr>
      </w:pPr>
    </w:p>
    <w:p w14:paraId="2DD0160B" w14:textId="275615B7" w:rsidR="00FD121C" w:rsidRPr="00D611D8" w:rsidRDefault="00FD121C">
      <w:pPr>
        <w:rPr>
          <w:rFonts w:cstheme="minorHAnsi"/>
          <w:sz w:val="24"/>
          <w:szCs w:val="24"/>
        </w:rPr>
      </w:pPr>
      <w:r w:rsidRPr="00D611D8">
        <w:rPr>
          <w:rFonts w:cstheme="minorHAnsi"/>
          <w:sz w:val="24"/>
          <w:szCs w:val="24"/>
        </w:rPr>
        <w:t xml:space="preserve">Xenophon, </w:t>
      </w:r>
      <w:r w:rsidRPr="00D611D8">
        <w:rPr>
          <w:rFonts w:cstheme="minorHAnsi"/>
          <w:i/>
          <w:sz w:val="24"/>
          <w:szCs w:val="24"/>
        </w:rPr>
        <w:t>Agesilaus.</w:t>
      </w:r>
      <w:r w:rsidRPr="00D611D8">
        <w:rPr>
          <w:rFonts w:cstheme="minorHAnsi"/>
          <w:sz w:val="24"/>
          <w:szCs w:val="24"/>
        </w:rPr>
        <w:t xml:space="preserve"> </w:t>
      </w:r>
      <w:r w:rsidR="0079074F" w:rsidRPr="00D611D8">
        <w:rPr>
          <w:rFonts w:cstheme="minorHAnsi"/>
          <w:sz w:val="24"/>
          <w:szCs w:val="24"/>
        </w:rPr>
        <w:t xml:space="preserve">E.C. Marchant and G.W. </w:t>
      </w:r>
      <w:proofErr w:type="spellStart"/>
      <w:r w:rsidR="0079074F" w:rsidRPr="00D611D8">
        <w:rPr>
          <w:rFonts w:cstheme="minorHAnsi"/>
          <w:sz w:val="24"/>
          <w:szCs w:val="24"/>
        </w:rPr>
        <w:t>Bowerstock</w:t>
      </w:r>
      <w:proofErr w:type="spellEnd"/>
      <w:r w:rsidR="0079074F" w:rsidRPr="00D611D8">
        <w:rPr>
          <w:rFonts w:cstheme="minorHAnsi"/>
          <w:sz w:val="24"/>
          <w:szCs w:val="24"/>
        </w:rPr>
        <w:t xml:space="preserve"> (trans.). 1925. London: William Heinemann Ltd. </w:t>
      </w:r>
    </w:p>
    <w:p w14:paraId="1AA05041" w14:textId="77777777" w:rsidR="00B46BEE" w:rsidRPr="00D611D8" w:rsidRDefault="00B46BEE">
      <w:pPr>
        <w:rPr>
          <w:rFonts w:cstheme="minorHAnsi"/>
          <w:sz w:val="24"/>
          <w:szCs w:val="24"/>
          <w:u w:val="single"/>
        </w:rPr>
      </w:pPr>
    </w:p>
    <w:p w14:paraId="13339420" w14:textId="77A2A5B9" w:rsidR="00B46BEE" w:rsidRPr="00D611D8" w:rsidRDefault="00B46BEE">
      <w:pPr>
        <w:rPr>
          <w:rFonts w:cstheme="minorHAnsi"/>
          <w:sz w:val="24"/>
          <w:szCs w:val="24"/>
          <w:u w:val="single"/>
        </w:rPr>
      </w:pPr>
      <w:r w:rsidRPr="00D611D8">
        <w:rPr>
          <w:rFonts w:cstheme="minorHAnsi"/>
          <w:sz w:val="24"/>
          <w:szCs w:val="24"/>
          <w:u w:val="single"/>
        </w:rPr>
        <w:t>Modern scholarship</w:t>
      </w:r>
    </w:p>
    <w:p w14:paraId="35BCA4F1" w14:textId="21107969" w:rsidR="00FA7C6B" w:rsidRPr="00D611D8" w:rsidRDefault="00FA7C6B">
      <w:pPr>
        <w:rPr>
          <w:rFonts w:cstheme="minorHAnsi"/>
          <w:sz w:val="24"/>
          <w:szCs w:val="24"/>
          <w:u w:val="single"/>
        </w:rPr>
      </w:pPr>
    </w:p>
    <w:p w14:paraId="100E6C0B" w14:textId="234F8C40" w:rsidR="00FA7C6B" w:rsidRPr="00D611D8" w:rsidRDefault="00FA7C6B">
      <w:pPr>
        <w:rPr>
          <w:rFonts w:cstheme="minorHAnsi"/>
          <w:sz w:val="24"/>
          <w:szCs w:val="24"/>
        </w:rPr>
      </w:pPr>
      <w:r w:rsidRPr="00D611D8">
        <w:rPr>
          <w:rFonts w:cstheme="minorHAnsi"/>
          <w:sz w:val="24"/>
          <w:szCs w:val="24"/>
        </w:rPr>
        <w:t xml:space="preserve">Blair, A.N. 2010. ‘The different facets of Theseus: A problematic hero.’, </w:t>
      </w:r>
      <w:r w:rsidRPr="00D611D8">
        <w:rPr>
          <w:rFonts w:cstheme="minorHAnsi"/>
          <w:i/>
          <w:sz w:val="24"/>
          <w:szCs w:val="24"/>
        </w:rPr>
        <w:t>Scholia: Studies in Classical Antiquity</w:t>
      </w:r>
      <w:r w:rsidR="00B723FB" w:rsidRPr="00D611D8">
        <w:rPr>
          <w:rFonts w:cstheme="minorHAnsi"/>
          <w:i/>
          <w:sz w:val="24"/>
          <w:szCs w:val="24"/>
        </w:rPr>
        <w:t>,</w:t>
      </w:r>
      <w:r w:rsidRPr="00D611D8">
        <w:rPr>
          <w:rFonts w:cstheme="minorHAnsi"/>
          <w:sz w:val="24"/>
          <w:szCs w:val="24"/>
        </w:rPr>
        <w:t xml:space="preserve"> 19. 184-189</w:t>
      </w:r>
      <w:r w:rsidR="00B723FB" w:rsidRPr="00D611D8">
        <w:rPr>
          <w:rFonts w:cstheme="minorHAnsi"/>
          <w:sz w:val="24"/>
          <w:szCs w:val="24"/>
        </w:rPr>
        <w:t>.</w:t>
      </w:r>
    </w:p>
    <w:p w14:paraId="3CC6402E" w14:textId="0EE811CB" w:rsidR="00B46BEE" w:rsidRPr="00D611D8" w:rsidRDefault="00B46BEE">
      <w:pPr>
        <w:rPr>
          <w:rFonts w:cstheme="minorHAnsi"/>
          <w:sz w:val="24"/>
          <w:szCs w:val="24"/>
        </w:rPr>
      </w:pPr>
    </w:p>
    <w:p w14:paraId="77FF57FC" w14:textId="29E01C8B" w:rsidR="00E5016D" w:rsidRPr="00D611D8" w:rsidRDefault="00E5016D">
      <w:pPr>
        <w:rPr>
          <w:rFonts w:cstheme="minorHAnsi"/>
          <w:sz w:val="24"/>
          <w:szCs w:val="24"/>
        </w:rPr>
      </w:pPr>
      <w:r w:rsidRPr="00D611D8">
        <w:rPr>
          <w:rFonts w:cstheme="minorHAnsi"/>
          <w:sz w:val="24"/>
          <w:szCs w:val="24"/>
        </w:rPr>
        <w:t xml:space="preserve">Claassen, J.M. 2016. ‘Seizing the zeitgeist: Ovid in exile and Augustan political discourse.’, </w:t>
      </w:r>
      <w:r w:rsidRPr="00D611D8">
        <w:rPr>
          <w:rFonts w:cstheme="minorHAnsi"/>
          <w:i/>
          <w:sz w:val="24"/>
          <w:szCs w:val="24"/>
        </w:rPr>
        <w:t>Acta Classica</w:t>
      </w:r>
      <w:r w:rsidR="00B723FB" w:rsidRPr="00D611D8">
        <w:rPr>
          <w:rFonts w:cstheme="minorHAnsi"/>
          <w:i/>
          <w:sz w:val="24"/>
          <w:szCs w:val="24"/>
        </w:rPr>
        <w:t>,</w:t>
      </w:r>
      <w:r w:rsidRPr="00D611D8">
        <w:rPr>
          <w:rFonts w:cstheme="minorHAnsi"/>
          <w:sz w:val="24"/>
          <w:szCs w:val="24"/>
        </w:rPr>
        <w:t xml:space="preserve"> 59. 52-80</w:t>
      </w:r>
      <w:r w:rsidR="00B723FB" w:rsidRPr="00D611D8">
        <w:rPr>
          <w:rFonts w:cstheme="minorHAnsi"/>
          <w:sz w:val="24"/>
          <w:szCs w:val="24"/>
        </w:rPr>
        <w:t>.</w:t>
      </w:r>
    </w:p>
    <w:p w14:paraId="1F40AAE0" w14:textId="77777777" w:rsidR="00E5016D" w:rsidRPr="00D611D8" w:rsidRDefault="00E5016D">
      <w:pPr>
        <w:rPr>
          <w:rFonts w:cstheme="minorHAnsi"/>
          <w:sz w:val="24"/>
          <w:szCs w:val="24"/>
        </w:rPr>
      </w:pPr>
    </w:p>
    <w:p w14:paraId="1C98F32A" w14:textId="6396B9D0" w:rsidR="00877B0E" w:rsidRPr="00D611D8" w:rsidRDefault="00877B0E">
      <w:pPr>
        <w:rPr>
          <w:rFonts w:cstheme="minorHAnsi"/>
          <w:sz w:val="24"/>
          <w:szCs w:val="24"/>
        </w:rPr>
      </w:pPr>
      <w:r w:rsidRPr="00D611D8">
        <w:rPr>
          <w:rFonts w:cstheme="minorHAnsi"/>
          <w:sz w:val="24"/>
          <w:szCs w:val="24"/>
        </w:rPr>
        <w:t xml:space="preserve">Katz, M.A. 1995. ‘Ideology and ‘the status of women’ in ancient Greece’’, in R. Hawley and B. </w:t>
      </w:r>
      <w:proofErr w:type="spellStart"/>
      <w:r w:rsidRPr="00D611D8">
        <w:rPr>
          <w:rFonts w:cstheme="minorHAnsi"/>
          <w:sz w:val="24"/>
          <w:szCs w:val="24"/>
        </w:rPr>
        <w:t>Levick</w:t>
      </w:r>
      <w:proofErr w:type="spellEnd"/>
      <w:r w:rsidRPr="00D611D8">
        <w:rPr>
          <w:rFonts w:cstheme="minorHAnsi"/>
          <w:sz w:val="24"/>
          <w:szCs w:val="24"/>
        </w:rPr>
        <w:t xml:space="preserve"> (eds.). </w:t>
      </w:r>
      <w:r w:rsidRPr="00D611D8">
        <w:rPr>
          <w:rFonts w:cstheme="minorHAnsi"/>
          <w:i/>
          <w:sz w:val="24"/>
          <w:szCs w:val="24"/>
        </w:rPr>
        <w:t>Women in Antiquity: New Assessments</w:t>
      </w:r>
      <w:r w:rsidR="00B723FB" w:rsidRPr="00D611D8">
        <w:rPr>
          <w:rFonts w:cstheme="minorHAnsi"/>
          <w:i/>
          <w:sz w:val="24"/>
          <w:szCs w:val="24"/>
        </w:rPr>
        <w:t>,</w:t>
      </w:r>
      <w:r w:rsidRPr="00D611D8">
        <w:rPr>
          <w:rFonts w:cstheme="minorHAnsi"/>
          <w:i/>
          <w:sz w:val="24"/>
          <w:szCs w:val="24"/>
        </w:rPr>
        <w:t xml:space="preserve"> </w:t>
      </w:r>
      <w:r w:rsidRPr="00D611D8">
        <w:rPr>
          <w:rFonts w:cstheme="minorHAnsi"/>
          <w:sz w:val="24"/>
          <w:szCs w:val="24"/>
        </w:rPr>
        <w:t>London: Routledge. 21-43</w:t>
      </w:r>
      <w:r w:rsidR="00B723FB" w:rsidRPr="00D611D8">
        <w:rPr>
          <w:rFonts w:cstheme="minorHAnsi"/>
          <w:sz w:val="24"/>
          <w:szCs w:val="24"/>
        </w:rPr>
        <w:t>.</w:t>
      </w:r>
    </w:p>
    <w:p w14:paraId="00F97A7B" w14:textId="7DDC8251" w:rsidR="004974FB" w:rsidRPr="00D611D8" w:rsidRDefault="004974FB">
      <w:pPr>
        <w:rPr>
          <w:rFonts w:cstheme="minorHAnsi"/>
          <w:sz w:val="24"/>
          <w:szCs w:val="24"/>
        </w:rPr>
      </w:pPr>
    </w:p>
    <w:p w14:paraId="0F806221" w14:textId="51BF24DF" w:rsidR="004974FB" w:rsidRPr="00D611D8" w:rsidRDefault="004974FB">
      <w:pPr>
        <w:rPr>
          <w:rFonts w:cstheme="minorHAnsi"/>
          <w:sz w:val="24"/>
          <w:szCs w:val="24"/>
        </w:rPr>
      </w:pPr>
      <w:r w:rsidRPr="00D611D8">
        <w:rPr>
          <w:rFonts w:cstheme="minorHAnsi"/>
          <w:sz w:val="24"/>
          <w:szCs w:val="24"/>
        </w:rPr>
        <w:t xml:space="preserve">Meadows, A.R. 1995. ‘Pausanias and the Historiography of Classical Sparta’, </w:t>
      </w:r>
      <w:r w:rsidRPr="00D611D8">
        <w:rPr>
          <w:rFonts w:cstheme="minorHAnsi"/>
          <w:i/>
          <w:sz w:val="24"/>
          <w:szCs w:val="24"/>
        </w:rPr>
        <w:t>Classical Quarterly</w:t>
      </w:r>
      <w:r w:rsidR="00B723FB" w:rsidRPr="00D611D8">
        <w:rPr>
          <w:rFonts w:cstheme="minorHAnsi"/>
          <w:i/>
          <w:sz w:val="24"/>
          <w:szCs w:val="24"/>
        </w:rPr>
        <w:t>,</w:t>
      </w:r>
      <w:r w:rsidRPr="00D611D8">
        <w:rPr>
          <w:rFonts w:cstheme="minorHAnsi"/>
          <w:i/>
          <w:sz w:val="24"/>
          <w:szCs w:val="24"/>
        </w:rPr>
        <w:t xml:space="preserve"> </w:t>
      </w:r>
      <w:r w:rsidRPr="00D611D8">
        <w:rPr>
          <w:rFonts w:cstheme="minorHAnsi"/>
          <w:sz w:val="24"/>
          <w:szCs w:val="24"/>
        </w:rPr>
        <w:t>45. 1, 92-133</w:t>
      </w:r>
      <w:r w:rsidR="00B723FB" w:rsidRPr="00D611D8">
        <w:rPr>
          <w:rFonts w:cstheme="minorHAnsi"/>
          <w:sz w:val="24"/>
          <w:szCs w:val="24"/>
        </w:rPr>
        <w:t>.</w:t>
      </w:r>
    </w:p>
    <w:p w14:paraId="3606BE20" w14:textId="3BB8B355" w:rsidR="0020168B" w:rsidRPr="00D611D8" w:rsidRDefault="0020168B">
      <w:pPr>
        <w:rPr>
          <w:rFonts w:cstheme="minorHAnsi"/>
          <w:sz w:val="24"/>
          <w:szCs w:val="24"/>
        </w:rPr>
      </w:pPr>
    </w:p>
    <w:p w14:paraId="37C49853" w14:textId="63D48B2C" w:rsidR="0020168B" w:rsidRPr="0020168B" w:rsidRDefault="0020168B">
      <w:pPr>
        <w:rPr>
          <w:sz w:val="24"/>
        </w:rPr>
      </w:pPr>
      <w:r w:rsidRPr="00D611D8">
        <w:rPr>
          <w:rFonts w:cstheme="minorHAnsi"/>
          <w:sz w:val="24"/>
          <w:szCs w:val="24"/>
        </w:rPr>
        <w:t xml:space="preserve">Pomeroy, S.B. 2002. </w:t>
      </w:r>
      <w:r w:rsidRPr="00D611D8">
        <w:rPr>
          <w:rFonts w:cstheme="minorHAnsi"/>
          <w:i/>
          <w:sz w:val="24"/>
          <w:szCs w:val="24"/>
        </w:rPr>
        <w:t xml:space="preserve">Spartan Women. </w:t>
      </w:r>
      <w:r w:rsidRPr="00D611D8">
        <w:rPr>
          <w:rFonts w:cstheme="minorHAnsi"/>
          <w:sz w:val="24"/>
          <w:szCs w:val="24"/>
        </w:rPr>
        <w:t>New York: Oxford University Press</w:t>
      </w:r>
      <w:r>
        <w:rPr>
          <w:sz w:val="24"/>
        </w:rPr>
        <w:t>.</w:t>
      </w:r>
    </w:p>
    <w:sectPr w:rsidR="0020168B" w:rsidRPr="002016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073B5" w14:textId="77777777" w:rsidR="00AA7FD8" w:rsidRDefault="00AA7FD8" w:rsidP="00B46BEE">
      <w:pPr>
        <w:spacing w:after="0" w:line="240" w:lineRule="auto"/>
      </w:pPr>
      <w:r>
        <w:separator/>
      </w:r>
    </w:p>
  </w:endnote>
  <w:endnote w:type="continuationSeparator" w:id="0">
    <w:p w14:paraId="7DF0422F" w14:textId="77777777" w:rsidR="00AA7FD8" w:rsidRDefault="00AA7FD8" w:rsidP="00B46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D6BFD" w14:textId="77777777" w:rsidR="00AA7FD8" w:rsidRDefault="00AA7FD8" w:rsidP="00B46BEE">
      <w:pPr>
        <w:spacing w:after="0" w:line="240" w:lineRule="auto"/>
      </w:pPr>
      <w:r>
        <w:separator/>
      </w:r>
    </w:p>
  </w:footnote>
  <w:footnote w:type="continuationSeparator" w:id="0">
    <w:p w14:paraId="7819EAB2" w14:textId="77777777" w:rsidR="00AA7FD8" w:rsidRDefault="00AA7FD8" w:rsidP="00B46BEE">
      <w:pPr>
        <w:spacing w:after="0" w:line="240" w:lineRule="auto"/>
      </w:pPr>
      <w:r>
        <w:continuationSeparator/>
      </w:r>
    </w:p>
  </w:footnote>
  <w:footnote w:id="1">
    <w:p w14:paraId="793EB0BB" w14:textId="77777777" w:rsidR="00B46BEE" w:rsidRDefault="00B46BEE">
      <w:pPr>
        <w:pStyle w:val="FootnoteText"/>
      </w:pPr>
      <w:r>
        <w:rPr>
          <w:rStyle w:val="FootnoteReference"/>
        </w:rPr>
        <w:footnoteRef/>
      </w:r>
      <w:r>
        <w:t xml:space="preserve"> </w:t>
      </w:r>
      <w:proofErr w:type="spellStart"/>
      <w:r>
        <w:t>Diod</w:t>
      </w:r>
      <w:proofErr w:type="spellEnd"/>
      <w:r>
        <w:t xml:space="preserve">. </w:t>
      </w:r>
      <w:r w:rsidR="00312F42">
        <w:t xml:space="preserve">Sic. </w:t>
      </w:r>
      <w:r>
        <w:t>4.63</w:t>
      </w:r>
      <w:r w:rsidR="00F657A7">
        <w:t xml:space="preserve">; </w:t>
      </w:r>
      <w:proofErr w:type="spellStart"/>
      <w:r w:rsidR="00F657A7">
        <w:t>Theoc</w:t>
      </w:r>
      <w:proofErr w:type="spellEnd"/>
      <w:r w:rsidR="00DF274E">
        <w:t xml:space="preserve">. </w:t>
      </w:r>
      <w:r w:rsidR="00DF274E">
        <w:rPr>
          <w:i/>
        </w:rPr>
        <w:t>Id.</w:t>
      </w:r>
      <w:r w:rsidR="00F657A7">
        <w:t xml:space="preserve"> 22.137-1</w:t>
      </w:r>
      <w:r w:rsidR="00DF274E">
        <w:t>60</w:t>
      </w:r>
    </w:p>
  </w:footnote>
  <w:footnote w:id="2">
    <w:p w14:paraId="750EFC94" w14:textId="77777777" w:rsidR="00877B0E" w:rsidRDefault="00877B0E">
      <w:pPr>
        <w:pStyle w:val="FootnoteText"/>
      </w:pPr>
      <w:r>
        <w:rPr>
          <w:rStyle w:val="FootnoteReference"/>
        </w:rPr>
        <w:footnoteRef/>
      </w:r>
      <w:r>
        <w:t xml:space="preserve"> Katz 1995: 22-23</w:t>
      </w:r>
    </w:p>
  </w:footnote>
  <w:footnote w:id="3">
    <w:p w14:paraId="5AFCA357" w14:textId="77777777" w:rsidR="00744BA5" w:rsidRDefault="00744BA5">
      <w:pPr>
        <w:pStyle w:val="FootnoteText"/>
      </w:pPr>
      <w:r>
        <w:rPr>
          <w:rStyle w:val="FootnoteReference"/>
        </w:rPr>
        <w:footnoteRef/>
      </w:r>
      <w:r>
        <w:t xml:space="preserve"> Katz 1995: 24-25, 28-</w:t>
      </w:r>
      <w:r w:rsidR="006E5C92">
        <w:t>32, 39-40</w:t>
      </w:r>
    </w:p>
  </w:footnote>
  <w:footnote w:id="4">
    <w:p w14:paraId="0605BB49" w14:textId="77777777" w:rsidR="00CA7479" w:rsidRDefault="00CA7479" w:rsidP="00CA7479">
      <w:pPr>
        <w:pStyle w:val="FootnoteText"/>
      </w:pPr>
      <w:r>
        <w:rPr>
          <w:rStyle w:val="FootnoteReference"/>
        </w:rPr>
        <w:footnoteRef/>
      </w:r>
      <w:r>
        <w:t xml:space="preserve"> </w:t>
      </w:r>
      <w:proofErr w:type="spellStart"/>
      <w:r>
        <w:t>Hdt</w:t>
      </w:r>
      <w:proofErr w:type="spellEnd"/>
      <w:r>
        <w:t>. 5.51, 7.239</w:t>
      </w:r>
    </w:p>
  </w:footnote>
  <w:footnote w:id="5">
    <w:p w14:paraId="668E8781" w14:textId="40F35D98" w:rsidR="0032595E" w:rsidRPr="0020168B" w:rsidRDefault="0032595E">
      <w:pPr>
        <w:pStyle w:val="FootnoteText"/>
      </w:pPr>
      <w:r>
        <w:rPr>
          <w:rStyle w:val="FootnoteReference"/>
        </w:rPr>
        <w:footnoteRef/>
      </w:r>
      <w:r>
        <w:t xml:space="preserve"> </w:t>
      </w:r>
      <w:r w:rsidR="0020168B">
        <w:t>Pomeroy: x-xi, 12-14</w:t>
      </w:r>
      <w:r w:rsidR="00FD121C">
        <w:t>;</w:t>
      </w:r>
      <w:r w:rsidR="0020168B">
        <w:t xml:space="preserve"> </w:t>
      </w:r>
      <w:proofErr w:type="spellStart"/>
      <w:r w:rsidR="0020168B">
        <w:t>Theoc</w:t>
      </w:r>
      <w:proofErr w:type="spellEnd"/>
      <w:r w:rsidR="0020168B">
        <w:t xml:space="preserve">. </w:t>
      </w:r>
      <w:r w:rsidR="0020168B">
        <w:rPr>
          <w:i/>
        </w:rPr>
        <w:t xml:space="preserve">Id. </w:t>
      </w:r>
      <w:r w:rsidR="0020168B">
        <w:t>18.22-25</w:t>
      </w:r>
    </w:p>
  </w:footnote>
  <w:footnote w:id="6">
    <w:p w14:paraId="0943F3D3" w14:textId="11626AF1" w:rsidR="00FD121C" w:rsidRDefault="00FD121C">
      <w:pPr>
        <w:pStyle w:val="FootnoteText"/>
      </w:pPr>
      <w:r>
        <w:rPr>
          <w:rStyle w:val="FootnoteReference"/>
        </w:rPr>
        <w:footnoteRef/>
      </w:r>
      <w:r>
        <w:t xml:space="preserve"> Xen. </w:t>
      </w:r>
      <w:r w:rsidRPr="00FD121C">
        <w:rPr>
          <w:i/>
        </w:rPr>
        <w:t>Ages.</w:t>
      </w:r>
      <w:r>
        <w:t xml:space="preserve"> 9.6</w:t>
      </w:r>
      <w:r w:rsidR="00FA0BA1">
        <w:t>; Paus 3.8.1</w:t>
      </w:r>
    </w:p>
  </w:footnote>
  <w:footnote w:id="7">
    <w:p w14:paraId="7D55AA3F" w14:textId="0892CE6D" w:rsidR="00CD4974" w:rsidRDefault="00CD4974">
      <w:pPr>
        <w:pStyle w:val="FootnoteText"/>
      </w:pPr>
      <w:r>
        <w:rPr>
          <w:rStyle w:val="FootnoteReference"/>
        </w:rPr>
        <w:footnoteRef/>
      </w:r>
      <w:r>
        <w:t xml:space="preserve"> </w:t>
      </w:r>
      <w:proofErr w:type="spellStart"/>
      <w:proofErr w:type="gramStart"/>
      <w:r w:rsidR="003C522F">
        <w:t>P.</w:t>
      </w:r>
      <w:r>
        <w:t>Apollod</w:t>
      </w:r>
      <w:proofErr w:type="spellEnd"/>
      <w:proofErr w:type="gramEnd"/>
      <w:r>
        <w:t xml:space="preserve">. </w:t>
      </w:r>
      <w:r w:rsidRPr="00CD4974">
        <w:rPr>
          <w:i/>
        </w:rPr>
        <w:t>Bibl</w:t>
      </w:r>
      <w:r>
        <w:t>. 3.10.7</w:t>
      </w:r>
    </w:p>
  </w:footnote>
  <w:footnote w:id="8">
    <w:p w14:paraId="3921E3ED" w14:textId="56E0CB03" w:rsidR="007A69A0" w:rsidRDefault="007A69A0">
      <w:pPr>
        <w:pStyle w:val="FootnoteText"/>
      </w:pPr>
      <w:r>
        <w:rPr>
          <w:rStyle w:val="FootnoteReference"/>
        </w:rPr>
        <w:footnoteRef/>
      </w:r>
      <w:r>
        <w:t xml:space="preserve"> HH 17</w:t>
      </w:r>
    </w:p>
  </w:footnote>
  <w:footnote w:id="9">
    <w:p w14:paraId="2295EFB1" w14:textId="0DD8F632" w:rsidR="00CD4974" w:rsidRDefault="00CD4974">
      <w:pPr>
        <w:pStyle w:val="FootnoteText"/>
      </w:pPr>
      <w:r>
        <w:rPr>
          <w:rStyle w:val="FootnoteReference"/>
        </w:rPr>
        <w:footnoteRef/>
      </w:r>
      <w:r>
        <w:t xml:space="preserve"> </w:t>
      </w:r>
      <w:proofErr w:type="spellStart"/>
      <w:proofErr w:type="gramStart"/>
      <w:r w:rsidR="003C522F">
        <w:t>P.</w:t>
      </w:r>
      <w:r>
        <w:t>Apollod</w:t>
      </w:r>
      <w:proofErr w:type="spellEnd"/>
      <w:proofErr w:type="gramEnd"/>
      <w:r>
        <w:t xml:space="preserve">. </w:t>
      </w:r>
      <w:r w:rsidRPr="00CD4974">
        <w:rPr>
          <w:i/>
        </w:rPr>
        <w:t>Bibl</w:t>
      </w:r>
      <w:r>
        <w:t xml:space="preserve">. 3.10.6-7; </w:t>
      </w:r>
      <w:r w:rsidR="007A69A0">
        <w:t>HH 17</w:t>
      </w:r>
      <w:r w:rsidR="00E82664">
        <w:t xml:space="preserve">; </w:t>
      </w:r>
      <w:proofErr w:type="spellStart"/>
      <w:r w:rsidR="00E82664">
        <w:t>Strab</w:t>
      </w:r>
      <w:proofErr w:type="spellEnd"/>
      <w:r w:rsidR="00E82664">
        <w:t xml:space="preserve">. 10.2.24; </w:t>
      </w:r>
      <w:proofErr w:type="spellStart"/>
      <w:r w:rsidR="00E82664">
        <w:t>Pind</w:t>
      </w:r>
      <w:proofErr w:type="spellEnd"/>
      <w:r w:rsidR="00E82664">
        <w:t xml:space="preserve">. </w:t>
      </w:r>
      <w:proofErr w:type="spellStart"/>
      <w:r w:rsidR="00E82664" w:rsidRPr="00171149">
        <w:rPr>
          <w:i/>
        </w:rPr>
        <w:t>Nem</w:t>
      </w:r>
      <w:proofErr w:type="spellEnd"/>
      <w:r w:rsidR="00E82664">
        <w:t>. 10</w:t>
      </w:r>
    </w:p>
  </w:footnote>
  <w:footnote w:id="10">
    <w:p w14:paraId="107A9D01" w14:textId="706A5B47" w:rsidR="00D26962" w:rsidRDefault="00D26962">
      <w:pPr>
        <w:pStyle w:val="FootnoteText"/>
      </w:pPr>
      <w:r>
        <w:rPr>
          <w:rStyle w:val="FootnoteReference"/>
        </w:rPr>
        <w:footnoteRef/>
      </w:r>
      <w:r>
        <w:t xml:space="preserve"> Eur. </w:t>
      </w:r>
      <w:r w:rsidRPr="00D26962">
        <w:rPr>
          <w:i/>
        </w:rPr>
        <w:t>Hel.</w:t>
      </w:r>
      <w:r>
        <w:t xml:space="preserve"> 191</w:t>
      </w:r>
    </w:p>
  </w:footnote>
  <w:footnote w:id="11">
    <w:p w14:paraId="0B1B49F2" w14:textId="29C7F8DB" w:rsidR="0081105D" w:rsidRDefault="0081105D">
      <w:pPr>
        <w:pStyle w:val="FootnoteText"/>
      </w:pPr>
      <w:r>
        <w:rPr>
          <w:rStyle w:val="FootnoteReference"/>
        </w:rPr>
        <w:footnoteRef/>
      </w:r>
      <w:r>
        <w:t xml:space="preserve"> </w:t>
      </w:r>
      <w:proofErr w:type="spellStart"/>
      <w:r>
        <w:t>Plut</w:t>
      </w:r>
      <w:proofErr w:type="spellEnd"/>
      <w:r>
        <w:t xml:space="preserve">. </w:t>
      </w:r>
      <w:proofErr w:type="spellStart"/>
      <w:r w:rsidRPr="0081105D">
        <w:rPr>
          <w:i/>
        </w:rPr>
        <w:t>Thes</w:t>
      </w:r>
      <w:proofErr w:type="spellEnd"/>
      <w:r w:rsidRPr="0081105D">
        <w:rPr>
          <w:i/>
        </w:rPr>
        <w:t>.</w:t>
      </w:r>
      <w:r>
        <w:t xml:space="preserve"> 31.1</w:t>
      </w:r>
      <w:r w:rsidR="00FA7C6B">
        <w:t>; Blair 2010: 185</w:t>
      </w:r>
    </w:p>
  </w:footnote>
  <w:footnote w:id="12">
    <w:p w14:paraId="735A8FED" w14:textId="34C4DC12" w:rsidR="009F1D5D" w:rsidRDefault="009F1D5D">
      <w:pPr>
        <w:pStyle w:val="FootnoteText"/>
      </w:pPr>
      <w:r>
        <w:rPr>
          <w:rStyle w:val="FootnoteReference"/>
        </w:rPr>
        <w:footnoteRef/>
      </w:r>
      <w:r>
        <w:t xml:space="preserve"> </w:t>
      </w:r>
      <w:proofErr w:type="spellStart"/>
      <w:r>
        <w:t>Plut</w:t>
      </w:r>
      <w:proofErr w:type="spellEnd"/>
      <w:r>
        <w:t xml:space="preserve">. </w:t>
      </w:r>
      <w:proofErr w:type="spellStart"/>
      <w:r w:rsidRPr="009F1D5D">
        <w:rPr>
          <w:i/>
        </w:rPr>
        <w:t>Thes</w:t>
      </w:r>
      <w:proofErr w:type="spellEnd"/>
      <w:r>
        <w:t>. 32-33</w:t>
      </w:r>
      <w:r w:rsidR="002D7440">
        <w:t>; Paus. 1.41.5</w:t>
      </w:r>
    </w:p>
  </w:footnote>
  <w:footnote w:id="13">
    <w:p w14:paraId="65E1E911" w14:textId="1D90D04E" w:rsidR="00CF2552" w:rsidRDefault="00CF2552">
      <w:pPr>
        <w:pStyle w:val="FootnoteText"/>
      </w:pPr>
      <w:r>
        <w:rPr>
          <w:rStyle w:val="FootnoteReference"/>
        </w:rPr>
        <w:footnoteRef/>
      </w:r>
      <w:r>
        <w:t xml:space="preserve"> </w:t>
      </w:r>
      <w:proofErr w:type="spellStart"/>
      <w:r>
        <w:t>Plut</w:t>
      </w:r>
      <w:proofErr w:type="spellEnd"/>
      <w:r>
        <w:t xml:space="preserve">. </w:t>
      </w:r>
      <w:proofErr w:type="spellStart"/>
      <w:r w:rsidRPr="00CF2552">
        <w:rPr>
          <w:i/>
        </w:rPr>
        <w:t>Thes</w:t>
      </w:r>
      <w:proofErr w:type="spellEnd"/>
      <w:r>
        <w:t>. 3</w:t>
      </w:r>
      <w:r w:rsidR="002D7440">
        <w:t>2</w:t>
      </w:r>
      <w:r>
        <w:t>-3</w:t>
      </w:r>
      <w:r w:rsidR="002D7440">
        <w:t>3</w:t>
      </w:r>
      <w:r>
        <w:t xml:space="preserve">; </w:t>
      </w:r>
    </w:p>
  </w:footnote>
  <w:footnote w:id="14">
    <w:p w14:paraId="4B18A15B" w14:textId="39F89067" w:rsidR="002D7440" w:rsidRDefault="002D7440">
      <w:pPr>
        <w:pStyle w:val="FootnoteText"/>
      </w:pPr>
      <w:r>
        <w:rPr>
          <w:rStyle w:val="FootnoteReference"/>
        </w:rPr>
        <w:footnoteRef/>
      </w:r>
      <w:r>
        <w:t xml:space="preserve"> </w:t>
      </w:r>
      <w:proofErr w:type="spellStart"/>
      <w:r>
        <w:t>Plut</w:t>
      </w:r>
      <w:proofErr w:type="spellEnd"/>
      <w:r>
        <w:t xml:space="preserve">. </w:t>
      </w:r>
      <w:proofErr w:type="spellStart"/>
      <w:r w:rsidRPr="002D7440">
        <w:rPr>
          <w:i/>
        </w:rPr>
        <w:t>Thes</w:t>
      </w:r>
      <w:proofErr w:type="spellEnd"/>
      <w:r>
        <w:t>. 31.1</w:t>
      </w:r>
    </w:p>
  </w:footnote>
  <w:footnote w:id="15">
    <w:p w14:paraId="6032A2E9" w14:textId="2995FDAF" w:rsidR="006E69C0" w:rsidRDefault="006E69C0">
      <w:pPr>
        <w:pStyle w:val="FootnoteText"/>
      </w:pPr>
      <w:r>
        <w:rPr>
          <w:rStyle w:val="FootnoteReference"/>
        </w:rPr>
        <w:footnoteRef/>
      </w:r>
      <w:r>
        <w:t xml:space="preserve"> Paus. 4.4.4-4.5.10</w:t>
      </w:r>
    </w:p>
  </w:footnote>
  <w:footnote w:id="16">
    <w:p w14:paraId="5018C6A4" w14:textId="4E6A2111" w:rsidR="006E69C0" w:rsidRDefault="006E69C0">
      <w:pPr>
        <w:pStyle w:val="FootnoteText"/>
      </w:pPr>
      <w:r>
        <w:rPr>
          <w:rStyle w:val="FootnoteReference"/>
        </w:rPr>
        <w:footnoteRef/>
      </w:r>
      <w:r>
        <w:t xml:space="preserve"> Paus. 4.4.4-4.5.10</w:t>
      </w:r>
    </w:p>
  </w:footnote>
  <w:footnote w:id="17">
    <w:p w14:paraId="19DBF9EB" w14:textId="0CE85CAC" w:rsidR="006E69C0" w:rsidRDefault="006E69C0">
      <w:pPr>
        <w:pStyle w:val="FootnoteText"/>
      </w:pPr>
      <w:r>
        <w:rPr>
          <w:rStyle w:val="FootnoteReference"/>
        </w:rPr>
        <w:footnoteRef/>
      </w:r>
      <w:r>
        <w:t xml:space="preserve"> Paus. 4.4.4-4.5.10</w:t>
      </w:r>
      <w:r w:rsidR="004974FB">
        <w:t>; Meadows 1995: 112</w:t>
      </w:r>
    </w:p>
  </w:footnote>
  <w:footnote w:id="18">
    <w:p w14:paraId="40417D2F" w14:textId="66EB3B6E" w:rsidR="003C522F" w:rsidRDefault="003C522F">
      <w:pPr>
        <w:pStyle w:val="FootnoteText"/>
      </w:pPr>
      <w:r>
        <w:rPr>
          <w:rStyle w:val="FootnoteReference"/>
        </w:rPr>
        <w:footnoteRef/>
      </w:r>
      <w:r>
        <w:t xml:space="preserve"> </w:t>
      </w:r>
      <w:proofErr w:type="spellStart"/>
      <w:proofErr w:type="gramStart"/>
      <w:r>
        <w:t>P.Apollod</w:t>
      </w:r>
      <w:proofErr w:type="spellEnd"/>
      <w:proofErr w:type="gramEnd"/>
      <w:r>
        <w:t xml:space="preserve"> </w:t>
      </w:r>
      <w:r w:rsidRPr="003C522F">
        <w:rPr>
          <w:i/>
        </w:rPr>
        <w:t>Bibl.</w:t>
      </w:r>
      <w:r>
        <w:t xml:space="preserve"> 3.11</w:t>
      </w:r>
    </w:p>
  </w:footnote>
  <w:footnote w:id="19">
    <w:p w14:paraId="27E1DF17" w14:textId="37AD7A03" w:rsidR="003C522F" w:rsidRDefault="003C522F">
      <w:pPr>
        <w:pStyle w:val="FootnoteText"/>
      </w:pPr>
      <w:r>
        <w:rPr>
          <w:rStyle w:val="FootnoteReference"/>
        </w:rPr>
        <w:footnoteRef/>
      </w:r>
      <w:r>
        <w:t xml:space="preserve"> HH 33</w:t>
      </w:r>
      <w:r w:rsidR="00FA7C6B">
        <w:t xml:space="preserve">; </w:t>
      </w:r>
      <w:proofErr w:type="spellStart"/>
      <w:r w:rsidR="00FA7C6B">
        <w:t>Plut</w:t>
      </w:r>
      <w:proofErr w:type="spellEnd"/>
      <w:r w:rsidR="00FA7C6B">
        <w:t xml:space="preserve">. </w:t>
      </w:r>
      <w:proofErr w:type="spellStart"/>
      <w:r w:rsidR="00FA7C6B" w:rsidRPr="00FA7C6B">
        <w:rPr>
          <w:i/>
        </w:rPr>
        <w:t>Thes</w:t>
      </w:r>
      <w:proofErr w:type="spellEnd"/>
      <w:r w:rsidR="00FA7C6B">
        <w:t>. 32-33</w:t>
      </w:r>
    </w:p>
  </w:footnote>
  <w:footnote w:id="20">
    <w:p w14:paraId="1C7E5B61" w14:textId="546F9DCD" w:rsidR="00E5016D" w:rsidRDefault="00E5016D">
      <w:pPr>
        <w:pStyle w:val="FootnoteText"/>
      </w:pPr>
      <w:r>
        <w:rPr>
          <w:rStyle w:val="FootnoteReference"/>
        </w:rPr>
        <w:footnoteRef/>
      </w:r>
      <w:r>
        <w:t xml:space="preserve"> Claassen 2016: 53, 74-75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BEE"/>
    <w:rsid w:val="00021FC8"/>
    <w:rsid w:val="00031333"/>
    <w:rsid w:val="00093E09"/>
    <w:rsid w:val="000E3CB0"/>
    <w:rsid w:val="00134868"/>
    <w:rsid w:val="00171149"/>
    <w:rsid w:val="0019491B"/>
    <w:rsid w:val="001C5E17"/>
    <w:rsid w:val="0020168B"/>
    <w:rsid w:val="00214CCF"/>
    <w:rsid w:val="00233E23"/>
    <w:rsid w:val="002D7440"/>
    <w:rsid w:val="00312F42"/>
    <w:rsid w:val="0032595E"/>
    <w:rsid w:val="00357CB7"/>
    <w:rsid w:val="00384296"/>
    <w:rsid w:val="003A4A0F"/>
    <w:rsid w:val="003C522F"/>
    <w:rsid w:val="003F6692"/>
    <w:rsid w:val="004368D2"/>
    <w:rsid w:val="004974FB"/>
    <w:rsid w:val="004A0994"/>
    <w:rsid w:val="00506DB2"/>
    <w:rsid w:val="00572B0F"/>
    <w:rsid w:val="00613F17"/>
    <w:rsid w:val="0067492A"/>
    <w:rsid w:val="006753BB"/>
    <w:rsid w:val="006E5C92"/>
    <w:rsid w:val="006E69C0"/>
    <w:rsid w:val="00700295"/>
    <w:rsid w:val="007442AD"/>
    <w:rsid w:val="00744BA5"/>
    <w:rsid w:val="0079074F"/>
    <w:rsid w:val="007A69A0"/>
    <w:rsid w:val="007B2E60"/>
    <w:rsid w:val="007F5ABB"/>
    <w:rsid w:val="0081105D"/>
    <w:rsid w:val="00877B0E"/>
    <w:rsid w:val="00896029"/>
    <w:rsid w:val="008B390F"/>
    <w:rsid w:val="008D7214"/>
    <w:rsid w:val="009538A8"/>
    <w:rsid w:val="009F1D5D"/>
    <w:rsid w:val="00A02E8F"/>
    <w:rsid w:val="00A364B0"/>
    <w:rsid w:val="00A47778"/>
    <w:rsid w:val="00A94018"/>
    <w:rsid w:val="00AA7FD8"/>
    <w:rsid w:val="00B46BEE"/>
    <w:rsid w:val="00B54163"/>
    <w:rsid w:val="00B663DD"/>
    <w:rsid w:val="00B723FB"/>
    <w:rsid w:val="00C10C8C"/>
    <w:rsid w:val="00C14BD7"/>
    <w:rsid w:val="00C41FF4"/>
    <w:rsid w:val="00C56BAF"/>
    <w:rsid w:val="00CA7479"/>
    <w:rsid w:val="00CC6AD8"/>
    <w:rsid w:val="00CD4974"/>
    <w:rsid w:val="00CF2552"/>
    <w:rsid w:val="00D20B65"/>
    <w:rsid w:val="00D26962"/>
    <w:rsid w:val="00D611D8"/>
    <w:rsid w:val="00D6598E"/>
    <w:rsid w:val="00DF274E"/>
    <w:rsid w:val="00E01EB5"/>
    <w:rsid w:val="00E5016D"/>
    <w:rsid w:val="00E82664"/>
    <w:rsid w:val="00EE00B0"/>
    <w:rsid w:val="00F544E8"/>
    <w:rsid w:val="00F657A7"/>
    <w:rsid w:val="00FA0BA1"/>
    <w:rsid w:val="00FA49FD"/>
    <w:rsid w:val="00FA7C6B"/>
    <w:rsid w:val="00FD1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E6A1A"/>
  <w15:chartTrackingRefBased/>
  <w15:docId w15:val="{0298D165-1063-491E-8409-3E69191A2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46B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6BEE"/>
    <w:rPr>
      <w:sz w:val="20"/>
      <w:szCs w:val="20"/>
    </w:rPr>
  </w:style>
  <w:style w:type="character" w:styleId="FootnoteReference">
    <w:name w:val="footnote reference"/>
    <w:basedOn w:val="DefaultParagraphFont"/>
    <w:uiPriority w:val="99"/>
    <w:semiHidden/>
    <w:unhideWhenUsed/>
    <w:rsid w:val="00B46BEE"/>
    <w:rPr>
      <w:vertAlign w:val="superscript"/>
    </w:rPr>
  </w:style>
  <w:style w:type="character" w:styleId="Emphasis">
    <w:name w:val="Emphasis"/>
    <w:basedOn w:val="DefaultParagraphFont"/>
    <w:uiPriority w:val="20"/>
    <w:qFormat/>
    <w:rsid w:val="00D659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BF9B6-DA67-4481-A761-079FDD4E8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5</Pages>
  <Words>1124</Words>
  <Characters>6409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15</cp:revision>
  <dcterms:created xsi:type="dcterms:W3CDTF">2018-05-08T18:35:00Z</dcterms:created>
  <dcterms:modified xsi:type="dcterms:W3CDTF">2018-05-10T20:06:00Z</dcterms:modified>
</cp:coreProperties>
</file>