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BEBCC" w14:textId="77777777" w:rsidR="00405DC1" w:rsidRDefault="00405DC1" w:rsidP="00767E0F">
      <w:pPr>
        <w:jc w:val="center"/>
        <w:rPr>
          <w:rFonts w:cs="Times New Roman"/>
          <w:b/>
          <w:bCs/>
          <w:szCs w:val="24"/>
          <w:lang w:val="en-IN"/>
        </w:rPr>
      </w:pPr>
    </w:p>
    <w:p w14:paraId="64A947E9" w14:textId="77777777" w:rsidR="00405DC1" w:rsidRDefault="00405DC1" w:rsidP="00767E0F">
      <w:pPr>
        <w:jc w:val="center"/>
        <w:rPr>
          <w:rFonts w:cs="Times New Roman"/>
          <w:b/>
          <w:bCs/>
          <w:szCs w:val="24"/>
          <w:lang w:val="en-IN"/>
        </w:rPr>
      </w:pPr>
    </w:p>
    <w:p w14:paraId="121E2918" w14:textId="77777777" w:rsidR="00405DC1" w:rsidRDefault="00405DC1" w:rsidP="00767E0F">
      <w:pPr>
        <w:jc w:val="center"/>
        <w:rPr>
          <w:rFonts w:cs="Times New Roman"/>
          <w:b/>
          <w:bCs/>
          <w:szCs w:val="24"/>
          <w:lang w:val="en-IN"/>
        </w:rPr>
      </w:pPr>
    </w:p>
    <w:p w14:paraId="73AAB542" w14:textId="77777777" w:rsidR="00405DC1" w:rsidRDefault="00405DC1" w:rsidP="00767E0F">
      <w:pPr>
        <w:jc w:val="center"/>
        <w:rPr>
          <w:rFonts w:cs="Times New Roman"/>
          <w:b/>
          <w:bCs/>
          <w:szCs w:val="24"/>
          <w:lang w:val="en-IN"/>
        </w:rPr>
      </w:pPr>
    </w:p>
    <w:p w14:paraId="3C921FB3" w14:textId="77777777" w:rsidR="00405DC1" w:rsidRDefault="00405DC1" w:rsidP="00767E0F">
      <w:pPr>
        <w:jc w:val="center"/>
        <w:rPr>
          <w:rFonts w:cs="Times New Roman"/>
          <w:b/>
          <w:bCs/>
          <w:szCs w:val="24"/>
          <w:lang w:val="en-IN"/>
        </w:rPr>
      </w:pPr>
    </w:p>
    <w:p w14:paraId="6B2A7B6C" w14:textId="77777777" w:rsidR="00405DC1" w:rsidRDefault="00405DC1" w:rsidP="00767E0F">
      <w:pPr>
        <w:jc w:val="center"/>
        <w:rPr>
          <w:rFonts w:cs="Times New Roman"/>
          <w:b/>
          <w:bCs/>
          <w:szCs w:val="24"/>
          <w:lang w:val="en-IN"/>
        </w:rPr>
      </w:pPr>
    </w:p>
    <w:p w14:paraId="28EB0B98" w14:textId="4CD6E560" w:rsidR="00767E0F" w:rsidRDefault="000D6EB6" w:rsidP="00767E0F">
      <w:pPr>
        <w:jc w:val="center"/>
        <w:rPr>
          <w:rFonts w:cs="Times New Roman"/>
          <w:b/>
          <w:bCs/>
          <w:szCs w:val="24"/>
          <w:lang w:val="en-IN"/>
        </w:rPr>
      </w:pPr>
      <w:r w:rsidRPr="00767E0F">
        <w:rPr>
          <w:rFonts w:cs="Times New Roman"/>
          <w:b/>
          <w:bCs/>
          <w:szCs w:val="24"/>
          <w:lang w:val="en-IN"/>
        </w:rPr>
        <w:t>Accounting Fundamentals</w:t>
      </w:r>
    </w:p>
    <w:p w14:paraId="1A91B3A7" w14:textId="22EBFA1F" w:rsidR="00767E0F" w:rsidRDefault="003A7480" w:rsidP="00EF2E17">
      <w:pPr>
        <w:jc w:val="center"/>
        <w:rPr>
          <w:rFonts w:cs="Times New Roman"/>
          <w:b/>
          <w:bCs/>
          <w:szCs w:val="24"/>
          <w:lang w:val="en-IN"/>
        </w:rPr>
      </w:pPr>
      <w:r>
        <w:rPr>
          <w:rFonts w:cs="Times New Roman"/>
          <w:b/>
          <w:bCs/>
          <w:szCs w:val="24"/>
          <w:lang w:val="en-IN"/>
        </w:rPr>
        <w:t xml:space="preserve">UNIVERSITY OF WALES TRINITY SAINT DAVID </w:t>
      </w:r>
    </w:p>
    <w:p w14:paraId="1804CF23" w14:textId="7900A46F" w:rsidR="00A413A8" w:rsidRPr="00EF2E17" w:rsidRDefault="00A413A8" w:rsidP="003A7480">
      <w:pPr>
        <w:rPr>
          <w:rFonts w:cs="Times New Roman"/>
          <w:b/>
          <w:bCs/>
          <w:szCs w:val="24"/>
          <w:lang w:val="en-IN"/>
        </w:rPr>
      </w:pPr>
    </w:p>
    <w:p w14:paraId="1469E96A" w14:textId="28C55B4B" w:rsidR="00A413A8" w:rsidRDefault="000D6EB6" w:rsidP="00EF2E17">
      <w:pPr>
        <w:jc w:val="center"/>
        <w:rPr>
          <w:rFonts w:cs="Times New Roman"/>
          <w:b/>
          <w:bCs/>
          <w:szCs w:val="24"/>
          <w:lang w:val="en-IN"/>
        </w:rPr>
      </w:pPr>
      <w:r w:rsidRPr="00EF2E17">
        <w:rPr>
          <w:rFonts w:cs="Times New Roman"/>
          <w:b/>
          <w:bCs/>
          <w:szCs w:val="24"/>
          <w:lang w:val="en-IN"/>
        </w:rPr>
        <w:t xml:space="preserve">Name of </w:t>
      </w:r>
      <w:r w:rsidR="003A7480">
        <w:rPr>
          <w:rFonts w:cs="Times New Roman"/>
          <w:b/>
          <w:bCs/>
          <w:szCs w:val="24"/>
          <w:lang w:val="en-IN"/>
        </w:rPr>
        <w:t xml:space="preserve">student- </w:t>
      </w:r>
      <w:proofErr w:type="spellStart"/>
      <w:r w:rsidR="003A7480">
        <w:rPr>
          <w:rFonts w:cs="Times New Roman"/>
          <w:b/>
          <w:bCs/>
          <w:szCs w:val="24"/>
          <w:lang w:val="en-IN"/>
        </w:rPr>
        <w:t>Sanjana</w:t>
      </w:r>
      <w:proofErr w:type="spellEnd"/>
    </w:p>
    <w:p w14:paraId="10037EA1" w14:textId="5EE7081C" w:rsidR="00405DC1" w:rsidRDefault="00405DC1" w:rsidP="00EF2E17">
      <w:pPr>
        <w:jc w:val="center"/>
        <w:rPr>
          <w:rFonts w:cs="Times New Roman"/>
          <w:b/>
          <w:bCs/>
          <w:szCs w:val="24"/>
          <w:lang w:val="en-IN"/>
        </w:rPr>
      </w:pPr>
      <w:r>
        <w:rPr>
          <w:rFonts w:cs="Times New Roman"/>
          <w:b/>
          <w:bCs/>
          <w:szCs w:val="24"/>
          <w:lang w:val="en-IN"/>
        </w:rPr>
        <w:t xml:space="preserve">Student </w:t>
      </w:r>
      <w:r w:rsidR="003A7480">
        <w:rPr>
          <w:rFonts w:cs="Times New Roman"/>
          <w:b/>
          <w:bCs/>
          <w:szCs w:val="24"/>
          <w:lang w:val="en-IN"/>
        </w:rPr>
        <w:t>ID- 2128205</w:t>
      </w:r>
    </w:p>
    <w:p w14:paraId="602F1068" w14:textId="089557C0" w:rsidR="003A7480" w:rsidRDefault="003A7480" w:rsidP="00EF2E17">
      <w:pPr>
        <w:jc w:val="center"/>
        <w:rPr>
          <w:rFonts w:cs="Times New Roman"/>
          <w:b/>
          <w:bCs/>
          <w:szCs w:val="24"/>
          <w:lang w:val="en-IN"/>
        </w:rPr>
      </w:pPr>
    </w:p>
    <w:p w14:paraId="64541ECA" w14:textId="7D8367F0" w:rsidR="003A7480" w:rsidRPr="00EF2E17" w:rsidRDefault="003A7480" w:rsidP="00B73F0E">
      <w:pPr>
        <w:rPr>
          <w:rFonts w:cs="Times New Roman"/>
          <w:b/>
          <w:bCs/>
          <w:szCs w:val="24"/>
          <w:lang w:val="en-IN"/>
        </w:rPr>
      </w:pPr>
    </w:p>
    <w:p w14:paraId="6B509E76" w14:textId="0EDC021E" w:rsidR="00A413A8" w:rsidRPr="00EF2E17" w:rsidRDefault="00A413A8" w:rsidP="00EF2E17">
      <w:pPr>
        <w:jc w:val="center"/>
        <w:rPr>
          <w:rFonts w:cs="Times New Roman"/>
          <w:b/>
          <w:bCs/>
          <w:szCs w:val="24"/>
          <w:lang w:val="en-IN"/>
        </w:rPr>
      </w:pPr>
    </w:p>
    <w:p w14:paraId="2949E615" w14:textId="130C7B6A" w:rsidR="00A413A8" w:rsidRPr="00EF2E17" w:rsidRDefault="00A413A8" w:rsidP="00EF2E17">
      <w:pPr>
        <w:jc w:val="center"/>
        <w:rPr>
          <w:rFonts w:cs="Times New Roman"/>
          <w:b/>
          <w:bCs/>
          <w:szCs w:val="24"/>
          <w:lang w:val="en-IN"/>
        </w:rPr>
      </w:pPr>
    </w:p>
    <w:p w14:paraId="60E7456E" w14:textId="235F8872" w:rsidR="00A413A8" w:rsidRPr="00EF2E17" w:rsidRDefault="00A413A8" w:rsidP="00EF2E17">
      <w:pPr>
        <w:jc w:val="center"/>
        <w:rPr>
          <w:rFonts w:cs="Times New Roman"/>
          <w:b/>
          <w:bCs/>
          <w:szCs w:val="24"/>
          <w:lang w:val="en-IN"/>
        </w:rPr>
      </w:pPr>
    </w:p>
    <w:p w14:paraId="23023E14" w14:textId="281455BE" w:rsidR="00A413A8" w:rsidRPr="00EF2E17" w:rsidRDefault="00A413A8" w:rsidP="00EF2E17">
      <w:pPr>
        <w:jc w:val="center"/>
        <w:rPr>
          <w:rFonts w:cs="Times New Roman"/>
          <w:b/>
          <w:bCs/>
          <w:szCs w:val="24"/>
          <w:lang w:val="en-IN"/>
        </w:rPr>
      </w:pPr>
    </w:p>
    <w:p w14:paraId="2F2A10A6" w14:textId="7BCD73BD" w:rsidR="00A413A8" w:rsidRPr="00EF2E17" w:rsidRDefault="00A413A8" w:rsidP="00EF2E17">
      <w:pPr>
        <w:jc w:val="center"/>
        <w:rPr>
          <w:rFonts w:cs="Times New Roman"/>
          <w:b/>
          <w:bCs/>
          <w:szCs w:val="24"/>
          <w:lang w:val="en-IN"/>
        </w:rPr>
      </w:pPr>
    </w:p>
    <w:p w14:paraId="13DE05C9" w14:textId="4790A7B1" w:rsidR="00A413A8" w:rsidRPr="00EF2E17" w:rsidRDefault="00A413A8" w:rsidP="00EF2E17">
      <w:pPr>
        <w:jc w:val="center"/>
        <w:rPr>
          <w:rFonts w:cs="Times New Roman"/>
          <w:b/>
          <w:bCs/>
          <w:szCs w:val="24"/>
          <w:lang w:val="en-IN"/>
        </w:rPr>
      </w:pPr>
    </w:p>
    <w:p w14:paraId="137E0992" w14:textId="6541D877" w:rsidR="00A413A8" w:rsidRPr="00EF2E17" w:rsidRDefault="00A413A8" w:rsidP="00EF2E17">
      <w:pPr>
        <w:jc w:val="center"/>
        <w:rPr>
          <w:rFonts w:cs="Times New Roman"/>
          <w:b/>
          <w:bCs/>
          <w:szCs w:val="24"/>
          <w:lang w:val="en-IN"/>
        </w:rPr>
      </w:pPr>
    </w:p>
    <w:p w14:paraId="2A1A3070" w14:textId="49C0FF0B" w:rsidR="00A413A8" w:rsidRPr="00EF2E17" w:rsidRDefault="00A413A8" w:rsidP="00EF2E17">
      <w:pPr>
        <w:jc w:val="center"/>
        <w:rPr>
          <w:rFonts w:cs="Times New Roman"/>
          <w:b/>
          <w:bCs/>
          <w:szCs w:val="24"/>
          <w:lang w:val="en-IN"/>
        </w:rPr>
      </w:pPr>
    </w:p>
    <w:p w14:paraId="6BE04616" w14:textId="15ED9C73" w:rsidR="00A413A8" w:rsidRPr="00EF2E17" w:rsidRDefault="00A413A8" w:rsidP="00EF2E17">
      <w:pPr>
        <w:jc w:val="center"/>
        <w:rPr>
          <w:rFonts w:cs="Times New Roman"/>
          <w:b/>
          <w:bCs/>
          <w:szCs w:val="24"/>
          <w:lang w:val="en-IN"/>
        </w:rPr>
      </w:pPr>
    </w:p>
    <w:p w14:paraId="5797B554" w14:textId="72143147" w:rsidR="00A413A8" w:rsidRPr="00EF2E17" w:rsidRDefault="00A413A8" w:rsidP="00EF2E17">
      <w:pPr>
        <w:jc w:val="center"/>
        <w:rPr>
          <w:rFonts w:cs="Times New Roman"/>
          <w:b/>
          <w:bCs/>
          <w:szCs w:val="24"/>
          <w:lang w:val="en-IN"/>
        </w:rPr>
      </w:pPr>
    </w:p>
    <w:p w14:paraId="0BB361DD" w14:textId="7BBE1281" w:rsidR="00A413A8" w:rsidRPr="00EF2E17" w:rsidRDefault="00A413A8" w:rsidP="00EF2E17">
      <w:pPr>
        <w:jc w:val="center"/>
        <w:rPr>
          <w:rFonts w:cs="Times New Roman"/>
          <w:b/>
          <w:bCs/>
          <w:szCs w:val="24"/>
          <w:lang w:val="en-IN"/>
        </w:rPr>
      </w:pPr>
    </w:p>
    <w:p w14:paraId="45D8DA0C" w14:textId="2B31C984" w:rsidR="00A413A8" w:rsidRPr="00EF2E17" w:rsidRDefault="00A413A8" w:rsidP="00EF2E17">
      <w:pPr>
        <w:jc w:val="center"/>
        <w:rPr>
          <w:rFonts w:cs="Times New Roman"/>
          <w:b/>
          <w:bCs/>
          <w:szCs w:val="24"/>
          <w:lang w:val="en-IN"/>
        </w:rPr>
      </w:pPr>
    </w:p>
    <w:p w14:paraId="300C878C" w14:textId="6BB8E158" w:rsidR="00A413A8" w:rsidRPr="00EF2E17" w:rsidRDefault="00A413A8" w:rsidP="00EF2E17">
      <w:pPr>
        <w:jc w:val="center"/>
        <w:rPr>
          <w:rFonts w:cs="Times New Roman"/>
          <w:b/>
          <w:bCs/>
          <w:szCs w:val="24"/>
          <w:lang w:val="en-IN"/>
        </w:rPr>
      </w:pPr>
    </w:p>
    <w:p w14:paraId="0A90CBB4" w14:textId="6FE37E4C" w:rsidR="00A413A8" w:rsidRPr="00EF2E17" w:rsidRDefault="00A413A8" w:rsidP="00EF2E17">
      <w:pPr>
        <w:rPr>
          <w:rFonts w:cs="Times New Roman"/>
          <w:b/>
          <w:bCs/>
          <w:szCs w:val="24"/>
          <w:lang w:val="en-IN"/>
        </w:rPr>
      </w:pPr>
    </w:p>
    <w:sdt>
      <w:sdtPr>
        <w:rPr>
          <w:rFonts w:ascii="Times New Roman" w:eastAsiaTheme="minorHAnsi" w:hAnsi="Times New Roman" w:cs="Times New Roman"/>
          <w:color w:val="000000" w:themeColor="text1"/>
          <w:sz w:val="24"/>
          <w:szCs w:val="24"/>
          <w:lang w:bidi="hi-IN"/>
        </w:rPr>
        <w:id w:val="756103385"/>
        <w:docPartObj>
          <w:docPartGallery w:val="Table of Contents"/>
          <w:docPartUnique/>
        </w:docPartObj>
      </w:sdtPr>
      <w:sdtEndPr>
        <w:rPr>
          <w:b/>
          <w:bCs/>
          <w:noProof/>
        </w:rPr>
      </w:sdtEndPr>
      <w:sdtContent>
        <w:p w14:paraId="057C1CEC" w14:textId="44875306" w:rsidR="00A413A8" w:rsidRPr="00EF2E17" w:rsidRDefault="000D6EB6" w:rsidP="00EF2E17">
          <w:pPr>
            <w:pStyle w:val="TOCHeading"/>
            <w:spacing w:line="360" w:lineRule="auto"/>
            <w:jc w:val="center"/>
            <w:rPr>
              <w:rFonts w:ascii="Times New Roman" w:hAnsi="Times New Roman" w:cs="Times New Roman"/>
              <w:sz w:val="24"/>
              <w:szCs w:val="24"/>
            </w:rPr>
          </w:pPr>
          <w:r w:rsidRPr="00EF2E17">
            <w:rPr>
              <w:rFonts w:ascii="Times New Roman" w:hAnsi="Times New Roman" w:cs="Times New Roman"/>
              <w:sz w:val="24"/>
              <w:szCs w:val="24"/>
            </w:rPr>
            <w:t>Table of Contents</w:t>
          </w:r>
        </w:p>
        <w:p w14:paraId="6C7A9E91" w14:textId="56890B78" w:rsidR="00EF2E17" w:rsidRDefault="000D6EB6">
          <w:pPr>
            <w:pStyle w:val="TOC1"/>
            <w:tabs>
              <w:tab w:val="right" w:leader="dot" w:pos="9016"/>
            </w:tabs>
            <w:rPr>
              <w:rFonts w:asciiTheme="minorHAnsi" w:eastAsiaTheme="minorEastAsia" w:hAnsiTheme="minorHAnsi"/>
              <w:noProof/>
              <w:color w:val="auto"/>
              <w:sz w:val="22"/>
              <w:szCs w:val="22"/>
              <w:lang w:val="en-IN" w:eastAsia="en-IN" w:bidi="ar-SA"/>
            </w:rPr>
          </w:pPr>
          <w:r w:rsidRPr="00EF2E17">
            <w:rPr>
              <w:rFonts w:cs="Times New Roman"/>
              <w:szCs w:val="24"/>
            </w:rPr>
            <w:fldChar w:fldCharType="begin"/>
          </w:r>
          <w:r w:rsidRPr="00EF2E17">
            <w:rPr>
              <w:rFonts w:cs="Times New Roman"/>
              <w:szCs w:val="24"/>
            </w:rPr>
            <w:instrText xml:space="preserve"> TOC \o "1-3" \h \z \u </w:instrText>
          </w:r>
          <w:r w:rsidRPr="00EF2E17">
            <w:rPr>
              <w:rFonts w:cs="Times New Roman"/>
              <w:szCs w:val="24"/>
            </w:rPr>
            <w:fldChar w:fldCharType="separate"/>
          </w:r>
          <w:hyperlink w:anchor="_Toc119344767" w:history="1">
            <w:r w:rsidRPr="00FE69D5">
              <w:rPr>
                <w:rStyle w:val="Hyperlink"/>
                <w:rFonts w:cs="Times New Roman"/>
                <w:noProof/>
                <w:lang w:val="en-IN"/>
              </w:rPr>
              <w:t>Part 1</w:t>
            </w:r>
            <w:r>
              <w:rPr>
                <w:noProof/>
                <w:webHidden/>
              </w:rPr>
              <w:tab/>
            </w:r>
            <w:r>
              <w:rPr>
                <w:noProof/>
                <w:webHidden/>
              </w:rPr>
              <w:fldChar w:fldCharType="begin"/>
            </w:r>
            <w:r>
              <w:rPr>
                <w:noProof/>
                <w:webHidden/>
              </w:rPr>
              <w:instrText xml:space="preserve"> PAGEREF _Toc119344767 \h </w:instrText>
            </w:r>
            <w:r>
              <w:rPr>
                <w:noProof/>
                <w:webHidden/>
              </w:rPr>
            </w:r>
            <w:r>
              <w:rPr>
                <w:noProof/>
                <w:webHidden/>
              </w:rPr>
              <w:fldChar w:fldCharType="separate"/>
            </w:r>
            <w:r>
              <w:rPr>
                <w:noProof/>
                <w:webHidden/>
              </w:rPr>
              <w:t>3</w:t>
            </w:r>
            <w:r>
              <w:rPr>
                <w:noProof/>
                <w:webHidden/>
              </w:rPr>
              <w:fldChar w:fldCharType="end"/>
            </w:r>
          </w:hyperlink>
        </w:p>
        <w:p w14:paraId="3722047B" w14:textId="6BD1DB3A" w:rsidR="00EF2E17" w:rsidRDefault="00B73F0E">
          <w:pPr>
            <w:pStyle w:val="TOC2"/>
            <w:tabs>
              <w:tab w:val="right" w:leader="dot" w:pos="9016"/>
            </w:tabs>
            <w:rPr>
              <w:rFonts w:asciiTheme="minorHAnsi" w:eastAsiaTheme="minorEastAsia" w:hAnsiTheme="minorHAnsi"/>
              <w:noProof/>
              <w:color w:val="auto"/>
              <w:sz w:val="22"/>
              <w:szCs w:val="22"/>
              <w:lang w:val="en-IN" w:eastAsia="en-IN" w:bidi="ar-SA"/>
            </w:rPr>
          </w:pPr>
          <w:hyperlink w:anchor="_Toc119344768" w:history="1">
            <w:r w:rsidR="000D6EB6" w:rsidRPr="00FE69D5">
              <w:rPr>
                <w:rStyle w:val="Hyperlink"/>
                <w:rFonts w:cs="Times New Roman"/>
                <w:noProof/>
                <w:lang w:val="en-IN"/>
              </w:rPr>
              <w:t>a) Income statement and balance sheet</w:t>
            </w:r>
            <w:r w:rsidR="000D6EB6">
              <w:rPr>
                <w:noProof/>
                <w:webHidden/>
              </w:rPr>
              <w:tab/>
            </w:r>
            <w:r w:rsidR="000D6EB6">
              <w:rPr>
                <w:noProof/>
                <w:webHidden/>
              </w:rPr>
              <w:fldChar w:fldCharType="begin"/>
            </w:r>
            <w:r w:rsidR="000D6EB6">
              <w:rPr>
                <w:noProof/>
                <w:webHidden/>
              </w:rPr>
              <w:instrText xml:space="preserve"> PAGEREF _Toc119344768 \h </w:instrText>
            </w:r>
            <w:r w:rsidR="000D6EB6">
              <w:rPr>
                <w:noProof/>
                <w:webHidden/>
              </w:rPr>
            </w:r>
            <w:r w:rsidR="000D6EB6">
              <w:rPr>
                <w:noProof/>
                <w:webHidden/>
              </w:rPr>
              <w:fldChar w:fldCharType="separate"/>
            </w:r>
            <w:r w:rsidR="000D6EB6">
              <w:rPr>
                <w:noProof/>
                <w:webHidden/>
              </w:rPr>
              <w:t>3</w:t>
            </w:r>
            <w:r w:rsidR="000D6EB6">
              <w:rPr>
                <w:noProof/>
                <w:webHidden/>
              </w:rPr>
              <w:fldChar w:fldCharType="end"/>
            </w:r>
          </w:hyperlink>
        </w:p>
        <w:p w14:paraId="2F12BA6D" w14:textId="52D045C9" w:rsidR="00EF2E17" w:rsidRDefault="00B73F0E">
          <w:pPr>
            <w:pStyle w:val="TOC2"/>
            <w:tabs>
              <w:tab w:val="right" w:leader="dot" w:pos="9016"/>
            </w:tabs>
            <w:rPr>
              <w:rFonts w:asciiTheme="minorHAnsi" w:eastAsiaTheme="minorEastAsia" w:hAnsiTheme="minorHAnsi"/>
              <w:noProof/>
              <w:color w:val="auto"/>
              <w:sz w:val="22"/>
              <w:szCs w:val="22"/>
              <w:lang w:val="en-IN" w:eastAsia="en-IN" w:bidi="ar-SA"/>
            </w:rPr>
          </w:pPr>
          <w:hyperlink w:anchor="_Toc119344769" w:history="1">
            <w:r w:rsidR="000D6EB6" w:rsidRPr="00FE69D5">
              <w:rPr>
                <w:rStyle w:val="Hyperlink"/>
                <w:rFonts w:cs="Times New Roman"/>
                <w:noProof/>
                <w:lang w:val="en-IN"/>
              </w:rPr>
              <w:t>b) Reason behind balancing financial position statement</w:t>
            </w:r>
            <w:r w:rsidR="000D6EB6">
              <w:rPr>
                <w:noProof/>
                <w:webHidden/>
              </w:rPr>
              <w:tab/>
            </w:r>
            <w:r w:rsidR="000D6EB6">
              <w:rPr>
                <w:noProof/>
                <w:webHidden/>
              </w:rPr>
              <w:fldChar w:fldCharType="begin"/>
            </w:r>
            <w:r w:rsidR="000D6EB6">
              <w:rPr>
                <w:noProof/>
                <w:webHidden/>
              </w:rPr>
              <w:instrText xml:space="preserve"> PAGEREF _Toc119344769 \h </w:instrText>
            </w:r>
            <w:r w:rsidR="000D6EB6">
              <w:rPr>
                <w:noProof/>
                <w:webHidden/>
              </w:rPr>
            </w:r>
            <w:r w:rsidR="000D6EB6">
              <w:rPr>
                <w:noProof/>
                <w:webHidden/>
              </w:rPr>
              <w:fldChar w:fldCharType="separate"/>
            </w:r>
            <w:r w:rsidR="000D6EB6">
              <w:rPr>
                <w:noProof/>
                <w:webHidden/>
              </w:rPr>
              <w:t>4</w:t>
            </w:r>
            <w:r w:rsidR="000D6EB6">
              <w:rPr>
                <w:noProof/>
                <w:webHidden/>
              </w:rPr>
              <w:fldChar w:fldCharType="end"/>
            </w:r>
          </w:hyperlink>
        </w:p>
        <w:p w14:paraId="7C86B5F8" w14:textId="24F114D9" w:rsidR="00EF2E17" w:rsidRDefault="00B73F0E">
          <w:pPr>
            <w:pStyle w:val="TOC1"/>
            <w:tabs>
              <w:tab w:val="right" w:leader="dot" w:pos="9016"/>
            </w:tabs>
            <w:rPr>
              <w:rFonts w:asciiTheme="minorHAnsi" w:eastAsiaTheme="minorEastAsia" w:hAnsiTheme="minorHAnsi"/>
              <w:noProof/>
              <w:color w:val="auto"/>
              <w:sz w:val="22"/>
              <w:szCs w:val="22"/>
              <w:lang w:val="en-IN" w:eastAsia="en-IN" w:bidi="ar-SA"/>
            </w:rPr>
          </w:pPr>
          <w:hyperlink w:anchor="_Toc119344770" w:history="1">
            <w:r w:rsidR="000D6EB6" w:rsidRPr="00FE69D5">
              <w:rPr>
                <w:rStyle w:val="Hyperlink"/>
                <w:rFonts w:cs="Times New Roman"/>
                <w:noProof/>
                <w:lang w:val="en-IN"/>
              </w:rPr>
              <w:t>Part 2</w:t>
            </w:r>
            <w:r w:rsidR="000D6EB6">
              <w:rPr>
                <w:noProof/>
                <w:webHidden/>
              </w:rPr>
              <w:tab/>
            </w:r>
            <w:r w:rsidR="000D6EB6">
              <w:rPr>
                <w:noProof/>
                <w:webHidden/>
              </w:rPr>
              <w:fldChar w:fldCharType="begin"/>
            </w:r>
            <w:r w:rsidR="000D6EB6">
              <w:rPr>
                <w:noProof/>
                <w:webHidden/>
              </w:rPr>
              <w:instrText xml:space="preserve"> PAGEREF _Toc119344770 \h </w:instrText>
            </w:r>
            <w:r w:rsidR="000D6EB6">
              <w:rPr>
                <w:noProof/>
                <w:webHidden/>
              </w:rPr>
            </w:r>
            <w:r w:rsidR="000D6EB6">
              <w:rPr>
                <w:noProof/>
                <w:webHidden/>
              </w:rPr>
              <w:fldChar w:fldCharType="separate"/>
            </w:r>
            <w:r w:rsidR="000D6EB6">
              <w:rPr>
                <w:noProof/>
                <w:webHidden/>
              </w:rPr>
              <w:t>4</w:t>
            </w:r>
            <w:r w:rsidR="000D6EB6">
              <w:rPr>
                <w:noProof/>
                <w:webHidden/>
              </w:rPr>
              <w:fldChar w:fldCharType="end"/>
            </w:r>
          </w:hyperlink>
        </w:p>
        <w:p w14:paraId="56FFEB25" w14:textId="50313408" w:rsidR="00EF2E17" w:rsidRDefault="00B73F0E">
          <w:pPr>
            <w:pStyle w:val="TOC2"/>
            <w:tabs>
              <w:tab w:val="right" w:leader="dot" w:pos="9016"/>
            </w:tabs>
            <w:rPr>
              <w:rFonts w:asciiTheme="minorHAnsi" w:eastAsiaTheme="minorEastAsia" w:hAnsiTheme="minorHAnsi"/>
              <w:noProof/>
              <w:color w:val="auto"/>
              <w:sz w:val="22"/>
              <w:szCs w:val="22"/>
              <w:lang w:val="en-IN" w:eastAsia="en-IN" w:bidi="ar-SA"/>
            </w:rPr>
          </w:pPr>
          <w:hyperlink w:anchor="_Toc119344771" w:history="1">
            <w:r w:rsidR="000D6EB6" w:rsidRPr="00FE69D5">
              <w:rPr>
                <w:rStyle w:val="Hyperlink"/>
                <w:rFonts w:cs="Times New Roman"/>
                <w:noProof/>
                <w:lang w:val="en-IN"/>
              </w:rPr>
              <w:t>a) Ratio calculation</w:t>
            </w:r>
            <w:r w:rsidR="000D6EB6">
              <w:rPr>
                <w:noProof/>
                <w:webHidden/>
              </w:rPr>
              <w:tab/>
            </w:r>
            <w:r w:rsidR="000D6EB6">
              <w:rPr>
                <w:noProof/>
                <w:webHidden/>
              </w:rPr>
              <w:fldChar w:fldCharType="begin"/>
            </w:r>
            <w:r w:rsidR="000D6EB6">
              <w:rPr>
                <w:noProof/>
                <w:webHidden/>
              </w:rPr>
              <w:instrText xml:space="preserve"> PAGEREF _Toc119344771 \h </w:instrText>
            </w:r>
            <w:r w:rsidR="000D6EB6">
              <w:rPr>
                <w:noProof/>
                <w:webHidden/>
              </w:rPr>
            </w:r>
            <w:r w:rsidR="000D6EB6">
              <w:rPr>
                <w:noProof/>
                <w:webHidden/>
              </w:rPr>
              <w:fldChar w:fldCharType="separate"/>
            </w:r>
            <w:r w:rsidR="000D6EB6">
              <w:rPr>
                <w:noProof/>
                <w:webHidden/>
              </w:rPr>
              <w:t>4</w:t>
            </w:r>
            <w:r w:rsidR="000D6EB6">
              <w:rPr>
                <w:noProof/>
                <w:webHidden/>
              </w:rPr>
              <w:fldChar w:fldCharType="end"/>
            </w:r>
          </w:hyperlink>
        </w:p>
        <w:p w14:paraId="32ECD49E" w14:textId="7FF4536D" w:rsidR="00EF2E17" w:rsidRDefault="00B73F0E">
          <w:pPr>
            <w:pStyle w:val="TOC2"/>
            <w:tabs>
              <w:tab w:val="right" w:leader="dot" w:pos="9016"/>
            </w:tabs>
            <w:rPr>
              <w:rFonts w:asciiTheme="minorHAnsi" w:eastAsiaTheme="minorEastAsia" w:hAnsiTheme="minorHAnsi"/>
              <w:noProof/>
              <w:color w:val="auto"/>
              <w:sz w:val="22"/>
              <w:szCs w:val="22"/>
              <w:lang w:val="en-IN" w:eastAsia="en-IN" w:bidi="ar-SA"/>
            </w:rPr>
          </w:pPr>
          <w:hyperlink w:anchor="_Toc119344772" w:history="1">
            <w:r w:rsidR="000D6EB6" w:rsidRPr="00FE69D5">
              <w:rPr>
                <w:rStyle w:val="Hyperlink"/>
                <w:rFonts w:cs="Times New Roman"/>
                <w:noProof/>
                <w:lang w:val="en-IN"/>
              </w:rPr>
              <w:t>b) Financial position analysis using ratios and financial statement</w:t>
            </w:r>
            <w:r w:rsidR="000D6EB6">
              <w:rPr>
                <w:noProof/>
                <w:webHidden/>
              </w:rPr>
              <w:tab/>
            </w:r>
            <w:r w:rsidR="000D6EB6">
              <w:rPr>
                <w:noProof/>
                <w:webHidden/>
              </w:rPr>
              <w:fldChar w:fldCharType="begin"/>
            </w:r>
            <w:r w:rsidR="000D6EB6">
              <w:rPr>
                <w:noProof/>
                <w:webHidden/>
              </w:rPr>
              <w:instrText xml:space="preserve"> PAGEREF _Toc119344772 \h </w:instrText>
            </w:r>
            <w:r w:rsidR="000D6EB6">
              <w:rPr>
                <w:noProof/>
                <w:webHidden/>
              </w:rPr>
            </w:r>
            <w:r w:rsidR="000D6EB6">
              <w:rPr>
                <w:noProof/>
                <w:webHidden/>
              </w:rPr>
              <w:fldChar w:fldCharType="separate"/>
            </w:r>
            <w:r w:rsidR="000D6EB6">
              <w:rPr>
                <w:noProof/>
                <w:webHidden/>
              </w:rPr>
              <w:t>6</w:t>
            </w:r>
            <w:r w:rsidR="000D6EB6">
              <w:rPr>
                <w:noProof/>
                <w:webHidden/>
              </w:rPr>
              <w:fldChar w:fldCharType="end"/>
            </w:r>
          </w:hyperlink>
        </w:p>
        <w:p w14:paraId="42A573A3" w14:textId="63A2018B" w:rsidR="00EF2E17" w:rsidRDefault="00B73F0E">
          <w:pPr>
            <w:pStyle w:val="TOC1"/>
            <w:tabs>
              <w:tab w:val="right" w:leader="dot" w:pos="9016"/>
            </w:tabs>
            <w:rPr>
              <w:rFonts w:asciiTheme="minorHAnsi" w:eastAsiaTheme="minorEastAsia" w:hAnsiTheme="minorHAnsi"/>
              <w:noProof/>
              <w:color w:val="auto"/>
              <w:sz w:val="22"/>
              <w:szCs w:val="22"/>
              <w:lang w:val="en-IN" w:eastAsia="en-IN" w:bidi="ar-SA"/>
            </w:rPr>
          </w:pPr>
          <w:hyperlink w:anchor="_Toc119344773" w:history="1">
            <w:r w:rsidR="000D6EB6" w:rsidRPr="00FE69D5">
              <w:rPr>
                <w:rStyle w:val="Hyperlink"/>
                <w:noProof/>
              </w:rPr>
              <w:t>References</w:t>
            </w:r>
            <w:r w:rsidR="000D6EB6">
              <w:rPr>
                <w:noProof/>
                <w:webHidden/>
              </w:rPr>
              <w:tab/>
            </w:r>
            <w:r w:rsidR="000D6EB6">
              <w:rPr>
                <w:noProof/>
                <w:webHidden/>
              </w:rPr>
              <w:fldChar w:fldCharType="begin"/>
            </w:r>
            <w:r w:rsidR="000D6EB6">
              <w:rPr>
                <w:noProof/>
                <w:webHidden/>
              </w:rPr>
              <w:instrText xml:space="preserve"> PAGEREF _Toc119344773 \h </w:instrText>
            </w:r>
            <w:r w:rsidR="000D6EB6">
              <w:rPr>
                <w:noProof/>
                <w:webHidden/>
              </w:rPr>
            </w:r>
            <w:r w:rsidR="000D6EB6">
              <w:rPr>
                <w:noProof/>
                <w:webHidden/>
              </w:rPr>
              <w:fldChar w:fldCharType="separate"/>
            </w:r>
            <w:r w:rsidR="000D6EB6">
              <w:rPr>
                <w:noProof/>
                <w:webHidden/>
              </w:rPr>
              <w:t>10</w:t>
            </w:r>
            <w:r w:rsidR="000D6EB6">
              <w:rPr>
                <w:noProof/>
                <w:webHidden/>
              </w:rPr>
              <w:fldChar w:fldCharType="end"/>
            </w:r>
          </w:hyperlink>
        </w:p>
        <w:p w14:paraId="056E3F50" w14:textId="6051FD91" w:rsidR="00A413A8" w:rsidRPr="00EF2E17" w:rsidRDefault="000D6EB6" w:rsidP="00EF2E17">
          <w:pPr>
            <w:rPr>
              <w:rFonts w:cs="Times New Roman"/>
              <w:szCs w:val="24"/>
            </w:rPr>
          </w:pPr>
          <w:r w:rsidRPr="00EF2E17">
            <w:rPr>
              <w:rFonts w:cs="Times New Roman"/>
              <w:b/>
              <w:bCs/>
              <w:noProof/>
              <w:szCs w:val="24"/>
            </w:rPr>
            <w:fldChar w:fldCharType="end"/>
          </w:r>
        </w:p>
      </w:sdtContent>
    </w:sdt>
    <w:p w14:paraId="05711583" w14:textId="13A7A325" w:rsidR="00A413A8" w:rsidRPr="00EF2E17" w:rsidRDefault="00A413A8" w:rsidP="00EF2E17">
      <w:pPr>
        <w:jc w:val="center"/>
        <w:rPr>
          <w:rFonts w:cs="Times New Roman"/>
          <w:b/>
          <w:bCs/>
          <w:szCs w:val="24"/>
          <w:lang w:val="en-IN"/>
        </w:rPr>
      </w:pPr>
    </w:p>
    <w:p w14:paraId="212A7AF1" w14:textId="75BB2160" w:rsidR="00A413A8" w:rsidRPr="00EF2E17" w:rsidRDefault="00A413A8" w:rsidP="00EF2E17">
      <w:pPr>
        <w:jc w:val="center"/>
        <w:rPr>
          <w:rFonts w:cs="Times New Roman"/>
          <w:b/>
          <w:bCs/>
          <w:szCs w:val="24"/>
          <w:lang w:val="en-IN"/>
        </w:rPr>
      </w:pPr>
    </w:p>
    <w:p w14:paraId="26FC5810" w14:textId="03C1364C" w:rsidR="00A413A8" w:rsidRPr="00EF2E17" w:rsidRDefault="00A413A8" w:rsidP="00EF2E17">
      <w:pPr>
        <w:jc w:val="center"/>
        <w:rPr>
          <w:rFonts w:cs="Times New Roman"/>
          <w:b/>
          <w:bCs/>
          <w:szCs w:val="24"/>
          <w:lang w:val="en-IN"/>
        </w:rPr>
      </w:pPr>
    </w:p>
    <w:p w14:paraId="264CC68C" w14:textId="4CBCF446" w:rsidR="00A413A8" w:rsidRPr="00EF2E17" w:rsidRDefault="00A413A8" w:rsidP="00EF2E17">
      <w:pPr>
        <w:jc w:val="center"/>
        <w:rPr>
          <w:rFonts w:cs="Times New Roman"/>
          <w:b/>
          <w:bCs/>
          <w:szCs w:val="24"/>
          <w:lang w:val="en-IN"/>
        </w:rPr>
      </w:pPr>
    </w:p>
    <w:p w14:paraId="07F404B7" w14:textId="0FAD8580" w:rsidR="00A413A8" w:rsidRPr="00EF2E17" w:rsidRDefault="00A413A8" w:rsidP="00EF2E17">
      <w:pPr>
        <w:jc w:val="center"/>
        <w:rPr>
          <w:rFonts w:cs="Times New Roman"/>
          <w:b/>
          <w:bCs/>
          <w:szCs w:val="24"/>
          <w:lang w:val="en-IN"/>
        </w:rPr>
      </w:pPr>
    </w:p>
    <w:p w14:paraId="0EE73587" w14:textId="6CB53160" w:rsidR="00A413A8" w:rsidRPr="00EF2E17" w:rsidRDefault="00A413A8" w:rsidP="00EF2E17">
      <w:pPr>
        <w:jc w:val="center"/>
        <w:rPr>
          <w:rFonts w:cs="Times New Roman"/>
          <w:b/>
          <w:bCs/>
          <w:szCs w:val="24"/>
          <w:lang w:val="en-IN"/>
        </w:rPr>
      </w:pPr>
    </w:p>
    <w:p w14:paraId="7E341D57" w14:textId="5900C30F" w:rsidR="00A413A8" w:rsidRPr="00EF2E17" w:rsidRDefault="00A413A8" w:rsidP="00EF2E17">
      <w:pPr>
        <w:jc w:val="center"/>
        <w:rPr>
          <w:rFonts w:cs="Times New Roman"/>
          <w:b/>
          <w:bCs/>
          <w:szCs w:val="24"/>
          <w:lang w:val="en-IN"/>
        </w:rPr>
      </w:pPr>
    </w:p>
    <w:p w14:paraId="0D4802E0" w14:textId="033A6F56" w:rsidR="00A413A8" w:rsidRPr="00EF2E17" w:rsidRDefault="00A413A8" w:rsidP="00EF2E17">
      <w:pPr>
        <w:jc w:val="center"/>
        <w:rPr>
          <w:rFonts w:cs="Times New Roman"/>
          <w:b/>
          <w:bCs/>
          <w:szCs w:val="24"/>
          <w:lang w:val="en-IN"/>
        </w:rPr>
      </w:pPr>
    </w:p>
    <w:p w14:paraId="73CDE49F" w14:textId="5DA29692" w:rsidR="00A413A8" w:rsidRPr="00EF2E17" w:rsidRDefault="00A413A8" w:rsidP="00EF2E17">
      <w:pPr>
        <w:jc w:val="center"/>
        <w:rPr>
          <w:rFonts w:cs="Times New Roman"/>
          <w:b/>
          <w:bCs/>
          <w:szCs w:val="24"/>
          <w:lang w:val="en-IN"/>
        </w:rPr>
      </w:pPr>
    </w:p>
    <w:p w14:paraId="41775726" w14:textId="63D2B1E9" w:rsidR="00A413A8" w:rsidRPr="00EF2E17" w:rsidRDefault="00A413A8" w:rsidP="00EF2E17">
      <w:pPr>
        <w:jc w:val="center"/>
        <w:rPr>
          <w:rFonts w:cs="Times New Roman"/>
          <w:b/>
          <w:bCs/>
          <w:szCs w:val="24"/>
          <w:lang w:val="en-IN"/>
        </w:rPr>
      </w:pPr>
    </w:p>
    <w:p w14:paraId="25002677" w14:textId="71822BCB" w:rsidR="00A413A8" w:rsidRPr="00EF2E17" w:rsidRDefault="00A413A8" w:rsidP="00EF2E17">
      <w:pPr>
        <w:jc w:val="center"/>
        <w:rPr>
          <w:rFonts w:cs="Times New Roman"/>
          <w:b/>
          <w:bCs/>
          <w:szCs w:val="24"/>
          <w:lang w:val="en-IN"/>
        </w:rPr>
      </w:pPr>
    </w:p>
    <w:p w14:paraId="29D70841" w14:textId="09C26CF1" w:rsidR="00A413A8" w:rsidRPr="00EF2E17" w:rsidRDefault="00A413A8" w:rsidP="00EF2E17">
      <w:pPr>
        <w:jc w:val="center"/>
        <w:rPr>
          <w:rFonts w:cs="Times New Roman"/>
          <w:b/>
          <w:bCs/>
          <w:szCs w:val="24"/>
          <w:lang w:val="en-IN"/>
        </w:rPr>
      </w:pPr>
    </w:p>
    <w:p w14:paraId="02DA0B02" w14:textId="76559642" w:rsidR="00A413A8" w:rsidRPr="00EF2E17" w:rsidRDefault="00A413A8" w:rsidP="00EF2E17">
      <w:pPr>
        <w:jc w:val="center"/>
        <w:rPr>
          <w:rFonts w:cs="Times New Roman"/>
          <w:b/>
          <w:bCs/>
          <w:szCs w:val="24"/>
          <w:lang w:val="en-IN"/>
        </w:rPr>
      </w:pPr>
    </w:p>
    <w:p w14:paraId="4C7255BE" w14:textId="0FD17EBC" w:rsidR="00A413A8" w:rsidRPr="00EF2E17" w:rsidRDefault="00A413A8" w:rsidP="00EF2E17">
      <w:pPr>
        <w:jc w:val="center"/>
        <w:rPr>
          <w:rFonts w:cs="Times New Roman"/>
          <w:b/>
          <w:bCs/>
          <w:szCs w:val="24"/>
          <w:lang w:val="en-IN"/>
        </w:rPr>
      </w:pPr>
    </w:p>
    <w:p w14:paraId="72F7A146" w14:textId="32DB1C0B" w:rsidR="00A413A8" w:rsidRPr="00EF2E17" w:rsidRDefault="00A413A8" w:rsidP="00EF2E17">
      <w:pPr>
        <w:jc w:val="center"/>
        <w:rPr>
          <w:rFonts w:cs="Times New Roman"/>
          <w:b/>
          <w:bCs/>
          <w:szCs w:val="24"/>
          <w:lang w:val="en-IN"/>
        </w:rPr>
      </w:pPr>
    </w:p>
    <w:p w14:paraId="1ACFA8FE" w14:textId="77777777" w:rsidR="00A413A8" w:rsidRPr="00EF2E17" w:rsidRDefault="00A413A8" w:rsidP="00EF2E17">
      <w:pPr>
        <w:jc w:val="center"/>
        <w:rPr>
          <w:rFonts w:cs="Times New Roman"/>
          <w:b/>
          <w:bCs/>
          <w:szCs w:val="24"/>
          <w:lang w:val="en-IN"/>
        </w:rPr>
      </w:pPr>
    </w:p>
    <w:p w14:paraId="431E395C" w14:textId="30286058" w:rsidR="0021032B" w:rsidRPr="00EF2E17" w:rsidRDefault="000D6EB6" w:rsidP="00EF2E17">
      <w:pPr>
        <w:pStyle w:val="Heading1"/>
        <w:rPr>
          <w:rFonts w:cs="Times New Roman"/>
          <w:szCs w:val="24"/>
          <w:lang w:val="en-IN"/>
        </w:rPr>
      </w:pPr>
      <w:bookmarkStart w:id="0" w:name="_Toc119344767"/>
      <w:r w:rsidRPr="00EF2E17">
        <w:rPr>
          <w:rFonts w:cs="Times New Roman"/>
          <w:szCs w:val="24"/>
          <w:lang w:val="en-IN"/>
        </w:rPr>
        <w:t>Part 1</w:t>
      </w:r>
      <w:bookmarkEnd w:id="0"/>
    </w:p>
    <w:p w14:paraId="19EC8386" w14:textId="5CCE4DD3" w:rsidR="00A413A8" w:rsidRPr="00EF2E17" w:rsidRDefault="000D6EB6" w:rsidP="00EF2E17">
      <w:pPr>
        <w:pStyle w:val="Heading2"/>
        <w:rPr>
          <w:rFonts w:cs="Times New Roman"/>
          <w:szCs w:val="24"/>
          <w:lang w:val="en-IN"/>
        </w:rPr>
      </w:pPr>
      <w:bookmarkStart w:id="1" w:name="_Toc119344768"/>
      <w:r w:rsidRPr="00EF2E17">
        <w:rPr>
          <w:rFonts w:cs="Times New Roman"/>
          <w:szCs w:val="24"/>
          <w:lang w:val="en-IN"/>
        </w:rPr>
        <w:t>a) Income statement and balance sheet</w:t>
      </w:r>
      <w:bookmarkEnd w:id="1"/>
    </w:p>
    <w:tbl>
      <w:tblPr>
        <w:tblStyle w:val="TableGrid"/>
        <w:tblW w:w="5000" w:type="pct"/>
        <w:tblLook w:val="04A0" w:firstRow="1" w:lastRow="0" w:firstColumn="1" w:lastColumn="0" w:noHBand="0" w:noVBand="1"/>
      </w:tblPr>
      <w:tblGrid>
        <w:gridCol w:w="6596"/>
        <w:gridCol w:w="2420"/>
      </w:tblGrid>
      <w:tr w:rsidR="00A51C10" w14:paraId="0DEEC420" w14:textId="77777777" w:rsidTr="00A413A8">
        <w:trPr>
          <w:trHeight w:val="300"/>
        </w:trPr>
        <w:tc>
          <w:tcPr>
            <w:tcW w:w="5000" w:type="pct"/>
            <w:gridSpan w:val="2"/>
            <w:noWrap/>
            <w:hideMark/>
          </w:tcPr>
          <w:p w14:paraId="3EFD13D6" w14:textId="77777777" w:rsidR="00A413A8" w:rsidRPr="00A413A8" w:rsidRDefault="000D6EB6" w:rsidP="00EF2E17">
            <w:pPr>
              <w:jc w:val="center"/>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Income statement</w:t>
            </w:r>
          </w:p>
        </w:tc>
      </w:tr>
      <w:tr w:rsidR="00A51C10" w14:paraId="40A24960" w14:textId="77777777" w:rsidTr="00A413A8">
        <w:trPr>
          <w:trHeight w:val="300"/>
        </w:trPr>
        <w:tc>
          <w:tcPr>
            <w:tcW w:w="3658" w:type="pct"/>
            <w:noWrap/>
            <w:hideMark/>
          </w:tcPr>
          <w:p w14:paraId="1BE6A8C3" w14:textId="77777777" w:rsidR="00A413A8" w:rsidRPr="00A413A8" w:rsidRDefault="00A413A8" w:rsidP="00EF2E17">
            <w:pPr>
              <w:jc w:val="center"/>
              <w:rPr>
                <w:rFonts w:eastAsia="Times New Roman" w:cs="Times New Roman"/>
                <w:color w:val="000000"/>
                <w:szCs w:val="24"/>
                <w:lang w:val="en-IN" w:eastAsia="en-IN" w:bidi="ar-SA"/>
              </w:rPr>
            </w:pPr>
          </w:p>
        </w:tc>
        <w:tc>
          <w:tcPr>
            <w:tcW w:w="1342" w:type="pct"/>
            <w:noWrap/>
            <w:hideMark/>
          </w:tcPr>
          <w:p w14:paraId="7AE50FF6"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w:t>
            </w:r>
          </w:p>
        </w:tc>
      </w:tr>
      <w:tr w:rsidR="00A51C10" w14:paraId="5A4934E0" w14:textId="77777777" w:rsidTr="00A413A8">
        <w:trPr>
          <w:trHeight w:val="300"/>
        </w:trPr>
        <w:tc>
          <w:tcPr>
            <w:tcW w:w="3658" w:type="pct"/>
            <w:noWrap/>
            <w:hideMark/>
          </w:tcPr>
          <w:p w14:paraId="2CE5CF34"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Sales</w:t>
            </w:r>
          </w:p>
        </w:tc>
        <w:tc>
          <w:tcPr>
            <w:tcW w:w="1342" w:type="pct"/>
            <w:noWrap/>
            <w:hideMark/>
          </w:tcPr>
          <w:p w14:paraId="074AC3E1"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8,00,000</w:t>
            </w:r>
          </w:p>
        </w:tc>
      </w:tr>
      <w:tr w:rsidR="00A51C10" w14:paraId="319BBA95" w14:textId="77777777" w:rsidTr="00A413A8">
        <w:trPr>
          <w:trHeight w:val="300"/>
        </w:trPr>
        <w:tc>
          <w:tcPr>
            <w:tcW w:w="3658" w:type="pct"/>
            <w:noWrap/>
            <w:hideMark/>
          </w:tcPr>
          <w:p w14:paraId="457E60AC"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Cost of sales</w:t>
            </w:r>
          </w:p>
        </w:tc>
        <w:tc>
          <w:tcPr>
            <w:tcW w:w="1342" w:type="pct"/>
            <w:noWrap/>
            <w:hideMark/>
          </w:tcPr>
          <w:p w14:paraId="1C4F8486"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578650</w:t>
            </w:r>
          </w:p>
        </w:tc>
      </w:tr>
      <w:tr w:rsidR="00A51C10" w14:paraId="28EC9420" w14:textId="77777777" w:rsidTr="00A413A8">
        <w:trPr>
          <w:trHeight w:val="300"/>
        </w:trPr>
        <w:tc>
          <w:tcPr>
            <w:tcW w:w="3658" w:type="pct"/>
            <w:noWrap/>
            <w:hideMark/>
          </w:tcPr>
          <w:p w14:paraId="3E51BEEB"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Gross profit</w:t>
            </w:r>
          </w:p>
        </w:tc>
        <w:tc>
          <w:tcPr>
            <w:tcW w:w="1342" w:type="pct"/>
            <w:noWrap/>
            <w:hideMark/>
          </w:tcPr>
          <w:p w14:paraId="61162093" w14:textId="77777777" w:rsidR="00A413A8" w:rsidRPr="00A413A8" w:rsidRDefault="000D6EB6" w:rsidP="00EF2E17">
            <w:pPr>
              <w:jc w:val="righ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2,21,350</w:t>
            </w:r>
          </w:p>
        </w:tc>
      </w:tr>
      <w:tr w:rsidR="00A51C10" w14:paraId="14FD24E9" w14:textId="77777777" w:rsidTr="00A413A8">
        <w:trPr>
          <w:trHeight w:val="300"/>
        </w:trPr>
        <w:tc>
          <w:tcPr>
            <w:tcW w:w="3658" w:type="pct"/>
            <w:noWrap/>
            <w:hideMark/>
          </w:tcPr>
          <w:p w14:paraId="16FB589C"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Distribution costs</w:t>
            </w:r>
          </w:p>
        </w:tc>
        <w:tc>
          <w:tcPr>
            <w:tcW w:w="1342" w:type="pct"/>
            <w:noWrap/>
            <w:hideMark/>
          </w:tcPr>
          <w:p w14:paraId="43830900"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28000</w:t>
            </w:r>
          </w:p>
        </w:tc>
      </w:tr>
      <w:tr w:rsidR="00A51C10" w14:paraId="09912E3A" w14:textId="77777777" w:rsidTr="00A413A8">
        <w:trPr>
          <w:trHeight w:val="300"/>
        </w:trPr>
        <w:tc>
          <w:tcPr>
            <w:tcW w:w="3658" w:type="pct"/>
            <w:noWrap/>
            <w:hideMark/>
          </w:tcPr>
          <w:p w14:paraId="4E7DC54D"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Administrative expenses</w:t>
            </w:r>
          </w:p>
        </w:tc>
        <w:tc>
          <w:tcPr>
            <w:tcW w:w="1342" w:type="pct"/>
            <w:noWrap/>
            <w:hideMark/>
          </w:tcPr>
          <w:p w14:paraId="4A06FFD3"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30000</w:t>
            </w:r>
          </w:p>
        </w:tc>
      </w:tr>
      <w:tr w:rsidR="00A51C10" w14:paraId="2CDD87C1" w14:textId="77777777" w:rsidTr="00A413A8">
        <w:trPr>
          <w:trHeight w:val="300"/>
        </w:trPr>
        <w:tc>
          <w:tcPr>
            <w:tcW w:w="3658" w:type="pct"/>
            <w:noWrap/>
            <w:hideMark/>
          </w:tcPr>
          <w:p w14:paraId="21A7221E"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Employee cost</w:t>
            </w:r>
          </w:p>
        </w:tc>
        <w:tc>
          <w:tcPr>
            <w:tcW w:w="1342" w:type="pct"/>
            <w:noWrap/>
            <w:hideMark/>
          </w:tcPr>
          <w:p w14:paraId="23D49179"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8,000</w:t>
            </w:r>
          </w:p>
        </w:tc>
      </w:tr>
      <w:tr w:rsidR="00A51C10" w14:paraId="640EBE2A" w14:textId="77777777" w:rsidTr="00A413A8">
        <w:trPr>
          <w:trHeight w:val="300"/>
        </w:trPr>
        <w:tc>
          <w:tcPr>
            <w:tcW w:w="3658" w:type="pct"/>
            <w:noWrap/>
            <w:hideMark/>
          </w:tcPr>
          <w:p w14:paraId="49ADC4D0"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Operating profit</w:t>
            </w:r>
          </w:p>
        </w:tc>
        <w:tc>
          <w:tcPr>
            <w:tcW w:w="1342" w:type="pct"/>
            <w:noWrap/>
            <w:hideMark/>
          </w:tcPr>
          <w:p w14:paraId="2A644744" w14:textId="77777777" w:rsidR="00A413A8" w:rsidRPr="00A413A8" w:rsidRDefault="000D6EB6" w:rsidP="00EF2E17">
            <w:pPr>
              <w:jc w:val="righ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1,55,350</w:t>
            </w:r>
          </w:p>
        </w:tc>
      </w:tr>
      <w:tr w:rsidR="00A51C10" w14:paraId="61DB400D" w14:textId="77777777" w:rsidTr="00A413A8">
        <w:trPr>
          <w:trHeight w:val="300"/>
        </w:trPr>
        <w:tc>
          <w:tcPr>
            <w:tcW w:w="3658" w:type="pct"/>
            <w:noWrap/>
            <w:hideMark/>
          </w:tcPr>
          <w:p w14:paraId="24A22F85"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Interest paid</w:t>
            </w:r>
          </w:p>
        </w:tc>
        <w:tc>
          <w:tcPr>
            <w:tcW w:w="1342" w:type="pct"/>
            <w:noWrap/>
            <w:hideMark/>
          </w:tcPr>
          <w:p w14:paraId="7D05C81F"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2,000</w:t>
            </w:r>
          </w:p>
        </w:tc>
      </w:tr>
      <w:tr w:rsidR="00A51C10" w14:paraId="32B3A2A1" w14:textId="77777777" w:rsidTr="00A413A8">
        <w:trPr>
          <w:trHeight w:val="300"/>
        </w:trPr>
        <w:tc>
          <w:tcPr>
            <w:tcW w:w="3658" w:type="pct"/>
            <w:noWrap/>
            <w:hideMark/>
          </w:tcPr>
          <w:p w14:paraId="3335170E"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Tax</w:t>
            </w:r>
          </w:p>
        </w:tc>
        <w:tc>
          <w:tcPr>
            <w:tcW w:w="1342" w:type="pct"/>
            <w:noWrap/>
            <w:hideMark/>
          </w:tcPr>
          <w:p w14:paraId="16C22FE2"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100000</w:t>
            </w:r>
          </w:p>
        </w:tc>
      </w:tr>
      <w:tr w:rsidR="00A51C10" w14:paraId="6C7EED37" w14:textId="77777777" w:rsidTr="00A413A8">
        <w:trPr>
          <w:trHeight w:val="300"/>
        </w:trPr>
        <w:tc>
          <w:tcPr>
            <w:tcW w:w="3658" w:type="pct"/>
            <w:noWrap/>
            <w:hideMark/>
          </w:tcPr>
          <w:p w14:paraId="3072D6CD"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Profit</w:t>
            </w:r>
          </w:p>
        </w:tc>
        <w:tc>
          <w:tcPr>
            <w:tcW w:w="1342" w:type="pct"/>
            <w:noWrap/>
            <w:hideMark/>
          </w:tcPr>
          <w:p w14:paraId="40A747EC" w14:textId="77777777" w:rsidR="00A413A8" w:rsidRPr="00A413A8" w:rsidRDefault="000D6EB6" w:rsidP="00EF2E17">
            <w:pPr>
              <w:jc w:val="right"/>
              <w:rPr>
                <w:rFonts w:eastAsia="Times New Roman" w:cs="Times New Roman"/>
                <w:b/>
                <w:bCs/>
                <w:color w:val="000000"/>
                <w:szCs w:val="24"/>
                <w:u w:val="single"/>
                <w:lang w:val="en-IN" w:eastAsia="en-IN" w:bidi="ar-SA"/>
              </w:rPr>
            </w:pPr>
            <w:r w:rsidRPr="00A413A8">
              <w:rPr>
                <w:rFonts w:eastAsia="Times New Roman" w:cs="Times New Roman"/>
                <w:b/>
                <w:bCs/>
                <w:color w:val="000000"/>
                <w:szCs w:val="24"/>
                <w:u w:val="single"/>
                <w:lang w:val="en-IN" w:eastAsia="en-IN" w:bidi="ar-SA"/>
              </w:rPr>
              <w:t>53,350</w:t>
            </w:r>
          </w:p>
        </w:tc>
      </w:tr>
    </w:tbl>
    <w:p w14:paraId="718C8498" w14:textId="5C5F57EE" w:rsidR="00A413A8" w:rsidRPr="00EF2E17" w:rsidRDefault="00A413A8" w:rsidP="00EF2E17">
      <w:pPr>
        <w:rPr>
          <w:rFonts w:cs="Times New Roman"/>
          <w:szCs w:val="24"/>
          <w:lang w:val="en-IN"/>
        </w:rPr>
      </w:pPr>
    </w:p>
    <w:tbl>
      <w:tblPr>
        <w:tblStyle w:val="TableGrid"/>
        <w:tblW w:w="5000" w:type="pct"/>
        <w:tblLook w:val="04A0" w:firstRow="1" w:lastRow="0" w:firstColumn="1" w:lastColumn="0" w:noHBand="0" w:noVBand="1"/>
      </w:tblPr>
      <w:tblGrid>
        <w:gridCol w:w="7025"/>
        <w:gridCol w:w="1991"/>
      </w:tblGrid>
      <w:tr w:rsidR="00A51C10" w14:paraId="091E386D" w14:textId="77777777" w:rsidTr="00A413A8">
        <w:trPr>
          <w:trHeight w:val="300"/>
        </w:trPr>
        <w:tc>
          <w:tcPr>
            <w:tcW w:w="5000" w:type="pct"/>
            <w:gridSpan w:val="2"/>
            <w:noWrap/>
            <w:hideMark/>
          </w:tcPr>
          <w:p w14:paraId="46AD8042" w14:textId="77777777" w:rsidR="00A413A8" w:rsidRPr="00A413A8" w:rsidRDefault="000D6EB6" w:rsidP="00EF2E17">
            <w:pPr>
              <w:jc w:val="center"/>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Balance sheet</w:t>
            </w:r>
          </w:p>
        </w:tc>
      </w:tr>
      <w:tr w:rsidR="00A51C10" w14:paraId="75DC2A14" w14:textId="77777777" w:rsidTr="00A413A8">
        <w:trPr>
          <w:trHeight w:val="300"/>
        </w:trPr>
        <w:tc>
          <w:tcPr>
            <w:tcW w:w="3896" w:type="pct"/>
            <w:noWrap/>
            <w:hideMark/>
          </w:tcPr>
          <w:p w14:paraId="676755E8" w14:textId="77777777" w:rsidR="00A413A8" w:rsidRPr="00A413A8" w:rsidRDefault="00A413A8" w:rsidP="00EF2E17">
            <w:pPr>
              <w:jc w:val="center"/>
              <w:rPr>
                <w:rFonts w:eastAsia="Times New Roman" w:cs="Times New Roman"/>
                <w:color w:val="000000"/>
                <w:szCs w:val="24"/>
                <w:lang w:val="en-IN" w:eastAsia="en-IN" w:bidi="ar-SA"/>
              </w:rPr>
            </w:pPr>
          </w:p>
        </w:tc>
        <w:tc>
          <w:tcPr>
            <w:tcW w:w="1104" w:type="pct"/>
            <w:noWrap/>
            <w:hideMark/>
          </w:tcPr>
          <w:p w14:paraId="02579AD9"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w:t>
            </w:r>
          </w:p>
        </w:tc>
      </w:tr>
      <w:tr w:rsidR="00A51C10" w14:paraId="31324ED5" w14:textId="77777777" w:rsidTr="00A413A8">
        <w:trPr>
          <w:trHeight w:val="300"/>
        </w:trPr>
        <w:tc>
          <w:tcPr>
            <w:tcW w:w="3896" w:type="pct"/>
            <w:noWrap/>
            <w:hideMark/>
          </w:tcPr>
          <w:p w14:paraId="1A474AC4"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Non-current assets</w:t>
            </w:r>
          </w:p>
        </w:tc>
        <w:tc>
          <w:tcPr>
            <w:tcW w:w="1104" w:type="pct"/>
            <w:noWrap/>
            <w:hideMark/>
          </w:tcPr>
          <w:p w14:paraId="3C0BF13C" w14:textId="77777777" w:rsidR="00A413A8" w:rsidRPr="00A413A8" w:rsidRDefault="00A413A8" w:rsidP="00EF2E17">
            <w:pPr>
              <w:jc w:val="left"/>
              <w:rPr>
                <w:rFonts w:eastAsia="Times New Roman" w:cs="Times New Roman"/>
                <w:b/>
                <w:bCs/>
                <w:color w:val="000000"/>
                <w:szCs w:val="24"/>
                <w:lang w:val="en-IN" w:eastAsia="en-IN" w:bidi="ar-SA"/>
              </w:rPr>
            </w:pPr>
          </w:p>
        </w:tc>
      </w:tr>
      <w:tr w:rsidR="00A51C10" w14:paraId="01625FEF" w14:textId="77777777" w:rsidTr="00A413A8">
        <w:trPr>
          <w:trHeight w:val="300"/>
        </w:trPr>
        <w:tc>
          <w:tcPr>
            <w:tcW w:w="3896" w:type="pct"/>
            <w:noWrap/>
            <w:hideMark/>
          </w:tcPr>
          <w:p w14:paraId="72071885"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Plant and equipment</w:t>
            </w:r>
          </w:p>
        </w:tc>
        <w:tc>
          <w:tcPr>
            <w:tcW w:w="1104" w:type="pct"/>
            <w:noWrap/>
            <w:hideMark/>
          </w:tcPr>
          <w:p w14:paraId="154489AD"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1250000</w:t>
            </w:r>
          </w:p>
        </w:tc>
      </w:tr>
      <w:tr w:rsidR="00A51C10" w14:paraId="36348B16" w14:textId="77777777" w:rsidTr="00A413A8">
        <w:trPr>
          <w:trHeight w:val="300"/>
        </w:trPr>
        <w:tc>
          <w:tcPr>
            <w:tcW w:w="3896" w:type="pct"/>
            <w:noWrap/>
            <w:hideMark/>
          </w:tcPr>
          <w:p w14:paraId="3606FC23" w14:textId="77777777" w:rsidR="00A413A8" w:rsidRPr="00A413A8" w:rsidRDefault="00A413A8" w:rsidP="00EF2E17">
            <w:pPr>
              <w:jc w:val="right"/>
              <w:rPr>
                <w:rFonts w:eastAsia="Times New Roman" w:cs="Times New Roman"/>
                <w:color w:val="000000"/>
                <w:szCs w:val="24"/>
                <w:lang w:val="en-IN" w:eastAsia="en-IN" w:bidi="ar-SA"/>
              </w:rPr>
            </w:pPr>
          </w:p>
        </w:tc>
        <w:tc>
          <w:tcPr>
            <w:tcW w:w="1104" w:type="pct"/>
            <w:noWrap/>
            <w:hideMark/>
          </w:tcPr>
          <w:p w14:paraId="450399EA"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63A74140" w14:textId="77777777" w:rsidTr="00A413A8">
        <w:trPr>
          <w:trHeight w:val="300"/>
        </w:trPr>
        <w:tc>
          <w:tcPr>
            <w:tcW w:w="3896" w:type="pct"/>
            <w:noWrap/>
            <w:hideMark/>
          </w:tcPr>
          <w:p w14:paraId="18C8A61C"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Current assets</w:t>
            </w:r>
          </w:p>
        </w:tc>
        <w:tc>
          <w:tcPr>
            <w:tcW w:w="1104" w:type="pct"/>
            <w:noWrap/>
            <w:hideMark/>
          </w:tcPr>
          <w:p w14:paraId="64992EDA" w14:textId="77777777" w:rsidR="00A413A8" w:rsidRPr="00A413A8" w:rsidRDefault="00A413A8" w:rsidP="00EF2E17">
            <w:pPr>
              <w:jc w:val="left"/>
              <w:rPr>
                <w:rFonts w:eastAsia="Times New Roman" w:cs="Times New Roman"/>
                <w:b/>
                <w:bCs/>
                <w:color w:val="000000"/>
                <w:szCs w:val="24"/>
                <w:lang w:val="en-IN" w:eastAsia="en-IN" w:bidi="ar-SA"/>
              </w:rPr>
            </w:pPr>
          </w:p>
        </w:tc>
      </w:tr>
      <w:tr w:rsidR="00A51C10" w14:paraId="14B96B9C" w14:textId="77777777" w:rsidTr="00A413A8">
        <w:trPr>
          <w:trHeight w:val="300"/>
        </w:trPr>
        <w:tc>
          <w:tcPr>
            <w:tcW w:w="3896" w:type="pct"/>
            <w:noWrap/>
            <w:hideMark/>
          </w:tcPr>
          <w:p w14:paraId="227F2F36"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Trade receivable</w:t>
            </w:r>
          </w:p>
        </w:tc>
        <w:tc>
          <w:tcPr>
            <w:tcW w:w="1104" w:type="pct"/>
            <w:noWrap/>
            <w:hideMark/>
          </w:tcPr>
          <w:p w14:paraId="0442E0DF"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1,70,125</w:t>
            </w:r>
          </w:p>
        </w:tc>
      </w:tr>
      <w:tr w:rsidR="00A51C10" w14:paraId="068668F3" w14:textId="77777777" w:rsidTr="00A413A8">
        <w:trPr>
          <w:trHeight w:val="300"/>
        </w:trPr>
        <w:tc>
          <w:tcPr>
            <w:tcW w:w="3896" w:type="pct"/>
            <w:noWrap/>
            <w:hideMark/>
          </w:tcPr>
          <w:p w14:paraId="2861F3AD"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Cash and bank</w:t>
            </w:r>
          </w:p>
        </w:tc>
        <w:tc>
          <w:tcPr>
            <w:tcW w:w="1104" w:type="pct"/>
            <w:noWrap/>
            <w:hideMark/>
          </w:tcPr>
          <w:p w14:paraId="50CDE992"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1,26,250</w:t>
            </w:r>
          </w:p>
        </w:tc>
      </w:tr>
      <w:tr w:rsidR="00A51C10" w14:paraId="1339CBAF" w14:textId="77777777" w:rsidTr="00A413A8">
        <w:trPr>
          <w:trHeight w:val="300"/>
        </w:trPr>
        <w:tc>
          <w:tcPr>
            <w:tcW w:w="3896" w:type="pct"/>
            <w:noWrap/>
            <w:hideMark/>
          </w:tcPr>
          <w:p w14:paraId="6D74DCC2"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Inventory</w:t>
            </w:r>
          </w:p>
        </w:tc>
        <w:tc>
          <w:tcPr>
            <w:tcW w:w="1104" w:type="pct"/>
            <w:noWrap/>
            <w:hideMark/>
          </w:tcPr>
          <w:p w14:paraId="3745FE4E"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4,30,600</w:t>
            </w:r>
          </w:p>
        </w:tc>
      </w:tr>
      <w:tr w:rsidR="00A51C10" w14:paraId="4C25A850" w14:textId="77777777" w:rsidTr="00A413A8">
        <w:trPr>
          <w:trHeight w:val="300"/>
        </w:trPr>
        <w:tc>
          <w:tcPr>
            <w:tcW w:w="3896" w:type="pct"/>
            <w:noWrap/>
            <w:hideMark/>
          </w:tcPr>
          <w:p w14:paraId="2B47A7C8" w14:textId="77777777" w:rsidR="00A413A8" w:rsidRPr="00A413A8" w:rsidRDefault="00A413A8" w:rsidP="00EF2E17">
            <w:pPr>
              <w:jc w:val="right"/>
              <w:rPr>
                <w:rFonts w:eastAsia="Times New Roman" w:cs="Times New Roman"/>
                <w:color w:val="000000"/>
                <w:szCs w:val="24"/>
                <w:lang w:val="en-IN" w:eastAsia="en-IN" w:bidi="ar-SA"/>
              </w:rPr>
            </w:pPr>
          </w:p>
        </w:tc>
        <w:tc>
          <w:tcPr>
            <w:tcW w:w="1104" w:type="pct"/>
            <w:noWrap/>
            <w:hideMark/>
          </w:tcPr>
          <w:p w14:paraId="76FC67C3"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3020E360" w14:textId="77777777" w:rsidTr="00A413A8">
        <w:trPr>
          <w:trHeight w:val="300"/>
        </w:trPr>
        <w:tc>
          <w:tcPr>
            <w:tcW w:w="3896" w:type="pct"/>
            <w:noWrap/>
            <w:hideMark/>
          </w:tcPr>
          <w:p w14:paraId="5BB6E44C"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Total assets</w:t>
            </w:r>
          </w:p>
        </w:tc>
        <w:tc>
          <w:tcPr>
            <w:tcW w:w="1104" w:type="pct"/>
            <w:noWrap/>
            <w:hideMark/>
          </w:tcPr>
          <w:p w14:paraId="12610C48"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19,76,975</w:t>
            </w:r>
          </w:p>
        </w:tc>
      </w:tr>
      <w:tr w:rsidR="00A51C10" w14:paraId="161EC634" w14:textId="77777777" w:rsidTr="00A413A8">
        <w:trPr>
          <w:trHeight w:val="300"/>
        </w:trPr>
        <w:tc>
          <w:tcPr>
            <w:tcW w:w="3896" w:type="pct"/>
            <w:noWrap/>
            <w:hideMark/>
          </w:tcPr>
          <w:p w14:paraId="78BF9CB5" w14:textId="77777777" w:rsidR="00A413A8" w:rsidRPr="00A413A8" w:rsidRDefault="00A413A8" w:rsidP="00EF2E17">
            <w:pPr>
              <w:jc w:val="right"/>
              <w:rPr>
                <w:rFonts w:eastAsia="Times New Roman" w:cs="Times New Roman"/>
                <w:color w:val="000000"/>
                <w:szCs w:val="24"/>
                <w:lang w:val="en-IN" w:eastAsia="en-IN" w:bidi="ar-SA"/>
              </w:rPr>
            </w:pPr>
          </w:p>
        </w:tc>
        <w:tc>
          <w:tcPr>
            <w:tcW w:w="1104" w:type="pct"/>
            <w:noWrap/>
            <w:hideMark/>
          </w:tcPr>
          <w:p w14:paraId="69EBCCDA"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3CDBCD59" w14:textId="77777777" w:rsidTr="00A413A8">
        <w:trPr>
          <w:trHeight w:val="300"/>
        </w:trPr>
        <w:tc>
          <w:tcPr>
            <w:tcW w:w="3896" w:type="pct"/>
            <w:noWrap/>
            <w:hideMark/>
          </w:tcPr>
          <w:p w14:paraId="35A667CC"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Current liabilities</w:t>
            </w:r>
          </w:p>
        </w:tc>
        <w:tc>
          <w:tcPr>
            <w:tcW w:w="1104" w:type="pct"/>
            <w:noWrap/>
            <w:hideMark/>
          </w:tcPr>
          <w:p w14:paraId="4BE8CBB5" w14:textId="77777777" w:rsidR="00A413A8" w:rsidRPr="00A413A8" w:rsidRDefault="00A413A8" w:rsidP="00EF2E17">
            <w:pPr>
              <w:jc w:val="left"/>
              <w:rPr>
                <w:rFonts w:eastAsia="Times New Roman" w:cs="Times New Roman"/>
                <w:b/>
                <w:bCs/>
                <w:color w:val="000000"/>
                <w:szCs w:val="24"/>
                <w:lang w:val="en-IN" w:eastAsia="en-IN" w:bidi="ar-SA"/>
              </w:rPr>
            </w:pPr>
          </w:p>
        </w:tc>
      </w:tr>
      <w:tr w:rsidR="00A51C10" w14:paraId="05895EBD" w14:textId="77777777" w:rsidTr="00A413A8">
        <w:trPr>
          <w:trHeight w:val="300"/>
        </w:trPr>
        <w:tc>
          <w:tcPr>
            <w:tcW w:w="3896" w:type="pct"/>
            <w:noWrap/>
            <w:hideMark/>
          </w:tcPr>
          <w:p w14:paraId="5761AD11"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Trade payable</w:t>
            </w:r>
          </w:p>
        </w:tc>
        <w:tc>
          <w:tcPr>
            <w:tcW w:w="1104" w:type="pct"/>
            <w:noWrap/>
            <w:hideMark/>
          </w:tcPr>
          <w:p w14:paraId="593947EE"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1,88,625</w:t>
            </w:r>
          </w:p>
        </w:tc>
      </w:tr>
      <w:tr w:rsidR="00A51C10" w14:paraId="57AF79E0" w14:textId="77777777" w:rsidTr="00A413A8">
        <w:trPr>
          <w:trHeight w:val="300"/>
        </w:trPr>
        <w:tc>
          <w:tcPr>
            <w:tcW w:w="3896" w:type="pct"/>
            <w:noWrap/>
            <w:hideMark/>
          </w:tcPr>
          <w:p w14:paraId="02043402" w14:textId="47C9C5BF" w:rsidR="00A413A8" w:rsidRPr="00A413A8" w:rsidRDefault="000D6EB6" w:rsidP="00EF2E17">
            <w:pPr>
              <w:jc w:val="left"/>
              <w:rPr>
                <w:rFonts w:eastAsia="Times New Roman" w:cs="Times New Roman"/>
                <w:color w:val="000000"/>
                <w:szCs w:val="24"/>
                <w:lang w:val="en-IN" w:eastAsia="en-IN" w:bidi="ar-SA"/>
              </w:rPr>
            </w:pPr>
            <w:r w:rsidRPr="00EF2E17">
              <w:rPr>
                <w:rFonts w:eastAsia="Times New Roman" w:cs="Times New Roman"/>
                <w:color w:val="000000"/>
                <w:szCs w:val="24"/>
                <w:lang w:val="en-IN" w:eastAsia="en-IN" w:bidi="ar-SA"/>
              </w:rPr>
              <w:t>Outstanding</w:t>
            </w:r>
            <w:r w:rsidRPr="00A413A8">
              <w:rPr>
                <w:rFonts w:eastAsia="Times New Roman" w:cs="Times New Roman"/>
                <w:color w:val="000000"/>
                <w:szCs w:val="24"/>
                <w:lang w:val="en-IN" w:eastAsia="en-IN" w:bidi="ar-SA"/>
              </w:rPr>
              <w:t xml:space="preserve"> sales commission</w:t>
            </w:r>
          </w:p>
        </w:tc>
        <w:tc>
          <w:tcPr>
            <w:tcW w:w="1104" w:type="pct"/>
            <w:noWrap/>
            <w:hideMark/>
          </w:tcPr>
          <w:p w14:paraId="764BDECE"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3,000</w:t>
            </w:r>
          </w:p>
        </w:tc>
      </w:tr>
      <w:tr w:rsidR="00A51C10" w14:paraId="0D155CEA" w14:textId="77777777" w:rsidTr="00A413A8">
        <w:trPr>
          <w:trHeight w:val="300"/>
        </w:trPr>
        <w:tc>
          <w:tcPr>
            <w:tcW w:w="3896" w:type="pct"/>
            <w:noWrap/>
            <w:hideMark/>
          </w:tcPr>
          <w:p w14:paraId="01E36CA8" w14:textId="77777777" w:rsidR="00A413A8" w:rsidRPr="00A413A8" w:rsidRDefault="00A413A8" w:rsidP="00EF2E17">
            <w:pPr>
              <w:jc w:val="right"/>
              <w:rPr>
                <w:rFonts w:eastAsia="Times New Roman" w:cs="Times New Roman"/>
                <w:color w:val="000000"/>
                <w:szCs w:val="24"/>
                <w:lang w:val="en-IN" w:eastAsia="en-IN" w:bidi="ar-SA"/>
              </w:rPr>
            </w:pPr>
          </w:p>
        </w:tc>
        <w:tc>
          <w:tcPr>
            <w:tcW w:w="1104" w:type="pct"/>
            <w:noWrap/>
            <w:hideMark/>
          </w:tcPr>
          <w:p w14:paraId="0CCC1A30"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16DDFD98" w14:textId="77777777" w:rsidTr="00A413A8">
        <w:trPr>
          <w:trHeight w:val="300"/>
        </w:trPr>
        <w:tc>
          <w:tcPr>
            <w:tcW w:w="3896" w:type="pct"/>
            <w:noWrap/>
            <w:hideMark/>
          </w:tcPr>
          <w:p w14:paraId="079A2D55"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Non-current liabilities</w:t>
            </w:r>
          </w:p>
        </w:tc>
        <w:tc>
          <w:tcPr>
            <w:tcW w:w="1104" w:type="pct"/>
            <w:noWrap/>
            <w:hideMark/>
          </w:tcPr>
          <w:p w14:paraId="40C9C02B" w14:textId="77777777" w:rsidR="00A413A8" w:rsidRPr="00A413A8" w:rsidRDefault="00A413A8" w:rsidP="00EF2E17">
            <w:pPr>
              <w:jc w:val="left"/>
              <w:rPr>
                <w:rFonts w:eastAsia="Times New Roman" w:cs="Times New Roman"/>
                <w:b/>
                <w:bCs/>
                <w:color w:val="000000"/>
                <w:szCs w:val="24"/>
                <w:lang w:val="en-IN" w:eastAsia="en-IN" w:bidi="ar-SA"/>
              </w:rPr>
            </w:pPr>
          </w:p>
        </w:tc>
      </w:tr>
      <w:tr w:rsidR="00A51C10" w14:paraId="5FCFBDA8" w14:textId="77777777" w:rsidTr="00A413A8">
        <w:trPr>
          <w:trHeight w:val="300"/>
        </w:trPr>
        <w:tc>
          <w:tcPr>
            <w:tcW w:w="3896" w:type="pct"/>
            <w:noWrap/>
            <w:hideMark/>
          </w:tcPr>
          <w:p w14:paraId="5D565B73"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4% Debentures</w:t>
            </w:r>
          </w:p>
        </w:tc>
        <w:tc>
          <w:tcPr>
            <w:tcW w:w="1104" w:type="pct"/>
            <w:noWrap/>
            <w:hideMark/>
          </w:tcPr>
          <w:p w14:paraId="54FF4390"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2,00,000</w:t>
            </w:r>
          </w:p>
        </w:tc>
      </w:tr>
      <w:tr w:rsidR="00A51C10" w14:paraId="10983917" w14:textId="77777777" w:rsidTr="00A413A8">
        <w:trPr>
          <w:trHeight w:val="300"/>
        </w:trPr>
        <w:tc>
          <w:tcPr>
            <w:tcW w:w="3896" w:type="pct"/>
            <w:noWrap/>
            <w:hideMark/>
          </w:tcPr>
          <w:p w14:paraId="3FABC7C6" w14:textId="77777777" w:rsidR="00A413A8" w:rsidRPr="00A413A8" w:rsidRDefault="00A413A8" w:rsidP="00EF2E17">
            <w:pPr>
              <w:jc w:val="right"/>
              <w:rPr>
                <w:rFonts w:eastAsia="Times New Roman" w:cs="Times New Roman"/>
                <w:color w:val="000000"/>
                <w:szCs w:val="24"/>
                <w:lang w:val="en-IN" w:eastAsia="en-IN" w:bidi="ar-SA"/>
              </w:rPr>
            </w:pPr>
          </w:p>
        </w:tc>
        <w:tc>
          <w:tcPr>
            <w:tcW w:w="1104" w:type="pct"/>
            <w:noWrap/>
            <w:hideMark/>
          </w:tcPr>
          <w:p w14:paraId="3C1BC66E"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4474E99C" w14:textId="77777777" w:rsidTr="00A413A8">
        <w:trPr>
          <w:trHeight w:val="300"/>
        </w:trPr>
        <w:tc>
          <w:tcPr>
            <w:tcW w:w="3896" w:type="pct"/>
            <w:noWrap/>
            <w:hideMark/>
          </w:tcPr>
          <w:p w14:paraId="3AD2D3A4"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Total liabilities</w:t>
            </w:r>
          </w:p>
        </w:tc>
        <w:tc>
          <w:tcPr>
            <w:tcW w:w="1104" w:type="pct"/>
            <w:noWrap/>
            <w:hideMark/>
          </w:tcPr>
          <w:p w14:paraId="450DFB77"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3,91,625</w:t>
            </w:r>
          </w:p>
        </w:tc>
      </w:tr>
      <w:tr w:rsidR="00A51C10" w14:paraId="56B1E12D" w14:textId="77777777" w:rsidTr="00A413A8">
        <w:trPr>
          <w:trHeight w:val="300"/>
        </w:trPr>
        <w:tc>
          <w:tcPr>
            <w:tcW w:w="3896" w:type="pct"/>
            <w:noWrap/>
            <w:hideMark/>
          </w:tcPr>
          <w:p w14:paraId="5432D64B" w14:textId="77777777" w:rsidR="00A413A8" w:rsidRPr="00A413A8" w:rsidRDefault="00A413A8" w:rsidP="00EF2E17">
            <w:pPr>
              <w:jc w:val="right"/>
              <w:rPr>
                <w:rFonts w:eastAsia="Times New Roman" w:cs="Times New Roman"/>
                <w:color w:val="000000"/>
                <w:szCs w:val="24"/>
                <w:lang w:val="en-IN" w:eastAsia="en-IN" w:bidi="ar-SA"/>
              </w:rPr>
            </w:pPr>
          </w:p>
        </w:tc>
        <w:tc>
          <w:tcPr>
            <w:tcW w:w="1104" w:type="pct"/>
            <w:noWrap/>
            <w:hideMark/>
          </w:tcPr>
          <w:p w14:paraId="3D53E62B"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1180EFCB" w14:textId="77777777" w:rsidTr="00A413A8">
        <w:trPr>
          <w:trHeight w:val="300"/>
        </w:trPr>
        <w:tc>
          <w:tcPr>
            <w:tcW w:w="3896" w:type="pct"/>
            <w:noWrap/>
            <w:hideMark/>
          </w:tcPr>
          <w:p w14:paraId="01186839"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Equity</w:t>
            </w:r>
          </w:p>
        </w:tc>
        <w:tc>
          <w:tcPr>
            <w:tcW w:w="1104" w:type="pct"/>
            <w:noWrap/>
            <w:hideMark/>
          </w:tcPr>
          <w:p w14:paraId="20630343" w14:textId="77777777" w:rsidR="00A413A8" w:rsidRPr="00A413A8" w:rsidRDefault="00A413A8" w:rsidP="00EF2E17">
            <w:pPr>
              <w:jc w:val="left"/>
              <w:rPr>
                <w:rFonts w:eastAsia="Times New Roman" w:cs="Times New Roman"/>
                <w:b/>
                <w:bCs/>
                <w:color w:val="000000"/>
                <w:szCs w:val="24"/>
                <w:lang w:val="en-IN" w:eastAsia="en-IN" w:bidi="ar-SA"/>
              </w:rPr>
            </w:pPr>
          </w:p>
        </w:tc>
      </w:tr>
      <w:tr w:rsidR="00A51C10" w14:paraId="4AC0F2E5" w14:textId="77777777" w:rsidTr="00A413A8">
        <w:trPr>
          <w:trHeight w:val="300"/>
        </w:trPr>
        <w:tc>
          <w:tcPr>
            <w:tcW w:w="3896" w:type="pct"/>
            <w:noWrap/>
            <w:hideMark/>
          </w:tcPr>
          <w:p w14:paraId="1A7C048B"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Ordinary share capital</w:t>
            </w:r>
          </w:p>
        </w:tc>
        <w:tc>
          <w:tcPr>
            <w:tcW w:w="1104" w:type="pct"/>
            <w:noWrap/>
            <w:hideMark/>
          </w:tcPr>
          <w:p w14:paraId="22C716C3"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10,00,000</w:t>
            </w:r>
          </w:p>
        </w:tc>
      </w:tr>
      <w:tr w:rsidR="00A51C10" w14:paraId="29676656" w14:textId="77777777" w:rsidTr="00A413A8">
        <w:trPr>
          <w:trHeight w:val="300"/>
        </w:trPr>
        <w:tc>
          <w:tcPr>
            <w:tcW w:w="3896" w:type="pct"/>
            <w:noWrap/>
            <w:hideMark/>
          </w:tcPr>
          <w:p w14:paraId="6733184A"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10% £1 preference shares</w:t>
            </w:r>
          </w:p>
        </w:tc>
        <w:tc>
          <w:tcPr>
            <w:tcW w:w="1104" w:type="pct"/>
            <w:noWrap/>
            <w:hideMark/>
          </w:tcPr>
          <w:p w14:paraId="2E37AFFE"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4,00,000</w:t>
            </w:r>
          </w:p>
        </w:tc>
      </w:tr>
      <w:tr w:rsidR="00A51C10" w14:paraId="0F39179B" w14:textId="77777777" w:rsidTr="00A413A8">
        <w:trPr>
          <w:trHeight w:val="300"/>
        </w:trPr>
        <w:tc>
          <w:tcPr>
            <w:tcW w:w="3896" w:type="pct"/>
            <w:noWrap/>
            <w:hideMark/>
          </w:tcPr>
          <w:p w14:paraId="7ECDBA85"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Retained profits at 1st January 2021</w:t>
            </w:r>
          </w:p>
        </w:tc>
        <w:tc>
          <w:tcPr>
            <w:tcW w:w="1104" w:type="pct"/>
            <w:noWrap/>
            <w:hideMark/>
          </w:tcPr>
          <w:p w14:paraId="357972E2"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1,85,350</w:t>
            </w:r>
          </w:p>
        </w:tc>
      </w:tr>
      <w:tr w:rsidR="00A51C10" w14:paraId="434EF153" w14:textId="77777777" w:rsidTr="00A413A8">
        <w:trPr>
          <w:trHeight w:val="300"/>
        </w:trPr>
        <w:tc>
          <w:tcPr>
            <w:tcW w:w="3896" w:type="pct"/>
            <w:noWrap/>
            <w:hideMark/>
          </w:tcPr>
          <w:p w14:paraId="1C4B3E12" w14:textId="77777777" w:rsidR="00A413A8" w:rsidRPr="00A413A8" w:rsidRDefault="00A413A8" w:rsidP="00EF2E17">
            <w:pPr>
              <w:jc w:val="right"/>
              <w:rPr>
                <w:rFonts w:eastAsia="Times New Roman" w:cs="Times New Roman"/>
                <w:color w:val="000000"/>
                <w:szCs w:val="24"/>
                <w:lang w:val="en-IN" w:eastAsia="en-IN" w:bidi="ar-SA"/>
              </w:rPr>
            </w:pPr>
          </w:p>
        </w:tc>
        <w:tc>
          <w:tcPr>
            <w:tcW w:w="1104" w:type="pct"/>
            <w:noWrap/>
            <w:hideMark/>
          </w:tcPr>
          <w:p w14:paraId="0D990B30"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69009377" w14:textId="77777777" w:rsidTr="00A413A8">
        <w:trPr>
          <w:trHeight w:val="300"/>
        </w:trPr>
        <w:tc>
          <w:tcPr>
            <w:tcW w:w="3896" w:type="pct"/>
            <w:noWrap/>
            <w:hideMark/>
          </w:tcPr>
          <w:p w14:paraId="468CE288"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Total liability and equity</w:t>
            </w:r>
          </w:p>
        </w:tc>
        <w:tc>
          <w:tcPr>
            <w:tcW w:w="1104" w:type="pct"/>
            <w:noWrap/>
            <w:hideMark/>
          </w:tcPr>
          <w:p w14:paraId="25DB4C08"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19,76,975</w:t>
            </w:r>
          </w:p>
        </w:tc>
      </w:tr>
    </w:tbl>
    <w:p w14:paraId="50BD3687" w14:textId="77777777" w:rsidR="00A413A8" w:rsidRPr="00EF2E17" w:rsidRDefault="00A413A8" w:rsidP="00EF2E17">
      <w:pPr>
        <w:rPr>
          <w:rFonts w:cs="Times New Roman"/>
          <w:szCs w:val="24"/>
          <w:lang w:val="en-IN"/>
        </w:rPr>
      </w:pPr>
    </w:p>
    <w:p w14:paraId="1AF89E00" w14:textId="1305B573" w:rsidR="00A413A8" w:rsidRPr="00EF2E17" w:rsidRDefault="000D6EB6" w:rsidP="00EF2E17">
      <w:pPr>
        <w:pStyle w:val="Heading2"/>
        <w:rPr>
          <w:rFonts w:cs="Times New Roman"/>
          <w:szCs w:val="24"/>
          <w:lang w:val="en-IN"/>
        </w:rPr>
      </w:pPr>
      <w:bookmarkStart w:id="2" w:name="_Toc119344769"/>
      <w:r w:rsidRPr="00EF2E17">
        <w:rPr>
          <w:rFonts w:cs="Times New Roman"/>
          <w:szCs w:val="24"/>
          <w:lang w:val="en-IN"/>
        </w:rPr>
        <w:t>b) Reason behind balancing financial position statement</w:t>
      </w:r>
      <w:bookmarkEnd w:id="2"/>
    </w:p>
    <w:p w14:paraId="3088CE40" w14:textId="77777777" w:rsidR="00023D12" w:rsidRPr="00023D12" w:rsidRDefault="000D6EB6" w:rsidP="00023D12">
      <w:pPr>
        <w:rPr>
          <w:rFonts w:cs="Times New Roman"/>
          <w:szCs w:val="24"/>
        </w:rPr>
      </w:pPr>
      <w:r w:rsidRPr="00023D12">
        <w:rPr>
          <w:rFonts w:cs="Times New Roman"/>
          <w:szCs w:val="24"/>
        </w:rPr>
        <w:t>a) The rationale for balancing the financial position statement</w:t>
      </w:r>
    </w:p>
    <w:p w14:paraId="35916A1B" w14:textId="29500139" w:rsidR="00023D12" w:rsidRDefault="000D6EB6" w:rsidP="00023D12">
      <w:pPr>
        <w:rPr>
          <w:rFonts w:cs="Times New Roman"/>
          <w:szCs w:val="24"/>
        </w:rPr>
      </w:pPr>
      <w:r w:rsidRPr="00023D12">
        <w:rPr>
          <w:rFonts w:cs="Times New Roman"/>
          <w:szCs w:val="24"/>
        </w:rPr>
        <w:t xml:space="preserve">The balance sheet, also known as the statement of financial position, is a financial report that details corporate resources, obligations, and equity at a certain point in time. The statement of financial position's objective is to provide readers with an impression of the company's financial health and capacity to afford its debts (Jeenas, 2019). Because the aggregate value of a firm’s assets must match the whole value of its liabilities and equity, the statement of financial condition must balance. </w:t>
      </w:r>
      <w:r w:rsidR="00405DC1">
        <w:rPr>
          <w:rFonts w:cs="Times New Roman"/>
          <w:szCs w:val="24"/>
        </w:rPr>
        <w:t>It</w:t>
      </w:r>
      <w:r w:rsidRPr="00023D12">
        <w:rPr>
          <w:rFonts w:cs="Times New Roman"/>
          <w:szCs w:val="24"/>
        </w:rPr>
        <w:t xml:space="preserve"> is due to the fact that a business's assets are financed by either debt (liabilities) or equity (the owners' participation in the firm).</w:t>
      </w:r>
      <w:r w:rsidRPr="00EF2E17">
        <w:rPr>
          <w:rFonts w:cs="Times New Roman"/>
          <w:szCs w:val="24"/>
        </w:rPr>
        <w:t xml:space="preserve"> </w:t>
      </w:r>
      <w:bookmarkStart w:id="3" w:name="_Toc119344770"/>
      <w:r w:rsidRPr="00023D12">
        <w:rPr>
          <w:rFonts w:cs="Times New Roman"/>
          <w:szCs w:val="24"/>
        </w:rPr>
        <w:t>If the financial statement is not balanced, it indicates that the firm is in poor financial health and may fail on its debt commitments (Hasanaj and Kuqi, 2019). This might result in creditors seizing the company's assets as a way to pay back the debt.</w:t>
      </w:r>
    </w:p>
    <w:p w14:paraId="117F7C15" w14:textId="0FAE8783" w:rsidR="00A413A8" w:rsidRPr="00EF2E17" w:rsidRDefault="000D6EB6" w:rsidP="00023D12">
      <w:pPr>
        <w:rPr>
          <w:rFonts w:cs="Times New Roman"/>
          <w:szCs w:val="24"/>
          <w:lang w:val="en-IN"/>
        </w:rPr>
      </w:pPr>
      <w:r w:rsidRPr="00EF2E17">
        <w:rPr>
          <w:rFonts w:cs="Times New Roman"/>
          <w:szCs w:val="24"/>
          <w:lang w:val="en-IN"/>
        </w:rPr>
        <w:t>Part 2</w:t>
      </w:r>
      <w:bookmarkEnd w:id="3"/>
    </w:p>
    <w:p w14:paraId="11AD6BF6" w14:textId="22B3FED7" w:rsidR="00A413A8" w:rsidRPr="00EF2E17" w:rsidRDefault="000D6EB6" w:rsidP="00EF2E17">
      <w:pPr>
        <w:pStyle w:val="Heading2"/>
        <w:rPr>
          <w:rFonts w:cs="Times New Roman"/>
          <w:szCs w:val="24"/>
          <w:lang w:val="en-IN"/>
        </w:rPr>
      </w:pPr>
      <w:bookmarkStart w:id="4" w:name="_Toc119344771"/>
      <w:r w:rsidRPr="00EF2E17">
        <w:rPr>
          <w:rFonts w:cs="Times New Roman"/>
          <w:szCs w:val="24"/>
          <w:lang w:val="en-IN"/>
        </w:rPr>
        <w:t>a) Ratio calculation</w:t>
      </w:r>
      <w:bookmarkEnd w:id="4"/>
    </w:p>
    <w:tbl>
      <w:tblPr>
        <w:tblStyle w:val="TableGrid"/>
        <w:tblW w:w="5000" w:type="pct"/>
        <w:tblLook w:val="04A0" w:firstRow="1" w:lastRow="0" w:firstColumn="1" w:lastColumn="0" w:noHBand="0" w:noVBand="1"/>
      </w:tblPr>
      <w:tblGrid>
        <w:gridCol w:w="2414"/>
        <w:gridCol w:w="3115"/>
        <w:gridCol w:w="1176"/>
        <w:gridCol w:w="1267"/>
        <w:gridCol w:w="1044"/>
      </w:tblGrid>
      <w:tr w:rsidR="00A51C10" w14:paraId="1F0C0C4B" w14:textId="77777777" w:rsidTr="00A413A8">
        <w:trPr>
          <w:trHeight w:val="300"/>
        </w:trPr>
        <w:tc>
          <w:tcPr>
            <w:tcW w:w="1423" w:type="pct"/>
            <w:noWrap/>
            <w:hideMark/>
          </w:tcPr>
          <w:p w14:paraId="2CB8E3CF" w14:textId="77777777" w:rsidR="00A413A8" w:rsidRPr="00A413A8" w:rsidRDefault="00A413A8" w:rsidP="00EF2E17">
            <w:pPr>
              <w:jc w:val="left"/>
              <w:rPr>
                <w:rFonts w:eastAsia="Times New Roman" w:cs="Times New Roman"/>
                <w:color w:val="auto"/>
                <w:szCs w:val="24"/>
                <w:lang w:val="en-IN" w:eastAsia="en-IN" w:bidi="ar-SA"/>
              </w:rPr>
            </w:pPr>
          </w:p>
        </w:tc>
        <w:tc>
          <w:tcPr>
            <w:tcW w:w="1812" w:type="pct"/>
            <w:noWrap/>
            <w:hideMark/>
          </w:tcPr>
          <w:p w14:paraId="4C0845B4"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Formula</w:t>
            </w:r>
          </w:p>
        </w:tc>
        <w:tc>
          <w:tcPr>
            <w:tcW w:w="531" w:type="pct"/>
            <w:noWrap/>
            <w:hideMark/>
          </w:tcPr>
          <w:p w14:paraId="7466EB7F" w14:textId="77777777" w:rsidR="00A413A8" w:rsidRPr="00A413A8" w:rsidRDefault="000D6EB6" w:rsidP="00EF2E17">
            <w:pPr>
              <w:jc w:val="righ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2021</w:t>
            </w:r>
          </w:p>
        </w:tc>
        <w:tc>
          <w:tcPr>
            <w:tcW w:w="579" w:type="pct"/>
            <w:noWrap/>
            <w:hideMark/>
          </w:tcPr>
          <w:p w14:paraId="2B655090" w14:textId="77777777" w:rsidR="00A413A8" w:rsidRPr="00A413A8" w:rsidRDefault="000D6EB6" w:rsidP="00EF2E17">
            <w:pPr>
              <w:jc w:val="righ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2020</w:t>
            </w:r>
          </w:p>
        </w:tc>
        <w:tc>
          <w:tcPr>
            <w:tcW w:w="655" w:type="pct"/>
            <w:noWrap/>
            <w:hideMark/>
          </w:tcPr>
          <w:p w14:paraId="68D06DAA" w14:textId="77777777" w:rsidR="00A413A8" w:rsidRPr="00A413A8" w:rsidRDefault="000D6EB6" w:rsidP="00EF2E17">
            <w:pPr>
              <w:jc w:val="left"/>
              <w:rPr>
                <w:rFonts w:eastAsia="Times New Roman" w:cs="Times New Roman"/>
                <w:b/>
                <w:bCs/>
                <w:color w:val="000000"/>
                <w:szCs w:val="24"/>
                <w:lang w:val="en-IN" w:eastAsia="en-IN" w:bidi="ar-SA"/>
              </w:rPr>
            </w:pPr>
            <w:r w:rsidRPr="00A413A8">
              <w:rPr>
                <w:rFonts w:eastAsia="Times New Roman" w:cs="Times New Roman"/>
                <w:b/>
                <w:bCs/>
                <w:color w:val="000000"/>
                <w:szCs w:val="24"/>
                <w:lang w:val="en-IN" w:eastAsia="en-IN" w:bidi="ar-SA"/>
              </w:rPr>
              <w:t>% Change</w:t>
            </w:r>
          </w:p>
        </w:tc>
      </w:tr>
      <w:tr w:rsidR="00A51C10" w14:paraId="1AFFF49A" w14:textId="77777777" w:rsidTr="00A413A8">
        <w:trPr>
          <w:trHeight w:val="300"/>
        </w:trPr>
        <w:tc>
          <w:tcPr>
            <w:tcW w:w="1423" w:type="pct"/>
            <w:noWrap/>
            <w:hideMark/>
          </w:tcPr>
          <w:p w14:paraId="2C40648D"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EBIT</w:t>
            </w:r>
          </w:p>
        </w:tc>
        <w:tc>
          <w:tcPr>
            <w:tcW w:w="1812" w:type="pct"/>
            <w:noWrap/>
            <w:hideMark/>
          </w:tcPr>
          <w:p w14:paraId="3D5E3DC1"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6373E85B"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805.0 </w:t>
            </w:r>
          </w:p>
        </w:tc>
        <w:tc>
          <w:tcPr>
            <w:tcW w:w="579" w:type="pct"/>
            <w:noWrap/>
            <w:hideMark/>
          </w:tcPr>
          <w:p w14:paraId="70A5E3B1"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699.0 </w:t>
            </w:r>
          </w:p>
        </w:tc>
        <w:tc>
          <w:tcPr>
            <w:tcW w:w="655" w:type="pct"/>
            <w:noWrap/>
            <w:hideMark/>
          </w:tcPr>
          <w:p w14:paraId="271CE813"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15.2%</w:t>
            </w:r>
          </w:p>
        </w:tc>
      </w:tr>
      <w:tr w:rsidR="00A51C10" w14:paraId="672A2BEA" w14:textId="77777777" w:rsidTr="00A413A8">
        <w:trPr>
          <w:trHeight w:val="300"/>
        </w:trPr>
        <w:tc>
          <w:tcPr>
            <w:tcW w:w="1423" w:type="pct"/>
            <w:noWrap/>
            <w:hideMark/>
          </w:tcPr>
          <w:p w14:paraId="6857674C"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Capital employed</w:t>
            </w:r>
          </w:p>
        </w:tc>
        <w:tc>
          <w:tcPr>
            <w:tcW w:w="1812" w:type="pct"/>
            <w:noWrap/>
            <w:hideMark/>
          </w:tcPr>
          <w:p w14:paraId="7C22C704"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5D39E0AF"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7,225.0 </w:t>
            </w:r>
          </w:p>
        </w:tc>
        <w:tc>
          <w:tcPr>
            <w:tcW w:w="579" w:type="pct"/>
            <w:noWrap/>
            <w:hideMark/>
          </w:tcPr>
          <w:p w14:paraId="106D79B6"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7,041.0 </w:t>
            </w:r>
          </w:p>
        </w:tc>
        <w:tc>
          <w:tcPr>
            <w:tcW w:w="655" w:type="pct"/>
            <w:noWrap/>
            <w:hideMark/>
          </w:tcPr>
          <w:p w14:paraId="52E2F051"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2.6%</w:t>
            </w:r>
          </w:p>
        </w:tc>
      </w:tr>
      <w:tr w:rsidR="00A51C10" w14:paraId="1097311C" w14:textId="77777777" w:rsidTr="00A413A8">
        <w:trPr>
          <w:trHeight w:val="300"/>
        </w:trPr>
        <w:tc>
          <w:tcPr>
            <w:tcW w:w="1423" w:type="pct"/>
            <w:noWrap/>
            <w:hideMark/>
          </w:tcPr>
          <w:p w14:paraId="57E39DB4"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ROCE</w:t>
            </w:r>
          </w:p>
        </w:tc>
        <w:tc>
          <w:tcPr>
            <w:tcW w:w="1812" w:type="pct"/>
            <w:noWrap/>
            <w:hideMark/>
          </w:tcPr>
          <w:p w14:paraId="5225D93B" w14:textId="140BB07B" w:rsidR="00A413A8" w:rsidRPr="00A413A8" w:rsidRDefault="000D6EB6" w:rsidP="00EF2E17">
            <w:pPr>
              <w:jc w:val="left"/>
              <w:rPr>
                <w:rFonts w:eastAsia="Times New Roman" w:cs="Times New Roman"/>
                <w:i/>
                <w:iCs/>
                <w:color w:val="000000"/>
                <w:szCs w:val="24"/>
                <w:lang w:val="en-IN" w:eastAsia="en-IN" w:bidi="ar-SA"/>
              </w:rPr>
            </w:pPr>
            <w:r w:rsidRPr="00A413A8">
              <w:rPr>
                <w:rFonts w:eastAsia="Times New Roman" w:cs="Times New Roman"/>
                <w:i/>
                <w:iCs/>
                <w:color w:val="000000"/>
                <w:szCs w:val="24"/>
                <w:lang w:val="en-IN" w:eastAsia="en-IN" w:bidi="ar-SA"/>
              </w:rPr>
              <w:t>EBIT</w:t>
            </w:r>
            <w:r w:rsidRPr="00EF2E17">
              <w:rPr>
                <w:rFonts w:eastAsia="Times New Roman" w:cs="Times New Roman"/>
                <w:i/>
                <w:iCs/>
                <w:color w:val="000000"/>
                <w:szCs w:val="24"/>
                <w:lang w:val="en-IN" w:eastAsia="en-IN" w:bidi="ar-SA"/>
              </w:rPr>
              <w:t>/ (</w:t>
            </w:r>
            <w:r w:rsidRPr="00A413A8">
              <w:rPr>
                <w:rFonts w:eastAsia="Times New Roman" w:cs="Times New Roman"/>
                <w:i/>
                <w:iCs/>
                <w:color w:val="000000"/>
                <w:szCs w:val="24"/>
                <w:lang w:val="en-IN" w:eastAsia="en-IN" w:bidi="ar-SA"/>
              </w:rPr>
              <w:t>Total assets - current liabilities)</w:t>
            </w:r>
          </w:p>
        </w:tc>
        <w:tc>
          <w:tcPr>
            <w:tcW w:w="531" w:type="pct"/>
            <w:noWrap/>
            <w:hideMark/>
          </w:tcPr>
          <w:p w14:paraId="110B9A48"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11.1%</w:t>
            </w:r>
          </w:p>
        </w:tc>
        <w:tc>
          <w:tcPr>
            <w:tcW w:w="579" w:type="pct"/>
            <w:noWrap/>
            <w:hideMark/>
          </w:tcPr>
          <w:p w14:paraId="052A7A93"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9.9%</w:t>
            </w:r>
          </w:p>
        </w:tc>
        <w:tc>
          <w:tcPr>
            <w:tcW w:w="655" w:type="pct"/>
            <w:noWrap/>
            <w:hideMark/>
          </w:tcPr>
          <w:p w14:paraId="49AD18A4"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12.2%</w:t>
            </w:r>
          </w:p>
        </w:tc>
      </w:tr>
      <w:tr w:rsidR="00A51C10" w14:paraId="4E38B7F0" w14:textId="77777777" w:rsidTr="00A413A8">
        <w:trPr>
          <w:trHeight w:val="300"/>
        </w:trPr>
        <w:tc>
          <w:tcPr>
            <w:tcW w:w="1423" w:type="pct"/>
            <w:noWrap/>
            <w:hideMark/>
          </w:tcPr>
          <w:p w14:paraId="1343B75F" w14:textId="77777777" w:rsidR="00A413A8" w:rsidRPr="00A413A8" w:rsidRDefault="00A413A8" w:rsidP="00EF2E17">
            <w:pPr>
              <w:jc w:val="right"/>
              <w:rPr>
                <w:rFonts w:eastAsia="Times New Roman" w:cs="Times New Roman"/>
                <w:color w:val="000000"/>
                <w:szCs w:val="24"/>
                <w:lang w:val="en-IN" w:eastAsia="en-IN" w:bidi="ar-SA"/>
              </w:rPr>
            </w:pPr>
          </w:p>
        </w:tc>
        <w:tc>
          <w:tcPr>
            <w:tcW w:w="1812" w:type="pct"/>
            <w:noWrap/>
            <w:hideMark/>
          </w:tcPr>
          <w:p w14:paraId="27DE73D5" w14:textId="77777777" w:rsidR="00A413A8" w:rsidRPr="00A413A8" w:rsidRDefault="00A413A8" w:rsidP="00EF2E17">
            <w:pPr>
              <w:jc w:val="left"/>
              <w:rPr>
                <w:rFonts w:eastAsia="Times New Roman" w:cs="Times New Roman"/>
                <w:color w:val="auto"/>
                <w:szCs w:val="24"/>
                <w:lang w:val="en-IN" w:eastAsia="en-IN" w:bidi="ar-SA"/>
              </w:rPr>
            </w:pPr>
          </w:p>
        </w:tc>
        <w:tc>
          <w:tcPr>
            <w:tcW w:w="531" w:type="pct"/>
            <w:noWrap/>
            <w:hideMark/>
          </w:tcPr>
          <w:p w14:paraId="1C0E6E53" w14:textId="77777777" w:rsidR="00A413A8" w:rsidRPr="00A413A8" w:rsidRDefault="00A413A8" w:rsidP="00EF2E17">
            <w:pPr>
              <w:jc w:val="left"/>
              <w:rPr>
                <w:rFonts w:eastAsia="Times New Roman" w:cs="Times New Roman"/>
                <w:color w:val="auto"/>
                <w:szCs w:val="24"/>
                <w:lang w:val="en-IN" w:eastAsia="en-IN" w:bidi="ar-SA"/>
              </w:rPr>
            </w:pPr>
          </w:p>
        </w:tc>
        <w:tc>
          <w:tcPr>
            <w:tcW w:w="579" w:type="pct"/>
            <w:noWrap/>
            <w:hideMark/>
          </w:tcPr>
          <w:p w14:paraId="70AB259D" w14:textId="77777777" w:rsidR="00A413A8" w:rsidRPr="00A413A8" w:rsidRDefault="00A413A8" w:rsidP="00EF2E17">
            <w:pPr>
              <w:jc w:val="left"/>
              <w:rPr>
                <w:rFonts w:eastAsia="Times New Roman" w:cs="Times New Roman"/>
                <w:color w:val="auto"/>
                <w:szCs w:val="24"/>
                <w:lang w:val="en-IN" w:eastAsia="en-IN" w:bidi="ar-SA"/>
              </w:rPr>
            </w:pPr>
          </w:p>
        </w:tc>
        <w:tc>
          <w:tcPr>
            <w:tcW w:w="655" w:type="pct"/>
            <w:noWrap/>
            <w:hideMark/>
          </w:tcPr>
          <w:p w14:paraId="70CEF277"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0E76BDF4" w14:textId="77777777" w:rsidTr="00A413A8">
        <w:trPr>
          <w:trHeight w:val="300"/>
        </w:trPr>
        <w:tc>
          <w:tcPr>
            <w:tcW w:w="1423" w:type="pct"/>
            <w:noWrap/>
            <w:hideMark/>
          </w:tcPr>
          <w:p w14:paraId="70F56400"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Profit</w:t>
            </w:r>
          </w:p>
        </w:tc>
        <w:tc>
          <w:tcPr>
            <w:tcW w:w="1812" w:type="pct"/>
            <w:noWrap/>
            <w:hideMark/>
          </w:tcPr>
          <w:p w14:paraId="110A50D5"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53CBC688"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431.0 </w:t>
            </w:r>
          </w:p>
        </w:tc>
        <w:tc>
          <w:tcPr>
            <w:tcW w:w="579" w:type="pct"/>
            <w:noWrap/>
            <w:hideMark/>
          </w:tcPr>
          <w:p w14:paraId="4B8C305D"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366.0 </w:t>
            </w:r>
          </w:p>
        </w:tc>
        <w:tc>
          <w:tcPr>
            <w:tcW w:w="655" w:type="pct"/>
            <w:noWrap/>
            <w:hideMark/>
          </w:tcPr>
          <w:p w14:paraId="5C283B45"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17.8%</w:t>
            </w:r>
          </w:p>
        </w:tc>
      </w:tr>
      <w:tr w:rsidR="00A51C10" w14:paraId="3CF6C43F" w14:textId="77777777" w:rsidTr="00A413A8">
        <w:trPr>
          <w:trHeight w:val="300"/>
        </w:trPr>
        <w:tc>
          <w:tcPr>
            <w:tcW w:w="1423" w:type="pct"/>
            <w:noWrap/>
            <w:hideMark/>
          </w:tcPr>
          <w:p w14:paraId="7C620517"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Total equity</w:t>
            </w:r>
          </w:p>
        </w:tc>
        <w:tc>
          <w:tcPr>
            <w:tcW w:w="1812" w:type="pct"/>
            <w:noWrap/>
            <w:hideMark/>
          </w:tcPr>
          <w:p w14:paraId="576A402F"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222D3C98"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3,088.0 </w:t>
            </w:r>
          </w:p>
        </w:tc>
        <w:tc>
          <w:tcPr>
            <w:tcW w:w="579" w:type="pct"/>
            <w:noWrap/>
            <w:hideMark/>
          </w:tcPr>
          <w:p w14:paraId="3C7A4DD0"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2,912.0 </w:t>
            </w:r>
          </w:p>
        </w:tc>
        <w:tc>
          <w:tcPr>
            <w:tcW w:w="655" w:type="pct"/>
            <w:noWrap/>
            <w:hideMark/>
          </w:tcPr>
          <w:p w14:paraId="3B08000D"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6.0%</w:t>
            </w:r>
          </w:p>
        </w:tc>
      </w:tr>
      <w:tr w:rsidR="00A51C10" w14:paraId="4EF2B12A" w14:textId="77777777" w:rsidTr="00A413A8">
        <w:trPr>
          <w:trHeight w:val="300"/>
        </w:trPr>
        <w:tc>
          <w:tcPr>
            <w:tcW w:w="1423" w:type="pct"/>
            <w:noWrap/>
            <w:hideMark/>
          </w:tcPr>
          <w:p w14:paraId="61D37056"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ROE</w:t>
            </w:r>
          </w:p>
        </w:tc>
        <w:tc>
          <w:tcPr>
            <w:tcW w:w="1812" w:type="pct"/>
            <w:noWrap/>
            <w:hideMark/>
          </w:tcPr>
          <w:p w14:paraId="07899014" w14:textId="77777777" w:rsidR="00A413A8" w:rsidRPr="00A413A8" w:rsidRDefault="000D6EB6" w:rsidP="00EF2E17">
            <w:pPr>
              <w:jc w:val="left"/>
              <w:rPr>
                <w:rFonts w:eastAsia="Times New Roman" w:cs="Times New Roman"/>
                <w:i/>
                <w:iCs/>
                <w:color w:val="000000"/>
                <w:szCs w:val="24"/>
                <w:lang w:val="en-IN" w:eastAsia="en-IN" w:bidi="ar-SA"/>
              </w:rPr>
            </w:pPr>
            <w:r w:rsidRPr="00A413A8">
              <w:rPr>
                <w:rFonts w:eastAsia="Times New Roman" w:cs="Times New Roman"/>
                <w:i/>
                <w:iCs/>
                <w:color w:val="000000"/>
                <w:szCs w:val="24"/>
                <w:lang w:val="en-IN" w:eastAsia="en-IN" w:bidi="ar-SA"/>
              </w:rPr>
              <w:t>Net profit/Shareholders' equity</w:t>
            </w:r>
          </w:p>
        </w:tc>
        <w:tc>
          <w:tcPr>
            <w:tcW w:w="531" w:type="pct"/>
            <w:noWrap/>
            <w:hideMark/>
          </w:tcPr>
          <w:p w14:paraId="4368F3E8"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14.0%</w:t>
            </w:r>
          </w:p>
        </w:tc>
        <w:tc>
          <w:tcPr>
            <w:tcW w:w="579" w:type="pct"/>
            <w:noWrap/>
            <w:hideMark/>
          </w:tcPr>
          <w:p w14:paraId="2C61DE4E"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12.6%</w:t>
            </w:r>
          </w:p>
        </w:tc>
        <w:tc>
          <w:tcPr>
            <w:tcW w:w="655" w:type="pct"/>
            <w:noWrap/>
            <w:hideMark/>
          </w:tcPr>
          <w:p w14:paraId="419A13B4"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11.0%</w:t>
            </w:r>
          </w:p>
        </w:tc>
      </w:tr>
      <w:tr w:rsidR="00A51C10" w14:paraId="1EF5BF36" w14:textId="77777777" w:rsidTr="00A413A8">
        <w:trPr>
          <w:trHeight w:val="300"/>
        </w:trPr>
        <w:tc>
          <w:tcPr>
            <w:tcW w:w="1423" w:type="pct"/>
            <w:noWrap/>
            <w:hideMark/>
          </w:tcPr>
          <w:p w14:paraId="4F836AC1" w14:textId="77777777" w:rsidR="00A413A8" w:rsidRPr="00A413A8" w:rsidRDefault="00A413A8" w:rsidP="00EF2E17">
            <w:pPr>
              <w:jc w:val="right"/>
              <w:rPr>
                <w:rFonts w:eastAsia="Times New Roman" w:cs="Times New Roman"/>
                <w:color w:val="000000"/>
                <w:szCs w:val="24"/>
                <w:lang w:val="en-IN" w:eastAsia="en-IN" w:bidi="ar-SA"/>
              </w:rPr>
            </w:pPr>
          </w:p>
        </w:tc>
        <w:tc>
          <w:tcPr>
            <w:tcW w:w="1812" w:type="pct"/>
            <w:noWrap/>
            <w:hideMark/>
          </w:tcPr>
          <w:p w14:paraId="7FA3476D" w14:textId="77777777" w:rsidR="00A413A8" w:rsidRPr="00A413A8" w:rsidRDefault="00A413A8" w:rsidP="00EF2E17">
            <w:pPr>
              <w:jc w:val="left"/>
              <w:rPr>
                <w:rFonts w:eastAsia="Times New Roman" w:cs="Times New Roman"/>
                <w:color w:val="auto"/>
                <w:szCs w:val="24"/>
                <w:lang w:val="en-IN" w:eastAsia="en-IN" w:bidi="ar-SA"/>
              </w:rPr>
            </w:pPr>
          </w:p>
        </w:tc>
        <w:tc>
          <w:tcPr>
            <w:tcW w:w="531" w:type="pct"/>
            <w:noWrap/>
            <w:hideMark/>
          </w:tcPr>
          <w:p w14:paraId="35F80E38" w14:textId="77777777" w:rsidR="00A413A8" w:rsidRPr="00A413A8" w:rsidRDefault="00A413A8" w:rsidP="00EF2E17">
            <w:pPr>
              <w:jc w:val="left"/>
              <w:rPr>
                <w:rFonts w:eastAsia="Times New Roman" w:cs="Times New Roman"/>
                <w:color w:val="auto"/>
                <w:szCs w:val="24"/>
                <w:lang w:val="en-IN" w:eastAsia="en-IN" w:bidi="ar-SA"/>
              </w:rPr>
            </w:pPr>
          </w:p>
        </w:tc>
        <w:tc>
          <w:tcPr>
            <w:tcW w:w="579" w:type="pct"/>
            <w:noWrap/>
            <w:hideMark/>
          </w:tcPr>
          <w:p w14:paraId="08464A4C" w14:textId="77777777" w:rsidR="00A413A8" w:rsidRPr="00A413A8" w:rsidRDefault="00A413A8" w:rsidP="00EF2E17">
            <w:pPr>
              <w:jc w:val="left"/>
              <w:rPr>
                <w:rFonts w:eastAsia="Times New Roman" w:cs="Times New Roman"/>
                <w:color w:val="auto"/>
                <w:szCs w:val="24"/>
                <w:lang w:val="en-IN" w:eastAsia="en-IN" w:bidi="ar-SA"/>
              </w:rPr>
            </w:pPr>
          </w:p>
        </w:tc>
        <w:tc>
          <w:tcPr>
            <w:tcW w:w="655" w:type="pct"/>
            <w:noWrap/>
            <w:hideMark/>
          </w:tcPr>
          <w:p w14:paraId="0B9CF1D2"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5EC0C08A" w14:textId="77777777" w:rsidTr="00A413A8">
        <w:trPr>
          <w:trHeight w:val="300"/>
        </w:trPr>
        <w:tc>
          <w:tcPr>
            <w:tcW w:w="1423" w:type="pct"/>
            <w:noWrap/>
            <w:hideMark/>
          </w:tcPr>
          <w:p w14:paraId="54B53DC1"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Profit</w:t>
            </w:r>
          </w:p>
        </w:tc>
        <w:tc>
          <w:tcPr>
            <w:tcW w:w="1812" w:type="pct"/>
            <w:noWrap/>
            <w:hideMark/>
          </w:tcPr>
          <w:p w14:paraId="480EE55C"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7E81E8DD"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431.0 </w:t>
            </w:r>
          </w:p>
        </w:tc>
        <w:tc>
          <w:tcPr>
            <w:tcW w:w="579" w:type="pct"/>
            <w:noWrap/>
            <w:hideMark/>
          </w:tcPr>
          <w:p w14:paraId="58CF5C72"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366.0 </w:t>
            </w:r>
          </w:p>
        </w:tc>
        <w:tc>
          <w:tcPr>
            <w:tcW w:w="655" w:type="pct"/>
            <w:noWrap/>
            <w:hideMark/>
          </w:tcPr>
          <w:p w14:paraId="261A6C7D"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17.8%</w:t>
            </w:r>
          </w:p>
        </w:tc>
      </w:tr>
      <w:tr w:rsidR="00A51C10" w14:paraId="15D8150E" w14:textId="77777777" w:rsidTr="00A413A8">
        <w:trPr>
          <w:trHeight w:val="300"/>
        </w:trPr>
        <w:tc>
          <w:tcPr>
            <w:tcW w:w="1423" w:type="pct"/>
            <w:noWrap/>
            <w:hideMark/>
          </w:tcPr>
          <w:p w14:paraId="23A752C3" w14:textId="1E9F7FCE" w:rsidR="00A413A8" w:rsidRPr="00A413A8" w:rsidRDefault="000D6EB6" w:rsidP="00EF2E17">
            <w:pPr>
              <w:jc w:val="left"/>
              <w:rPr>
                <w:rFonts w:eastAsia="Times New Roman" w:cs="Times New Roman"/>
                <w:color w:val="000000"/>
                <w:szCs w:val="24"/>
                <w:lang w:val="en-IN" w:eastAsia="en-IN" w:bidi="ar-SA"/>
              </w:rPr>
            </w:pPr>
            <w:r w:rsidRPr="00EF2E17">
              <w:rPr>
                <w:rFonts w:eastAsia="Times New Roman" w:cs="Times New Roman"/>
                <w:color w:val="000000"/>
                <w:szCs w:val="24"/>
                <w:lang w:val="en-IN" w:eastAsia="en-IN" w:bidi="ar-SA"/>
              </w:rPr>
              <w:t>Outstanding</w:t>
            </w:r>
            <w:r w:rsidRPr="00A413A8">
              <w:rPr>
                <w:rFonts w:eastAsia="Times New Roman" w:cs="Times New Roman"/>
                <w:color w:val="000000"/>
                <w:szCs w:val="24"/>
                <w:lang w:val="en-IN" w:eastAsia="en-IN" w:bidi="ar-SA"/>
              </w:rPr>
              <w:t xml:space="preserve"> number of shares</w:t>
            </w:r>
          </w:p>
        </w:tc>
        <w:tc>
          <w:tcPr>
            <w:tcW w:w="1812" w:type="pct"/>
            <w:noWrap/>
            <w:hideMark/>
          </w:tcPr>
          <w:p w14:paraId="651EDA81"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6BB174A2"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600.0 </w:t>
            </w:r>
          </w:p>
        </w:tc>
        <w:tc>
          <w:tcPr>
            <w:tcW w:w="579" w:type="pct"/>
            <w:noWrap/>
            <w:hideMark/>
          </w:tcPr>
          <w:p w14:paraId="11D448AA"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600.0 </w:t>
            </w:r>
          </w:p>
        </w:tc>
        <w:tc>
          <w:tcPr>
            <w:tcW w:w="655" w:type="pct"/>
            <w:noWrap/>
            <w:hideMark/>
          </w:tcPr>
          <w:p w14:paraId="17F4651F"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0.0%</w:t>
            </w:r>
          </w:p>
        </w:tc>
      </w:tr>
      <w:tr w:rsidR="00A51C10" w14:paraId="088A4CEC" w14:textId="77777777" w:rsidTr="00A413A8">
        <w:trPr>
          <w:trHeight w:val="300"/>
        </w:trPr>
        <w:tc>
          <w:tcPr>
            <w:tcW w:w="1423" w:type="pct"/>
            <w:noWrap/>
            <w:hideMark/>
          </w:tcPr>
          <w:p w14:paraId="1DAC75CE"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EPS</w:t>
            </w:r>
          </w:p>
        </w:tc>
        <w:tc>
          <w:tcPr>
            <w:tcW w:w="1812" w:type="pct"/>
            <w:noWrap/>
            <w:hideMark/>
          </w:tcPr>
          <w:p w14:paraId="7C3030C1" w14:textId="77777777" w:rsidR="00A413A8" w:rsidRPr="00A413A8" w:rsidRDefault="000D6EB6" w:rsidP="00EF2E17">
            <w:pPr>
              <w:jc w:val="left"/>
              <w:rPr>
                <w:rFonts w:eastAsia="Times New Roman" w:cs="Times New Roman"/>
                <w:i/>
                <w:iCs/>
                <w:color w:val="000000"/>
                <w:szCs w:val="24"/>
                <w:lang w:val="en-IN" w:eastAsia="en-IN" w:bidi="ar-SA"/>
              </w:rPr>
            </w:pPr>
            <w:r w:rsidRPr="00A413A8">
              <w:rPr>
                <w:rFonts w:eastAsia="Times New Roman" w:cs="Times New Roman"/>
                <w:i/>
                <w:iCs/>
                <w:color w:val="000000"/>
                <w:szCs w:val="24"/>
                <w:lang w:val="en-IN" w:eastAsia="en-IN" w:bidi="ar-SA"/>
              </w:rPr>
              <w:t>Net profit/Outstanding shares</w:t>
            </w:r>
          </w:p>
        </w:tc>
        <w:tc>
          <w:tcPr>
            <w:tcW w:w="531" w:type="pct"/>
            <w:noWrap/>
            <w:hideMark/>
          </w:tcPr>
          <w:p w14:paraId="5FCB62E8"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0.7 </w:t>
            </w:r>
          </w:p>
        </w:tc>
        <w:tc>
          <w:tcPr>
            <w:tcW w:w="579" w:type="pct"/>
            <w:noWrap/>
            <w:hideMark/>
          </w:tcPr>
          <w:p w14:paraId="189E55CB"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0.6 </w:t>
            </w:r>
          </w:p>
        </w:tc>
        <w:tc>
          <w:tcPr>
            <w:tcW w:w="655" w:type="pct"/>
            <w:noWrap/>
            <w:hideMark/>
          </w:tcPr>
          <w:p w14:paraId="0D4E1BB9"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17.8%</w:t>
            </w:r>
          </w:p>
        </w:tc>
      </w:tr>
      <w:tr w:rsidR="00A51C10" w14:paraId="5C60AFDC" w14:textId="77777777" w:rsidTr="00A413A8">
        <w:trPr>
          <w:trHeight w:val="300"/>
        </w:trPr>
        <w:tc>
          <w:tcPr>
            <w:tcW w:w="1423" w:type="pct"/>
            <w:noWrap/>
            <w:hideMark/>
          </w:tcPr>
          <w:p w14:paraId="3CB59C80" w14:textId="77777777" w:rsidR="00A413A8" w:rsidRPr="00A413A8" w:rsidRDefault="00A413A8" w:rsidP="00EF2E17">
            <w:pPr>
              <w:jc w:val="right"/>
              <w:rPr>
                <w:rFonts w:eastAsia="Times New Roman" w:cs="Times New Roman"/>
                <w:color w:val="000000"/>
                <w:szCs w:val="24"/>
                <w:lang w:val="en-IN" w:eastAsia="en-IN" w:bidi="ar-SA"/>
              </w:rPr>
            </w:pPr>
          </w:p>
        </w:tc>
        <w:tc>
          <w:tcPr>
            <w:tcW w:w="1812" w:type="pct"/>
            <w:noWrap/>
            <w:hideMark/>
          </w:tcPr>
          <w:p w14:paraId="1E41BF22" w14:textId="77777777" w:rsidR="00A413A8" w:rsidRPr="00A413A8" w:rsidRDefault="00A413A8" w:rsidP="00EF2E17">
            <w:pPr>
              <w:jc w:val="left"/>
              <w:rPr>
                <w:rFonts w:eastAsia="Times New Roman" w:cs="Times New Roman"/>
                <w:color w:val="auto"/>
                <w:szCs w:val="24"/>
                <w:lang w:val="en-IN" w:eastAsia="en-IN" w:bidi="ar-SA"/>
              </w:rPr>
            </w:pPr>
          </w:p>
        </w:tc>
        <w:tc>
          <w:tcPr>
            <w:tcW w:w="531" w:type="pct"/>
            <w:noWrap/>
            <w:hideMark/>
          </w:tcPr>
          <w:p w14:paraId="5B4E2CA7" w14:textId="77777777" w:rsidR="00A413A8" w:rsidRPr="00A413A8" w:rsidRDefault="00A413A8" w:rsidP="00EF2E17">
            <w:pPr>
              <w:jc w:val="left"/>
              <w:rPr>
                <w:rFonts w:eastAsia="Times New Roman" w:cs="Times New Roman"/>
                <w:color w:val="auto"/>
                <w:szCs w:val="24"/>
                <w:lang w:val="en-IN" w:eastAsia="en-IN" w:bidi="ar-SA"/>
              </w:rPr>
            </w:pPr>
          </w:p>
        </w:tc>
        <w:tc>
          <w:tcPr>
            <w:tcW w:w="579" w:type="pct"/>
            <w:noWrap/>
            <w:hideMark/>
          </w:tcPr>
          <w:p w14:paraId="6113F070" w14:textId="77777777" w:rsidR="00A413A8" w:rsidRPr="00A413A8" w:rsidRDefault="00A413A8" w:rsidP="00EF2E17">
            <w:pPr>
              <w:jc w:val="left"/>
              <w:rPr>
                <w:rFonts w:eastAsia="Times New Roman" w:cs="Times New Roman"/>
                <w:color w:val="auto"/>
                <w:szCs w:val="24"/>
                <w:lang w:val="en-IN" w:eastAsia="en-IN" w:bidi="ar-SA"/>
              </w:rPr>
            </w:pPr>
          </w:p>
        </w:tc>
        <w:tc>
          <w:tcPr>
            <w:tcW w:w="655" w:type="pct"/>
            <w:noWrap/>
            <w:hideMark/>
          </w:tcPr>
          <w:p w14:paraId="54FBD67F"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7551C846" w14:textId="77777777" w:rsidTr="00A413A8">
        <w:trPr>
          <w:trHeight w:val="300"/>
        </w:trPr>
        <w:tc>
          <w:tcPr>
            <w:tcW w:w="1423" w:type="pct"/>
            <w:noWrap/>
            <w:hideMark/>
          </w:tcPr>
          <w:p w14:paraId="04477014"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Profit</w:t>
            </w:r>
          </w:p>
        </w:tc>
        <w:tc>
          <w:tcPr>
            <w:tcW w:w="1812" w:type="pct"/>
            <w:noWrap/>
            <w:hideMark/>
          </w:tcPr>
          <w:p w14:paraId="43A36AFC"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6F4C1678"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431.0 </w:t>
            </w:r>
          </w:p>
        </w:tc>
        <w:tc>
          <w:tcPr>
            <w:tcW w:w="579" w:type="pct"/>
            <w:noWrap/>
            <w:hideMark/>
          </w:tcPr>
          <w:p w14:paraId="5506DA07"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366.0 </w:t>
            </w:r>
          </w:p>
        </w:tc>
        <w:tc>
          <w:tcPr>
            <w:tcW w:w="655" w:type="pct"/>
            <w:noWrap/>
            <w:hideMark/>
          </w:tcPr>
          <w:p w14:paraId="02E70FB2"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17.8%</w:t>
            </w:r>
          </w:p>
        </w:tc>
      </w:tr>
      <w:tr w:rsidR="00A51C10" w14:paraId="3A3356A6" w14:textId="77777777" w:rsidTr="00A413A8">
        <w:trPr>
          <w:trHeight w:val="300"/>
        </w:trPr>
        <w:tc>
          <w:tcPr>
            <w:tcW w:w="1423" w:type="pct"/>
            <w:noWrap/>
            <w:hideMark/>
          </w:tcPr>
          <w:p w14:paraId="5D7D1081"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Revenue</w:t>
            </w:r>
          </w:p>
        </w:tc>
        <w:tc>
          <w:tcPr>
            <w:tcW w:w="1812" w:type="pct"/>
            <w:noWrap/>
            <w:hideMark/>
          </w:tcPr>
          <w:p w14:paraId="21EF0500"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699F8632"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6,738.0 </w:t>
            </w:r>
          </w:p>
        </w:tc>
        <w:tc>
          <w:tcPr>
            <w:tcW w:w="579" w:type="pct"/>
            <w:noWrap/>
            <w:hideMark/>
          </w:tcPr>
          <w:p w14:paraId="27EC2B05"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6,441.0 </w:t>
            </w:r>
          </w:p>
        </w:tc>
        <w:tc>
          <w:tcPr>
            <w:tcW w:w="655" w:type="pct"/>
            <w:noWrap/>
            <w:hideMark/>
          </w:tcPr>
          <w:p w14:paraId="2A3B2626"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4.6%</w:t>
            </w:r>
          </w:p>
        </w:tc>
      </w:tr>
      <w:tr w:rsidR="00A51C10" w14:paraId="6727D32E" w14:textId="77777777" w:rsidTr="00A413A8">
        <w:trPr>
          <w:trHeight w:val="300"/>
        </w:trPr>
        <w:tc>
          <w:tcPr>
            <w:tcW w:w="1423" w:type="pct"/>
            <w:noWrap/>
            <w:hideMark/>
          </w:tcPr>
          <w:p w14:paraId="5E8FE5C9"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Net profit margin</w:t>
            </w:r>
          </w:p>
        </w:tc>
        <w:tc>
          <w:tcPr>
            <w:tcW w:w="1812" w:type="pct"/>
            <w:noWrap/>
            <w:hideMark/>
          </w:tcPr>
          <w:p w14:paraId="516F34CC" w14:textId="77777777" w:rsidR="00A413A8" w:rsidRPr="00A413A8" w:rsidRDefault="000D6EB6" w:rsidP="00EF2E17">
            <w:pPr>
              <w:jc w:val="left"/>
              <w:rPr>
                <w:rFonts w:eastAsia="Times New Roman" w:cs="Times New Roman"/>
                <w:i/>
                <w:iCs/>
                <w:color w:val="000000"/>
                <w:szCs w:val="24"/>
                <w:lang w:val="en-IN" w:eastAsia="en-IN" w:bidi="ar-SA"/>
              </w:rPr>
            </w:pPr>
            <w:r w:rsidRPr="00A413A8">
              <w:rPr>
                <w:rFonts w:eastAsia="Times New Roman" w:cs="Times New Roman"/>
                <w:i/>
                <w:iCs/>
                <w:color w:val="000000"/>
                <w:szCs w:val="24"/>
                <w:lang w:val="en-IN" w:eastAsia="en-IN" w:bidi="ar-SA"/>
              </w:rPr>
              <w:t>Net profit/Total revenue</w:t>
            </w:r>
          </w:p>
        </w:tc>
        <w:tc>
          <w:tcPr>
            <w:tcW w:w="531" w:type="pct"/>
            <w:noWrap/>
            <w:hideMark/>
          </w:tcPr>
          <w:p w14:paraId="32495BB7"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6.4%</w:t>
            </w:r>
          </w:p>
        </w:tc>
        <w:tc>
          <w:tcPr>
            <w:tcW w:w="579" w:type="pct"/>
            <w:noWrap/>
            <w:hideMark/>
          </w:tcPr>
          <w:p w14:paraId="43503AA5"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5.7%</w:t>
            </w:r>
          </w:p>
        </w:tc>
        <w:tc>
          <w:tcPr>
            <w:tcW w:w="655" w:type="pct"/>
            <w:noWrap/>
            <w:hideMark/>
          </w:tcPr>
          <w:p w14:paraId="77E6AA7F"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12.6%</w:t>
            </w:r>
          </w:p>
        </w:tc>
      </w:tr>
      <w:tr w:rsidR="00A51C10" w14:paraId="0A464FE1" w14:textId="77777777" w:rsidTr="00A413A8">
        <w:trPr>
          <w:trHeight w:val="300"/>
        </w:trPr>
        <w:tc>
          <w:tcPr>
            <w:tcW w:w="1423" w:type="pct"/>
            <w:noWrap/>
            <w:hideMark/>
          </w:tcPr>
          <w:p w14:paraId="7DDD6E17" w14:textId="77777777" w:rsidR="00A413A8" w:rsidRPr="00A413A8" w:rsidRDefault="00A413A8" w:rsidP="00EF2E17">
            <w:pPr>
              <w:jc w:val="right"/>
              <w:rPr>
                <w:rFonts w:eastAsia="Times New Roman" w:cs="Times New Roman"/>
                <w:color w:val="000000"/>
                <w:szCs w:val="24"/>
                <w:lang w:val="en-IN" w:eastAsia="en-IN" w:bidi="ar-SA"/>
              </w:rPr>
            </w:pPr>
          </w:p>
        </w:tc>
        <w:tc>
          <w:tcPr>
            <w:tcW w:w="1812" w:type="pct"/>
            <w:noWrap/>
            <w:hideMark/>
          </w:tcPr>
          <w:p w14:paraId="32D55527" w14:textId="77777777" w:rsidR="00A413A8" w:rsidRPr="00A413A8" w:rsidRDefault="00A413A8" w:rsidP="00EF2E17">
            <w:pPr>
              <w:jc w:val="left"/>
              <w:rPr>
                <w:rFonts w:eastAsia="Times New Roman" w:cs="Times New Roman"/>
                <w:color w:val="auto"/>
                <w:szCs w:val="24"/>
                <w:lang w:val="en-IN" w:eastAsia="en-IN" w:bidi="ar-SA"/>
              </w:rPr>
            </w:pPr>
          </w:p>
        </w:tc>
        <w:tc>
          <w:tcPr>
            <w:tcW w:w="531" w:type="pct"/>
            <w:noWrap/>
            <w:hideMark/>
          </w:tcPr>
          <w:p w14:paraId="3D30891E" w14:textId="77777777" w:rsidR="00A413A8" w:rsidRPr="00A413A8" w:rsidRDefault="00A413A8" w:rsidP="00EF2E17">
            <w:pPr>
              <w:jc w:val="left"/>
              <w:rPr>
                <w:rFonts w:eastAsia="Times New Roman" w:cs="Times New Roman"/>
                <w:color w:val="auto"/>
                <w:szCs w:val="24"/>
                <w:lang w:val="en-IN" w:eastAsia="en-IN" w:bidi="ar-SA"/>
              </w:rPr>
            </w:pPr>
          </w:p>
        </w:tc>
        <w:tc>
          <w:tcPr>
            <w:tcW w:w="579" w:type="pct"/>
            <w:noWrap/>
            <w:hideMark/>
          </w:tcPr>
          <w:p w14:paraId="0A091679" w14:textId="77777777" w:rsidR="00A413A8" w:rsidRPr="00A413A8" w:rsidRDefault="00A413A8" w:rsidP="00EF2E17">
            <w:pPr>
              <w:jc w:val="left"/>
              <w:rPr>
                <w:rFonts w:eastAsia="Times New Roman" w:cs="Times New Roman"/>
                <w:color w:val="auto"/>
                <w:szCs w:val="24"/>
                <w:lang w:val="en-IN" w:eastAsia="en-IN" w:bidi="ar-SA"/>
              </w:rPr>
            </w:pPr>
          </w:p>
        </w:tc>
        <w:tc>
          <w:tcPr>
            <w:tcW w:w="655" w:type="pct"/>
            <w:noWrap/>
            <w:hideMark/>
          </w:tcPr>
          <w:p w14:paraId="19AFD9E1"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6D5FDDF8" w14:textId="77777777" w:rsidTr="00A413A8">
        <w:trPr>
          <w:trHeight w:val="300"/>
        </w:trPr>
        <w:tc>
          <w:tcPr>
            <w:tcW w:w="1423" w:type="pct"/>
            <w:noWrap/>
            <w:hideMark/>
          </w:tcPr>
          <w:p w14:paraId="467314A0"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Revenue</w:t>
            </w:r>
          </w:p>
        </w:tc>
        <w:tc>
          <w:tcPr>
            <w:tcW w:w="1812" w:type="pct"/>
            <w:noWrap/>
            <w:hideMark/>
          </w:tcPr>
          <w:p w14:paraId="47EB0635"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1E59EF0E"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6,738.0 </w:t>
            </w:r>
          </w:p>
        </w:tc>
        <w:tc>
          <w:tcPr>
            <w:tcW w:w="579" w:type="pct"/>
            <w:noWrap/>
            <w:hideMark/>
          </w:tcPr>
          <w:p w14:paraId="7B34B0B8"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6,441.0 </w:t>
            </w:r>
          </w:p>
        </w:tc>
        <w:tc>
          <w:tcPr>
            <w:tcW w:w="655" w:type="pct"/>
            <w:noWrap/>
            <w:hideMark/>
          </w:tcPr>
          <w:p w14:paraId="2F6C6B5F"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4.6%</w:t>
            </w:r>
          </w:p>
        </w:tc>
      </w:tr>
      <w:tr w:rsidR="00A51C10" w14:paraId="69D1705C" w14:textId="77777777" w:rsidTr="00A413A8">
        <w:trPr>
          <w:trHeight w:val="300"/>
        </w:trPr>
        <w:tc>
          <w:tcPr>
            <w:tcW w:w="1423" w:type="pct"/>
            <w:noWrap/>
            <w:hideMark/>
          </w:tcPr>
          <w:p w14:paraId="11D377B8"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Total assets</w:t>
            </w:r>
          </w:p>
        </w:tc>
        <w:tc>
          <w:tcPr>
            <w:tcW w:w="1812" w:type="pct"/>
            <w:noWrap/>
            <w:hideMark/>
          </w:tcPr>
          <w:p w14:paraId="78A494CC"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5CED56D6"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9,736.0 </w:t>
            </w:r>
          </w:p>
        </w:tc>
        <w:tc>
          <w:tcPr>
            <w:tcW w:w="579" w:type="pct"/>
            <w:noWrap/>
            <w:hideMark/>
          </w:tcPr>
          <w:p w14:paraId="18292BFB"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10,087.0 </w:t>
            </w:r>
          </w:p>
        </w:tc>
        <w:tc>
          <w:tcPr>
            <w:tcW w:w="655" w:type="pct"/>
            <w:noWrap/>
            <w:hideMark/>
          </w:tcPr>
          <w:p w14:paraId="7E8906A9"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-3.5%</w:t>
            </w:r>
          </w:p>
        </w:tc>
      </w:tr>
      <w:tr w:rsidR="00A51C10" w14:paraId="2ED39F92" w14:textId="77777777" w:rsidTr="00A413A8">
        <w:trPr>
          <w:trHeight w:val="300"/>
        </w:trPr>
        <w:tc>
          <w:tcPr>
            <w:tcW w:w="1423" w:type="pct"/>
            <w:noWrap/>
            <w:hideMark/>
          </w:tcPr>
          <w:p w14:paraId="22D07A13"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Asset turnover</w:t>
            </w:r>
          </w:p>
        </w:tc>
        <w:tc>
          <w:tcPr>
            <w:tcW w:w="1812" w:type="pct"/>
            <w:noWrap/>
            <w:hideMark/>
          </w:tcPr>
          <w:p w14:paraId="32E80006" w14:textId="77777777" w:rsidR="00A413A8" w:rsidRPr="00A413A8" w:rsidRDefault="000D6EB6" w:rsidP="00EF2E17">
            <w:pPr>
              <w:jc w:val="left"/>
              <w:rPr>
                <w:rFonts w:eastAsia="Times New Roman" w:cs="Times New Roman"/>
                <w:i/>
                <w:iCs/>
                <w:color w:val="000000"/>
                <w:szCs w:val="24"/>
                <w:lang w:val="en-IN" w:eastAsia="en-IN" w:bidi="ar-SA"/>
              </w:rPr>
            </w:pPr>
            <w:r w:rsidRPr="00A413A8">
              <w:rPr>
                <w:rFonts w:eastAsia="Times New Roman" w:cs="Times New Roman"/>
                <w:i/>
                <w:iCs/>
                <w:color w:val="000000"/>
                <w:szCs w:val="24"/>
                <w:lang w:val="en-IN" w:eastAsia="en-IN" w:bidi="ar-SA"/>
              </w:rPr>
              <w:t>Sales/Total assets</w:t>
            </w:r>
          </w:p>
        </w:tc>
        <w:tc>
          <w:tcPr>
            <w:tcW w:w="531" w:type="pct"/>
            <w:noWrap/>
            <w:hideMark/>
          </w:tcPr>
          <w:p w14:paraId="0955A6D9"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0.7 </w:t>
            </w:r>
          </w:p>
        </w:tc>
        <w:tc>
          <w:tcPr>
            <w:tcW w:w="579" w:type="pct"/>
            <w:noWrap/>
            <w:hideMark/>
          </w:tcPr>
          <w:p w14:paraId="35EE7CF1"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0.6 </w:t>
            </w:r>
          </w:p>
        </w:tc>
        <w:tc>
          <w:tcPr>
            <w:tcW w:w="655" w:type="pct"/>
            <w:noWrap/>
            <w:hideMark/>
          </w:tcPr>
          <w:p w14:paraId="193C068A"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8.4%</w:t>
            </w:r>
          </w:p>
        </w:tc>
      </w:tr>
      <w:tr w:rsidR="00A51C10" w14:paraId="777AAF60" w14:textId="77777777" w:rsidTr="00A413A8">
        <w:trPr>
          <w:trHeight w:val="300"/>
        </w:trPr>
        <w:tc>
          <w:tcPr>
            <w:tcW w:w="1423" w:type="pct"/>
            <w:noWrap/>
            <w:hideMark/>
          </w:tcPr>
          <w:p w14:paraId="079D69CD" w14:textId="77777777" w:rsidR="00A413A8" w:rsidRPr="00A413A8" w:rsidRDefault="00A413A8" w:rsidP="00EF2E17">
            <w:pPr>
              <w:jc w:val="right"/>
              <w:rPr>
                <w:rFonts w:eastAsia="Times New Roman" w:cs="Times New Roman"/>
                <w:color w:val="000000"/>
                <w:szCs w:val="24"/>
                <w:lang w:val="en-IN" w:eastAsia="en-IN" w:bidi="ar-SA"/>
              </w:rPr>
            </w:pPr>
          </w:p>
        </w:tc>
        <w:tc>
          <w:tcPr>
            <w:tcW w:w="1812" w:type="pct"/>
            <w:noWrap/>
            <w:hideMark/>
          </w:tcPr>
          <w:p w14:paraId="3CF09512" w14:textId="77777777" w:rsidR="00A413A8" w:rsidRPr="00A413A8" w:rsidRDefault="00A413A8" w:rsidP="00EF2E17">
            <w:pPr>
              <w:jc w:val="left"/>
              <w:rPr>
                <w:rFonts w:eastAsia="Times New Roman" w:cs="Times New Roman"/>
                <w:color w:val="auto"/>
                <w:szCs w:val="24"/>
                <w:lang w:val="en-IN" w:eastAsia="en-IN" w:bidi="ar-SA"/>
              </w:rPr>
            </w:pPr>
          </w:p>
        </w:tc>
        <w:tc>
          <w:tcPr>
            <w:tcW w:w="531" w:type="pct"/>
            <w:noWrap/>
            <w:hideMark/>
          </w:tcPr>
          <w:p w14:paraId="7493A4D5" w14:textId="77777777" w:rsidR="00A413A8" w:rsidRPr="00A413A8" w:rsidRDefault="00A413A8" w:rsidP="00EF2E17">
            <w:pPr>
              <w:jc w:val="left"/>
              <w:rPr>
                <w:rFonts w:eastAsia="Times New Roman" w:cs="Times New Roman"/>
                <w:color w:val="auto"/>
                <w:szCs w:val="24"/>
                <w:lang w:val="en-IN" w:eastAsia="en-IN" w:bidi="ar-SA"/>
              </w:rPr>
            </w:pPr>
          </w:p>
        </w:tc>
        <w:tc>
          <w:tcPr>
            <w:tcW w:w="579" w:type="pct"/>
            <w:noWrap/>
            <w:hideMark/>
          </w:tcPr>
          <w:p w14:paraId="5F2782A7" w14:textId="77777777" w:rsidR="00A413A8" w:rsidRPr="00A413A8" w:rsidRDefault="00A413A8" w:rsidP="00EF2E17">
            <w:pPr>
              <w:jc w:val="left"/>
              <w:rPr>
                <w:rFonts w:eastAsia="Times New Roman" w:cs="Times New Roman"/>
                <w:color w:val="auto"/>
                <w:szCs w:val="24"/>
                <w:lang w:val="en-IN" w:eastAsia="en-IN" w:bidi="ar-SA"/>
              </w:rPr>
            </w:pPr>
          </w:p>
        </w:tc>
        <w:tc>
          <w:tcPr>
            <w:tcW w:w="655" w:type="pct"/>
            <w:noWrap/>
            <w:hideMark/>
          </w:tcPr>
          <w:p w14:paraId="09CC2381"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6CD65E35" w14:textId="77777777" w:rsidTr="00A413A8">
        <w:trPr>
          <w:trHeight w:val="300"/>
        </w:trPr>
        <w:tc>
          <w:tcPr>
            <w:tcW w:w="1423" w:type="pct"/>
            <w:noWrap/>
            <w:hideMark/>
          </w:tcPr>
          <w:p w14:paraId="38A6F9D3"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Inventory</w:t>
            </w:r>
          </w:p>
        </w:tc>
        <w:tc>
          <w:tcPr>
            <w:tcW w:w="1812" w:type="pct"/>
            <w:noWrap/>
            <w:hideMark/>
          </w:tcPr>
          <w:p w14:paraId="78CAE88B"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1B4814FC"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708.0 </w:t>
            </w:r>
          </w:p>
        </w:tc>
        <w:tc>
          <w:tcPr>
            <w:tcW w:w="579" w:type="pct"/>
            <w:noWrap/>
            <w:hideMark/>
          </w:tcPr>
          <w:p w14:paraId="3759BE05"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659.0 </w:t>
            </w:r>
          </w:p>
        </w:tc>
        <w:tc>
          <w:tcPr>
            <w:tcW w:w="655" w:type="pct"/>
            <w:noWrap/>
            <w:hideMark/>
          </w:tcPr>
          <w:p w14:paraId="08DBA1AF"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7.4%</w:t>
            </w:r>
          </w:p>
        </w:tc>
      </w:tr>
      <w:tr w:rsidR="00A51C10" w14:paraId="04326B0F" w14:textId="77777777" w:rsidTr="00A413A8">
        <w:trPr>
          <w:trHeight w:val="300"/>
        </w:trPr>
        <w:tc>
          <w:tcPr>
            <w:tcW w:w="1423" w:type="pct"/>
            <w:noWrap/>
            <w:hideMark/>
          </w:tcPr>
          <w:p w14:paraId="76E91AD3"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COGS</w:t>
            </w:r>
          </w:p>
        </w:tc>
        <w:tc>
          <w:tcPr>
            <w:tcW w:w="1812" w:type="pct"/>
            <w:noWrap/>
            <w:hideMark/>
          </w:tcPr>
          <w:p w14:paraId="67B70F5B"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74D4F5E4"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3,235.0 </w:t>
            </w:r>
          </w:p>
        </w:tc>
        <w:tc>
          <w:tcPr>
            <w:tcW w:w="579" w:type="pct"/>
            <w:noWrap/>
            <w:hideMark/>
          </w:tcPr>
          <w:p w14:paraId="28EA11E2"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3,096.0 </w:t>
            </w:r>
          </w:p>
        </w:tc>
        <w:tc>
          <w:tcPr>
            <w:tcW w:w="655" w:type="pct"/>
            <w:noWrap/>
            <w:hideMark/>
          </w:tcPr>
          <w:p w14:paraId="36BCCDDD"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4.5%</w:t>
            </w:r>
          </w:p>
        </w:tc>
      </w:tr>
      <w:tr w:rsidR="00A51C10" w14:paraId="6672561D" w14:textId="77777777" w:rsidTr="00A413A8">
        <w:trPr>
          <w:trHeight w:val="300"/>
        </w:trPr>
        <w:tc>
          <w:tcPr>
            <w:tcW w:w="1423" w:type="pct"/>
            <w:noWrap/>
            <w:hideMark/>
          </w:tcPr>
          <w:p w14:paraId="1D41D4C6"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Stock holding days</w:t>
            </w:r>
          </w:p>
        </w:tc>
        <w:tc>
          <w:tcPr>
            <w:tcW w:w="1812" w:type="pct"/>
            <w:noWrap/>
            <w:hideMark/>
          </w:tcPr>
          <w:p w14:paraId="018C7DDC" w14:textId="77777777" w:rsidR="00A413A8" w:rsidRPr="00A413A8" w:rsidRDefault="000D6EB6" w:rsidP="00EF2E17">
            <w:pPr>
              <w:jc w:val="left"/>
              <w:rPr>
                <w:rFonts w:eastAsia="Times New Roman" w:cs="Times New Roman"/>
                <w:i/>
                <w:iCs/>
                <w:color w:val="000000"/>
                <w:szCs w:val="24"/>
                <w:lang w:val="en-IN" w:eastAsia="en-IN" w:bidi="ar-SA"/>
              </w:rPr>
            </w:pPr>
            <w:r w:rsidRPr="00A413A8">
              <w:rPr>
                <w:rFonts w:eastAsia="Times New Roman" w:cs="Times New Roman"/>
                <w:i/>
                <w:iCs/>
                <w:color w:val="000000"/>
                <w:szCs w:val="24"/>
                <w:lang w:val="en-IN" w:eastAsia="en-IN" w:bidi="ar-SA"/>
              </w:rPr>
              <w:t>(Inventory/COGS) * 365</w:t>
            </w:r>
          </w:p>
        </w:tc>
        <w:tc>
          <w:tcPr>
            <w:tcW w:w="531" w:type="pct"/>
            <w:noWrap/>
            <w:hideMark/>
          </w:tcPr>
          <w:p w14:paraId="05C510CE"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79.9 </w:t>
            </w:r>
          </w:p>
        </w:tc>
        <w:tc>
          <w:tcPr>
            <w:tcW w:w="579" w:type="pct"/>
            <w:noWrap/>
            <w:hideMark/>
          </w:tcPr>
          <w:p w14:paraId="742264EF"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77.7 </w:t>
            </w:r>
          </w:p>
        </w:tc>
        <w:tc>
          <w:tcPr>
            <w:tcW w:w="655" w:type="pct"/>
            <w:noWrap/>
            <w:hideMark/>
          </w:tcPr>
          <w:p w14:paraId="66870FB4"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2.8%</w:t>
            </w:r>
          </w:p>
        </w:tc>
      </w:tr>
      <w:tr w:rsidR="00A51C10" w14:paraId="77546D0C" w14:textId="77777777" w:rsidTr="00A413A8">
        <w:trPr>
          <w:trHeight w:val="300"/>
        </w:trPr>
        <w:tc>
          <w:tcPr>
            <w:tcW w:w="1423" w:type="pct"/>
            <w:noWrap/>
            <w:hideMark/>
          </w:tcPr>
          <w:p w14:paraId="4B5E7BB0" w14:textId="77777777" w:rsidR="00A413A8" w:rsidRPr="00A413A8" w:rsidRDefault="00A413A8" w:rsidP="00EF2E17">
            <w:pPr>
              <w:jc w:val="right"/>
              <w:rPr>
                <w:rFonts w:eastAsia="Times New Roman" w:cs="Times New Roman"/>
                <w:color w:val="000000"/>
                <w:szCs w:val="24"/>
                <w:lang w:val="en-IN" w:eastAsia="en-IN" w:bidi="ar-SA"/>
              </w:rPr>
            </w:pPr>
          </w:p>
        </w:tc>
        <w:tc>
          <w:tcPr>
            <w:tcW w:w="1812" w:type="pct"/>
            <w:noWrap/>
            <w:hideMark/>
          </w:tcPr>
          <w:p w14:paraId="02BBF106" w14:textId="77777777" w:rsidR="00A413A8" w:rsidRPr="00A413A8" w:rsidRDefault="00A413A8" w:rsidP="00EF2E17">
            <w:pPr>
              <w:jc w:val="left"/>
              <w:rPr>
                <w:rFonts w:eastAsia="Times New Roman" w:cs="Times New Roman"/>
                <w:color w:val="auto"/>
                <w:szCs w:val="24"/>
                <w:lang w:val="en-IN" w:eastAsia="en-IN" w:bidi="ar-SA"/>
              </w:rPr>
            </w:pPr>
          </w:p>
        </w:tc>
        <w:tc>
          <w:tcPr>
            <w:tcW w:w="531" w:type="pct"/>
            <w:noWrap/>
            <w:hideMark/>
          </w:tcPr>
          <w:p w14:paraId="7F1A1DBC" w14:textId="77777777" w:rsidR="00A413A8" w:rsidRPr="00A413A8" w:rsidRDefault="00A413A8" w:rsidP="00EF2E17">
            <w:pPr>
              <w:jc w:val="left"/>
              <w:rPr>
                <w:rFonts w:eastAsia="Times New Roman" w:cs="Times New Roman"/>
                <w:color w:val="auto"/>
                <w:szCs w:val="24"/>
                <w:lang w:val="en-IN" w:eastAsia="en-IN" w:bidi="ar-SA"/>
              </w:rPr>
            </w:pPr>
          </w:p>
        </w:tc>
        <w:tc>
          <w:tcPr>
            <w:tcW w:w="579" w:type="pct"/>
            <w:noWrap/>
            <w:hideMark/>
          </w:tcPr>
          <w:p w14:paraId="27F3BC19" w14:textId="77777777" w:rsidR="00A413A8" w:rsidRPr="00A413A8" w:rsidRDefault="00A413A8" w:rsidP="00EF2E17">
            <w:pPr>
              <w:jc w:val="left"/>
              <w:rPr>
                <w:rFonts w:eastAsia="Times New Roman" w:cs="Times New Roman"/>
                <w:color w:val="auto"/>
                <w:szCs w:val="24"/>
                <w:lang w:val="en-IN" w:eastAsia="en-IN" w:bidi="ar-SA"/>
              </w:rPr>
            </w:pPr>
          </w:p>
        </w:tc>
        <w:tc>
          <w:tcPr>
            <w:tcW w:w="655" w:type="pct"/>
            <w:noWrap/>
            <w:hideMark/>
          </w:tcPr>
          <w:p w14:paraId="4C83CCCB"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24E2D924" w14:textId="77777777" w:rsidTr="00A413A8">
        <w:trPr>
          <w:trHeight w:val="300"/>
        </w:trPr>
        <w:tc>
          <w:tcPr>
            <w:tcW w:w="1423" w:type="pct"/>
            <w:noWrap/>
            <w:hideMark/>
          </w:tcPr>
          <w:p w14:paraId="7CE85560"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Trade receivables</w:t>
            </w:r>
          </w:p>
        </w:tc>
        <w:tc>
          <w:tcPr>
            <w:tcW w:w="1812" w:type="pct"/>
            <w:noWrap/>
            <w:hideMark/>
          </w:tcPr>
          <w:p w14:paraId="782032FE"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06512281"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1,249.0 </w:t>
            </w:r>
          </w:p>
        </w:tc>
        <w:tc>
          <w:tcPr>
            <w:tcW w:w="579" w:type="pct"/>
            <w:noWrap/>
            <w:hideMark/>
          </w:tcPr>
          <w:p w14:paraId="71A55573"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1,287.0 </w:t>
            </w:r>
          </w:p>
        </w:tc>
        <w:tc>
          <w:tcPr>
            <w:tcW w:w="655" w:type="pct"/>
            <w:noWrap/>
            <w:hideMark/>
          </w:tcPr>
          <w:p w14:paraId="6ECC0B85"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-3.0%</w:t>
            </w:r>
          </w:p>
        </w:tc>
      </w:tr>
      <w:tr w:rsidR="00A51C10" w14:paraId="79B1CD04" w14:textId="77777777" w:rsidTr="00A413A8">
        <w:trPr>
          <w:trHeight w:val="300"/>
        </w:trPr>
        <w:tc>
          <w:tcPr>
            <w:tcW w:w="1423" w:type="pct"/>
            <w:noWrap/>
            <w:hideMark/>
          </w:tcPr>
          <w:p w14:paraId="2DB0FC3E"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Revenue</w:t>
            </w:r>
          </w:p>
        </w:tc>
        <w:tc>
          <w:tcPr>
            <w:tcW w:w="1812" w:type="pct"/>
            <w:noWrap/>
            <w:hideMark/>
          </w:tcPr>
          <w:p w14:paraId="79C998E8"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45FBF9F0"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6,738.0 </w:t>
            </w:r>
          </w:p>
        </w:tc>
        <w:tc>
          <w:tcPr>
            <w:tcW w:w="579" w:type="pct"/>
            <w:noWrap/>
            <w:hideMark/>
          </w:tcPr>
          <w:p w14:paraId="6EB03730"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6,441.0 </w:t>
            </w:r>
          </w:p>
        </w:tc>
        <w:tc>
          <w:tcPr>
            <w:tcW w:w="655" w:type="pct"/>
            <w:noWrap/>
            <w:hideMark/>
          </w:tcPr>
          <w:p w14:paraId="794225D1"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4.6%</w:t>
            </w:r>
          </w:p>
        </w:tc>
      </w:tr>
      <w:tr w:rsidR="00A51C10" w14:paraId="6E991521" w14:textId="77777777" w:rsidTr="00A413A8">
        <w:trPr>
          <w:trHeight w:val="300"/>
        </w:trPr>
        <w:tc>
          <w:tcPr>
            <w:tcW w:w="1423" w:type="pct"/>
            <w:noWrap/>
            <w:hideMark/>
          </w:tcPr>
          <w:p w14:paraId="351309AA" w14:textId="4F113A14" w:rsidR="00A413A8" w:rsidRPr="00A413A8" w:rsidRDefault="000D6EB6" w:rsidP="00EF2E17">
            <w:pPr>
              <w:jc w:val="left"/>
              <w:rPr>
                <w:rFonts w:eastAsia="Times New Roman" w:cs="Times New Roman"/>
                <w:color w:val="000000"/>
                <w:szCs w:val="24"/>
                <w:lang w:val="en-IN" w:eastAsia="en-IN" w:bidi="ar-SA"/>
              </w:rPr>
            </w:pPr>
            <w:r w:rsidRPr="00EF2E17">
              <w:rPr>
                <w:rFonts w:eastAsia="Times New Roman" w:cs="Times New Roman"/>
                <w:color w:val="000000"/>
                <w:szCs w:val="24"/>
                <w:lang w:val="en-IN" w:eastAsia="en-IN" w:bidi="ar-SA"/>
              </w:rPr>
              <w:t>Debtors’</w:t>
            </w:r>
            <w:r w:rsidRPr="00A413A8">
              <w:rPr>
                <w:rFonts w:eastAsia="Times New Roman" w:cs="Times New Roman"/>
                <w:color w:val="000000"/>
                <w:szCs w:val="24"/>
                <w:lang w:val="en-IN" w:eastAsia="en-IN" w:bidi="ar-SA"/>
              </w:rPr>
              <w:t xml:space="preserve"> collection period</w:t>
            </w:r>
          </w:p>
        </w:tc>
        <w:tc>
          <w:tcPr>
            <w:tcW w:w="1812" w:type="pct"/>
            <w:noWrap/>
            <w:hideMark/>
          </w:tcPr>
          <w:p w14:paraId="3666984C" w14:textId="01EBD1C7" w:rsidR="00A413A8" w:rsidRPr="00A413A8" w:rsidRDefault="000D6EB6" w:rsidP="00EF2E17">
            <w:pPr>
              <w:jc w:val="left"/>
              <w:rPr>
                <w:rFonts w:eastAsia="Times New Roman" w:cs="Times New Roman"/>
                <w:i/>
                <w:iCs/>
                <w:color w:val="000000"/>
                <w:szCs w:val="24"/>
                <w:lang w:val="en-IN" w:eastAsia="en-IN" w:bidi="ar-SA"/>
              </w:rPr>
            </w:pPr>
            <w:r w:rsidRPr="00A413A8">
              <w:rPr>
                <w:rFonts w:eastAsia="Times New Roman" w:cs="Times New Roman"/>
                <w:i/>
                <w:iCs/>
                <w:color w:val="000000"/>
                <w:szCs w:val="24"/>
                <w:lang w:val="en-IN" w:eastAsia="en-IN" w:bidi="ar-SA"/>
              </w:rPr>
              <w:t>(Accounts receivable/</w:t>
            </w:r>
            <w:r w:rsidRPr="00EF2E17">
              <w:rPr>
                <w:rFonts w:eastAsia="Times New Roman" w:cs="Times New Roman"/>
                <w:i/>
                <w:iCs/>
                <w:color w:val="000000"/>
                <w:szCs w:val="24"/>
                <w:lang w:val="en-IN" w:eastAsia="en-IN" w:bidi="ar-SA"/>
              </w:rPr>
              <w:t>Revenue) *</w:t>
            </w:r>
            <w:r w:rsidRPr="00A413A8">
              <w:rPr>
                <w:rFonts w:eastAsia="Times New Roman" w:cs="Times New Roman"/>
                <w:i/>
                <w:iCs/>
                <w:color w:val="000000"/>
                <w:szCs w:val="24"/>
                <w:lang w:val="en-IN" w:eastAsia="en-IN" w:bidi="ar-SA"/>
              </w:rPr>
              <w:t xml:space="preserve"> 365</w:t>
            </w:r>
          </w:p>
        </w:tc>
        <w:tc>
          <w:tcPr>
            <w:tcW w:w="531" w:type="pct"/>
            <w:noWrap/>
            <w:hideMark/>
          </w:tcPr>
          <w:p w14:paraId="18ED77C6"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67.7 </w:t>
            </w:r>
          </w:p>
        </w:tc>
        <w:tc>
          <w:tcPr>
            <w:tcW w:w="579" w:type="pct"/>
            <w:noWrap/>
            <w:hideMark/>
          </w:tcPr>
          <w:p w14:paraId="6918AA70"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72.9 </w:t>
            </w:r>
          </w:p>
        </w:tc>
        <w:tc>
          <w:tcPr>
            <w:tcW w:w="655" w:type="pct"/>
            <w:noWrap/>
            <w:hideMark/>
          </w:tcPr>
          <w:p w14:paraId="724F7DC6"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-7.2%</w:t>
            </w:r>
          </w:p>
        </w:tc>
      </w:tr>
      <w:tr w:rsidR="00A51C10" w14:paraId="7A13CF46" w14:textId="77777777" w:rsidTr="00A413A8">
        <w:trPr>
          <w:trHeight w:val="300"/>
        </w:trPr>
        <w:tc>
          <w:tcPr>
            <w:tcW w:w="1423" w:type="pct"/>
            <w:noWrap/>
            <w:hideMark/>
          </w:tcPr>
          <w:p w14:paraId="01CC8B1A" w14:textId="77777777" w:rsidR="00A413A8" w:rsidRPr="00A413A8" w:rsidRDefault="00A413A8" w:rsidP="00EF2E17">
            <w:pPr>
              <w:jc w:val="right"/>
              <w:rPr>
                <w:rFonts w:eastAsia="Times New Roman" w:cs="Times New Roman"/>
                <w:color w:val="000000"/>
                <w:szCs w:val="24"/>
                <w:lang w:val="en-IN" w:eastAsia="en-IN" w:bidi="ar-SA"/>
              </w:rPr>
            </w:pPr>
          </w:p>
        </w:tc>
        <w:tc>
          <w:tcPr>
            <w:tcW w:w="1812" w:type="pct"/>
            <w:noWrap/>
            <w:hideMark/>
          </w:tcPr>
          <w:p w14:paraId="1F011E84" w14:textId="77777777" w:rsidR="00A413A8" w:rsidRPr="00A413A8" w:rsidRDefault="00A413A8" w:rsidP="00EF2E17">
            <w:pPr>
              <w:jc w:val="left"/>
              <w:rPr>
                <w:rFonts w:eastAsia="Times New Roman" w:cs="Times New Roman"/>
                <w:color w:val="auto"/>
                <w:szCs w:val="24"/>
                <w:lang w:val="en-IN" w:eastAsia="en-IN" w:bidi="ar-SA"/>
              </w:rPr>
            </w:pPr>
          </w:p>
        </w:tc>
        <w:tc>
          <w:tcPr>
            <w:tcW w:w="531" w:type="pct"/>
            <w:noWrap/>
            <w:hideMark/>
          </w:tcPr>
          <w:p w14:paraId="08FC7F08" w14:textId="77777777" w:rsidR="00A413A8" w:rsidRPr="00A413A8" w:rsidRDefault="00A413A8" w:rsidP="00EF2E17">
            <w:pPr>
              <w:jc w:val="left"/>
              <w:rPr>
                <w:rFonts w:eastAsia="Times New Roman" w:cs="Times New Roman"/>
                <w:color w:val="auto"/>
                <w:szCs w:val="24"/>
                <w:lang w:val="en-IN" w:eastAsia="en-IN" w:bidi="ar-SA"/>
              </w:rPr>
            </w:pPr>
          </w:p>
        </w:tc>
        <w:tc>
          <w:tcPr>
            <w:tcW w:w="579" w:type="pct"/>
            <w:noWrap/>
            <w:hideMark/>
          </w:tcPr>
          <w:p w14:paraId="59A20E8D" w14:textId="77777777" w:rsidR="00A413A8" w:rsidRPr="00A413A8" w:rsidRDefault="00A413A8" w:rsidP="00EF2E17">
            <w:pPr>
              <w:jc w:val="left"/>
              <w:rPr>
                <w:rFonts w:eastAsia="Times New Roman" w:cs="Times New Roman"/>
                <w:color w:val="auto"/>
                <w:szCs w:val="24"/>
                <w:lang w:val="en-IN" w:eastAsia="en-IN" w:bidi="ar-SA"/>
              </w:rPr>
            </w:pPr>
          </w:p>
        </w:tc>
        <w:tc>
          <w:tcPr>
            <w:tcW w:w="655" w:type="pct"/>
            <w:noWrap/>
            <w:hideMark/>
          </w:tcPr>
          <w:p w14:paraId="39151D5A"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3D9A227A" w14:textId="77777777" w:rsidTr="00A413A8">
        <w:trPr>
          <w:trHeight w:val="300"/>
        </w:trPr>
        <w:tc>
          <w:tcPr>
            <w:tcW w:w="1423" w:type="pct"/>
            <w:noWrap/>
            <w:hideMark/>
          </w:tcPr>
          <w:p w14:paraId="65039881"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Current assets</w:t>
            </w:r>
          </w:p>
        </w:tc>
        <w:tc>
          <w:tcPr>
            <w:tcW w:w="1812" w:type="pct"/>
            <w:noWrap/>
            <w:hideMark/>
          </w:tcPr>
          <w:p w14:paraId="55FE723E"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1D718526"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2,303.0 </w:t>
            </w:r>
          </w:p>
        </w:tc>
        <w:tc>
          <w:tcPr>
            <w:tcW w:w="579" w:type="pct"/>
            <w:noWrap/>
            <w:hideMark/>
          </w:tcPr>
          <w:p w14:paraId="270DC75E"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2,355.0 </w:t>
            </w:r>
          </w:p>
        </w:tc>
        <w:tc>
          <w:tcPr>
            <w:tcW w:w="655" w:type="pct"/>
            <w:noWrap/>
            <w:hideMark/>
          </w:tcPr>
          <w:p w14:paraId="56A61C57"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-2.2%</w:t>
            </w:r>
          </w:p>
        </w:tc>
      </w:tr>
      <w:tr w:rsidR="00A51C10" w14:paraId="593BD19C" w14:textId="77777777" w:rsidTr="00A413A8">
        <w:trPr>
          <w:trHeight w:val="300"/>
        </w:trPr>
        <w:tc>
          <w:tcPr>
            <w:tcW w:w="1423" w:type="pct"/>
            <w:noWrap/>
            <w:hideMark/>
          </w:tcPr>
          <w:p w14:paraId="5D29793C"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Current liabilities</w:t>
            </w:r>
          </w:p>
        </w:tc>
        <w:tc>
          <w:tcPr>
            <w:tcW w:w="1812" w:type="pct"/>
            <w:noWrap/>
            <w:hideMark/>
          </w:tcPr>
          <w:p w14:paraId="1B1CE79D"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3EEE2C54"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2,511.0 </w:t>
            </w:r>
          </w:p>
        </w:tc>
        <w:tc>
          <w:tcPr>
            <w:tcW w:w="579" w:type="pct"/>
            <w:noWrap/>
            <w:hideMark/>
          </w:tcPr>
          <w:p w14:paraId="5227787E"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3,046.0 </w:t>
            </w:r>
          </w:p>
        </w:tc>
        <w:tc>
          <w:tcPr>
            <w:tcW w:w="655" w:type="pct"/>
            <w:noWrap/>
            <w:hideMark/>
          </w:tcPr>
          <w:p w14:paraId="4F465BC7"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-17.6%</w:t>
            </w:r>
          </w:p>
        </w:tc>
      </w:tr>
      <w:tr w:rsidR="00A51C10" w14:paraId="7B219546" w14:textId="77777777" w:rsidTr="00A413A8">
        <w:trPr>
          <w:trHeight w:val="300"/>
        </w:trPr>
        <w:tc>
          <w:tcPr>
            <w:tcW w:w="1423" w:type="pct"/>
            <w:noWrap/>
            <w:hideMark/>
          </w:tcPr>
          <w:p w14:paraId="66E53239"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Current ratio</w:t>
            </w:r>
          </w:p>
        </w:tc>
        <w:tc>
          <w:tcPr>
            <w:tcW w:w="1812" w:type="pct"/>
            <w:noWrap/>
            <w:hideMark/>
          </w:tcPr>
          <w:p w14:paraId="01C4ABC6" w14:textId="77777777" w:rsidR="00A413A8" w:rsidRPr="00A413A8" w:rsidRDefault="000D6EB6" w:rsidP="00EF2E17">
            <w:pPr>
              <w:jc w:val="left"/>
              <w:rPr>
                <w:rFonts w:eastAsia="Times New Roman" w:cs="Times New Roman"/>
                <w:i/>
                <w:iCs/>
                <w:color w:val="000000"/>
                <w:szCs w:val="24"/>
                <w:lang w:val="en-IN" w:eastAsia="en-IN" w:bidi="ar-SA"/>
              </w:rPr>
            </w:pPr>
            <w:r w:rsidRPr="00A413A8">
              <w:rPr>
                <w:rFonts w:eastAsia="Times New Roman" w:cs="Times New Roman"/>
                <w:i/>
                <w:iCs/>
                <w:color w:val="000000"/>
                <w:szCs w:val="24"/>
                <w:lang w:val="en-IN" w:eastAsia="en-IN" w:bidi="ar-SA"/>
              </w:rPr>
              <w:t>Current assets/Current liabilities</w:t>
            </w:r>
          </w:p>
        </w:tc>
        <w:tc>
          <w:tcPr>
            <w:tcW w:w="531" w:type="pct"/>
            <w:noWrap/>
            <w:hideMark/>
          </w:tcPr>
          <w:p w14:paraId="70FE7017"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0.9 </w:t>
            </w:r>
          </w:p>
        </w:tc>
        <w:tc>
          <w:tcPr>
            <w:tcW w:w="579" w:type="pct"/>
            <w:noWrap/>
            <w:hideMark/>
          </w:tcPr>
          <w:p w14:paraId="6C1F2628"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0.8 </w:t>
            </w:r>
          </w:p>
        </w:tc>
        <w:tc>
          <w:tcPr>
            <w:tcW w:w="655" w:type="pct"/>
            <w:noWrap/>
            <w:hideMark/>
          </w:tcPr>
          <w:p w14:paraId="0207AA6C"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18.6%</w:t>
            </w:r>
          </w:p>
        </w:tc>
      </w:tr>
      <w:tr w:rsidR="00A51C10" w14:paraId="114E7BDB" w14:textId="77777777" w:rsidTr="00A413A8">
        <w:trPr>
          <w:trHeight w:val="300"/>
        </w:trPr>
        <w:tc>
          <w:tcPr>
            <w:tcW w:w="1423" w:type="pct"/>
            <w:noWrap/>
            <w:hideMark/>
          </w:tcPr>
          <w:p w14:paraId="5268866F" w14:textId="77777777" w:rsidR="00A413A8" w:rsidRPr="00A413A8" w:rsidRDefault="00A413A8" w:rsidP="00EF2E17">
            <w:pPr>
              <w:jc w:val="right"/>
              <w:rPr>
                <w:rFonts w:eastAsia="Times New Roman" w:cs="Times New Roman"/>
                <w:color w:val="000000"/>
                <w:szCs w:val="24"/>
                <w:lang w:val="en-IN" w:eastAsia="en-IN" w:bidi="ar-SA"/>
              </w:rPr>
            </w:pPr>
          </w:p>
        </w:tc>
        <w:tc>
          <w:tcPr>
            <w:tcW w:w="1812" w:type="pct"/>
            <w:noWrap/>
            <w:hideMark/>
          </w:tcPr>
          <w:p w14:paraId="0EFA1F60" w14:textId="77777777" w:rsidR="00A413A8" w:rsidRPr="00A413A8" w:rsidRDefault="00A413A8" w:rsidP="00EF2E17">
            <w:pPr>
              <w:jc w:val="left"/>
              <w:rPr>
                <w:rFonts w:eastAsia="Times New Roman" w:cs="Times New Roman"/>
                <w:color w:val="auto"/>
                <w:szCs w:val="24"/>
                <w:lang w:val="en-IN" w:eastAsia="en-IN" w:bidi="ar-SA"/>
              </w:rPr>
            </w:pPr>
          </w:p>
        </w:tc>
        <w:tc>
          <w:tcPr>
            <w:tcW w:w="531" w:type="pct"/>
            <w:noWrap/>
            <w:hideMark/>
          </w:tcPr>
          <w:p w14:paraId="2C92718E" w14:textId="77777777" w:rsidR="00A413A8" w:rsidRPr="00A413A8" w:rsidRDefault="00A413A8" w:rsidP="00EF2E17">
            <w:pPr>
              <w:jc w:val="left"/>
              <w:rPr>
                <w:rFonts w:eastAsia="Times New Roman" w:cs="Times New Roman"/>
                <w:color w:val="auto"/>
                <w:szCs w:val="24"/>
                <w:lang w:val="en-IN" w:eastAsia="en-IN" w:bidi="ar-SA"/>
              </w:rPr>
            </w:pPr>
          </w:p>
        </w:tc>
        <w:tc>
          <w:tcPr>
            <w:tcW w:w="579" w:type="pct"/>
            <w:noWrap/>
            <w:hideMark/>
          </w:tcPr>
          <w:p w14:paraId="091B1999" w14:textId="77777777" w:rsidR="00A413A8" w:rsidRPr="00A413A8" w:rsidRDefault="00A413A8" w:rsidP="00EF2E17">
            <w:pPr>
              <w:jc w:val="left"/>
              <w:rPr>
                <w:rFonts w:eastAsia="Times New Roman" w:cs="Times New Roman"/>
                <w:color w:val="auto"/>
                <w:szCs w:val="24"/>
                <w:lang w:val="en-IN" w:eastAsia="en-IN" w:bidi="ar-SA"/>
              </w:rPr>
            </w:pPr>
          </w:p>
        </w:tc>
        <w:tc>
          <w:tcPr>
            <w:tcW w:w="655" w:type="pct"/>
            <w:noWrap/>
            <w:hideMark/>
          </w:tcPr>
          <w:p w14:paraId="6FB1C138"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41B8A629" w14:textId="77777777" w:rsidTr="00A413A8">
        <w:trPr>
          <w:trHeight w:val="300"/>
        </w:trPr>
        <w:tc>
          <w:tcPr>
            <w:tcW w:w="1423" w:type="pct"/>
            <w:noWrap/>
            <w:hideMark/>
          </w:tcPr>
          <w:p w14:paraId="0AF23370"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Debt</w:t>
            </w:r>
          </w:p>
        </w:tc>
        <w:tc>
          <w:tcPr>
            <w:tcW w:w="1812" w:type="pct"/>
            <w:noWrap/>
            <w:hideMark/>
          </w:tcPr>
          <w:p w14:paraId="08AC0FFB"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4BEDBDD1"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6,648.0 </w:t>
            </w:r>
          </w:p>
        </w:tc>
        <w:tc>
          <w:tcPr>
            <w:tcW w:w="579" w:type="pct"/>
            <w:noWrap/>
            <w:hideMark/>
          </w:tcPr>
          <w:p w14:paraId="7A97C627"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7,175.0 </w:t>
            </w:r>
          </w:p>
        </w:tc>
        <w:tc>
          <w:tcPr>
            <w:tcW w:w="655" w:type="pct"/>
            <w:noWrap/>
            <w:hideMark/>
          </w:tcPr>
          <w:p w14:paraId="2B99AE18"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-7.3%</w:t>
            </w:r>
          </w:p>
        </w:tc>
      </w:tr>
      <w:tr w:rsidR="00A51C10" w14:paraId="4382A945" w14:textId="77777777" w:rsidTr="00A413A8">
        <w:trPr>
          <w:trHeight w:val="300"/>
        </w:trPr>
        <w:tc>
          <w:tcPr>
            <w:tcW w:w="1423" w:type="pct"/>
            <w:noWrap/>
            <w:hideMark/>
          </w:tcPr>
          <w:p w14:paraId="63CB4BC2"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Equity</w:t>
            </w:r>
          </w:p>
        </w:tc>
        <w:tc>
          <w:tcPr>
            <w:tcW w:w="1812" w:type="pct"/>
            <w:noWrap/>
            <w:hideMark/>
          </w:tcPr>
          <w:p w14:paraId="09263BA7"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1ACB37E8"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3,088.0 </w:t>
            </w:r>
          </w:p>
        </w:tc>
        <w:tc>
          <w:tcPr>
            <w:tcW w:w="579" w:type="pct"/>
            <w:noWrap/>
            <w:hideMark/>
          </w:tcPr>
          <w:p w14:paraId="012C88A4"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2,912.0 </w:t>
            </w:r>
          </w:p>
        </w:tc>
        <w:tc>
          <w:tcPr>
            <w:tcW w:w="655" w:type="pct"/>
            <w:noWrap/>
            <w:hideMark/>
          </w:tcPr>
          <w:p w14:paraId="2482A863"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6.0%</w:t>
            </w:r>
          </w:p>
        </w:tc>
      </w:tr>
      <w:tr w:rsidR="00A51C10" w14:paraId="2D81D9BF" w14:textId="77777777" w:rsidTr="00A413A8">
        <w:trPr>
          <w:trHeight w:val="300"/>
        </w:trPr>
        <w:tc>
          <w:tcPr>
            <w:tcW w:w="1423" w:type="pct"/>
            <w:noWrap/>
            <w:hideMark/>
          </w:tcPr>
          <w:p w14:paraId="06A4901A"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Gearing ratio</w:t>
            </w:r>
          </w:p>
        </w:tc>
        <w:tc>
          <w:tcPr>
            <w:tcW w:w="1812" w:type="pct"/>
            <w:noWrap/>
            <w:hideMark/>
          </w:tcPr>
          <w:p w14:paraId="7238F0F0" w14:textId="77777777" w:rsidR="00A413A8" w:rsidRPr="00A413A8" w:rsidRDefault="000D6EB6" w:rsidP="00EF2E17">
            <w:pPr>
              <w:jc w:val="left"/>
              <w:rPr>
                <w:rFonts w:eastAsia="Times New Roman" w:cs="Times New Roman"/>
                <w:i/>
                <w:iCs/>
                <w:color w:val="000000"/>
                <w:szCs w:val="24"/>
                <w:lang w:val="en-IN" w:eastAsia="en-IN" w:bidi="ar-SA"/>
              </w:rPr>
            </w:pPr>
            <w:r w:rsidRPr="00A413A8">
              <w:rPr>
                <w:rFonts w:eastAsia="Times New Roman" w:cs="Times New Roman"/>
                <w:i/>
                <w:iCs/>
                <w:color w:val="000000"/>
                <w:szCs w:val="24"/>
                <w:lang w:val="en-IN" w:eastAsia="en-IN" w:bidi="ar-SA"/>
              </w:rPr>
              <w:t>Debt/Equity</w:t>
            </w:r>
          </w:p>
        </w:tc>
        <w:tc>
          <w:tcPr>
            <w:tcW w:w="531" w:type="pct"/>
            <w:noWrap/>
            <w:hideMark/>
          </w:tcPr>
          <w:p w14:paraId="0D800992"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2.2 </w:t>
            </w:r>
          </w:p>
        </w:tc>
        <w:tc>
          <w:tcPr>
            <w:tcW w:w="579" w:type="pct"/>
            <w:noWrap/>
            <w:hideMark/>
          </w:tcPr>
          <w:p w14:paraId="03FBEC8D"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2.5 </w:t>
            </w:r>
          </w:p>
        </w:tc>
        <w:tc>
          <w:tcPr>
            <w:tcW w:w="655" w:type="pct"/>
            <w:noWrap/>
            <w:hideMark/>
          </w:tcPr>
          <w:p w14:paraId="72AE8DC6"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-12.6%</w:t>
            </w:r>
          </w:p>
        </w:tc>
      </w:tr>
      <w:tr w:rsidR="00A51C10" w14:paraId="7E6C33FE" w14:textId="77777777" w:rsidTr="00A413A8">
        <w:trPr>
          <w:trHeight w:val="300"/>
        </w:trPr>
        <w:tc>
          <w:tcPr>
            <w:tcW w:w="1423" w:type="pct"/>
            <w:noWrap/>
            <w:hideMark/>
          </w:tcPr>
          <w:p w14:paraId="698B2EC1" w14:textId="77777777" w:rsidR="00A413A8" w:rsidRPr="00A413A8" w:rsidRDefault="00A413A8" w:rsidP="00EF2E17">
            <w:pPr>
              <w:jc w:val="right"/>
              <w:rPr>
                <w:rFonts w:eastAsia="Times New Roman" w:cs="Times New Roman"/>
                <w:color w:val="000000"/>
                <w:szCs w:val="24"/>
                <w:lang w:val="en-IN" w:eastAsia="en-IN" w:bidi="ar-SA"/>
              </w:rPr>
            </w:pPr>
          </w:p>
        </w:tc>
        <w:tc>
          <w:tcPr>
            <w:tcW w:w="1812" w:type="pct"/>
            <w:noWrap/>
            <w:hideMark/>
          </w:tcPr>
          <w:p w14:paraId="1B8D8F10" w14:textId="77777777" w:rsidR="00A413A8" w:rsidRPr="00A413A8" w:rsidRDefault="00A413A8" w:rsidP="00EF2E17">
            <w:pPr>
              <w:jc w:val="left"/>
              <w:rPr>
                <w:rFonts w:eastAsia="Times New Roman" w:cs="Times New Roman"/>
                <w:color w:val="auto"/>
                <w:szCs w:val="24"/>
                <w:lang w:val="en-IN" w:eastAsia="en-IN" w:bidi="ar-SA"/>
              </w:rPr>
            </w:pPr>
          </w:p>
        </w:tc>
        <w:tc>
          <w:tcPr>
            <w:tcW w:w="531" w:type="pct"/>
            <w:noWrap/>
            <w:hideMark/>
          </w:tcPr>
          <w:p w14:paraId="20B61056" w14:textId="77777777" w:rsidR="00A413A8" w:rsidRPr="00A413A8" w:rsidRDefault="00A413A8" w:rsidP="00EF2E17">
            <w:pPr>
              <w:jc w:val="left"/>
              <w:rPr>
                <w:rFonts w:eastAsia="Times New Roman" w:cs="Times New Roman"/>
                <w:color w:val="auto"/>
                <w:szCs w:val="24"/>
                <w:lang w:val="en-IN" w:eastAsia="en-IN" w:bidi="ar-SA"/>
              </w:rPr>
            </w:pPr>
          </w:p>
        </w:tc>
        <w:tc>
          <w:tcPr>
            <w:tcW w:w="579" w:type="pct"/>
            <w:noWrap/>
            <w:hideMark/>
          </w:tcPr>
          <w:p w14:paraId="039D7D93" w14:textId="77777777" w:rsidR="00A413A8" w:rsidRPr="00A413A8" w:rsidRDefault="00A413A8" w:rsidP="00EF2E17">
            <w:pPr>
              <w:jc w:val="left"/>
              <w:rPr>
                <w:rFonts w:eastAsia="Times New Roman" w:cs="Times New Roman"/>
                <w:color w:val="auto"/>
                <w:szCs w:val="24"/>
                <w:lang w:val="en-IN" w:eastAsia="en-IN" w:bidi="ar-SA"/>
              </w:rPr>
            </w:pPr>
          </w:p>
        </w:tc>
        <w:tc>
          <w:tcPr>
            <w:tcW w:w="655" w:type="pct"/>
            <w:noWrap/>
            <w:hideMark/>
          </w:tcPr>
          <w:p w14:paraId="4BE72B12" w14:textId="77777777" w:rsidR="00A413A8" w:rsidRPr="00A413A8" w:rsidRDefault="00A413A8" w:rsidP="00EF2E17">
            <w:pPr>
              <w:jc w:val="left"/>
              <w:rPr>
                <w:rFonts w:eastAsia="Times New Roman" w:cs="Times New Roman"/>
                <w:color w:val="auto"/>
                <w:szCs w:val="24"/>
                <w:lang w:val="en-IN" w:eastAsia="en-IN" w:bidi="ar-SA"/>
              </w:rPr>
            </w:pPr>
          </w:p>
        </w:tc>
      </w:tr>
      <w:tr w:rsidR="00A51C10" w14:paraId="0DFA3E01" w14:textId="77777777" w:rsidTr="00A413A8">
        <w:trPr>
          <w:trHeight w:val="300"/>
        </w:trPr>
        <w:tc>
          <w:tcPr>
            <w:tcW w:w="1423" w:type="pct"/>
            <w:noWrap/>
            <w:hideMark/>
          </w:tcPr>
          <w:p w14:paraId="18138B0A"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EBIT</w:t>
            </w:r>
          </w:p>
        </w:tc>
        <w:tc>
          <w:tcPr>
            <w:tcW w:w="1812" w:type="pct"/>
            <w:noWrap/>
            <w:hideMark/>
          </w:tcPr>
          <w:p w14:paraId="40C9CA89"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186BC3B0"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805.0 </w:t>
            </w:r>
          </w:p>
        </w:tc>
        <w:tc>
          <w:tcPr>
            <w:tcW w:w="579" w:type="pct"/>
            <w:noWrap/>
            <w:hideMark/>
          </w:tcPr>
          <w:p w14:paraId="793EE936"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699.0 </w:t>
            </w:r>
          </w:p>
        </w:tc>
        <w:tc>
          <w:tcPr>
            <w:tcW w:w="655" w:type="pct"/>
            <w:noWrap/>
            <w:hideMark/>
          </w:tcPr>
          <w:p w14:paraId="7D85B83F"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15.2%</w:t>
            </w:r>
          </w:p>
        </w:tc>
      </w:tr>
      <w:tr w:rsidR="00A51C10" w14:paraId="5201078A" w14:textId="77777777" w:rsidTr="00A413A8">
        <w:trPr>
          <w:trHeight w:val="300"/>
        </w:trPr>
        <w:tc>
          <w:tcPr>
            <w:tcW w:w="1423" w:type="pct"/>
            <w:noWrap/>
            <w:hideMark/>
          </w:tcPr>
          <w:p w14:paraId="54295C3E"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Interest expense</w:t>
            </w:r>
          </w:p>
        </w:tc>
        <w:tc>
          <w:tcPr>
            <w:tcW w:w="1812" w:type="pct"/>
            <w:noWrap/>
            <w:hideMark/>
          </w:tcPr>
          <w:p w14:paraId="51C492FC" w14:textId="77777777" w:rsidR="00A413A8" w:rsidRPr="00A413A8" w:rsidRDefault="00A413A8" w:rsidP="00EF2E17">
            <w:pPr>
              <w:jc w:val="left"/>
              <w:rPr>
                <w:rFonts w:eastAsia="Times New Roman" w:cs="Times New Roman"/>
                <w:color w:val="000000"/>
                <w:szCs w:val="24"/>
                <w:lang w:val="en-IN" w:eastAsia="en-IN" w:bidi="ar-SA"/>
              </w:rPr>
            </w:pPr>
          </w:p>
        </w:tc>
        <w:tc>
          <w:tcPr>
            <w:tcW w:w="531" w:type="pct"/>
            <w:noWrap/>
            <w:hideMark/>
          </w:tcPr>
          <w:p w14:paraId="7D47ACED"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226.0 </w:t>
            </w:r>
          </w:p>
        </w:tc>
        <w:tc>
          <w:tcPr>
            <w:tcW w:w="579" w:type="pct"/>
            <w:noWrap/>
            <w:hideMark/>
          </w:tcPr>
          <w:p w14:paraId="41C20911"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181.0 </w:t>
            </w:r>
          </w:p>
        </w:tc>
        <w:tc>
          <w:tcPr>
            <w:tcW w:w="655" w:type="pct"/>
            <w:noWrap/>
            <w:hideMark/>
          </w:tcPr>
          <w:p w14:paraId="4BE2AC83"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24.9%</w:t>
            </w:r>
          </w:p>
        </w:tc>
      </w:tr>
      <w:tr w:rsidR="00A51C10" w14:paraId="0987F346" w14:textId="77777777" w:rsidTr="00A413A8">
        <w:trPr>
          <w:trHeight w:val="300"/>
        </w:trPr>
        <w:tc>
          <w:tcPr>
            <w:tcW w:w="1423" w:type="pct"/>
            <w:noWrap/>
            <w:hideMark/>
          </w:tcPr>
          <w:p w14:paraId="0C8B0CD5"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Interest cover</w:t>
            </w:r>
          </w:p>
        </w:tc>
        <w:tc>
          <w:tcPr>
            <w:tcW w:w="1812" w:type="pct"/>
            <w:noWrap/>
            <w:hideMark/>
          </w:tcPr>
          <w:p w14:paraId="4D77F6BC" w14:textId="77777777" w:rsidR="00A413A8" w:rsidRPr="00A413A8" w:rsidRDefault="000D6EB6" w:rsidP="00EF2E17">
            <w:pPr>
              <w:jc w:val="left"/>
              <w:rPr>
                <w:rFonts w:eastAsia="Times New Roman" w:cs="Times New Roman"/>
                <w:i/>
                <w:iCs/>
                <w:color w:val="000000"/>
                <w:szCs w:val="24"/>
                <w:lang w:val="en-IN" w:eastAsia="en-IN" w:bidi="ar-SA"/>
              </w:rPr>
            </w:pPr>
            <w:r w:rsidRPr="00A413A8">
              <w:rPr>
                <w:rFonts w:eastAsia="Times New Roman" w:cs="Times New Roman"/>
                <w:i/>
                <w:iCs/>
                <w:color w:val="000000"/>
                <w:szCs w:val="24"/>
                <w:lang w:val="en-IN" w:eastAsia="en-IN" w:bidi="ar-SA"/>
              </w:rPr>
              <w:t>EBIT/Interest expense</w:t>
            </w:r>
          </w:p>
        </w:tc>
        <w:tc>
          <w:tcPr>
            <w:tcW w:w="531" w:type="pct"/>
            <w:noWrap/>
            <w:hideMark/>
          </w:tcPr>
          <w:p w14:paraId="0E415C59"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3.6 </w:t>
            </w:r>
          </w:p>
        </w:tc>
        <w:tc>
          <w:tcPr>
            <w:tcW w:w="579" w:type="pct"/>
            <w:noWrap/>
            <w:hideMark/>
          </w:tcPr>
          <w:p w14:paraId="7C8071D5" w14:textId="77777777" w:rsidR="00A413A8" w:rsidRPr="00A413A8" w:rsidRDefault="000D6EB6" w:rsidP="00EF2E17">
            <w:pPr>
              <w:jc w:val="lef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 xml:space="preserve">                  3.9 </w:t>
            </w:r>
          </w:p>
        </w:tc>
        <w:tc>
          <w:tcPr>
            <w:tcW w:w="655" w:type="pct"/>
            <w:noWrap/>
            <w:hideMark/>
          </w:tcPr>
          <w:p w14:paraId="669BFEB9" w14:textId="77777777" w:rsidR="00A413A8" w:rsidRPr="00A413A8" w:rsidRDefault="000D6EB6" w:rsidP="00EF2E17">
            <w:pPr>
              <w:jc w:val="right"/>
              <w:rPr>
                <w:rFonts w:eastAsia="Times New Roman" w:cs="Times New Roman"/>
                <w:color w:val="000000"/>
                <w:szCs w:val="24"/>
                <w:lang w:val="en-IN" w:eastAsia="en-IN" w:bidi="ar-SA"/>
              </w:rPr>
            </w:pPr>
            <w:r w:rsidRPr="00A413A8">
              <w:rPr>
                <w:rFonts w:eastAsia="Times New Roman" w:cs="Times New Roman"/>
                <w:color w:val="000000"/>
                <w:szCs w:val="24"/>
                <w:lang w:val="en-IN" w:eastAsia="en-IN" w:bidi="ar-SA"/>
              </w:rPr>
              <w:t>-7.8%</w:t>
            </w:r>
          </w:p>
        </w:tc>
      </w:tr>
    </w:tbl>
    <w:p w14:paraId="6E443866" w14:textId="77777777" w:rsidR="00A413A8" w:rsidRPr="00EF2E17" w:rsidRDefault="00A413A8" w:rsidP="00EF2E17">
      <w:pPr>
        <w:rPr>
          <w:rFonts w:cs="Times New Roman"/>
          <w:szCs w:val="24"/>
          <w:lang w:val="en-IN"/>
        </w:rPr>
      </w:pPr>
    </w:p>
    <w:p w14:paraId="28DA0164" w14:textId="51CF3B26" w:rsidR="00A413A8" w:rsidRPr="00EF2E17" w:rsidRDefault="000D6EB6" w:rsidP="00EF2E17">
      <w:pPr>
        <w:pStyle w:val="Heading2"/>
        <w:rPr>
          <w:rFonts w:cs="Times New Roman"/>
          <w:szCs w:val="24"/>
          <w:lang w:val="en-IN"/>
        </w:rPr>
      </w:pPr>
      <w:bookmarkStart w:id="5" w:name="_Toc119344772"/>
      <w:r w:rsidRPr="00EF2E17">
        <w:rPr>
          <w:rFonts w:cs="Times New Roman"/>
          <w:szCs w:val="24"/>
          <w:lang w:val="en-IN"/>
        </w:rPr>
        <w:t>b) Financial position analysis using ratios and financial statement</w:t>
      </w:r>
      <w:bookmarkEnd w:id="5"/>
    </w:p>
    <w:p w14:paraId="2C670ADE" w14:textId="078DF301" w:rsidR="00A413A8" w:rsidRPr="00EF2E17" w:rsidRDefault="000D6EB6" w:rsidP="00EF2E17">
      <w:pPr>
        <w:rPr>
          <w:rFonts w:cs="Times New Roman"/>
          <w:b/>
          <w:color w:val="auto"/>
          <w:szCs w:val="24"/>
          <w:lang w:val="en-GB"/>
        </w:rPr>
      </w:pPr>
      <w:r w:rsidRPr="00EF2E17">
        <w:rPr>
          <w:rFonts w:cs="Times New Roman"/>
          <w:b/>
          <w:szCs w:val="24"/>
        </w:rPr>
        <w:t>ROCE</w:t>
      </w:r>
      <w:r w:rsidRPr="00EF2E17">
        <w:rPr>
          <w:rFonts w:cs="Times New Roman"/>
          <w:b/>
          <w:color w:val="auto"/>
          <w:szCs w:val="24"/>
          <w:lang w:val="en-GB"/>
        </w:rPr>
        <w:t xml:space="preserve">: </w:t>
      </w:r>
      <w:r w:rsidRPr="00EF2E17">
        <w:rPr>
          <w:rFonts w:cs="Times New Roman"/>
          <w:szCs w:val="24"/>
        </w:rPr>
        <w:t>The ROCE for 2021 is 11.1% and the ROCE for 2020 is 9.9%.</w:t>
      </w:r>
      <w:r w:rsidRPr="00EF2E17">
        <w:rPr>
          <w:rFonts w:cs="Times New Roman"/>
          <w:b/>
          <w:color w:val="auto"/>
          <w:szCs w:val="24"/>
          <w:lang w:val="en-GB"/>
        </w:rPr>
        <w:t xml:space="preserve"> </w:t>
      </w:r>
      <w:r w:rsidRPr="00EF2E17">
        <w:rPr>
          <w:rFonts w:cs="Times New Roman"/>
          <w:szCs w:val="24"/>
        </w:rPr>
        <w:t>There are a few things to take into consideration when analyzing the ROCE for these years. The first is that the ROCE for 2020 is lower than the ROCE for 2021</w:t>
      </w:r>
      <w:r w:rsidR="00405DC1">
        <w:rPr>
          <w:rFonts w:cs="Times New Roman"/>
          <w:szCs w:val="24"/>
        </w:rPr>
        <w:t xml:space="preserve"> meaning</w:t>
      </w:r>
      <w:r w:rsidRPr="00EF2E17">
        <w:rPr>
          <w:rFonts w:cs="Times New Roman"/>
          <w:szCs w:val="24"/>
        </w:rPr>
        <w:t xml:space="preserve"> that the company was less profitable in 2020 than it was in 2021. The second thing to consider is that the ROCE for 2020 is still relatively high</w:t>
      </w:r>
      <w:r w:rsidR="00405DC1">
        <w:rPr>
          <w:rFonts w:cs="Times New Roman"/>
          <w:szCs w:val="24"/>
        </w:rPr>
        <w:t xml:space="preserve"> which </w:t>
      </w:r>
      <w:r w:rsidRPr="00EF2E17">
        <w:rPr>
          <w:rFonts w:cs="Times New Roman"/>
          <w:szCs w:val="24"/>
        </w:rPr>
        <w:t>means that even though the company was less profitable in 2020 than in 2021, it was still more profitable than most companies.</w:t>
      </w:r>
      <w:r w:rsidRPr="00EF2E17">
        <w:rPr>
          <w:rFonts w:cs="Times New Roman"/>
          <w:b/>
          <w:color w:val="auto"/>
          <w:szCs w:val="24"/>
          <w:lang w:val="en-GB"/>
        </w:rPr>
        <w:t xml:space="preserve"> </w:t>
      </w:r>
      <w:r w:rsidRPr="00EF2E17">
        <w:rPr>
          <w:rFonts w:cs="Times New Roman"/>
          <w:szCs w:val="24"/>
        </w:rPr>
        <w:t>One reason why the ROCE for 2020 might be lower than the ROCE for 2021 is because of the pandemic. The pandemic caused a lot of businesses to close down, which led to a decrease in profits for many companies. However, it is also possible that the ROCE for 2020 is lower because the company made some changes that led to decreased profits</w:t>
      </w:r>
      <w:r w:rsidR="00EF2E17" w:rsidRPr="00EF2E17">
        <w:rPr>
          <w:rFonts w:cs="Times New Roman"/>
          <w:szCs w:val="24"/>
        </w:rPr>
        <w:t xml:space="preserve"> (</w:t>
      </w:r>
      <w:r w:rsidR="00EF2E17" w:rsidRPr="00EF2E17">
        <w:rPr>
          <w:rFonts w:cs="Times New Roman"/>
          <w:color w:val="222222"/>
          <w:szCs w:val="24"/>
          <w:shd w:val="clear" w:color="auto" w:fill="FFFFFF"/>
        </w:rPr>
        <w:t>Umobong and Agburuga, 2019)</w:t>
      </w:r>
      <w:r w:rsidRPr="00EF2E17">
        <w:rPr>
          <w:rFonts w:cs="Times New Roman"/>
          <w:szCs w:val="24"/>
        </w:rPr>
        <w:t>. For example, the company might have laid off some employees or stopped selling certain products. Overall, the ROCE for 2020 is still relatively high, but the ROCE for 2021 is much higher</w:t>
      </w:r>
      <w:r w:rsidR="00405DC1">
        <w:rPr>
          <w:rFonts w:cs="Times New Roman"/>
          <w:szCs w:val="24"/>
        </w:rPr>
        <w:t xml:space="preserve"> </w:t>
      </w:r>
      <w:r w:rsidRPr="00EF2E17">
        <w:rPr>
          <w:rFonts w:cs="Times New Roman"/>
          <w:szCs w:val="24"/>
        </w:rPr>
        <w:t>indicat</w:t>
      </w:r>
      <w:r w:rsidR="00405DC1">
        <w:rPr>
          <w:rFonts w:cs="Times New Roman"/>
          <w:szCs w:val="24"/>
        </w:rPr>
        <w:t>ing</w:t>
      </w:r>
      <w:r w:rsidRPr="00EF2E17">
        <w:rPr>
          <w:rFonts w:cs="Times New Roman"/>
          <w:szCs w:val="24"/>
        </w:rPr>
        <w:t xml:space="preserve"> that the company was more profitable in 2021 than it was in 2020.</w:t>
      </w:r>
    </w:p>
    <w:p w14:paraId="179F52B6" w14:textId="69994E6D" w:rsidR="00A413A8" w:rsidRPr="00EF2E17" w:rsidRDefault="000D6EB6" w:rsidP="00EF2E17">
      <w:pPr>
        <w:rPr>
          <w:rFonts w:cs="Times New Roman"/>
          <w:b/>
          <w:szCs w:val="24"/>
        </w:rPr>
      </w:pPr>
      <w:r w:rsidRPr="00EF2E17">
        <w:rPr>
          <w:rFonts w:cs="Times New Roman"/>
          <w:b/>
          <w:szCs w:val="24"/>
        </w:rPr>
        <w:t xml:space="preserve">ROE: </w:t>
      </w:r>
      <w:r w:rsidRPr="00EF2E17">
        <w:rPr>
          <w:rFonts w:cs="Times New Roman"/>
          <w:szCs w:val="24"/>
        </w:rPr>
        <w:t xml:space="preserve"> The ROE for 2021 is 14.0% and the ROE for 2020 is 12.6%.</w:t>
      </w:r>
      <w:r w:rsidRPr="00EF2E17">
        <w:rPr>
          <w:rFonts w:cs="Times New Roman"/>
          <w:b/>
          <w:szCs w:val="24"/>
        </w:rPr>
        <w:t xml:space="preserve"> </w:t>
      </w:r>
      <w:r w:rsidRPr="00EF2E17">
        <w:rPr>
          <w:rFonts w:cs="Times New Roman"/>
          <w:szCs w:val="24"/>
        </w:rPr>
        <w:t xml:space="preserve">There are a few things that can be gleaned from this information. First, the ROE has increased from 2020 to 2021, meaning that the company has become more profitable. </w:t>
      </w:r>
      <w:r w:rsidR="00405DC1">
        <w:rPr>
          <w:rFonts w:cs="Times New Roman"/>
          <w:szCs w:val="24"/>
        </w:rPr>
        <w:t>It</w:t>
      </w:r>
      <w:r w:rsidRPr="00EF2E17">
        <w:rPr>
          <w:rFonts w:cs="Times New Roman"/>
          <w:szCs w:val="24"/>
        </w:rPr>
        <w:t xml:space="preserve"> is likely due to a number of factors, including increased sales, improved cost management, and higher investment returns.</w:t>
      </w:r>
      <w:r w:rsidRPr="00EF2E17">
        <w:rPr>
          <w:rFonts w:cs="Times New Roman"/>
          <w:b/>
          <w:szCs w:val="24"/>
        </w:rPr>
        <w:t xml:space="preserve"> </w:t>
      </w:r>
      <w:r w:rsidRPr="00EF2E17">
        <w:rPr>
          <w:rFonts w:cs="Times New Roman"/>
          <w:szCs w:val="24"/>
        </w:rPr>
        <w:t>Second, the ROE is still relatively high, meaning that shareholders are seeing a good return on their investment</w:t>
      </w:r>
      <w:r w:rsidR="00EF2E17" w:rsidRPr="00EF2E17">
        <w:rPr>
          <w:rFonts w:cs="Times New Roman"/>
          <w:szCs w:val="24"/>
        </w:rPr>
        <w:t xml:space="preserve"> (</w:t>
      </w:r>
      <w:r w:rsidR="00EF2E17" w:rsidRPr="00EF2E17">
        <w:rPr>
          <w:rFonts w:cs="Times New Roman"/>
          <w:color w:val="222222"/>
          <w:szCs w:val="24"/>
          <w:shd w:val="clear" w:color="auto" w:fill="FFFFFF"/>
        </w:rPr>
        <w:t>Pointer and Khoi, 2019)</w:t>
      </w:r>
      <w:r w:rsidRPr="00EF2E17">
        <w:rPr>
          <w:rFonts w:cs="Times New Roman"/>
          <w:szCs w:val="24"/>
        </w:rPr>
        <w:t>. This is encouraging, as it suggests that the company is doing well and is likely to continue to be profitable in the future.</w:t>
      </w:r>
      <w:r w:rsidRPr="00EF2E17">
        <w:rPr>
          <w:rFonts w:cs="Times New Roman"/>
          <w:b/>
          <w:szCs w:val="24"/>
        </w:rPr>
        <w:t xml:space="preserve"> </w:t>
      </w:r>
      <w:r w:rsidRPr="00EF2E17">
        <w:rPr>
          <w:rFonts w:cs="Times New Roman"/>
          <w:szCs w:val="24"/>
        </w:rPr>
        <w:t>Third, the ROE is one of several important financial ratios that investors use to assess a company. Other ratios, such as the return on assets (ROA) and the return on capital (ROC), should also be considered when making investment decisions.</w:t>
      </w:r>
      <w:r w:rsidRPr="00EF2E17">
        <w:rPr>
          <w:rFonts w:cs="Times New Roman"/>
          <w:b/>
          <w:szCs w:val="24"/>
        </w:rPr>
        <w:t xml:space="preserve"> </w:t>
      </w:r>
      <w:r w:rsidRPr="00EF2E17">
        <w:rPr>
          <w:rFonts w:cs="Times New Roman"/>
          <w:szCs w:val="24"/>
        </w:rPr>
        <w:t>Overall, the ROE for 2021 is positive and suggests that the company is doing well. However, investors should consider other financial ratios before making any decisions.</w:t>
      </w:r>
    </w:p>
    <w:p w14:paraId="605DE679" w14:textId="2BA3DEA3" w:rsidR="00A413A8" w:rsidRPr="00EF2E17" w:rsidRDefault="000D6EB6" w:rsidP="00EF2E17">
      <w:pPr>
        <w:rPr>
          <w:rFonts w:cs="Times New Roman"/>
          <w:b/>
          <w:szCs w:val="24"/>
        </w:rPr>
      </w:pPr>
      <w:r w:rsidRPr="00EF2E17">
        <w:rPr>
          <w:rFonts w:cs="Times New Roman"/>
          <w:b/>
          <w:szCs w:val="24"/>
        </w:rPr>
        <w:t xml:space="preserve">EPS: </w:t>
      </w:r>
      <w:r w:rsidRPr="00EF2E17">
        <w:rPr>
          <w:rFonts w:cs="Times New Roman"/>
          <w:szCs w:val="24"/>
        </w:rPr>
        <w:t>For the years 2021 and 2020, EPS was 0.7 and 0.6, respectively. This means that for every share of stock that a company has outstanding, the company earned $0.70 in 2021 and $0.60 in 2020. EPS can be affected by several factors, including a company's revenue, expenses, and the number of outstanding shares. EPS can be a useful metric for investors to assess a company's financial health, but it is important to remember that it is just one metric and should not be used as the sole basis for investment decisions.</w:t>
      </w:r>
    </w:p>
    <w:p w14:paraId="2B114958" w14:textId="5AB12B78" w:rsidR="00A413A8" w:rsidRPr="00EF2E17" w:rsidRDefault="000D6EB6" w:rsidP="00EF2E17">
      <w:pPr>
        <w:rPr>
          <w:rFonts w:cs="Times New Roman"/>
          <w:b/>
          <w:szCs w:val="24"/>
        </w:rPr>
      </w:pPr>
      <w:r w:rsidRPr="00EF2E17">
        <w:rPr>
          <w:rFonts w:cs="Times New Roman"/>
          <w:b/>
          <w:szCs w:val="24"/>
        </w:rPr>
        <w:t xml:space="preserve">Net profit </w:t>
      </w:r>
      <w:r w:rsidR="00023D12" w:rsidRPr="00EF2E17">
        <w:rPr>
          <w:rFonts w:cs="Times New Roman"/>
          <w:b/>
          <w:szCs w:val="24"/>
        </w:rPr>
        <w:t>margin</w:t>
      </w:r>
      <w:r w:rsidR="00023D12">
        <w:rPr>
          <w:rFonts w:cs="Times New Roman"/>
          <w:b/>
          <w:szCs w:val="24"/>
        </w:rPr>
        <w:t>:</w:t>
      </w:r>
      <w:r w:rsidR="00023D12" w:rsidRPr="00023D12">
        <w:rPr>
          <w:rFonts w:cs="Times New Roman"/>
          <w:bCs/>
          <w:szCs w:val="24"/>
        </w:rPr>
        <w:t xml:space="preserve"> Net profit margin is a financial statistic that calculates the proportion of net profit generated by a firm in relation to total sales. The larger a company's net profit margin, the further competent it is in generating profit from total sales.</w:t>
      </w:r>
      <w:r w:rsidRPr="00EF2E17">
        <w:rPr>
          <w:rFonts w:cs="Times New Roman"/>
          <w:b/>
          <w:szCs w:val="24"/>
        </w:rPr>
        <w:t xml:space="preserve"> </w:t>
      </w:r>
      <w:r w:rsidRPr="00EF2E17">
        <w:rPr>
          <w:rFonts w:cs="Times New Roman"/>
          <w:szCs w:val="24"/>
        </w:rPr>
        <w:t>For the years 2021 and 2020, the net profit margin was 6.4% and 5.7%, respectively. This indicates that the company became more efficient at generating profit from its total revenue between 2020 and 2021. The company's net profit margin increased by 0.7 percentage points, or 12.3%, from 2020 to 2021.</w:t>
      </w:r>
    </w:p>
    <w:p w14:paraId="0FCD3AB3" w14:textId="084C9AFD" w:rsidR="00A413A8" w:rsidRPr="00EF2E17" w:rsidRDefault="000D6EB6" w:rsidP="00EF2E17">
      <w:pPr>
        <w:rPr>
          <w:rFonts w:cs="Times New Roman"/>
          <w:b/>
          <w:szCs w:val="24"/>
        </w:rPr>
      </w:pPr>
      <w:r w:rsidRPr="00EF2E17">
        <w:rPr>
          <w:rFonts w:cs="Times New Roman"/>
          <w:b/>
          <w:szCs w:val="24"/>
        </w:rPr>
        <w:t xml:space="preserve">Asset turnover: </w:t>
      </w:r>
      <w:r w:rsidRPr="00EF2E17">
        <w:rPr>
          <w:rFonts w:cs="Times New Roman"/>
          <w:szCs w:val="24"/>
        </w:rPr>
        <w:t>Assuming that the asset turnover ratio is a measure of a company's efficiency in using its assets to generate sales, it can see that the company has become more efficient in 2020 than in 2021. This could be due to several factors, such as changes in the mix of assets, changes in the relative efficiency of different types of assets, or changes in the way assets are utilized. If the company's assets are primarily used to generate sales, then this increase in efficiency could be indicative of an increase in sales</w:t>
      </w:r>
      <w:r w:rsidR="00EF2E17" w:rsidRPr="00EF2E17">
        <w:rPr>
          <w:rFonts w:cs="Times New Roman"/>
          <w:szCs w:val="24"/>
        </w:rPr>
        <w:t xml:space="preserve"> (</w:t>
      </w:r>
      <w:r w:rsidR="00EF2E17" w:rsidRPr="00EF2E17">
        <w:rPr>
          <w:rFonts w:cs="Times New Roman"/>
          <w:color w:val="222222"/>
          <w:szCs w:val="24"/>
          <w:shd w:val="clear" w:color="auto" w:fill="FFFFFF"/>
        </w:rPr>
        <w:t>Kurniawan, 2021)</w:t>
      </w:r>
      <w:r w:rsidRPr="00EF2E17">
        <w:rPr>
          <w:rFonts w:cs="Times New Roman"/>
          <w:szCs w:val="24"/>
        </w:rPr>
        <w:t>.</w:t>
      </w:r>
    </w:p>
    <w:p w14:paraId="629CF5AD" w14:textId="75ABC8FC" w:rsidR="00A413A8" w:rsidRPr="00EF2E17" w:rsidRDefault="000D6EB6" w:rsidP="00EF2E17">
      <w:pPr>
        <w:rPr>
          <w:rFonts w:cs="Times New Roman"/>
          <w:b/>
          <w:szCs w:val="24"/>
        </w:rPr>
      </w:pPr>
      <w:r w:rsidRPr="00EF2E17">
        <w:rPr>
          <w:rFonts w:cs="Times New Roman"/>
          <w:b/>
          <w:szCs w:val="24"/>
        </w:rPr>
        <w:t xml:space="preserve">Stock holding days: </w:t>
      </w:r>
      <w:r w:rsidRPr="00EF2E17">
        <w:rPr>
          <w:rFonts w:cs="Times New Roman"/>
          <w:szCs w:val="24"/>
        </w:rPr>
        <w:t>Assuming that the stock holding days for 2021 and 2020 are 79.9 and 77.7, respectively, it is seen that there is a slight increase in the number of days that the stock is held onto in 2021 as compared to 2020. This may be due to a number of factors, such as the overall performance of the company in 2021 or changes in the company's strategy with regard to stock management. In any case, more than the increase in stock holding days are needed to warrant a large-scale analysis.</w:t>
      </w:r>
    </w:p>
    <w:p w14:paraId="5284519B" w14:textId="64053BD3" w:rsidR="00A413A8" w:rsidRPr="00EF2E17" w:rsidRDefault="000D6EB6" w:rsidP="00EF2E17">
      <w:pPr>
        <w:rPr>
          <w:rFonts w:cs="Times New Roman"/>
          <w:b/>
          <w:szCs w:val="24"/>
        </w:rPr>
      </w:pPr>
      <w:r w:rsidRPr="00EF2E17">
        <w:rPr>
          <w:rFonts w:cs="Times New Roman"/>
          <w:b/>
          <w:szCs w:val="24"/>
        </w:rPr>
        <w:t xml:space="preserve">Debtors’ collection period: </w:t>
      </w:r>
      <w:r w:rsidRPr="00EF2E17">
        <w:rPr>
          <w:rFonts w:cs="Times New Roman"/>
          <w:szCs w:val="24"/>
        </w:rPr>
        <w:t>For the year 2021, the debtor's collection period was 67.7 days. It means that, on average, it took 67.7 days for the company to collect payments from its customers. In comparison, for 2020, the debtor's collection period was 72.9 days. This means that, on average, it took 72.9 days for the company to collect payments from its customers. Overall, the debtor's collection period decreased from 2020 to 2021. It is likely because the company improved its collections process and its customers paid their invoices more quickly</w:t>
      </w:r>
      <w:r w:rsidR="00EF2E17" w:rsidRPr="00EF2E17">
        <w:rPr>
          <w:rFonts w:cs="Times New Roman"/>
          <w:szCs w:val="24"/>
        </w:rPr>
        <w:t xml:space="preserve"> (</w:t>
      </w:r>
      <w:r w:rsidR="00EF2E17" w:rsidRPr="00EF2E17">
        <w:rPr>
          <w:rFonts w:cs="Times New Roman"/>
          <w:color w:val="222222"/>
          <w:szCs w:val="24"/>
          <w:shd w:val="clear" w:color="auto" w:fill="FFFFFF"/>
        </w:rPr>
        <w:t>Wafula, Tibbs and Ondiek, 2019)</w:t>
      </w:r>
      <w:r w:rsidRPr="00EF2E17">
        <w:rPr>
          <w:rFonts w:cs="Times New Roman"/>
          <w:szCs w:val="24"/>
        </w:rPr>
        <w:t>.</w:t>
      </w:r>
    </w:p>
    <w:p w14:paraId="3084CC65" w14:textId="74A246DA" w:rsidR="00A413A8" w:rsidRPr="00EF2E17" w:rsidRDefault="000D6EB6" w:rsidP="00EF2E17">
      <w:pPr>
        <w:rPr>
          <w:rFonts w:cs="Times New Roman"/>
          <w:b/>
          <w:szCs w:val="24"/>
        </w:rPr>
      </w:pPr>
      <w:r w:rsidRPr="00EF2E17">
        <w:rPr>
          <w:rFonts w:cs="Times New Roman"/>
          <w:b/>
          <w:szCs w:val="24"/>
        </w:rPr>
        <w:t xml:space="preserve">Current ratio: </w:t>
      </w:r>
      <w:r w:rsidRPr="00EF2E17">
        <w:rPr>
          <w:rFonts w:cs="Times New Roman"/>
          <w:szCs w:val="24"/>
        </w:rPr>
        <w:t>For the years 2021 and 2020, the current ratios are 0.9 and 0.8, respectively. This means that for every $1 of current liabilities, the company has $0.9 and $0.8 in current assets, respectively. Generally, a higher current ratio is better because it indicates that the company has more assets to cover its liabilities</w:t>
      </w:r>
      <w:r w:rsidR="00EF2E17" w:rsidRPr="00EF2E17">
        <w:rPr>
          <w:rFonts w:cs="Times New Roman"/>
          <w:szCs w:val="24"/>
        </w:rPr>
        <w:t xml:space="preserve"> (</w:t>
      </w:r>
      <w:r w:rsidR="00EF2E17" w:rsidRPr="00EF2E17">
        <w:rPr>
          <w:rFonts w:cs="Times New Roman"/>
          <w:color w:val="222222"/>
          <w:szCs w:val="24"/>
          <w:shd w:val="clear" w:color="auto" w:fill="FFFFFF"/>
        </w:rPr>
        <w:t>Mulyadi and Sihabudin, 2020)</w:t>
      </w:r>
      <w:r w:rsidRPr="00EF2E17">
        <w:rPr>
          <w:rFonts w:cs="Times New Roman"/>
          <w:szCs w:val="24"/>
        </w:rPr>
        <w:t>. However, a too-high current ratio may indicate that the company needs to be more efficiently using its assets. The ideal current ratio varies by industry but is typically between 1.2 and 2.0. For 2021 and 2020, the current ratios are below the ideal range. This may be due to several factors, such as the COVID-19 pandemic, which has caused many businesses to experience a decrease in revenue. Overall, the current ratio is a good indicator of a company's liquidity. A lower current ratio for 2021 and 2020 may be a cause for concern, but it is important to consider other factors, such as the industry average, before making any decisions.</w:t>
      </w:r>
    </w:p>
    <w:p w14:paraId="479E139B" w14:textId="77777777" w:rsidR="00A413A8" w:rsidRPr="00EF2E17" w:rsidRDefault="000D6EB6" w:rsidP="00EF2E17">
      <w:pPr>
        <w:rPr>
          <w:rFonts w:cs="Times New Roman"/>
          <w:b/>
          <w:szCs w:val="24"/>
        </w:rPr>
      </w:pPr>
      <w:r w:rsidRPr="00EF2E17">
        <w:rPr>
          <w:rFonts w:cs="Times New Roman"/>
          <w:b/>
          <w:szCs w:val="24"/>
        </w:rPr>
        <w:t xml:space="preserve">Gearing ratio: </w:t>
      </w:r>
      <w:r w:rsidRPr="00EF2E17">
        <w:rPr>
          <w:rFonts w:cs="Times New Roman"/>
          <w:szCs w:val="24"/>
        </w:rPr>
        <w:t>For the years 2021 and 2020, the gearing ratios are 2.2 and 2.5, respectively. This means that the company is more leveraged in 2020 than in 2021. The higher gearing ratio in 2020 suggests that the company is taking on more debt to finance its operations. This may be due to expansionary plans or a need for working capital.</w:t>
      </w:r>
    </w:p>
    <w:p w14:paraId="18ED817E" w14:textId="0CD79AAF" w:rsidR="00A413A8" w:rsidRPr="00EF2E17" w:rsidRDefault="000D6EB6" w:rsidP="00EF2E17">
      <w:pPr>
        <w:rPr>
          <w:rFonts w:cs="Times New Roman"/>
          <w:b/>
          <w:szCs w:val="24"/>
        </w:rPr>
      </w:pPr>
      <w:r w:rsidRPr="00EF2E17">
        <w:rPr>
          <w:rFonts w:cs="Times New Roman"/>
          <w:b/>
          <w:szCs w:val="24"/>
        </w:rPr>
        <w:t xml:space="preserve">Interest cover: </w:t>
      </w:r>
      <w:r w:rsidR="00023D12" w:rsidRPr="00023D12">
        <w:rPr>
          <w:rFonts w:cs="Times New Roman"/>
          <w:szCs w:val="24"/>
        </w:rPr>
        <w:t>Interest cover is a financial measure used to assess a company's capacity to pay interest on its existing debt</w:t>
      </w:r>
      <w:r w:rsidRPr="00EF2E17">
        <w:rPr>
          <w:rFonts w:cs="Times New Roman"/>
          <w:szCs w:val="24"/>
        </w:rPr>
        <w:t>. The higher the interest cover, the more able the company is to pay the interest on its debt. The interest cover for the years 2021 and 2020 was 3.6 and 3.9, respectively, which means that the company was more able to pay the interest on its debt in 2020 than in 2021.</w:t>
      </w:r>
    </w:p>
    <w:p w14:paraId="6A8D8FEB" w14:textId="77777777" w:rsidR="00A413A8" w:rsidRPr="00EF2E17" w:rsidRDefault="000D6EB6" w:rsidP="00EF2E17">
      <w:pPr>
        <w:rPr>
          <w:rFonts w:cs="Times New Roman"/>
          <w:szCs w:val="24"/>
        </w:rPr>
      </w:pPr>
      <w:r w:rsidRPr="00EF2E17">
        <w:rPr>
          <w:rFonts w:cs="Times New Roman"/>
          <w:szCs w:val="24"/>
        </w:rPr>
        <w:t xml:space="preserve">Other Info from company financials </w:t>
      </w:r>
    </w:p>
    <w:p w14:paraId="53D71FB5" w14:textId="77777777" w:rsidR="00A413A8" w:rsidRPr="00EF2E17" w:rsidRDefault="000D6EB6" w:rsidP="00EF2E17">
      <w:pPr>
        <w:rPr>
          <w:rFonts w:cs="Times New Roman"/>
          <w:szCs w:val="24"/>
        </w:rPr>
      </w:pPr>
      <w:r w:rsidRPr="00EF2E17">
        <w:rPr>
          <w:rFonts w:cs="Times New Roman"/>
          <w:b/>
          <w:szCs w:val="24"/>
        </w:rPr>
        <w:t>Cash:</w:t>
      </w:r>
      <w:r w:rsidRPr="00EF2E17">
        <w:rPr>
          <w:rFonts w:cs="Times New Roman"/>
          <w:szCs w:val="24"/>
        </w:rPr>
        <w:t xml:space="preserve"> Assuming that the cash for 2020 is 177 million, the average cash for 2021 and 2020 would be 189 million. The cash for 2021 would be 11% higher than the average cash for the years 2021 and 2020. There was a significant increase in cash for the company between 2020 and 2021. This can be attributed to a number of factors, including increased sales, improved profitability, and increased financing.</w:t>
      </w:r>
    </w:p>
    <w:p w14:paraId="7EE84DD3" w14:textId="4E6470F2" w:rsidR="00A413A8" w:rsidRPr="00EF2E17" w:rsidRDefault="000D6EB6" w:rsidP="00EF2E17">
      <w:pPr>
        <w:rPr>
          <w:rFonts w:cs="Times New Roman"/>
          <w:szCs w:val="24"/>
        </w:rPr>
      </w:pPr>
      <w:r w:rsidRPr="00EF2E17">
        <w:rPr>
          <w:rFonts w:cs="Times New Roman"/>
          <w:b/>
          <w:bCs/>
          <w:szCs w:val="24"/>
        </w:rPr>
        <w:t>Gross Profit:</w:t>
      </w:r>
      <w:r w:rsidRPr="00EF2E17">
        <w:rPr>
          <w:rFonts w:cs="Times New Roman"/>
          <w:szCs w:val="24"/>
        </w:rPr>
        <w:t xml:space="preserve">  Looking at the company's gross profit in absolute terms, it can be seen that it increased by 158 million from 2020 to 2021. This represents a year-over-year gross profit growth rate of 4.7%. When the company's gross profit growth rate to its sales growth rate is being compared, it is seen that gross profit grew at a faster pace than sales (4.7% vs 2.6%). This indicates that the company's gross profit margin increased from 32.5% in 2020 to 34.6% in 2021.</w:t>
      </w:r>
    </w:p>
    <w:p w14:paraId="30FE8726" w14:textId="38D8043E" w:rsidR="00A413A8" w:rsidRPr="00EF2E17" w:rsidRDefault="000D6EB6" w:rsidP="00EF2E17">
      <w:pPr>
        <w:rPr>
          <w:rFonts w:cs="Times New Roman"/>
          <w:szCs w:val="24"/>
        </w:rPr>
      </w:pPr>
      <w:r w:rsidRPr="00EF2E17">
        <w:rPr>
          <w:rFonts w:cs="Times New Roman"/>
          <w:b/>
          <w:szCs w:val="24"/>
        </w:rPr>
        <w:t xml:space="preserve">Dividend: </w:t>
      </w:r>
      <w:r w:rsidRPr="00EF2E17">
        <w:rPr>
          <w:rFonts w:cs="Times New Roman"/>
          <w:szCs w:val="24"/>
        </w:rPr>
        <w:t>There are a number of things that could explain the change in dividend for a company between 2021 and 2020. The most likely explanations are an increase in earnings, a change in dividend policy, or a combination of both. The company's earnings increased in 2021, leading to a higher dividend. This could be due to several factors, such as higher sales, lower costs, or a combination of both. Alternatively, the company may have changed its dividend policy, such as increasing the payout ratio or changing the frequency of dividend payments</w:t>
      </w:r>
      <w:r w:rsidR="00EF2E17" w:rsidRPr="00EF2E17">
        <w:rPr>
          <w:rFonts w:cs="Times New Roman"/>
          <w:szCs w:val="24"/>
        </w:rPr>
        <w:t xml:space="preserve"> (</w:t>
      </w:r>
      <w:r w:rsidR="00EF2E17" w:rsidRPr="00EF2E17">
        <w:rPr>
          <w:rFonts w:cs="Times New Roman"/>
          <w:color w:val="222222"/>
          <w:szCs w:val="24"/>
          <w:shd w:val="clear" w:color="auto" w:fill="FFFFFF"/>
        </w:rPr>
        <w:t>Zaitul, 2021)</w:t>
      </w:r>
      <w:r w:rsidRPr="00EF2E17">
        <w:rPr>
          <w:rFonts w:cs="Times New Roman"/>
          <w:szCs w:val="24"/>
        </w:rPr>
        <w:t>. Investors would need to analyze the company's financial statements and other publicly available information to determine the most likely explanation for the change in dividend.</w:t>
      </w:r>
    </w:p>
    <w:p w14:paraId="52278B53" w14:textId="6AFD7078" w:rsidR="00767E0F" w:rsidRDefault="000D6EB6">
      <w:pPr>
        <w:spacing w:line="259" w:lineRule="auto"/>
        <w:jc w:val="left"/>
        <w:rPr>
          <w:rFonts w:cs="Times New Roman"/>
          <w:szCs w:val="24"/>
        </w:rPr>
      </w:pPr>
      <w:r>
        <w:rPr>
          <w:rFonts w:cs="Times New Roman"/>
          <w:szCs w:val="24"/>
        </w:rPr>
        <w:br w:type="page"/>
      </w:r>
    </w:p>
    <w:p w14:paraId="17D0952C" w14:textId="77777777" w:rsidR="00EF2E17" w:rsidRPr="00EF2E17" w:rsidRDefault="00EF2E17" w:rsidP="00EF2E17">
      <w:pPr>
        <w:rPr>
          <w:rFonts w:cs="Times New Roman"/>
          <w:szCs w:val="24"/>
        </w:rPr>
      </w:pPr>
    </w:p>
    <w:p w14:paraId="1CEEDDEC" w14:textId="3725370A" w:rsidR="00EF2E17" w:rsidRPr="00EF2E17" w:rsidRDefault="000D6EB6" w:rsidP="00EF2E17">
      <w:pPr>
        <w:pStyle w:val="Heading1"/>
      </w:pPr>
      <w:bookmarkStart w:id="6" w:name="_Toc119344773"/>
      <w:r w:rsidRPr="00EF2E17">
        <w:t>References</w:t>
      </w:r>
      <w:bookmarkEnd w:id="6"/>
    </w:p>
    <w:p w14:paraId="50D42389" w14:textId="77777777" w:rsidR="00EF2E17" w:rsidRPr="00EF2E17" w:rsidRDefault="000D6EB6" w:rsidP="00EF2E17">
      <w:pPr>
        <w:rPr>
          <w:rFonts w:cs="Times New Roman"/>
          <w:szCs w:val="24"/>
        </w:rPr>
      </w:pPr>
      <w:r w:rsidRPr="00EF2E17">
        <w:rPr>
          <w:rFonts w:cs="Times New Roman"/>
          <w:color w:val="222222"/>
          <w:szCs w:val="24"/>
          <w:shd w:val="clear" w:color="auto" w:fill="FFFFFF"/>
        </w:rPr>
        <w:t>Hasanaj, P. and Kuqi, B., 2019. Analysis of financial statements. </w:t>
      </w:r>
      <w:r w:rsidRPr="00EF2E17">
        <w:rPr>
          <w:rFonts w:cs="Times New Roman"/>
          <w:i/>
          <w:iCs/>
          <w:color w:val="222222"/>
          <w:szCs w:val="24"/>
          <w:shd w:val="clear" w:color="auto" w:fill="FFFFFF"/>
        </w:rPr>
        <w:t>Humanities and Social Science Research</w:t>
      </w:r>
      <w:r w:rsidRPr="00EF2E17">
        <w:rPr>
          <w:rFonts w:cs="Times New Roman"/>
          <w:color w:val="222222"/>
          <w:szCs w:val="24"/>
          <w:shd w:val="clear" w:color="auto" w:fill="FFFFFF"/>
        </w:rPr>
        <w:t>, </w:t>
      </w:r>
      <w:r w:rsidRPr="00EF2E17">
        <w:rPr>
          <w:rFonts w:cs="Times New Roman"/>
          <w:i/>
          <w:iCs/>
          <w:color w:val="222222"/>
          <w:szCs w:val="24"/>
          <w:shd w:val="clear" w:color="auto" w:fill="FFFFFF"/>
        </w:rPr>
        <w:t>2</w:t>
      </w:r>
      <w:r w:rsidRPr="00EF2E17">
        <w:rPr>
          <w:rFonts w:cs="Times New Roman"/>
          <w:color w:val="222222"/>
          <w:szCs w:val="24"/>
          <w:shd w:val="clear" w:color="auto" w:fill="FFFFFF"/>
        </w:rPr>
        <w:t>(2), pp.p17-p17.</w:t>
      </w:r>
      <w:r w:rsidRPr="00EF2E17">
        <w:rPr>
          <w:rFonts w:cs="Times New Roman"/>
          <w:szCs w:val="24"/>
        </w:rPr>
        <w:t xml:space="preserve"> </w:t>
      </w:r>
      <w:hyperlink r:id="rId8" w:history="1">
        <w:r w:rsidRPr="00EF2E17">
          <w:rPr>
            <w:rStyle w:val="Hyperlink"/>
            <w:rFonts w:cs="Times New Roman"/>
            <w:szCs w:val="24"/>
          </w:rPr>
          <w:t>https://j.ideasspread.org/index.php/hssr/article/download/305/229</w:t>
        </w:r>
      </w:hyperlink>
    </w:p>
    <w:p w14:paraId="75642DCF" w14:textId="77777777" w:rsidR="00EF2E17" w:rsidRPr="00EF2E17" w:rsidRDefault="000D6EB6" w:rsidP="00EF2E17">
      <w:pPr>
        <w:rPr>
          <w:rFonts w:cs="Times New Roman"/>
          <w:szCs w:val="24"/>
        </w:rPr>
      </w:pPr>
      <w:r w:rsidRPr="00EF2E17">
        <w:rPr>
          <w:rFonts w:cs="Times New Roman"/>
          <w:color w:val="222222"/>
          <w:szCs w:val="24"/>
          <w:shd w:val="clear" w:color="auto" w:fill="FFFFFF"/>
        </w:rPr>
        <w:t>Jeenas, P., 2019. Firm balance sheet liquidity, monetary policy shocks, and investment dynamics. </w:t>
      </w:r>
      <w:r w:rsidRPr="00EF2E17">
        <w:rPr>
          <w:rFonts w:cs="Times New Roman"/>
          <w:i/>
          <w:iCs/>
          <w:color w:val="222222"/>
          <w:szCs w:val="24"/>
          <w:shd w:val="clear" w:color="auto" w:fill="FFFFFF"/>
        </w:rPr>
        <w:t>Work</w:t>
      </w:r>
      <w:r w:rsidRPr="00EF2E17">
        <w:rPr>
          <w:rFonts w:cs="Times New Roman"/>
          <w:color w:val="222222"/>
          <w:szCs w:val="24"/>
          <w:shd w:val="clear" w:color="auto" w:fill="FFFFFF"/>
        </w:rPr>
        <w:t>, </w:t>
      </w:r>
      <w:r w:rsidRPr="00EF2E17">
        <w:rPr>
          <w:rFonts w:cs="Times New Roman"/>
          <w:i/>
          <w:iCs/>
          <w:color w:val="222222"/>
          <w:szCs w:val="24"/>
          <w:shd w:val="clear" w:color="auto" w:fill="FFFFFF"/>
        </w:rPr>
        <w:t>5</w:t>
      </w:r>
      <w:r w:rsidRPr="00EF2E17">
        <w:rPr>
          <w:rFonts w:cs="Times New Roman"/>
          <w:color w:val="222222"/>
          <w:szCs w:val="24"/>
          <w:shd w:val="clear" w:color="auto" w:fill="FFFFFF"/>
        </w:rPr>
        <w:t>.</w:t>
      </w:r>
      <w:r w:rsidRPr="00EF2E17">
        <w:rPr>
          <w:rFonts w:cs="Times New Roman"/>
          <w:szCs w:val="24"/>
        </w:rPr>
        <w:t xml:space="preserve"> </w:t>
      </w:r>
      <w:hyperlink r:id="rId9" w:history="1">
        <w:r w:rsidRPr="00EF2E17">
          <w:rPr>
            <w:rStyle w:val="Hyperlink"/>
            <w:rFonts w:cs="Times New Roman"/>
            <w:szCs w:val="24"/>
          </w:rPr>
          <w:t>http://madbarworkshop.com/wp-content/uploads/2019/09/Jeenas_FBSL_0626.pdf</w:t>
        </w:r>
      </w:hyperlink>
    </w:p>
    <w:p w14:paraId="1F3E65BF" w14:textId="77777777" w:rsidR="00EF2E17" w:rsidRPr="00EF2E17" w:rsidRDefault="000D6EB6" w:rsidP="00EF2E17">
      <w:pPr>
        <w:rPr>
          <w:rFonts w:cs="Times New Roman"/>
          <w:szCs w:val="24"/>
        </w:rPr>
      </w:pPr>
      <w:r w:rsidRPr="00EF2E17">
        <w:rPr>
          <w:rFonts w:cs="Times New Roman"/>
          <w:color w:val="222222"/>
          <w:szCs w:val="24"/>
          <w:shd w:val="clear" w:color="auto" w:fill="FFFFFF"/>
        </w:rPr>
        <w:t>Kurniawan, A., 2021. Analysis of the effect of return on asset, debt to equity ratio, and total asset turnover on share return. </w:t>
      </w:r>
      <w:r w:rsidRPr="00EF2E17">
        <w:rPr>
          <w:rFonts w:cs="Times New Roman"/>
          <w:i/>
          <w:iCs/>
          <w:color w:val="222222"/>
          <w:szCs w:val="24"/>
          <w:shd w:val="clear" w:color="auto" w:fill="FFFFFF"/>
        </w:rPr>
        <w:t>Journal of Industrial Engineering &amp; Management Research</w:t>
      </w:r>
      <w:r w:rsidRPr="00EF2E17">
        <w:rPr>
          <w:rFonts w:cs="Times New Roman"/>
          <w:color w:val="222222"/>
          <w:szCs w:val="24"/>
          <w:shd w:val="clear" w:color="auto" w:fill="FFFFFF"/>
        </w:rPr>
        <w:t>, </w:t>
      </w:r>
      <w:r w:rsidRPr="00EF2E17">
        <w:rPr>
          <w:rFonts w:cs="Times New Roman"/>
          <w:i/>
          <w:iCs/>
          <w:color w:val="222222"/>
          <w:szCs w:val="24"/>
          <w:shd w:val="clear" w:color="auto" w:fill="FFFFFF"/>
        </w:rPr>
        <w:t>2</w:t>
      </w:r>
      <w:r w:rsidRPr="00EF2E17">
        <w:rPr>
          <w:rFonts w:cs="Times New Roman"/>
          <w:color w:val="222222"/>
          <w:szCs w:val="24"/>
          <w:shd w:val="clear" w:color="auto" w:fill="FFFFFF"/>
        </w:rPr>
        <w:t>(1), pp.64-72.</w:t>
      </w:r>
      <w:r w:rsidRPr="00EF2E17">
        <w:rPr>
          <w:rFonts w:cs="Times New Roman"/>
          <w:szCs w:val="24"/>
        </w:rPr>
        <w:t xml:space="preserve"> </w:t>
      </w:r>
      <w:hyperlink r:id="rId10" w:history="1">
        <w:r w:rsidRPr="00EF2E17">
          <w:rPr>
            <w:rStyle w:val="Hyperlink"/>
            <w:rFonts w:cs="Times New Roman"/>
            <w:szCs w:val="24"/>
          </w:rPr>
          <w:t>https://jiemar.org/index.php/jiemar/article/download/114/89</w:t>
        </w:r>
      </w:hyperlink>
    </w:p>
    <w:p w14:paraId="37D21A7E" w14:textId="77777777" w:rsidR="00EF2E17" w:rsidRPr="00EF2E17" w:rsidRDefault="000D6EB6" w:rsidP="00EF2E17">
      <w:pPr>
        <w:rPr>
          <w:rFonts w:cs="Times New Roman"/>
          <w:szCs w:val="24"/>
        </w:rPr>
      </w:pPr>
      <w:r w:rsidRPr="00EF2E17">
        <w:rPr>
          <w:rFonts w:cs="Times New Roman"/>
          <w:color w:val="222222"/>
          <w:szCs w:val="24"/>
          <w:shd w:val="clear" w:color="auto" w:fill="FFFFFF"/>
        </w:rPr>
        <w:t>Mulyadi, D. and Sihabudin, O.S., 2020. Analysis of Current Ratio, Net Profit Margin, and Good Corporate Governance against Company Value. </w:t>
      </w:r>
      <w:r w:rsidRPr="00EF2E17">
        <w:rPr>
          <w:rFonts w:cs="Times New Roman"/>
          <w:i/>
          <w:iCs/>
          <w:color w:val="222222"/>
          <w:szCs w:val="24"/>
          <w:shd w:val="clear" w:color="auto" w:fill="FFFFFF"/>
        </w:rPr>
        <w:t>Systematic Reviews in Pharmacy</w:t>
      </w:r>
      <w:r w:rsidRPr="00EF2E17">
        <w:rPr>
          <w:rFonts w:cs="Times New Roman"/>
          <w:color w:val="222222"/>
          <w:szCs w:val="24"/>
          <w:shd w:val="clear" w:color="auto" w:fill="FFFFFF"/>
        </w:rPr>
        <w:t>, </w:t>
      </w:r>
      <w:r w:rsidRPr="00EF2E17">
        <w:rPr>
          <w:rFonts w:cs="Times New Roman"/>
          <w:i/>
          <w:iCs/>
          <w:color w:val="222222"/>
          <w:szCs w:val="24"/>
          <w:shd w:val="clear" w:color="auto" w:fill="FFFFFF"/>
        </w:rPr>
        <w:t>11</w:t>
      </w:r>
      <w:r w:rsidRPr="00EF2E17">
        <w:rPr>
          <w:rFonts w:cs="Times New Roman"/>
          <w:color w:val="222222"/>
          <w:szCs w:val="24"/>
          <w:shd w:val="clear" w:color="auto" w:fill="FFFFFF"/>
        </w:rPr>
        <w:t>(1), pp.588-600.</w:t>
      </w:r>
      <w:r w:rsidRPr="00EF2E17">
        <w:rPr>
          <w:rFonts w:cs="Times New Roman"/>
          <w:szCs w:val="24"/>
        </w:rPr>
        <w:t xml:space="preserve"> </w:t>
      </w:r>
      <w:hyperlink r:id="rId11" w:history="1">
        <w:r w:rsidRPr="00EF2E17">
          <w:rPr>
            <w:rStyle w:val="Hyperlink"/>
            <w:rFonts w:cs="Times New Roman"/>
            <w:szCs w:val="24"/>
          </w:rPr>
          <w:t>https://www.sysrevpharm.org/articles/analysis-of-current-ratio-net-profit-margin-and-good-corporate-governance-against-company-value.pdf</w:t>
        </w:r>
      </w:hyperlink>
    </w:p>
    <w:p w14:paraId="124F1FE7" w14:textId="77777777" w:rsidR="00EF2E17" w:rsidRPr="00EF2E17" w:rsidRDefault="000D6EB6" w:rsidP="00EF2E17">
      <w:pPr>
        <w:rPr>
          <w:rFonts w:cs="Times New Roman"/>
          <w:szCs w:val="24"/>
        </w:rPr>
      </w:pPr>
      <w:r w:rsidRPr="00EF2E17">
        <w:rPr>
          <w:rFonts w:cs="Times New Roman"/>
          <w:color w:val="222222"/>
          <w:szCs w:val="24"/>
          <w:shd w:val="clear" w:color="auto" w:fill="FFFFFF"/>
        </w:rPr>
        <w:t>Pointer, L.V. and Khoi, P.D., 2019. Predictors of return on assets and return on equity for banking and insurance companies on Vietnam stock exchange. </w:t>
      </w:r>
      <w:r w:rsidRPr="00EF2E17">
        <w:rPr>
          <w:rFonts w:cs="Times New Roman"/>
          <w:i/>
          <w:iCs/>
          <w:color w:val="222222"/>
          <w:szCs w:val="24"/>
          <w:shd w:val="clear" w:color="auto" w:fill="FFFFFF"/>
        </w:rPr>
        <w:t>Entrepreneurial Business and Economics Review</w:t>
      </w:r>
      <w:r w:rsidRPr="00EF2E17">
        <w:rPr>
          <w:rFonts w:cs="Times New Roman"/>
          <w:color w:val="222222"/>
          <w:szCs w:val="24"/>
          <w:shd w:val="clear" w:color="auto" w:fill="FFFFFF"/>
        </w:rPr>
        <w:t>, </w:t>
      </w:r>
      <w:r w:rsidRPr="00EF2E17">
        <w:rPr>
          <w:rFonts w:cs="Times New Roman"/>
          <w:i/>
          <w:iCs/>
          <w:color w:val="222222"/>
          <w:szCs w:val="24"/>
          <w:shd w:val="clear" w:color="auto" w:fill="FFFFFF"/>
        </w:rPr>
        <w:t>7</w:t>
      </w:r>
      <w:r w:rsidRPr="00EF2E17">
        <w:rPr>
          <w:rFonts w:cs="Times New Roman"/>
          <w:color w:val="222222"/>
          <w:szCs w:val="24"/>
          <w:shd w:val="clear" w:color="auto" w:fill="FFFFFF"/>
        </w:rPr>
        <w:t>(4), pp.185-198.</w:t>
      </w:r>
      <w:r w:rsidRPr="00EF2E17">
        <w:rPr>
          <w:rFonts w:cs="Times New Roman"/>
          <w:szCs w:val="24"/>
        </w:rPr>
        <w:t xml:space="preserve"> </w:t>
      </w:r>
      <w:hyperlink r:id="rId12" w:history="1">
        <w:r w:rsidRPr="00EF2E17">
          <w:rPr>
            <w:rStyle w:val="Hyperlink"/>
            <w:rFonts w:cs="Times New Roman"/>
            <w:szCs w:val="24"/>
          </w:rPr>
          <w:t>https://eber.uek.krakow.pl/index.php/eber/article/view/664</w:t>
        </w:r>
      </w:hyperlink>
    </w:p>
    <w:p w14:paraId="0087A961" w14:textId="77777777" w:rsidR="00EF2E17" w:rsidRPr="00EF2E17" w:rsidRDefault="000D6EB6" w:rsidP="00EF2E17">
      <w:pPr>
        <w:rPr>
          <w:rFonts w:cs="Times New Roman"/>
          <w:szCs w:val="24"/>
        </w:rPr>
      </w:pPr>
      <w:r w:rsidRPr="00EF2E17">
        <w:rPr>
          <w:rFonts w:cs="Times New Roman"/>
          <w:color w:val="222222"/>
          <w:szCs w:val="24"/>
          <w:shd w:val="clear" w:color="auto" w:fill="FFFFFF"/>
        </w:rPr>
        <w:t>Umobong, A.A. and Agburuga, U.T., 2019. Agency Cost of Equity and Growth Rate in Relation to Returns on Capital Employed and High and Low Leveraged Firms in Nigeria. </w:t>
      </w:r>
      <w:r w:rsidRPr="00EF2E17">
        <w:rPr>
          <w:rFonts w:cs="Times New Roman"/>
          <w:i/>
          <w:iCs/>
          <w:color w:val="222222"/>
          <w:szCs w:val="24"/>
          <w:shd w:val="clear" w:color="auto" w:fill="FFFFFF"/>
        </w:rPr>
        <w:t>International Journal of Economics, Business and Management Studies</w:t>
      </w:r>
      <w:r w:rsidRPr="00EF2E17">
        <w:rPr>
          <w:rFonts w:cs="Times New Roman"/>
          <w:color w:val="222222"/>
          <w:szCs w:val="24"/>
          <w:shd w:val="clear" w:color="auto" w:fill="FFFFFF"/>
        </w:rPr>
        <w:t>, </w:t>
      </w:r>
      <w:r w:rsidRPr="00EF2E17">
        <w:rPr>
          <w:rFonts w:cs="Times New Roman"/>
          <w:i/>
          <w:iCs/>
          <w:color w:val="222222"/>
          <w:szCs w:val="24"/>
          <w:shd w:val="clear" w:color="auto" w:fill="FFFFFF"/>
        </w:rPr>
        <w:t>6</w:t>
      </w:r>
      <w:r w:rsidRPr="00EF2E17">
        <w:rPr>
          <w:rFonts w:cs="Times New Roman"/>
          <w:color w:val="222222"/>
          <w:szCs w:val="24"/>
          <w:shd w:val="clear" w:color="auto" w:fill="FFFFFF"/>
        </w:rPr>
        <w:t>(2), pp.318-337.</w:t>
      </w:r>
      <w:r w:rsidRPr="00EF2E17">
        <w:rPr>
          <w:rFonts w:cs="Times New Roman"/>
          <w:szCs w:val="24"/>
        </w:rPr>
        <w:t xml:space="preserve"> </w:t>
      </w:r>
      <w:hyperlink r:id="rId13" w:history="1">
        <w:r w:rsidRPr="00EF2E17">
          <w:rPr>
            <w:rStyle w:val="Hyperlink"/>
            <w:rFonts w:cs="Times New Roman"/>
            <w:szCs w:val="24"/>
          </w:rPr>
          <w:t>https://www.researchgate.net/profile/Asian-Umobong/publication/337102670_Agency_Cost_of_Equity_and_Growth_Rate_in_Relation_to_Returns_on_Capital_Employed_and_High_and_Low_Leveraged_Firms_in_Nigeria/links/5dd2ab07a6fdcc7e138bbd9f/Agency-Cost-of-Equity-and-Growth-Rate-in-Relation-to-Returns-on-Capital-Employed-and-High-and-Low-Leveraged-Firms-in-Nigeria.pdf</w:t>
        </w:r>
      </w:hyperlink>
    </w:p>
    <w:p w14:paraId="6F799426" w14:textId="77777777" w:rsidR="00EF2E17" w:rsidRPr="00EF2E17" w:rsidRDefault="000D6EB6" w:rsidP="00EF2E17">
      <w:pPr>
        <w:rPr>
          <w:rFonts w:cs="Times New Roman"/>
          <w:szCs w:val="24"/>
        </w:rPr>
      </w:pPr>
      <w:r w:rsidRPr="00EF2E17">
        <w:rPr>
          <w:rFonts w:cs="Times New Roman"/>
          <w:color w:val="222222"/>
          <w:szCs w:val="24"/>
          <w:shd w:val="clear" w:color="auto" w:fill="FFFFFF"/>
        </w:rPr>
        <w:t>Wafula, W.M., Tibbs, C.Y. and Ondiek, A.B., 2019. Average Collection Period and Financial Performance of Nzoia Water Services Company. </w:t>
      </w:r>
      <w:r w:rsidRPr="00EF2E17">
        <w:rPr>
          <w:rFonts w:cs="Times New Roman"/>
          <w:i/>
          <w:iCs/>
          <w:color w:val="222222"/>
          <w:szCs w:val="24"/>
          <w:shd w:val="clear" w:color="auto" w:fill="FFFFFF"/>
        </w:rPr>
        <w:t>International Journal of Multidisciplinary and Current Research. http://ijmcr. com/wp-content/uploads/2019/05/Paper5273-279. pdf</w:t>
      </w:r>
      <w:r w:rsidRPr="00EF2E17">
        <w:rPr>
          <w:rFonts w:cs="Times New Roman"/>
          <w:color w:val="222222"/>
          <w:szCs w:val="24"/>
          <w:shd w:val="clear" w:color="auto" w:fill="FFFFFF"/>
        </w:rPr>
        <w:t>.</w:t>
      </w:r>
      <w:r w:rsidRPr="00EF2E17">
        <w:rPr>
          <w:rFonts w:cs="Times New Roman"/>
          <w:szCs w:val="24"/>
        </w:rPr>
        <w:t xml:space="preserve"> </w:t>
      </w:r>
      <w:hyperlink r:id="rId14" w:history="1">
        <w:r w:rsidRPr="00EF2E17">
          <w:rPr>
            <w:rStyle w:val="Hyperlink"/>
            <w:rFonts w:cs="Times New Roman"/>
            <w:szCs w:val="24"/>
          </w:rPr>
          <w:t>https://www.researchgate.net/profile/Charles-Tibbs/publication/334975106_Average_Collection_Period_and_Financial_Performance_of_Nzoia_Water_Services_Company/links/5fcf5cc945851568d149d623/Average-Collection-Period-and-Financial-Performance-of-Nzoia-Water-Services-Company.pdf</w:t>
        </w:r>
      </w:hyperlink>
    </w:p>
    <w:p w14:paraId="26357290" w14:textId="4D67F9D9" w:rsidR="00A73660" w:rsidRDefault="000D6EB6" w:rsidP="00EF2E17">
      <w:pPr>
        <w:rPr>
          <w:rStyle w:val="Hyperlink"/>
          <w:rFonts w:cs="Times New Roman"/>
          <w:szCs w:val="24"/>
        </w:rPr>
      </w:pPr>
      <w:r w:rsidRPr="00EF2E17">
        <w:rPr>
          <w:rFonts w:cs="Times New Roman"/>
          <w:color w:val="222222"/>
          <w:szCs w:val="24"/>
          <w:shd w:val="clear" w:color="auto" w:fill="FFFFFF"/>
        </w:rPr>
        <w:t>Zaitul, Z., 2021. Dividend Policy in Indonesian Companies: Does Corporate Governance Matter?. </w:t>
      </w:r>
      <w:r w:rsidRPr="00EF2E17">
        <w:rPr>
          <w:rFonts w:cs="Times New Roman"/>
          <w:i/>
          <w:iCs/>
          <w:color w:val="222222"/>
          <w:szCs w:val="24"/>
          <w:shd w:val="clear" w:color="auto" w:fill="FFFFFF"/>
        </w:rPr>
        <w:t>Dividend Policy in Indonesian Companies: Does Corporate Governance Matter?</w:t>
      </w:r>
      <w:r w:rsidRPr="00EF2E17">
        <w:rPr>
          <w:rFonts w:cs="Times New Roman"/>
          <w:color w:val="222222"/>
          <w:szCs w:val="24"/>
          <w:shd w:val="clear" w:color="auto" w:fill="FFFFFF"/>
        </w:rPr>
        <w:t>.</w:t>
      </w:r>
      <w:r w:rsidRPr="00EF2E17">
        <w:rPr>
          <w:rFonts w:cs="Times New Roman"/>
          <w:szCs w:val="24"/>
        </w:rPr>
        <w:t xml:space="preserve"> </w:t>
      </w:r>
      <w:hyperlink r:id="rId15" w:history="1">
        <w:r w:rsidRPr="00EF2E17">
          <w:rPr>
            <w:rStyle w:val="Hyperlink"/>
            <w:rFonts w:cs="Times New Roman"/>
            <w:szCs w:val="24"/>
          </w:rPr>
          <w:t>http://repo.bunghatta.ac.id/4047/1/13.pdf</w:t>
        </w:r>
      </w:hyperlink>
    </w:p>
    <w:p w14:paraId="28E8E2CF" w14:textId="77777777" w:rsidR="00A73660" w:rsidRDefault="00A73660">
      <w:pPr>
        <w:spacing w:line="259" w:lineRule="auto"/>
        <w:jc w:val="left"/>
        <w:rPr>
          <w:rStyle w:val="Hyperlink"/>
          <w:rFonts w:cs="Times New Roman"/>
          <w:szCs w:val="24"/>
        </w:rPr>
      </w:pPr>
      <w:r>
        <w:rPr>
          <w:rStyle w:val="Hyperlink"/>
          <w:rFonts w:cs="Times New Roman"/>
          <w:szCs w:val="24"/>
        </w:rPr>
        <w:br w:type="page"/>
      </w:r>
    </w:p>
    <w:p w14:paraId="5B8D0E3C" w14:textId="03CBB708" w:rsidR="00EF2E17" w:rsidRPr="00A73660" w:rsidRDefault="00A73660" w:rsidP="00A73660">
      <w:pPr>
        <w:pStyle w:val="Heading1"/>
      </w:pPr>
      <w:r>
        <w:t>Appendix</w:t>
      </w:r>
    </w:p>
    <w:p w14:paraId="7ADAC04C" w14:textId="7B423F18" w:rsidR="00EF2E17" w:rsidRPr="00EF2E17" w:rsidRDefault="00B73F0E" w:rsidP="00EF2E17">
      <w:pPr>
        <w:rPr>
          <w:rFonts w:cs="Times New Roman"/>
          <w:szCs w:val="24"/>
        </w:rPr>
      </w:pPr>
      <w:r>
        <w:rPr>
          <w:rFonts w:cs="Times New Roman"/>
          <w:noProof/>
          <w:szCs w:val="24"/>
        </w:rPr>
      </w:r>
      <w:r w:rsidR="005D0912">
        <w:rPr>
          <w:rFonts w:cs="Times New Roman"/>
          <w:szCs w:val="24"/>
        </w:rPr>
        <w:object w:dxaOrig="18702" w:dyaOrig="12506" w14:anchorId="7E6693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3.9pt;height:310.15pt" o:ole="">
            <v:imagedata r:id="rId16" o:title=""/>
          </v:shape>
          <o:OLEObject Type="Embed" ProgID="Excel.Sheet.12" ShapeID="_x0000_i1025" DrawAspect="Content" ObjectID="_1735119337" r:id="rId17"/>
        </w:object>
      </w:r>
    </w:p>
    <w:p w14:paraId="29BD5AEB" w14:textId="77777777" w:rsidR="00EF2E17" w:rsidRPr="00EF2E17" w:rsidRDefault="00EF2E17" w:rsidP="00EF2E17">
      <w:pPr>
        <w:rPr>
          <w:rFonts w:cs="Times New Roman"/>
          <w:szCs w:val="24"/>
        </w:rPr>
      </w:pPr>
    </w:p>
    <w:p w14:paraId="161D0BA8" w14:textId="77777777" w:rsidR="00A413A8" w:rsidRPr="00EF2E17" w:rsidRDefault="00A413A8" w:rsidP="00EF2E17">
      <w:pPr>
        <w:rPr>
          <w:rFonts w:cs="Times New Roman"/>
          <w:szCs w:val="24"/>
          <w:lang w:val="en-IN"/>
        </w:rPr>
      </w:pPr>
    </w:p>
    <w:sectPr w:rsidR="00A413A8" w:rsidRPr="00EF2E17" w:rsidSect="00405DC1">
      <w:head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A73FB" w14:textId="77777777" w:rsidR="00A70098" w:rsidRDefault="00A70098">
      <w:pPr>
        <w:spacing w:after="0" w:line="240" w:lineRule="auto"/>
      </w:pPr>
      <w:r>
        <w:separator/>
      </w:r>
    </w:p>
  </w:endnote>
  <w:endnote w:type="continuationSeparator" w:id="0">
    <w:p w14:paraId="1BBBD445" w14:textId="77777777" w:rsidR="00A70098" w:rsidRDefault="00A70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CCD47" w14:textId="77777777" w:rsidR="00A70098" w:rsidRDefault="00A70098">
      <w:pPr>
        <w:spacing w:after="0" w:line="240" w:lineRule="auto"/>
      </w:pPr>
      <w:r>
        <w:separator/>
      </w:r>
    </w:p>
  </w:footnote>
  <w:footnote w:type="continuationSeparator" w:id="0">
    <w:p w14:paraId="10667045" w14:textId="77777777" w:rsidR="00A70098" w:rsidRDefault="00A700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648086"/>
      <w:docPartObj>
        <w:docPartGallery w:val="Page Numbers (Top of Page)"/>
        <w:docPartUnique/>
      </w:docPartObj>
    </w:sdtPr>
    <w:sdtEndPr>
      <w:rPr>
        <w:noProof/>
      </w:rPr>
    </w:sdtEndPr>
    <w:sdtContent>
      <w:p w14:paraId="50F69E46" w14:textId="79FB455C" w:rsidR="00A413A8" w:rsidRDefault="000D6EB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75AD019" w14:textId="77777777" w:rsidR="00A413A8" w:rsidRDefault="00A413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B08A5"/>
    <w:multiLevelType w:val="multilevel"/>
    <w:tmpl w:val="C69CD10A"/>
    <w:lvl w:ilvl="0">
      <w:start w:val="1"/>
      <w:numFmt w:val="decimal"/>
      <w:lvlText w:val="%1."/>
      <w:lvlJc w:val="left"/>
      <w:pPr>
        <w:ind w:left="720" w:hanging="360"/>
      </w:pPr>
      <w:rPr>
        <w:rFonts w:ascii="Arial" w:eastAsia="Arial" w:hAnsi="Arial" w:cs="Arial"/>
        <w:b/>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 w15:restartNumberingAfterBreak="0">
    <w:nsid w:val="3CC34951"/>
    <w:multiLevelType w:val="multilevel"/>
    <w:tmpl w:val="D0166B42"/>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num w:numId="1" w16cid:durableId="164123232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3331443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AwNjQyMrMwNjYwNDNT0lEKTi0uzszPAykwrAUAUA4+aSwAAAA="/>
  </w:docVars>
  <w:rsids>
    <w:rsidRoot w:val="00A413A8"/>
    <w:rsid w:val="0001231A"/>
    <w:rsid w:val="00023D12"/>
    <w:rsid w:val="000674FC"/>
    <w:rsid w:val="000D6EB6"/>
    <w:rsid w:val="0021032B"/>
    <w:rsid w:val="00341BFD"/>
    <w:rsid w:val="00375A3C"/>
    <w:rsid w:val="003A7480"/>
    <w:rsid w:val="00405DC1"/>
    <w:rsid w:val="006D43AE"/>
    <w:rsid w:val="00767E0F"/>
    <w:rsid w:val="00A413A8"/>
    <w:rsid w:val="00A51C10"/>
    <w:rsid w:val="00A70098"/>
    <w:rsid w:val="00A73660"/>
    <w:rsid w:val="00B73F0E"/>
    <w:rsid w:val="00C60EF0"/>
    <w:rsid w:val="00C65695"/>
    <w:rsid w:val="00DB5CFA"/>
    <w:rsid w:val="00DE6DFA"/>
    <w:rsid w:val="00E9546F"/>
    <w:rsid w:val="00EF2E17"/>
    <w:rsid w:val="00FE69D5"/>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1D4335D"/>
  <w15:chartTrackingRefBased/>
  <w15:docId w15:val="{BF63404C-F442-43BF-A3EC-DB41666D0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31A"/>
    <w:pPr>
      <w:spacing w:line="360"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uiPriority w:val="9"/>
    <w:qFormat/>
    <w:rsid w:val="00341BFD"/>
    <w:pPr>
      <w:keepNext/>
      <w:keepLines/>
      <w:spacing w:before="240" w:after="0"/>
      <w:outlineLvl w:val="0"/>
    </w:pPr>
    <w:rPr>
      <w:rFonts w:eastAsiaTheme="majorEastAsia" w:cstheme="majorBidi"/>
      <w:b/>
      <w:szCs w:val="29"/>
    </w:rPr>
  </w:style>
  <w:style w:type="paragraph" w:styleId="Heading2">
    <w:name w:val="heading 2"/>
    <w:basedOn w:val="Normal"/>
    <w:next w:val="Normal"/>
    <w:link w:val="Heading2Char"/>
    <w:uiPriority w:val="9"/>
    <w:unhideWhenUsed/>
    <w:qFormat/>
    <w:rsid w:val="006D43AE"/>
    <w:pPr>
      <w:keepNext/>
      <w:keepLines/>
      <w:spacing w:before="40" w:after="0"/>
      <w:outlineLvl w:val="1"/>
    </w:pPr>
    <w:rPr>
      <w:rFonts w:eastAsiaTheme="majorEastAsia" w:cstheme="majorBidi"/>
      <w:b/>
      <w:szCs w:val="23"/>
    </w:rPr>
  </w:style>
  <w:style w:type="paragraph" w:styleId="Heading3">
    <w:name w:val="heading 3"/>
    <w:basedOn w:val="Normal"/>
    <w:next w:val="Normal"/>
    <w:link w:val="Heading3Char"/>
    <w:uiPriority w:val="9"/>
    <w:semiHidden/>
    <w:unhideWhenUsed/>
    <w:qFormat/>
    <w:rsid w:val="00375A3C"/>
    <w:pPr>
      <w:keepNext/>
      <w:keepLines/>
      <w:spacing w:before="40" w:after="0"/>
      <w:outlineLvl w:val="2"/>
    </w:pPr>
    <w:rPr>
      <w:rFonts w:eastAsiaTheme="majorEastAsia" w:cstheme="majorBidi"/>
      <w:b/>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BFD"/>
    <w:rPr>
      <w:rFonts w:ascii="Times New Roman" w:eastAsiaTheme="majorEastAsia" w:hAnsi="Times New Roman" w:cstheme="majorBidi"/>
      <w:b/>
      <w:color w:val="000000" w:themeColor="text1"/>
      <w:sz w:val="24"/>
      <w:szCs w:val="29"/>
    </w:rPr>
  </w:style>
  <w:style w:type="character" w:customStyle="1" w:styleId="Heading2Char">
    <w:name w:val="Heading 2 Char"/>
    <w:basedOn w:val="DefaultParagraphFont"/>
    <w:link w:val="Heading2"/>
    <w:uiPriority w:val="9"/>
    <w:rsid w:val="006D43AE"/>
    <w:rPr>
      <w:rFonts w:ascii="Times New Roman" w:eastAsiaTheme="majorEastAsia" w:hAnsi="Times New Roman" w:cstheme="majorBidi"/>
      <w:b/>
      <w:color w:val="000000" w:themeColor="text1"/>
      <w:sz w:val="24"/>
      <w:szCs w:val="23"/>
    </w:rPr>
  </w:style>
  <w:style w:type="character" w:customStyle="1" w:styleId="Heading3Char">
    <w:name w:val="Heading 3 Char"/>
    <w:basedOn w:val="DefaultParagraphFont"/>
    <w:link w:val="Heading3"/>
    <w:uiPriority w:val="9"/>
    <w:semiHidden/>
    <w:rsid w:val="00375A3C"/>
    <w:rPr>
      <w:rFonts w:ascii="Times New Roman" w:eastAsiaTheme="majorEastAsia" w:hAnsi="Times New Roman" w:cstheme="majorBidi"/>
      <w:b/>
      <w:sz w:val="24"/>
      <w:szCs w:val="21"/>
      <w:lang w:val="en-US"/>
    </w:rPr>
  </w:style>
  <w:style w:type="table" w:styleId="TableGrid">
    <w:name w:val="Table Grid"/>
    <w:basedOn w:val="TableNormal"/>
    <w:uiPriority w:val="39"/>
    <w:rsid w:val="00A413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413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3A8"/>
    <w:rPr>
      <w:rFonts w:ascii="Times New Roman" w:hAnsi="Times New Roman"/>
      <w:color w:val="000000" w:themeColor="text1"/>
      <w:sz w:val="24"/>
      <w:lang w:val="en-US"/>
    </w:rPr>
  </w:style>
  <w:style w:type="paragraph" w:styleId="Footer">
    <w:name w:val="footer"/>
    <w:basedOn w:val="Normal"/>
    <w:link w:val="FooterChar"/>
    <w:uiPriority w:val="99"/>
    <w:unhideWhenUsed/>
    <w:rsid w:val="00A413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3A8"/>
    <w:rPr>
      <w:rFonts w:ascii="Times New Roman" w:hAnsi="Times New Roman"/>
      <w:color w:val="000000" w:themeColor="text1"/>
      <w:sz w:val="24"/>
      <w:lang w:val="en-US"/>
    </w:rPr>
  </w:style>
  <w:style w:type="paragraph" w:styleId="TOCHeading">
    <w:name w:val="TOC Heading"/>
    <w:basedOn w:val="Heading1"/>
    <w:next w:val="Normal"/>
    <w:uiPriority w:val="39"/>
    <w:unhideWhenUsed/>
    <w:qFormat/>
    <w:rsid w:val="00A413A8"/>
    <w:pPr>
      <w:spacing w:line="259" w:lineRule="auto"/>
      <w:jc w:val="left"/>
      <w:outlineLvl w:val="9"/>
    </w:pPr>
    <w:rPr>
      <w:rFonts w:asciiTheme="majorHAnsi" w:hAnsiTheme="majorHAnsi"/>
      <w:b w:val="0"/>
      <w:color w:val="2F5496" w:themeColor="accent1" w:themeShade="BF"/>
      <w:sz w:val="32"/>
      <w:szCs w:val="32"/>
      <w:lang w:bidi="ar-SA"/>
    </w:rPr>
  </w:style>
  <w:style w:type="paragraph" w:styleId="TOC1">
    <w:name w:val="toc 1"/>
    <w:basedOn w:val="Normal"/>
    <w:next w:val="Normal"/>
    <w:autoRedefine/>
    <w:uiPriority w:val="39"/>
    <w:unhideWhenUsed/>
    <w:rsid w:val="00A413A8"/>
    <w:pPr>
      <w:spacing w:after="100"/>
    </w:pPr>
  </w:style>
  <w:style w:type="paragraph" w:styleId="TOC2">
    <w:name w:val="toc 2"/>
    <w:basedOn w:val="Normal"/>
    <w:next w:val="Normal"/>
    <w:autoRedefine/>
    <w:uiPriority w:val="39"/>
    <w:unhideWhenUsed/>
    <w:rsid w:val="00A413A8"/>
    <w:pPr>
      <w:spacing w:after="100"/>
      <w:ind w:left="240"/>
    </w:pPr>
  </w:style>
  <w:style w:type="character" w:styleId="Hyperlink">
    <w:name w:val="Hyperlink"/>
    <w:basedOn w:val="DefaultParagraphFont"/>
    <w:uiPriority w:val="99"/>
    <w:unhideWhenUsed/>
    <w:rsid w:val="00A413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ideasspread.org/index.php/hssr/article/download/305/229" TargetMode="External" /><Relationship Id="rId13" Type="http://schemas.openxmlformats.org/officeDocument/2006/relationships/hyperlink" Target="https://www.researchgate.net/profile/Asian-Umobong/publication/337102670_Agency_Cost_of_Equity_and_Growth_Rate_in_Relation_to_Returns_on_Capital_Employed_and_High_and_Low_Leveraged_Firms_in_Nigeria/links/5dd2ab07a6fdcc7e138bbd9f/Agency-Cost-of-Equity-and-Growth-Rate-in-Relation-to-Returns-on-Capital-Employed-and-High-and-Low-Leveraged-Firms-in-Nigeria.pdf" TargetMode="External" /><Relationship Id="rId1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eber.uek.krakow.pl/index.php/eber/article/view/664" TargetMode="External" /><Relationship Id="rId17" Type="http://schemas.openxmlformats.org/officeDocument/2006/relationships/package" Target="embeddings/Microsoft_Excel_Worksheet.xlsx" /><Relationship Id="rId2" Type="http://schemas.openxmlformats.org/officeDocument/2006/relationships/numbering" Target="numbering.xml" /><Relationship Id="rId16" Type="http://schemas.openxmlformats.org/officeDocument/2006/relationships/image" Target="media/image1.emf"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ysrevpharm.org/articles/analysis-of-current-ratio-net-profit-margin-and-good-corporate-governance-against-company-value.pdf" TargetMode="External" /><Relationship Id="rId5" Type="http://schemas.openxmlformats.org/officeDocument/2006/relationships/webSettings" Target="webSettings.xml" /><Relationship Id="rId15" Type="http://schemas.openxmlformats.org/officeDocument/2006/relationships/hyperlink" Target="http://repo.bunghatta.ac.id/4047/1/13.pdf" TargetMode="External" /><Relationship Id="rId10" Type="http://schemas.openxmlformats.org/officeDocument/2006/relationships/hyperlink" Target="https://jiemar.org/index.php/jiemar/article/download/114/89" TargetMode="Externa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madbarworkshop.com/wp-content/uploads/2019/09/Jeenas_FBSL_0626.pdf" TargetMode="External" /><Relationship Id="rId14" Type="http://schemas.openxmlformats.org/officeDocument/2006/relationships/hyperlink" Target="https://www.researchgate.net/profile/Charles-Tibbs/publication/334975106_Average_Collection_Period_and_Financial_Performance_of_Nzoia_Water_Services_Company/links/5fcf5cc945851568d149d623/Average-Collection-Period-and-Financial-Performance-of-Nzoia-Water-Services-Company.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3A98D-DA32-4D81-B6D0-D0F795F7A8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2522</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sanjanakarnal@gmail.com</cp:lastModifiedBy>
  <cp:revision>2</cp:revision>
  <dcterms:created xsi:type="dcterms:W3CDTF">2023-01-13T12:49:00Z</dcterms:created>
  <dcterms:modified xsi:type="dcterms:W3CDTF">2023-01-13T12:49:00Z</dcterms:modified>
</cp:coreProperties>
</file>