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EB527" w14:textId="77777777" w:rsidR="00A13048" w:rsidRPr="00821FD4" w:rsidRDefault="00A13048" w:rsidP="00A13048">
      <w:pPr>
        <w:spacing w:line="276" w:lineRule="auto"/>
        <w:ind w:left="720"/>
        <w:rPr>
          <w:rFonts w:asciiTheme="minorHAnsi" w:hAnsiTheme="minorHAnsi" w:cstheme="minorHAnsi"/>
          <w:b/>
          <w:bCs/>
          <w:color w:val="000000"/>
          <w:sz w:val="24"/>
          <w:szCs w:val="24"/>
        </w:rPr>
      </w:pPr>
      <w:r w:rsidRPr="00821FD4">
        <w:rPr>
          <w:rFonts w:asciiTheme="minorHAnsi" w:hAnsiTheme="minorHAnsi" w:cstheme="minorHAnsi"/>
          <w:b/>
          <w:bCs/>
          <w:color w:val="000000"/>
          <w:sz w:val="24"/>
          <w:szCs w:val="24"/>
        </w:rPr>
        <w:t>It may be argued that the principle of statutory interpretation diminishes the status of legislation as the primary source of law in the UK. Discuss.</w:t>
      </w:r>
    </w:p>
    <w:p w14:paraId="48B88B95" w14:textId="77777777" w:rsidR="00A13048" w:rsidRPr="00821FD4" w:rsidRDefault="00A13048" w:rsidP="00A13048">
      <w:pPr>
        <w:spacing w:line="276" w:lineRule="auto"/>
        <w:rPr>
          <w:rFonts w:asciiTheme="minorHAnsi" w:hAnsiTheme="minorHAnsi" w:cstheme="minorHAnsi"/>
          <w:sz w:val="24"/>
          <w:szCs w:val="24"/>
        </w:rPr>
      </w:pPr>
    </w:p>
    <w:p w14:paraId="6ACFBAFA" w14:textId="77777777" w:rsidR="00A13048" w:rsidRPr="00821FD4" w:rsidRDefault="00A13048" w:rsidP="00A13048">
      <w:pPr>
        <w:spacing w:line="276" w:lineRule="auto"/>
        <w:rPr>
          <w:rFonts w:asciiTheme="minorHAnsi" w:hAnsiTheme="minorHAnsi" w:cstheme="minorHAnsi"/>
          <w:sz w:val="24"/>
          <w:szCs w:val="24"/>
        </w:rPr>
      </w:pPr>
    </w:p>
    <w:p w14:paraId="3E44FF95"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Unambiguous legislation is crucial to the effective operation of a good government. The legislation gives effect to the parliamentary democracy in the United Kingdom. These laws allow for productive policy, effective translation of principles, and distinct provisions into legal remedies, while conciliating between legislatures’ contradictory intentions, perceptions, and expectations. The enactment of legislation is complicated due to external pressures and unforeseeable circumstances (Heaton, 2013).</w:t>
      </w:r>
    </w:p>
    <w:p w14:paraId="780DCD38" w14:textId="77777777" w:rsidR="00A13048" w:rsidRPr="00AE47CE" w:rsidRDefault="00A13048" w:rsidP="00A13048">
      <w:pPr>
        <w:spacing w:line="276" w:lineRule="auto"/>
        <w:rPr>
          <w:rFonts w:asciiTheme="minorHAnsi" w:hAnsiTheme="minorHAnsi" w:cstheme="minorHAnsi"/>
          <w:sz w:val="24"/>
          <w:szCs w:val="24"/>
        </w:rPr>
      </w:pPr>
    </w:p>
    <w:p w14:paraId="4486D23B"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 xml:space="preserve">Statutory interpretation refers to the procedure whereby the courts interpret the application of statutory provisions (Quinn, 2020). Statutory interpretation aids the English courts in their functioning. Parliament has the role of making and approving laws, and other law-making bodies such as government ministers can pass laws through delegated legislation. The structure of the English legal system is based on Common Law (Law Commission, 1969). Judges develop the Common Law by making a judgment at the end of each case. A statute refers to a law made by Parliament. The ambiguities in the language used in statutes are open to misinterpretation. Statutory interpretation is necessary to avoid judges forming their own biases and creating their own judgements (Law Commission, 1969). </w:t>
      </w:r>
    </w:p>
    <w:p w14:paraId="033C0910" w14:textId="77777777" w:rsidR="00A13048" w:rsidRPr="00AE47CE" w:rsidRDefault="00A13048" w:rsidP="00A13048">
      <w:pPr>
        <w:spacing w:line="276" w:lineRule="auto"/>
        <w:rPr>
          <w:rFonts w:asciiTheme="minorHAnsi" w:hAnsiTheme="minorHAnsi" w:cstheme="minorHAnsi"/>
          <w:sz w:val="24"/>
          <w:szCs w:val="24"/>
        </w:rPr>
      </w:pPr>
    </w:p>
    <w:p w14:paraId="3134664F"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 xml:space="preserve">The application of statutory interpretation to statutes within the courts proves challenging. Judges </w:t>
      </w:r>
      <w:proofErr w:type="gramStart"/>
      <w:r w:rsidRPr="00AE47CE">
        <w:rPr>
          <w:rFonts w:asciiTheme="minorHAnsi" w:hAnsiTheme="minorHAnsi" w:cstheme="minorHAnsi"/>
          <w:sz w:val="24"/>
          <w:szCs w:val="24"/>
        </w:rPr>
        <w:t>have to</w:t>
      </w:r>
      <w:proofErr w:type="gramEnd"/>
      <w:r w:rsidRPr="00AE47CE">
        <w:rPr>
          <w:rFonts w:asciiTheme="minorHAnsi" w:hAnsiTheme="minorHAnsi" w:cstheme="minorHAnsi"/>
          <w:sz w:val="24"/>
          <w:szCs w:val="24"/>
        </w:rPr>
        <w:t xml:space="preserve"> keep Parliament’s original intentions for the Act in mind. Parliamentary purpose is difficult to interpret (UK Parliament, 2022). The development of a statute by Parliament makes it difficult for judges to understand the language used in legislation. The language used in enacting legislation varies depending on the ideologies of parliamentary parties. Additional ambiguity in statutes arises from the drafter’s written intention and the judge’s comprehension of the words. Statutory interpretation is vital for the challenges associated with statutes enforced by Parliament. Legislation is often unclear in covering a specific underlying objective (UK Parliament, 2022). The courts are therefore required to interpret legislation passed by Parliament. </w:t>
      </w:r>
    </w:p>
    <w:p w14:paraId="4245A0B8" w14:textId="77777777" w:rsidR="00A13048" w:rsidRPr="00AE47CE" w:rsidRDefault="00A13048" w:rsidP="00A13048">
      <w:pPr>
        <w:spacing w:line="276" w:lineRule="auto"/>
        <w:rPr>
          <w:rFonts w:asciiTheme="minorHAnsi" w:hAnsiTheme="minorHAnsi" w:cstheme="minorHAnsi"/>
          <w:sz w:val="24"/>
          <w:szCs w:val="24"/>
        </w:rPr>
      </w:pPr>
    </w:p>
    <w:p w14:paraId="04339049"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Lawmakers should be more transparent in expressing their intentions via statute. Drafting errors made during the enactment of legislation and statutes cause issues. The Scottish Law Commission (2022) communicates that these issues include the volume, opinions, preparation, and consultation considered during the process. The volume of legislation is an inaccurate guide to measure the quality of legislation in the United Kingdom by reason of changes in drafting layout. Bigger margins mean legislatures have fewer words to implement into the drafting stages of the Act (The Scottish Law Commission, 2022).</w:t>
      </w:r>
    </w:p>
    <w:p w14:paraId="4932E10A" w14:textId="77777777" w:rsidR="00A13048" w:rsidRPr="00AE47CE" w:rsidRDefault="00A13048" w:rsidP="00A13048">
      <w:pPr>
        <w:spacing w:line="276" w:lineRule="auto"/>
        <w:rPr>
          <w:rFonts w:asciiTheme="minorHAnsi" w:hAnsiTheme="minorHAnsi" w:cstheme="minorHAnsi"/>
          <w:sz w:val="24"/>
          <w:szCs w:val="24"/>
        </w:rPr>
      </w:pPr>
    </w:p>
    <w:p w14:paraId="77A3BCBF"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lastRenderedPageBreak/>
        <w:t xml:space="preserve">Furthermore, Parliamentary counsel communicates that big </w:t>
      </w:r>
      <w:proofErr w:type="gramStart"/>
      <w:r w:rsidRPr="00AE47CE">
        <w:rPr>
          <w:rFonts w:asciiTheme="minorHAnsi" w:hAnsiTheme="minorHAnsi" w:cstheme="minorHAnsi"/>
          <w:sz w:val="24"/>
          <w:szCs w:val="24"/>
        </w:rPr>
        <w:t>bills’</w:t>
      </w:r>
      <w:proofErr w:type="gramEnd"/>
      <w:r w:rsidRPr="00AE47CE">
        <w:rPr>
          <w:rFonts w:asciiTheme="minorHAnsi" w:hAnsiTheme="minorHAnsi" w:cstheme="minorHAnsi"/>
          <w:sz w:val="24"/>
          <w:szCs w:val="24"/>
        </w:rPr>
        <w:t xml:space="preserve"> are a primary issue for concern in the preparation of legislation. Due to late amendments regarding new concerns in the process stages of the bill, there is an increase in the imprecise language used in the report stage (Parliament, 2022). Controversial parties’ opinions toward specific bills mean the number of acts increases to satisfy various legislatures’ goals and desires. Lowering standards of legislation in the United Kingdom. A report by Parliament (2022) states that the broad scope of the bills allows for more amendments to be made. Increasing the chances of drafters being able to scrutinise bills effectively (Parliament, 2022). Leaving statute and legislation open to interpretation. Lowering the status of legislation within the United Kingdom. For this reason, there have been rules implemented to examine the effect of statutory interpretation on the status of legislation (The Scottish Law Commission, 2022).</w:t>
      </w:r>
    </w:p>
    <w:p w14:paraId="5F8CF447" w14:textId="77777777" w:rsidR="00A13048" w:rsidRPr="00AE47CE" w:rsidRDefault="00A13048" w:rsidP="00A13048">
      <w:pPr>
        <w:spacing w:line="276" w:lineRule="auto"/>
        <w:rPr>
          <w:rFonts w:asciiTheme="minorHAnsi" w:hAnsiTheme="minorHAnsi" w:cstheme="minorHAnsi"/>
          <w:sz w:val="24"/>
          <w:szCs w:val="24"/>
        </w:rPr>
      </w:pPr>
    </w:p>
    <w:p w14:paraId="3D84429A" w14:textId="77777777" w:rsidR="00A13048" w:rsidRPr="00AE47CE" w:rsidRDefault="00A13048" w:rsidP="00A13048">
      <w:pPr>
        <w:spacing w:line="276" w:lineRule="auto"/>
        <w:rPr>
          <w:rFonts w:asciiTheme="minorHAnsi" w:hAnsiTheme="minorHAnsi" w:cstheme="minorHAnsi"/>
          <w:sz w:val="24"/>
          <w:szCs w:val="24"/>
        </w:rPr>
      </w:pPr>
    </w:p>
    <w:p w14:paraId="15FBDC9F"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 xml:space="preserve">The rules that </w:t>
      </w:r>
      <w:proofErr w:type="gramStart"/>
      <w:r w:rsidRPr="00AE47CE">
        <w:rPr>
          <w:rFonts w:asciiTheme="minorHAnsi" w:hAnsiTheme="minorHAnsi" w:cstheme="minorHAnsi"/>
          <w:sz w:val="24"/>
          <w:szCs w:val="24"/>
        </w:rPr>
        <w:t>judges</w:t>
      </w:r>
      <w:proofErr w:type="gramEnd"/>
      <w:r w:rsidRPr="00AE47CE">
        <w:rPr>
          <w:rFonts w:asciiTheme="minorHAnsi" w:hAnsiTheme="minorHAnsi" w:cstheme="minorHAnsi"/>
          <w:sz w:val="24"/>
          <w:szCs w:val="24"/>
        </w:rPr>
        <w:t xml:space="preserve"> use as a guideline for interpreting statutes include The literal rule that interprets statutes by using the ordinary and natural meaning of the words to obtain the intention of Parliament (Greenawalt, 2013). The natural meaning of the statute is applied even when a case involving absurdity is involved. However, the basis of the literal rule upholds the doctrine of separation of powers (Greenawalt, 2013). Nonetheless, the literal rule arguably diminishes statutes as the primary source of law in the United Kingdom. The literal rule fails to recognise language limitations and complexities. Highlighted in the case of (Fisher v Bell [1961]). Judges have raised concerns about determining the ordinary meaning. Illustrated in (R v Maginnis [1987]). The challenges posed by the literal rule mean absurdities and injustice undermine the public’s trust in statutes as a primary source of law (FLANAGAN, 2010). </w:t>
      </w:r>
    </w:p>
    <w:p w14:paraId="7A4B8EF5" w14:textId="77777777" w:rsidR="00A13048" w:rsidRPr="00AE47CE" w:rsidRDefault="00A13048" w:rsidP="00A13048">
      <w:pPr>
        <w:spacing w:line="276" w:lineRule="auto"/>
        <w:rPr>
          <w:rFonts w:asciiTheme="minorHAnsi" w:hAnsiTheme="minorHAnsi" w:cstheme="minorHAnsi"/>
          <w:sz w:val="24"/>
          <w:szCs w:val="24"/>
        </w:rPr>
      </w:pPr>
    </w:p>
    <w:p w14:paraId="709BE165" w14:textId="77777777" w:rsidR="009D7B33"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 xml:space="preserve">The Golden developed for judges is used in cases where absurdities are created by the literal rule. The absurdity must be that which was not the legislature’s intention. Absurdity originating from the literal rule requires judges to use the golden rule to substitute a reasonable meaning in accordance with the statute. Intervention for justice without absurdity is not applicable (London and </w:t>
      </w:r>
      <w:proofErr w:type="gramStart"/>
      <w:r w:rsidRPr="00AE47CE">
        <w:rPr>
          <w:rFonts w:asciiTheme="minorHAnsi" w:hAnsiTheme="minorHAnsi" w:cstheme="minorHAnsi"/>
          <w:sz w:val="24"/>
          <w:szCs w:val="24"/>
        </w:rPr>
        <w:t>North Eastern</w:t>
      </w:r>
      <w:proofErr w:type="gramEnd"/>
      <w:r w:rsidRPr="00AE47CE">
        <w:rPr>
          <w:rFonts w:asciiTheme="minorHAnsi" w:hAnsiTheme="minorHAnsi" w:cstheme="minorHAnsi"/>
          <w:sz w:val="24"/>
          <w:szCs w:val="24"/>
        </w:rPr>
        <w:t xml:space="preserve"> Railway v Berriman, [1946]) (Bennion, 2007). The golden rule heightens the possibility of creating an unnecessary judicial precedent that would force Parliament into lengthy amendments. Allowing judges to interpret the meaning of statutes as they perceive reasonable in pursuing justice in any given situation infringes the separation of powers. The case of (Alder v George [1964]) demonstrates this principle. Advantages of the golden rule include rectifying logic and preventing loopholes in the law. The Golden rule is a principle that keeps parliamentary intention circulating in the courts because outcomes from the application of the golden rule follow parliamentary objectives more closely. Furthermore, the golden rule permits the immediate rectification of drafting errors in statutes (R v Allen, [1872]) (Thrombe, 2019). Arguably withholding the status of legislation as the primary source of law in the United Kingdom.</w:t>
      </w:r>
    </w:p>
    <w:p w14:paraId="47410ED1" w14:textId="57659F44"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lastRenderedPageBreak/>
        <w:t>Additionally, the courts in the United Kingdom use the mischief rule in constructing the meanings of words in the statutes. The mischief rule is the oldest rule used by the English courts in cases where ambiguity is present (Heydon’s Case, [1584]). Under the rule, the courts are set to determine the ‘mischief’ in the statute, determine the intention of Parliament and remedy the ‘mischief’ to meet Parliament’s intention (DPP V Bull, [1995]) (Styles, 1994). This rule, however, allows judges to apply their views, prejudices, and sense of morality in interpreting and applying statutes (Bray, 2019). As stated by Bray (2019), The Mischief rule allows judges to create a judicial precedent in contrast to the statute’s text. The mischief rule of statutory interpretation diminishes the status of legislation as the primary source of law in the United Kingdom.</w:t>
      </w:r>
    </w:p>
    <w:p w14:paraId="25E23507" w14:textId="77777777" w:rsidR="00A13048" w:rsidRPr="00AE47CE" w:rsidRDefault="00A13048" w:rsidP="00A13048">
      <w:pPr>
        <w:spacing w:line="276" w:lineRule="auto"/>
        <w:rPr>
          <w:rFonts w:asciiTheme="minorHAnsi" w:hAnsiTheme="minorHAnsi" w:cstheme="minorHAnsi"/>
          <w:sz w:val="24"/>
          <w:szCs w:val="24"/>
        </w:rPr>
      </w:pPr>
    </w:p>
    <w:p w14:paraId="721923DC"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Moreover, the purposive approach aims at resolving the statute’s purpose before examining the statute’s interpretation of words and is used in the European Court of Justice. The purposive approach determines the intention of Parliament through the legislation (Owens, 2001). The rule is a flexible approach and gives judges a broad scope of law developed through the perception of Parliament’s intention. Furthermore, the rule allows the courts to use intrinsic aids in seeking Parliament’s intention. For example, The House of Lords used the purposive approach to relax the rule regarding Hansard (Pepper v Hart, [1992]) (Lees, 2014). The purposive approach is essential because the rule allows judges to interpret domestic legislation in correspondence with EU Law and give effect to EU directives. Furthermore, the rule grants judges to deal with matters unforeseen by Parliament during drafting. Apparent in (R (</w:t>
      </w:r>
      <w:proofErr w:type="spellStart"/>
      <w:r w:rsidRPr="00AE47CE">
        <w:rPr>
          <w:rFonts w:asciiTheme="minorHAnsi" w:hAnsiTheme="minorHAnsi" w:cstheme="minorHAnsi"/>
          <w:sz w:val="24"/>
          <w:szCs w:val="24"/>
        </w:rPr>
        <w:t>Quintavalle</w:t>
      </w:r>
      <w:proofErr w:type="spellEnd"/>
      <w:r w:rsidRPr="00AE47CE">
        <w:rPr>
          <w:rFonts w:asciiTheme="minorHAnsi" w:hAnsiTheme="minorHAnsi" w:cstheme="minorHAnsi"/>
          <w:sz w:val="24"/>
          <w:szCs w:val="24"/>
        </w:rPr>
        <w:t>) v Secretary of State for Health [2003) (Lees, 2014). The approach withholds the status of legislation as the primary source of law in the United Kingdom, as a rule, allows judges to develop the law consistently toward Parliament’s intention (Lees, 2014).</w:t>
      </w:r>
    </w:p>
    <w:p w14:paraId="4981925A" w14:textId="77777777" w:rsidR="00A13048" w:rsidRPr="00AE47CE" w:rsidRDefault="00A13048" w:rsidP="00A13048">
      <w:pPr>
        <w:spacing w:line="276" w:lineRule="auto"/>
        <w:rPr>
          <w:rFonts w:asciiTheme="minorHAnsi" w:hAnsiTheme="minorHAnsi" w:cstheme="minorHAnsi"/>
          <w:sz w:val="24"/>
          <w:szCs w:val="24"/>
        </w:rPr>
      </w:pPr>
    </w:p>
    <w:p w14:paraId="0AD86209"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On the other hand, the purposive approach gives judges a broad scope of dominance to develop the law, thus appropriating the power of Parliament. Such power means judges use their own interpretation and opinions of Parliament’s intention. Plausibly infringing the separation of powers and diminishing the status of legislation as a primary source of law in the United Kingdom (Lees, 2014).</w:t>
      </w:r>
    </w:p>
    <w:p w14:paraId="2A35B6DB" w14:textId="77777777" w:rsidR="00A13048" w:rsidRPr="00AE47CE" w:rsidRDefault="00A13048" w:rsidP="00A13048">
      <w:pPr>
        <w:spacing w:line="276" w:lineRule="auto"/>
        <w:rPr>
          <w:rFonts w:asciiTheme="minorHAnsi" w:hAnsiTheme="minorHAnsi" w:cstheme="minorHAnsi"/>
          <w:sz w:val="24"/>
          <w:szCs w:val="24"/>
        </w:rPr>
      </w:pPr>
    </w:p>
    <w:p w14:paraId="69B4C340" w14:textId="77777777" w:rsidR="00A13048" w:rsidRPr="00821FD4"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 xml:space="preserve">Conclusively, the argument put forward that the principle of statutory interpretation diminishes the status of legislation as the primary source of law in the United Kingdom is reasonable. The process involving statutory interpretation gives judges and legislature the possibility to develop the law by means of prejudice and matter of opinion to a reasonable extent. Ambiguity and complications that arise with the misuse of language and the process of enactment and misinterpretation when interpreting statutes mean there will always be an injustice (Wilson et al., 2020). Nonetheless, the rules of statutory interpretation, considerably the purposive approach, mean the courts have exerted their power to make </w:t>
      </w:r>
      <w:r w:rsidRPr="00AE47CE">
        <w:rPr>
          <w:rFonts w:asciiTheme="minorHAnsi" w:hAnsiTheme="minorHAnsi" w:cstheme="minorHAnsi"/>
          <w:sz w:val="24"/>
          <w:szCs w:val="24"/>
        </w:rPr>
        <w:lastRenderedPageBreak/>
        <w:t>sure that the principle of statutory interpretation upholds the status of legislation as the primary source of law in the United Kingdom (Wilson et al., 2020).</w:t>
      </w:r>
    </w:p>
    <w:p w14:paraId="56B36A55" w14:textId="77777777" w:rsidR="00A13048" w:rsidRDefault="00A13048" w:rsidP="00A13048">
      <w:pPr>
        <w:spacing w:line="276" w:lineRule="auto"/>
      </w:pPr>
    </w:p>
    <w:p w14:paraId="3C0310ED" w14:textId="77777777" w:rsidR="00A13048" w:rsidRDefault="00A13048" w:rsidP="00A13048">
      <w:pPr>
        <w:spacing w:line="276" w:lineRule="auto"/>
      </w:pPr>
    </w:p>
    <w:p w14:paraId="5CAD29F7" w14:textId="77777777" w:rsidR="00A13048" w:rsidRDefault="00A13048" w:rsidP="00A13048">
      <w:pPr>
        <w:spacing w:line="276" w:lineRule="auto"/>
      </w:pPr>
    </w:p>
    <w:p w14:paraId="7A2FC8B6" w14:textId="77777777" w:rsidR="00A13048" w:rsidRDefault="00A13048" w:rsidP="00A13048">
      <w:pPr>
        <w:spacing w:line="276" w:lineRule="auto"/>
      </w:pPr>
    </w:p>
    <w:p w14:paraId="1633E21C" w14:textId="77777777" w:rsidR="00A13048" w:rsidRDefault="00A13048" w:rsidP="00A13048">
      <w:pPr>
        <w:spacing w:line="276" w:lineRule="auto"/>
      </w:pPr>
    </w:p>
    <w:p w14:paraId="5F76068A" w14:textId="77777777" w:rsidR="00A13048" w:rsidRDefault="00A13048" w:rsidP="00A13048">
      <w:pPr>
        <w:spacing w:line="276" w:lineRule="auto"/>
      </w:pPr>
    </w:p>
    <w:p w14:paraId="4DE5C914" w14:textId="77777777" w:rsidR="00A13048" w:rsidRDefault="00A13048" w:rsidP="00A13048">
      <w:pPr>
        <w:spacing w:line="276" w:lineRule="auto"/>
      </w:pPr>
    </w:p>
    <w:p w14:paraId="7F812B1C" w14:textId="77777777" w:rsidR="009D7B33" w:rsidRDefault="00A13048" w:rsidP="00A13048">
      <w:pPr>
        <w:tabs>
          <w:tab w:val="left" w:pos="3568"/>
        </w:tabs>
        <w:spacing w:line="276" w:lineRule="auto"/>
      </w:pPr>
      <w:r>
        <w:tab/>
      </w:r>
    </w:p>
    <w:p w14:paraId="08DF6502" w14:textId="77777777" w:rsidR="009D7B33" w:rsidRDefault="009D7B33" w:rsidP="00A13048">
      <w:pPr>
        <w:tabs>
          <w:tab w:val="left" w:pos="3568"/>
        </w:tabs>
        <w:spacing w:line="276" w:lineRule="auto"/>
      </w:pPr>
    </w:p>
    <w:p w14:paraId="1AEA9EE7" w14:textId="77777777" w:rsidR="009D7B33" w:rsidRDefault="009D7B33" w:rsidP="00A13048">
      <w:pPr>
        <w:tabs>
          <w:tab w:val="left" w:pos="3568"/>
        </w:tabs>
        <w:spacing w:line="276" w:lineRule="auto"/>
      </w:pPr>
    </w:p>
    <w:p w14:paraId="404A8008" w14:textId="77777777" w:rsidR="009D7B33" w:rsidRDefault="009D7B33" w:rsidP="00A13048">
      <w:pPr>
        <w:tabs>
          <w:tab w:val="left" w:pos="3568"/>
        </w:tabs>
        <w:spacing w:line="276" w:lineRule="auto"/>
      </w:pPr>
    </w:p>
    <w:p w14:paraId="7E2762C8" w14:textId="77777777" w:rsidR="009D7B33" w:rsidRDefault="009D7B33" w:rsidP="00A13048">
      <w:pPr>
        <w:tabs>
          <w:tab w:val="left" w:pos="3568"/>
        </w:tabs>
        <w:spacing w:line="276" w:lineRule="auto"/>
      </w:pPr>
    </w:p>
    <w:p w14:paraId="19139158" w14:textId="77777777" w:rsidR="009D7B33" w:rsidRDefault="009D7B33" w:rsidP="00A13048">
      <w:pPr>
        <w:tabs>
          <w:tab w:val="left" w:pos="3568"/>
        </w:tabs>
        <w:spacing w:line="276" w:lineRule="auto"/>
      </w:pPr>
    </w:p>
    <w:p w14:paraId="1DFD0771" w14:textId="77777777" w:rsidR="009D7B33" w:rsidRDefault="009D7B33" w:rsidP="00A13048">
      <w:pPr>
        <w:tabs>
          <w:tab w:val="left" w:pos="3568"/>
        </w:tabs>
        <w:spacing w:line="276" w:lineRule="auto"/>
      </w:pPr>
    </w:p>
    <w:p w14:paraId="6DB8065C" w14:textId="77777777" w:rsidR="009D7B33" w:rsidRDefault="009D7B33" w:rsidP="00A13048">
      <w:pPr>
        <w:tabs>
          <w:tab w:val="left" w:pos="3568"/>
        </w:tabs>
        <w:spacing w:line="276" w:lineRule="auto"/>
      </w:pPr>
    </w:p>
    <w:p w14:paraId="66E60639" w14:textId="77777777" w:rsidR="009D7B33" w:rsidRDefault="009D7B33" w:rsidP="00A13048">
      <w:pPr>
        <w:tabs>
          <w:tab w:val="left" w:pos="3568"/>
        </w:tabs>
        <w:spacing w:line="276" w:lineRule="auto"/>
      </w:pPr>
    </w:p>
    <w:p w14:paraId="364EF074" w14:textId="77777777" w:rsidR="009D7B33" w:rsidRDefault="009D7B33" w:rsidP="00A13048">
      <w:pPr>
        <w:tabs>
          <w:tab w:val="left" w:pos="3568"/>
        </w:tabs>
        <w:spacing w:line="276" w:lineRule="auto"/>
      </w:pPr>
    </w:p>
    <w:p w14:paraId="6CC131DD" w14:textId="77777777" w:rsidR="009D7B33" w:rsidRDefault="009D7B33" w:rsidP="00A13048">
      <w:pPr>
        <w:tabs>
          <w:tab w:val="left" w:pos="3568"/>
        </w:tabs>
        <w:spacing w:line="276" w:lineRule="auto"/>
      </w:pPr>
    </w:p>
    <w:p w14:paraId="6345B95D" w14:textId="77777777" w:rsidR="009D7B33" w:rsidRDefault="009D7B33" w:rsidP="00A13048">
      <w:pPr>
        <w:tabs>
          <w:tab w:val="left" w:pos="3568"/>
        </w:tabs>
        <w:spacing w:line="276" w:lineRule="auto"/>
      </w:pPr>
    </w:p>
    <w:p w14:paraId="64DFFA0E" w14:textId="77777777" w:rsidR="009D7B33" w:rsidRDefault="009D7B33" w:rsidP="00A13048">
      <w:pPr>
        <w:tabs>
          <w:tab w:val="left" w:pos="3568"/>
        </w:tabs>
        <w:spacing w:line="276" w:lineRule="auto"/>
      </w:pPr>
    </w:p>
    <w:p w14:paraId="40EE3C1E" w14:textId="77777777" w:rsidR="009D7B33" w:rsidRDefault="009D7B33" w:rsidP="00A13048">
      <w:pPr>
        <w:tabs>
          <w:tab w:val="left" w:pos="3568"/>
        </w:tabs>
        <w:spacing w:line="276" w:lineRule="auto"/>
      </w:pPr>
    </w:p>
    <w:p w14:paraId="2546B3AE" w14:textId="77777777" w:rsidR="009D7B33" w:rsidRDefault="009D7B33" w:rsidP="00A13048">
      <w:pPr>
        <w:tabs>
          <w:tab w:val="left" w:pos="3568"/>
        </w:tabs>
        <w:spacing w:line="276" w:lineRule="auto"/>
      </w:pPr>
    </w:p>
    <w:p w14:paraId="3DFCE297" w14:textId="77777777" w:rsidR="009D7B33" w:rsidRDefault="009D7B33" w:rsidP="00A13048">
      <w:pPr>
        <w:tabs>
          <w:tab w:val="left" w:pos="3568"/>
        </w:tabs>
        <w:spacing w:line="276" w:lineRule="auto"/>
      </w:pPr>
    </w:p>
    <w:p w14:paraId="39712C9C" w14:textId="77777777" w:rsidR="009D7B33" w:rsidRDefault="009D7B33" w:rsidP="00A13048">
      <w:pPr>
        <w:tabs>
          <w:tab w:val="left" w:pos="3568"/>
        </w:tabs>
        <w:spacing w:line="276" w:lineRule="auto"/>
      </w:pPr>
    </w:p>
    <w:p w14:paraId="52E6D524" w14:textId="77777777" w:rsidR="009D7B33" w:rsidRDefault="009D7B33" w:rsidP="00A13048">
      <w:pPr>
        <w:tabs>
          <w:tab w:val="left" w:pos="3568"/>
        </w:tabs>
        <w:spacing w:line="276" w:lineRule="auto"/>
      </w:pPr>
    </w:p>
    <w:p w14:paraId="14B93E14" w14:textId="77777777" w:rsidR="009D7B33" w:rsidRDefault="009D7B33" w:rsidP="00A13048">
      <w:pPr>
        <w:tabs>
          <w:tab w:val="left" w:pos="3568"/>
        </w:tabs>
        <w:spacing w:line="276" w:lineRule="auto"/>
      </w:pPr>
    </w:p>
    <w:p w14:paraId="10BF88D5" w14:textId="77777777" w:rsidR="009D7B33" w:rsidRDefault="009D7B33" w:rsidP="00A13048">
      <w:pPr>
        <w:tabs>
          <w:tab w:val="left" w:pos="3568"/>
        </w:tabs>
        <w:spacing w:line="276" w:lineRule="auto"/>
      </w:pPr>
    </w:p>
    <w:p w14:paraId="22866FDE" w14:textId="77777777" w:rsidR="009D7B33" w:rsidRDefault="009D7B33" w:rsidP="00A13048">
      <w:pPr>
        <w:tabs>
          <w:tab w:val="left" w:pos="3568"/>
        </w:tabs>
        <w:spacing w:line="276" w:lineRule="auto"/>
      </w:pPr>
    </w:p>
    <w:p w14:paraId="7BA74A30" w14:textId="77777777" w:rsidR="009D7B33" w:rsidRDefault="009D7B33" w:rsidP="00A13048">
      <w:pPr>
        <w:tabs>
          <w:tab w:val="left" w:pos="3568"/>
        </w:tabs>
        <w:spacing w:line="276" w:lineRule="auto"/>
      </w:pPr>
    </w:p>
    <w:p w14:paraId="474D256C" w14:textId="77777777" w:rsidR="009D7B33" w:rsidRDefault="009D7B33" w:rsidP="00A13048">
      <w:pPr>
        <w:tabs>
          <w:tab w:val="left" w:pos="3568"/>
        </w:tabs>
        <w:spacing w:line="276" w:lineRule="auto"/>
      </w:pPr>
    </w:p>
    <w:p w14:paraId="4C84D737" w14:textId="77777777" w:rsidR="009D7B33" w:rsidRDefault="009D7B33" w:rsidP="00A13048">
      <w:pPr>
        <w:tabs>
          <w:tab w:val="left" w:pos="3568"/>
        </w:tabs>
        <w:spacing w:line="276" w:lineRule="auto"/>
      </w:pPr>
    </w:p>
    <w:p w14:paraId="23F3EC34" w14:textId="77777777" w:rsidR="009D7B33" w:rsidRDefault="009D7B33" w:rsidP="00A13048">
      <w:pPr>
        <w:tabs>
          <w:tab w:val="left" w:pos="3568"/>
        </w:tabs>
        <w:spacing w:line="276" w:lineRule="auto"/>
      </w:pPr>
    </w:p>
    <w:p w14:paraId="632015DE" w14:textId="77777777" w:rsidR="009D7B33" w:rsidRDefault="009D7B33" w:rsidP="00A13048">
      <w:pPr>
        <w:tabs>
          <w:tab w:val="left" w:pos="3568"/>
        </w:tabs>
        <w:spacing w:line="276" w:lineRule="auto"/>
      </w:pPr>
    </w:p>
    <w:p w14:paraId="02BDE7CF" w14:textId="77777777" w:rsidR="009D7B33" w:rsidRDefault="009D7B33" w:rsidP="00A13048">
      <w:pPr>
        <w:tabs>
          <w:tab w:val="left" w:pos="3568"/>
        </w:tabs>
        <w:spacing w:line="276" w:lineRule="auto"/>
      </w:pPr>
    </w:p>
    <w:p w14:paraId="2BA4AE06" w14:textId="77777777" w:rsidR="009D7B33" w:rsidRDefault="009D7B33" w:rsidP="00A13048">
      <w:pPr>
        <w:tabs>
          <w:tab w:val="left" w:pos="3568"/>
        </w:tabs>
        <w:spacing w:line="276" w:lineRule="auto"/>
      </w:pPr>
    </w:p>
    <w:p w14:paraId="209D3A0A" w14:textId="77777777" w:rsidR="009D7B33" w:rsidRDefault="009D7B33" w:rsidP="00A13048">
      <w:pPr>
        <w:tabs>
          <w:tab w:val="left" w:pos="3568"/>
        </w:tabs>
        <w:spacing w:line="276" w:lineRule="auto"/>
      </w:pPr>
    </w:p>
    <w:p w14:paraId="01F5DEFE" w14:textId="77777777" w:rsidR="009D7B33" w:rsidRDefault="009D7B33" w:rsidP="00A13048">
      <w:pPr>
        <w:tabs>
          <w:tab w:val="left" w:pos="3568"/>
        </w:tabs>
        <w:spacing w:line="276" w:lineRule="auto"/>
      </w:pPr>
    </w:p>
    <w:p w14:paraId="3589676B" w14:textId="77777777" w:rsidR="009D7B33" w:rsidRDefault="009D7B33" w:rsidP="00A13048">
      <w:pPr>
        <w:tabs>
          <w:tab w:val="left" w:pos="3568"/>
        </w:tabs>
        <w:spacing w:line="276" w:lineRule="auto"/>
      </w:pPr>
    </w:p>
    <w:p w14:paraId="0F81236A" w14:textId="77777777" w:rsidR="009D7B33" w:rsidRDefault="009D7B33" w:rsidP="00A13048">
      <w:pPr>
        <w:tabs>
          <w:tab w:val="left" w:pos="3568"/>
        </w:tabs>
        <w:spacing w:line="276" w:lineRule="auto"/>
      </w:pPr>
    </w:p>
    <w:p w14:paraId="559492B2" w14:textId="77777777" w:rsidR="009D7B33" w:rsidRDefault="009D7B33" w:rsidP="00A13048">
      <w:pPr>
        <w:tabs>
          <w:tab w:val="left" w:pos="3568"/>
        </w:tabs>
        <w:spacing w:line="276" w:lineRule="auto"/>
      </w:pPr>
    </w:p>
    <w:p w14:paraId="29798C60" w14:textId="77777777" w:rsidR="009D7B33" w:rsidRDefault="009D7B33" w:rsidP="00A13048">
      <w:pPr>
        <w:tabs>
          <w:tab w:val="left" w:pos="3568"/>
        </w:tabs>
        <w:spacing w:line="276" w:lineRule="auto"/>
      </w:pPr>
    </w:p>
    <w:p w14:paraId="3F91F839" w14:textId="77777777" w:rsidR="009D7B33" w:rsidRDefault="009D7B33" w:rsidP="00A13048">
      <w:pPr>
        <w:tabs>
          <w:tab w:val="left" w:pos="3568"/>
        </w:tabs>
        <w:spacing w:line="276" w:lineRule="auto"/>
      </w:pPr>
    </w:p>
    <w:p w14:paraId="52C3ABEE" w14:textId="77777777" w:rsidR="009D7B33" w:rsidRDefault="009D7B33" w:rsidP="00A13048">
      <w:pPr>
        <w:tabs>
          <w:tab w:val="left" w:pos="3568"/>
        </w:tabs>
        <w:spacing w:line="276" w:lineRule="auto"/>
      </w:pPr>
    </w:p>
    <w:p w14:paraId="35C60BEC" w14:textId="77777777" w:rsidR="009D7B33" w:rsidRDefault="009D7B33" w:rsidP="00A13048">
      <w:pPr>
        <w:tabs>
          <w:tab w:val="left" w:pos="3568"/>
        </w:tabs>
        <w:spacing w:line="276" w:lineRule="auto"/>
      </w:pPr>
    </w:p>
    <w:p w14:paraId="43FEDEA6" w14:textId="77777777" w:rsidR="009D7B33" w:rsidRDefault="009D7B33" w:rsidP="00A13048">
      <w:pPr>
        <w:tabs>
          <w:tab w:val="left" w:pos="3568"/>
        </w:tabs>
        <w:spacing w:line="276" w:lineRule="auto"/>
      </w:pPr>
    </w:p>
    <w:p w14:paraId="3F96466D" w14:textId="77777777" w:rsidR="009D7B33" w:rsidRDefault="009D7B33" w:rsidP="00A13048">
      <w:pPr>
        <w:tabs>
          <w:tab w:val="left" w:pos="3568"/>
        </w:tabs>
        <w:spacing w:line="276" w:lineRule="auto"/>
      </w:pPr>
    </w:p>
    <w:p w14:paraId="60C475B9" w14:textId="77777777" w:rsidR="009D7B33" w:rsidRDefault="009D7B33" w:rsidP="00A13048">
      <w:pPr>
        <w:tabs>
          <w:tab w:val="left" w:pos="3568"/>
        </w:tabs>
        <w:spacing w:line="276" w:lineRule="auto"/>
      </w:pPr>
    </w:p>
    <w:p w14:paraId="4FA368FF" w14:textId="77777777" w:rsidR="009D7B33" w:rsidRDefault="009D7B33" w:rsidP="00A13048">
      <w:pPr>
        <w:tabs>
          <w:tab w:val="left" w:pos="3568"/>
        </w:tabs>
        <w:spacing w:line="276" w:lineRule="auto"/>
      </w:pPr>
    </w:p>
    <w:p w14:paraId="569EB548" w14:textId="77777777" w:rsidR="009D7B33" w:rsidRDefault="009D7B33" w:rsidP="00A13048">
      <w:pPr>
        <w:tabs>
          <w:tab w:val="left" w:pos="3568"/>
        </w:tabs>
        <w:spacing w:line="276" w:lineRule="auto"/>
      </w:pPr>
    </w:p>
    <w:p w14:paraId="2F075300" w14:textId="77777777" w:rsidR="009D7B33" w:rsidRDefault="009D7B33" w:rsidP="00A13048">
      <w:pPr>
        <w:tabs>
          <w:tab w:val="left" w:pos="3568"/>
        </w:tabs>
        <w:spacing w:line="276" w:lineRule="auto"/>
      </w:pPr>
    </w:p>
    <w:p w14:paraId="035FE228" w14:textId="219D6A64" w:rsidR="00A13048" w:rsidRDefault="00A13048" w:rsidP="009D7B33">
      <w:pPr>
        <w:tabs>
          <w:tab w:val="left" w:pos="3568"/>
        </w:tabs>
        <w:spacing w:line="276" w:lineRule="auto"/>
        <w:jc w:val="center"/>
        <w:rPr>
          <w:b/>
          <w:bCs/>
          <w:sz w:val="24"/>
          <w:szCs w:val="24"/>
        </w:rPr>
      </w:pPr>
      <w:r w:rsidRPr="00C43EC8">
        <w:rPr>
          <w:b/>
          <w:bCs/>
          <w:sz w:val="24"/>
          <w:szCs w:val="24"/>
        </w:rPr>
        <w:lastRenderedPageBreak/>
        <w:t>References:</w:t>
      </w:r>
    </w:p>
    <w:p w14:paraId="1073BC80" w14:textId="77777777" w:rsidR="00A13048" w:rsidRPr="001A706C" w:rsidRDefault="00A13048" w:rsidP="00A13048">
      <w:pPr>
        <w:spacing w:line="276" w:lineRule="auto"/>
        <w:rPr>
          <w:sz w:val="24"/>
          <w:szCs w:val="24"/>
        </w:rPr>
      </w:pPr>
    </w:p>
    <w:p w14:paraId="4313352B"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i/>
          <w:iCs/>
          <w:noProof/>
          <w:sz w:val="24"/>
          <w:szCs w:val="24"/>
          <w:lang w:val="en-US"/>
        </w:rPr>
        <w:t xml:space="preserve">Adler v George </w:t>
      </w:r>
      <w:r w:rsidRPr="001A706C">
        <w:rPr>
          <w:rFonts w:ascii="Times New Roman" w:hAnsi="Times New Roman" w:cs="Times New Roman"/>
          <w:noProof/>
          <w:sz w:val="24"/>
          <w:szCs w:val="24"/>
          <w:lang w:val="en-US"/>
        </w:rPr>
        <w:t xml:space="preserve">(1964) Queens Bench. </w:t>
      </w:r>
    </w:p>
    <w:p w14:paraId="52EB9513" w14:textId="77777777" w:rsidR="00A13048" w:rsidRPr="001A706C" w:rsidRDefault="00A13048" w:rsidP="00A13048">
      <w:pPr>
        <w:rPr>
          <w:sz w:val="24"/>
          <w:szCs w:val="24"/>
        </w:rPr>
      </w:pPr>
      <w:r w:rsidRPr="001A706C">
        <w:rPr>
          <w:sz w:val="24"/>
          <w:szCs w:val="24"/>
        </w:rPr>
        <w:t>Alder v George [1964] 2 QB 7</w:t>
      </w:r>
    </w:p>
    <w:p w14:paraId="32C2EDAB" w14:textId="77777777" w:rsidR="00A13048" w:rsidRDefault="00A13048" w:rsidP="00A13048">
      <w:pPr>
        <w:rPr>
          <w:color w:val="000000"/>
          <w:sz w:val="24"/>
          <w:szCs w:val="24"/>
          <w:shd w:val="clear" w:color="auto" w:fill="FFFFFF"/>
        </w:rPr>
      </w:pPr>
    </w:p>
    <w:p w14:paraId="7B2484F2" w14:textId="77777777" w:rsidR="00A13048" w:rsidRPr="001A706C" w:rsidRDefault="00A13048" w:rsidP="00A13048">
      <w:pPr>
        <w:rPr>
          <w:color w:val="000000"/>
          <w:sz w:val="24"/>
          <w:szCs w:val="24"/>
          <w:shd w:val="clear" w:color="auto" w:fill="FFFFFF"/>
        </w:rPr>
      </w:pPr>
      <w:r w:rsidRPr="001A706C">
        <w:rPr>
          <w:color w:val="000000"/>
          <w:sz w:val="24"/>
          <w:szCs w:val="24"/>
          <w:shd w:val="clear" w:color="auto" w:fill="FFFFFF"/>
        </w:rPr>
        <w:t>Bennion, F., 2007. </w:t>
      </w:r>
      <w:r w:rsidRPr="001A706C">
        <w:rPr>
          <w:i/>
          <w:iCs/>
          <w:color w:val="000000"/>
          <w:sz w:val="24"/>
          <w:szCs w:val="24"/>
          <w:shd w:val="clear" w:color="auto" w:fill="FFFFFF"/>
        </w:rPr>
        <w:t>Statutory interpretation</w:t>
      </w:r>
      <w:r w:rsidRPr="001A706C">
        <w:rPr>
          <w:color w:val="000000"/>
          <w:sz w:val="24"/>
          <w:szCs w:val="24"/>
          <w:shd w:val="clear" w:color="auto" w:fill="FFFFFF"/>
        </w:rPr>
        <w:t>. 4th ed. London: Butterworths.</w:t>
      </w:r>
    </w:p>
    <w:p w14:paraId="430D3139" w14:textId="77777777" w:rsidR="00A13048" w:rsidRDefault="00A13048" w:rsidP="00A13048">
      <w:pPr>
        <w:tabs>
          <w:tab w:val="left" w:pos="5835"/>
        </w:tabs>
        <w:spacing w:line="480" w:lineRule="auto"/>
        <w:ind w:left="680" w:hanging="680"/>
        <w:rPr>
          <w:sz w:val="24"/>
          <w:szCs w:val="24"/>
        </w:rPr>
      </w:pPr>
    </w:p>
    <w:p w14:paraId="6C26348A" w14:textId="77777777" w:rsidR="00A13048" w:rsidRPr="001A706C" w:rsidRDefault="00A13048" w:rsidP="00A13048">
      <w:pPr>
        <w:tabs>
          <w:tab w:val="left" w:pos="5835"/>
        </w:tabs>
        <w:spacing w:line="480" w:lineRule="auto"/>
        <w:ind w:left="680" w:hanging="680"/>
        <w:rPr>
          <w:sz w:val="24"/>
          <w:szCs w:val="24"/>
        </w:rPr>
      </w:pPr>
      <w:r w:rsidRPr="001A706C">
        <w:rPr>
          <w:sz w:val="24"/>
          <w:szCs w:val="24"/>
        </w:rPr>
        <w:t>Black, H.C., 1910. </w:t>
      </w:r>
      <w:r w:rsidRPr="001A706C">
        <w:rPr>
          <w:i/>
          <w:iCs/>
          <w:sz w:val="24"/>
          <w:szCs w:val="24"/>
        </w:rPr>
        <w:t>Law dictionary</w:t>
      </w:r>
      <w:r w:rsidRPr="001A706C">
        <w:rPr>
          <w:sz w:val="24"/>
          <w:szCs w:val="24"/>
        </w:rPr>
        <w:t> (Vol. 1188). St. Paul, Minn.: West Publishing Company.</w:t>
      </w:r>
    </w:p>
    <w:p w14:paraId="10BA945D" w14:textId="77777777" w:rsidR="00A13048" w:rsidRPr="001A706C" w:rsidRDefault="00A13048" w:rsidP="00A13048">
      <w:pPr>
        <w:rPr>
          <w:color w:val="2E414F"/>
          <w:sz w:val="24"/>
          <w:szCs w:val="24"/>
          <w:shd w:val="clear" w:color="auto" w:fill="FFFFFF"/>
        </w:rPr>
      </w:pPr>
      <w:r w:rsidRPr="001A706C">
        <w:rPr>
          <w:color w:val="2E414F"/>
          <w:sz w:val="24"/>
          <w:szCs w:val="24"/>
          <w:shd w:val="clear" w:color="auto" w:fill="FFFFFF"/>
        </w:rPr>
        <w:t>Bray, S.L., (2019). The Mischief Rule. </w:t>
      </w:r>
      <w:r w:rsidRPr="001A706C">
        <w:rPr>
          <w:rStyle w:val="Emphasis"/>
          <w:color w:val="2E414F"/>
          <w:sz w:val="24"/>
          <w:szCs w:val="24"/>
        </w:rPr>
        <w:t>LSN: Legislation &amp; Statutory Interpretation (Topic)</w:t>
      </w:r>
      <w:r w:rsidRPr="001A706C">
        <w:rPr>
          <w:color w:val="2E414F"/>
          <w:sz w:val="24"/>
          <w:szCs w:val="24"/>
          <w:shd w:val="clear" w:color="auto" w:fill="FFFFFF"/>
        </w:rPr>
        <w:t>.</w:t>
      </w:r>
    </w:p>
    <w:p w14:paraId="60DA5B92" w14:textId="77777777" w:rsidR="00A13048" w:rsidRPr="001A706C" w:rsidRDefault="00A13048" w:rsidP="00A13048">
      <w:pPr>
        <w:tabs>
          <w:tab w:val="left" w:pos="5835"/>
        </w:tabs>
        <w:spacing w:line="480" w:lineRule="auto"/>
        <w:ind w:left="680" w:hanging="680"/>
        <w:rPr>
          <w:sz w:val="24"/>
          <w:szCs w:val="24"/>
        </w:rPr>
      </w:pPr>
      <w:r w:rsidRPr="001A706C">
        <w:rPr>
          <w:sz w:val="24"/>
          <w:szCs w:val="24"/>
        </w:rPr>
        <w:t>ELLIOTT, C., &amp; QUINN, F. (2016). </w:t>
      </w:r>
      <w:r w:rsidRPr="001A706C">
        <w:rPr>
          <w:i/>
          <w:iCs/>
          <w:sz w:val="24"/>
          <w:szCs w:val="24"/>
        </w:rPr>
        <w:t>English Legal System: 2016/17 Edition</w:t>
      </w:r>
      <w:r w:rsidRPr="001A706C">
        <w:rPr>
          <w:sz w:val="24"/>
          <w:szCs w:val="24"/>
        </w:rPr>
        <w:t>. Harlow, Unit</w:t>
      </w:r>
      <w:r>
        <w:rPr>
          <w:sz w:val="24"/>
          <w:szCs w:val="24"/>
        </w:rPr>
        <w:t xml:space="preserve">ed   </w:t>
      </w:r>
      <w:r w:rsidRPr="001A706C">
        <w:rPr>
          <w:sz w:val="24"/>
          <w:szCs w:val="24"/>
        </w:rPr>
        <w:t>Kingdom, Pearson Education Limited.</w:t>
      </w:r>
    </w:p>
    <w:p w14:paraId="33F7DB30" w14:textId="77777777" w:rsidR="00A13048" w:rsidRPr="001A706C" w:rsidRDefault="00A13048" w:rsidP="00A13048">
      <w:pPr>
        <w:tabs>
          <w:tab w:val="left" w:pos="5835"/>
        </w:tabs>
        <w:spacing w:line="480" w:lineRule="auto"/>
        <w:ind w:left="680" w:hanging="680"/>
        <w:rPr>
          <w:sz w:val="24"/>
          <w:szCs w:val="24"/>
        </w:rPr>
      </w:pPr>
      <w:r w:rsidRPr="001A706C">
        <w:rPr>
          <w:i/>
          <w:sz w:val="24"/>
          <w:szCs w:val="24"/>
        </w:rPr>
        <w:t>Fisher v Bell</w:t>
      </w:r>
      <w:r w:rsidRPr="001A706C">
        <w:rPr>
          <w:sz w:val="24"/>
          <w:szCs w:val="24"/>
        </w:rPr>
        <w:t xml:space="preserve"> (1961) 1 QB 394.</w:t>
      </w:r>
    </w:p>
    <w:p w14:paraId="46A09089" w14:textId="77777777" w:rsidR="00A13048" w:rsidRPr="001A706C" w:rsidRDefault="00A13048" w:rsidP="00A13048">
      <w:pPr>
        <w:rPr>
          <w:sz w:val="24"/>
          <w:szCs w:val="24"/>
        </w:rPr>
      </w:pPr>
      <w:r w:rsidRPr="001A706C">
        <w:rPr>
          <w:sz w:val="24"/>
          <w:szCs w:val="24"/>
        </w:rPr>
        <w:t xml:space="preserve">FLANAGAN, B., (2010) Revisiting the Contribution of Literal Meaning to Legal Meaning. </w:t>
      </w:r>
      <w:r w:rsidRPr="001A706C">
        <w:rPr>
          <w:i/>
          <w:iCs/>
          <w:sz w:val="24"/>
          <w:szCs w:val="24"/>
        </w:rPr>
        <w:t>Oxford Journal of Legal Studies</w:t>
      </w:r>
      <w:r w:rsidRPr="001A706C">
        <w:rPr>
          <w:sz w:val="24"/>
          <w:szCs w:val="24"/>
        </w:rPr>
        <w:t xml:space="preserve">, </w:t>
      </w:r>
      <w:r w:rsidRPr="001A706C">
        <w:rPr>
          <w:i/>
          <w:iCs/>
          <w:sz w:val="24"/>
          <w:szCs w:val="24"/>
        </w:rPr>
        <w:t>30</w:t>
      </w:r>
      <w:r w:rsidRPr="001A706C">
        <w:rPr>
          <w:sz w:val="24"/>
          <w:szCs w:val="24"/>
        </w:rPr>
        <w:t xml:space="preserve">(2), 255–271. </w:t>
      </w:r>
      <w:hyperlink r:id="rId4" w:history="1">
        <w:r w:rsidRPr="001A706C">
          <w:rPr>
            <w:color w:val="0563C1" w:themeColor="hyperlink"/>
            <w:sz w:val="24"/>
            <w:szCs w:val="24"/>
            <w:u w:val="single"/>
          </w:rPr>
          <w:t>http://www.jstor.org/stable/40660488</w:t>
        </w:r>
      </w:hyperlink>
    </w:p>
    <w:p w14:paraId="18D5B848" w14:textId="77777777" w:rsidR="00A13048" w:rsidRPr="001A706C" w:rsidRDefault="00A13048" w:rsidP="00A13048">
      <w:pPr>
        <w:pStyle w:val="Bibliography"/>
        <w:rPr>
          <w:rFonts w:ascii="Times New Roman" w:hAnsi="Times New Roman" w:cs="Times New Roman"/>
          <w:color w:val="000000"/>
          <w:sz w:val="24"/>
          <w:szCs w:val="24"/>
          <w:shd w:val="clear" w:color="auto" w:fill="FFFFFF"/>
        </w:rPr>
      </w:pPr>
      <w:r w:rsidRPr="001A706C">
        <w:rPr>
          <w:rFonts w:ascii="Times New Roman" w:hAnsi="Times New Roman" w:cs="Times New Roman"/>
          <w:color w:val="000000"/>
          <w:sz w:val="24"/>
          <w:szCs w:val="24"/>
          <w:shd w:val="clear" w:color="auto" w:fill="FFFFFF"/>
        </w:rPr>
        <w:t>Greenawalt, K., (2013) </w:t>
      </w:r>
      <w:r w:rsidRPr="001A706C">
        <w:rPr>
          <w:rFonts w:ascii="Times New Roman" w:hAnsi="Times New Roman" w:cs="Times New Roman"/>
          <w:i/>
          <w:iCs/>
          <w:color w:val="000000"/>
          <w:sz w:val="24"/>
          <w:szCs w:val="24"/>
          <w:shd w:val="clear" w:color="auto" w:fill="FFFFFF"/>
        </w:rPr>
        <w:t>Statutory and common law interpretation</w:t>
      </w:r>
      <w:r w:rsidRPr="001A706C">
        <w:rPr>
          <w:rFonts w:ascii="Times New Roman" w:hAnsi="Times New Roman" w:cs="Times New Roman"/>
          <w:color w:val="000000"/>
          <w:sz w:val="24"/>
          <w:szCs w:val="24"/>
          <w:shd w:val="clear" w:color="auto" w:fill="FFFFFF"/>
        </w:rPr>
        <w:t>. New York: Oxford University Press.</w:t>
      </w:r>
    </w:p>
    <w:p w14:paraId="5A0B53D5" w14:textId="77777777" w:rsidR="00A13048" w:rsidRPr="001A706C" w:rsidRDefault="00A13048" w:rsidP="00A13048">
      <w:pPr>
        <w:spacing w:line="276" w:lineRule="auto"/>
        <w:rPr>
          <w:color w:val="000000"/>
          <w:sz w:val="24"/>
          <w:szCs w:val="24"/>
          <w:shd w:val="clear" w:color="auto" w:fill="FFFFFF"/>
        </w:rPr>
      </w:pPr>
      <w:r w:rsidRPr="001A706C">
        <w:rPr>
          <w:color w:val="000000"/>
          <w:sz w:val="24"/>
          <w:szCs w:val="24"/>
          <w:shd w:val="clear" w:color="auto" w:fill="FFFFFF"/>
        </w:rPr>
        <w:t>Heaton, R., (2013) </w:t>
      </w:r>
      <w:r w:rsidRPr="001A706C">
        <w:rPr>
          <w:i/>
          <w:iCs/>
          <w:color w:val="000000"/>
          <w:sz w:val="24"/>
          <w:szCs w:val="24"/>
          <w:shd w:val="clear" w:color="auto" w:fill="FFFFFF"/>
        </w:rPr>
        <w:t>When Laws Become Too Complex</w:t>
      </w:r>
      <w:r w:rsidRPr="001A706C">
        <w:rPr>
          <w:color w:val="000000"/>
          <w:sz w:val="24"/>
          <w:szCs w:val="24"/>
          <w:shd w:val="clear" w:color="auto" w:fill="FFFFFF"/>
        </w:rPr>
        <w:t>. [</w:t>
      </w:r>
      <w:proofErr w:type="spellStart"/>
      <w:r w:rsidRPr="001A706C">
        <w:rPr>
          <w:color w:val="000000"/>
          <w:sz w:val="24"/>
          <w:szCs w:val="24"/>
          <w:shd w:val="clear" w:color="auto" w:fill="FFFFFF"/>
        </w:rPr>
        <w:t>ebook</w:t>
      </w:r>
      <w:proofErr w:type="spellEnd"/>
      <w:r w:rsidRPr="001A706C">
        <w:rPr>
          <w:color w:val="000000"/>
          <w:sz w:val="24"/>
          <w:szCs w:val="24"/>
          <w:shd w:val="clear" w:color="auto" w:fill="FFFFFF"/>
        </w:rPr>
        <w:t>] England: Good Law. Available at:</w:t>
      </w:r>
      <w:r>
        <w:rPr>
          <w:color w:val="000000"/>
          <w:sz w:val="24"/>
          <w:szCs w:val="24"/>
          <w:shd w:val="clear" w:color="auto" w:fill="FFFFFF"/>
        </w:rPr>
        <w:t xml:space="preserve"> </w:t>
      </w:r>
      <w:r w:rsidRPr="001A706C">
        <w:rPr>
          <w:color w:val="000000"/>
          <w:sz w:val="24"/>
          <w:szCs w:val="24"/>
          <w:shd w:val="clear" w:color="auto" w:fill="FFFFFF"/>
        </w:rPr>
        <w:t>&lt;</w:t>
      </w:r>
      <w:r>
        <w:rPr>
          <w:color w:val="000000"/>
          <w:sz w:val="24"/>
          <w:szCs w:val="24"/>
          <w:shd w:val="clear" w:color="auto" w:fill="FFFFFF"/>
        </w:rPr>
        <w:t xml:space="preserve"> </w:t>
      </w:r>
      <w:hyperlink r:id="rId5" w:history="1">
        <w:r w:rsidRPr="00DE152D">
          <w:rPr>
            <w:rStyle w:val="Hyperlink"/>
            <w:sz w:val="24"/>
            <w:szCs w:val="24"/>
            <w:shd w:val="clear" w:color="auto" w:fill="FFFFFF"/>
          </w:rPr>
          <w:t>https://assets.publishing.service.gov.uk/government/uploads/system/uploads/attachment_data/file/187015/GoodLaw_report_8April_AP.pdf</w:t>
        </w:r>
      </w:hyperlink>
      <w:r>
        <w:rPr>
          <w:color w:val="000000"/>
          <w:sz w:val="24"/>
          <w:szCs w:val="24"/>
          <w:shd w:val="clear" w:color="auto" w:fill="FFFFFF"/>
        </w:rPr>
        <w:t xml:space="preserve"> </w:t>
      </w:r>
      <w:r w:rsidRPr="001A706C">
        <w:rPr>
          <w:color w:val="000000"/>
          <w:sz w:val="24"/>
          <w:szCs w:val="24"/>
          <w:shd w:val="clear" w:color="auto" w:fill="FFFFFF"/>
        </w:rPr>
        <w:t>&gt; [Accessed 29 April 2022].</w:t>
      </w:r>
    </w:p>
    <w:p w14:paraId="7F9BFCA0" w14:textId="77777777" w:rsidR="00A13048" w:rsidRDefault="00A13048" w:rsidP="00A13048">
      <w:pPr>
        <w:tabs>
          <w:tab w:val="left" w:pos="5835"/>
        </w:tabs>
        <w:spacing w:line="480" w:lineRule="auto"/>
        <w:ind w:left="680" w:hanging="680"/>
        <w:rPr>
          <w:i/>
          <w:sz w:val="24"/>
          <w:szCs w:val="24"/>
        </w:rPr>
      </w:pPr>
    </w:p>
    <w:p w14:paraId="1E3775B2" w14:textId="77777777" w:rsidR="00A13048" w:rsidRPr="001A706C" w:rsidRDefault="00A13048" w:rsidP="00A13048">
      <w:pPr>
        <w:tabs>
          <w:tab w:val="left" w:pos="5835"/>
        </w:tabs>
        <w:spacing w:line="480" w:lineRule="auto"/>
        <w:ind w:left="680" w:hanging="680"/>
        <w:rPr>
          <w:sz w:val="24"/>
          <w:szCs w:val="24"/>
        </w:rPr>
      </w:pPr>
      <w:r w:rsidRPr="001A706C">
        <w:rPr>
          <w:i/>
          <w:sz w:val="24"/>
          <w:szCs w:val="24"/>
        </w:rPr>
        <w:t>Heydon’s case</w:t>
      </w:r>
      <w:r w:rsidRPr="001A706C">
        <w:rPr>
          <w:sz w:val="24"/>
          <w:szCs w:val="24"/>
        </w:rPr>
        <w:t xml:space="preserve"> (1584) EWHC </w:t>
      </w:r>
      <w:proofErr w:type="spellStart"/>
      <w:r w:rsidRPr="001A706C">
        <w:rPr>
          <w:sz w:val="24"/>
          <w:szCs w:val="24"/>
        </w:rPr>
        <w:t>Exch</w:t>
      </w:r>
      <w:proofErr w:type="spellEnd"/>
      <w:r w:rsidRPr="001A706C">
        <w:rPr>
          <w:sz w:val="24"/>
          <w:szCs w:val="24"/>
        </w:rPr>
        <w:t xml:space="preserve"> J36.</w:t>
      </w:r>
    </w:p>
    <w:p w14:paraId="50AAF2F9" w14:textId="77777777" w:rsidR="00A13048" w:rsidRPr="001A706C" w:rsidRDefault="00A13048" w:rsidP="00A13048">
      <w:pPr>
        <w:rPr>
          <w:color w:val="000000"/>
          <w:sz w:val="24"/>
          <w:szCs w:val="24"/>
          <w:shd w:val="clear" w:color="auto" w:fill="FFFFFF"/>
        </w:rPr>
      </w:pPr>
      <w:r w:rsidRPr="001A706C">
        <w:rPr>
          <w:color w:val="000000"/>
          <w:sz w:val="24"/>
          <w:szCs w:val="24"/>
          <w:shd w:val="clear" w:color="auto" w:fill="FFFFFF"/>
        </w:rPr>
        <w:t>Law Commission., (1969) </w:t>
      </w:r>
      <w:r w:rsidRPr="001A706C">
        <w:rPr>
          <w:i/>
          <w:iCs/>
          <w:color w:val="000000"/>
          <w:sz w:val="24"/>
          <w:szCs w:val="24"/>
          <w:shd w:val="clear" w:color="auto" w:fill="FFFFFF"/>
        </w:rPr>
        <w:t>The interpretation of statutes</w:t>
      </w:r>
      <w:r w:rsidRPr="001A706C">
        <w:rPr>
          <w:color w:val="000000"/>
          <w:sz w:val="24"/>
          <w:szCs w:val="24"/>
          <w:shd w:val="clear" w:color="auto" w:fill="FFFFFF"/>
        </w:rPr>
        <w:t>. London: gov.uk.</w:t>
      </w:r>
    </w:p>
    <w:p w14:paraId="493814F8" w14:textId="77777777" w:rsidR="00A13048" w:rsidRDefault="00A13048" w:rsidP="00A13048">
      <w:pPr>
        <w:rPr>
          <w:color w:val="000000"/>
          <w:spacing w:val="-5"/>
          <w:sz w:val="24"/>
          <w:szCs w:val="24"/>
          <w:shd w:val="clear" w:color="auto" w:fill="FFFFFF"/>
        </w:rPr>
      </w:pPr>
    </w:p>
    <w:p w14:paraId="0789581F" w14:textId="77777777" w:rsidR="00A13048" w:rsidRPr="001A706C" w:rsidRDefault="00A13048" w:rsidP="00A13048">
      <w:pPr>
        <w:rPr>
          <w:i/>
          <w:iCs/>
          <w:color w:val="000000"/>
          <w:spacing w:val="-5"/>
          <w:sz w:val="24"/>
          <w:szCs w:val="24"/>
          <w:shd w:val="clear" w:color="auto" w:fill="FFFFFF"/>
        </w:rPr>
      </w:pPr>
      <w:r w:rsidRPr="001A706C">
        <w:rPr>
          <w:color w:val="000000"/>
          <w:spacing w:val="-5"/>
          <w:sz w:val="24"/>
          <w:szCs w:val="24"/>
          <w:shd w:val="clear" w:color="auto" w:fill="FFFFFF"/>
        </w:rPr>
        <w:t>Lees, E., (2014) The Meaning of ‘Deposit’: Thames Water v Bromley Magistrates’ Court. </w:t>
      </w:r>
      <w:r w:rsidRPr="001A706C">
        <w:rPr>
          <w:i/>
          <w:iCs/>
          <w:color w:val="000000"/>
          <w:spacing w:val="-5"/>
          <w:sz w:val="24"/>
          <w:szCs w:val="24"/>
          <w:shd w:val="clear" w:color="auto" w:fill="FFFFFF"/>
        </w:rPr>
        <w:t>Journal of Environmental Law</w:t>
      </w:r>
      <w:r w:rsidRPr="001A706C">
        <w:rPr>
          <w:color w:val="000000"/>
          <w:spacing w:val="-5"/>
          <w:sz w:val="24"/>
          <w:szCs w:val="24"/>
          <w:shd w:val="clear" w:color="auto" w:fill="FFFFFF"/>
        </w:rPr>
        <w:t>, </w:t>
      </w:r>
      <w:r w:rsidRPr="001A706C">
        <w:rPr>
          <w:i/>
          <w:iCs/>
          <w:color w:val="000000"/>
          <w:spacing w:val="-5"/>
          <w:sz w:val="24"/>
          <w:szCs w:val="24"/>
          <w:shd w:val="clear" w:color="auto" w:fill="FFFFFF"/>
        </w:rPr>
        <w:t>26</w:t>
      </w:r>
      <w:r w:rsidRPr="001A706C">
        <w:rPr>
          <w:color w:val="000000"/>
          <w:spacing w:val="-5"/>
          <w:sz w:val="24"/>
          <w:szCs w:val="24"/>
          <w:shd w:val="clear" w:color="auto" w:fill="FFFFFF"/>
        </w:rPr>
        <w:t xml:space="preserve">(1), 129–137. </w:t>
      </w:r>
      <w:r>
        <w:rPr>
          <w:color w:val="000000"/>
          <w:spacing w:val="-5"/>
          <w:sz w:val="24"/>
          <w:szCs w:val="24"/>
          <w:shd w:val="clear" w:color="auto" w:fill="FFFFFF"/>
        </w:rPr>
        <w:t xml:space="preserve">&lt; </w:t>
      </w:r>
      <w:hyperlink r:id="rId6" w:history="1">
        <w:r w:rsidRPr="00DE152D">
          <w:rPr>
            <w:rStyle w:val="Hyperlink"/>
            <w:spacing w:val="-5"/>
            <w:sz w:val="24"/>
            <w:szCs w:val="24"/>
            <w:shd w:val="clear" w:color="auto" w:fill="FFFFFF"/>
          </w:rPr>
          <w:t>https://www.jstor.org/stable/26168509</w:t>
        </w:r>
      </w:hyperlink>
      <w:r>
        <w:rPr>
          <w:color w:val="000000"/>
          <w:spacing w:val="-5"/>
          <w:sz w:val="24"/>
          <w:szCs w:val="24"/>
          <w:shd w:val="clear" w:color="auto" w:fill="FFFFFF"/>
        </w:rPr>
        <w:t xml:space="preserve"> &gt;</w:t>
      </w:r>
    </w:p>
    <w:p w14:paraId="3B065190" w14:textId="77777777" w:rsidR="00A13048" w:rsidRDefault="00A13048" w:rsidP="00A13048">
      <w:pPr>
        <w:pStyle w:val="Bibliography"/>
        <w:rPr>
          <w:rFonts w:ascii="Times New Roman" w:hAnsi="Times New Roman" w:cs="Times New Roman"/>
          <w:i/>
          <w:iCs/>
          <w:noProof/>
          <w:sz w:val="24"/>
          <w:szCs w:val="24"/>
          <w:lang w:val="en-US"/>
        </w:rPr>
      </w:pPr>
    </w:p>
    <w:p w14:paraId="7C73D2E8"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i/>
          <w:iCs/>
          <w:noProof/>
          <w:sz w:val="24"/>
          <w:szCs w:val="24"/>
          <w:lang w:val="en-US"/>
        </w:rPr>
        <w:t xml:space="preserve">London and North Eastern Railway v Berriman </w:t>
      </w:r>
      <w:r w:rsidRPr="001A706C">
        <w:rPr>
          <w:rFonts w:ascii="Times New Roman" w:hAnsi="Times New Roman" w:cs="Times New Roman"/>
          <w:noProof/>
          <w:sz w:val="24"/>
          <w:szCs w:val="24"/>
          <w:lang w:val="en-US"/>
        </w:rPr>
        <w:t xml:space="preserve">(1946) Court of Appeal. </w:t>
      </w:r>
    </w:p>
    <w:p w14:paraId="026F0712"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noProof/>
          <w:sz w:val="24"/>
          <w:szCs w:val="24"/>
          <w:lang w:val="en-US"/>
        </w:rPr>
        <w:t xml:space="preserve">Owens, K., 2001. </w:t>
      </w:r>
      <w:r w:rsidRPr="001A706C">
        <w:rPr>
          <w:rFonts w:ascii="Times New Roman" w:hAnsi="Times New Roman" w:cs="Times New Roman"/>
          <w:i/>
          <w:iCs/>
          <w:noProof/>
          <w:sz w:val="24"/>
          <w:szCs w:val="24"/>
          <w:lang w:val="en-US"/>
        </w:rPr>
        <w:t xml:space="preserve">Law for Non-law Students. </w:t>
      </w:r>
      <w:r w:rsidRPr="001A706C">
        <w:rPr>
          <w:rFonts w:ascii="Times New Roman" w:hAnsi="Times New Roman" w:cs="Times New Roman"/>
          <w:noProof/>
          <w:sz w:val="24"/>
          <w:szCs w:val="24"/>
          <w:lang w:val="en-US"/>
        </w:rPr>
        <w:t>3 ed. s.l.:Routledge-Cavendish.</w:t>
      </w:r>
    </w:p>
    <w:p w14:paraId="786EE985" w14:textId="77777777" w:rsidR="00A13048" w:rsidRPr="001A706C" w:rsidRDefault="00A13048" w:rsidP="00A13048">
      <w:pPr>
        <w:rPr>
          <w:color w:val="000000"/>
          <w:sz w:val="24"/>
          <w:szCs w:val="24"/>
          <w:shd w:val="clear" w:color="auto" w:fill="FFFFFF"/>
        </w:rPr>
      </w:pPr>
      <w:r w:rsidRPr="001A706C">
        <w:rPr>
          <w:color w:val="000000"/>
          <w:sz w:val="24"/>
          <w:szCs w:val="24"/>
          <w:shd w:val="clear" w:color="auto" w:fill="FFFFFF"/>
        </w:rPr>
        <w:t>Parliament, (2022) </w:t>
      </w:r>
      <w:r w:rsidRPr="001A706C">
        <w:rPr>
          <w:i/>
          <w:iCs/>
          <w:color w:val="000000"/>
          <w:sz w:val="24"/>
          <w:szCs w:val="24"/>
          <w:shd w:val="clear" w:color="auto" w:fill="FFFFFF"/>
        </w:rPr>
        <w:t xml:space="preserve">How does a bill become a </w:t>
      </w:r>
      <w:proofErr w:type="gramStart"/>
      <w:r w:rsidRPr="001A706C">
        <w:rPr>
          <w:i/>
          <w:iCs/>
          <w:color w:val="000000"/>
          <w:sz w:val="24"/>
          <w:szCs w:val="24"/>
          <w:shd w:val="clear" w:color="auto" w:fill="FFFFFF"/>
        </w:rPr>
        <w:t>law?</w:t>
      </w:r>
      <w:r w:rsidRPr="001A706C">
        <w:rPr>
          <w:color w:val="000000"/>
          <w:sz w:val="24"/>
          <w:szCs w:val="24"/>
          <w:shd w:val="clear" w:color="auto" w:fill="FFFFFF"/>
        </w:rPr>
        <w:t>.</w:t>
      </w:r>
      <w:proofErr w:type="gramEnd"/>
      <w:r w:rsidRPr="001A706C">
        <w:rPr>
          <w:color w:val="000000"/>
          <w:sz w:val="24"/>
          <w:szCs w:val="24"/>
          <w:shd w:val="clear" w:color="auto" w:fill="FFFFFF"/>
        </w:rPr>
        <w:t xml:space="preserve"> England: UK Parliament.</w:t>
      </w:r>
    </w:p>
    <w:p w14:paraId="5201850F" w14:textId="77777777" w:rsidR="00A13048" w:rsidRDefault="00A13048" w:rsidP="00A13048">
      <w:pPr>
        <w:spacing w:line="276" w:lineRule="auto"/>
        <w:rPr>
          <w:color w:val="000000"/>
          <w:sz w:val="24"/>
          <w:szCs w:val="24"/>
          <w:shd w:val="clear" w:color="auto" w:fill="FFFFFF"/>
        </w:rPr>
      </w:pPr>
    </w:p>
    <w:p w14:paraId="1F5A7707" w14:textId="77777777" w:rsidR="00A13048" w:rsidRPr="001A706C" w:rsidRDefault="00A13048" w:rsidP="00A13048">
      <w:pPr>
        <w:spacing w:line="276" w:lineRule="auto"/>
        <w:rPr>
          <w:sz w:val="24"/>
          <w:szCs w:val="24"/>
        </w:rPr>
      </w:pPr>
      <w:r w:rsidRPr="001A706C">
        <w:rPr>
          <w:color w:val="000000"/>
          <w:sz w:val="24"/>
          <w:szCs w:val="24"/>
          <w:shd w:val="clear" w:color="auto" w:fill="FFFFFF"/>
        </w:rPr>
        <w:t>Parliament</w:t>
      </w:r>
      <w:r>
        <w:rPr>
          <w:color w:val="000000"/>
          <w:sz w:val="24"/>
          <w:szCs w:val="24"/>
          <w:shd w:val="clear" w:color="auto" w:fill="FFFFFF"/>
        </w:rPr>
        <w:t>., (</w:t>
      </w:r>
      <w:r w:rsidRPr="001A706C">
        <w:rPr>
          <w:color w:val="000000"/>
          <w:sz w:val="24"/>
          <w:szCs w:val="24"/>
          <w:shd w:val="clear" w:color="auto" w:fill="FFFFFF"/>
        </w:rPr>
        <w:t>2013</w:t>
      </w:r>
      <w:r>
        <w:rPr>
          <w:color w:val="000000"/>
          <w:sz w:val="24"/>
          <w:szCs w:val="24"/>
          <w:shd w:val="clear" w:color="auto" w:fill="FFFFFF"/>
        </w:rPr>
        <w:t>)</w:t>
      </w:r>
      <w:r w:rsidRPr="001A706C">
        <w:rPr>
          <w:color w:val="000000"/>
          <w:sz w:val="24"/>
          <w:szCs w:val="24"/>
          <w:shd w:val="clear" w:color="auto" w:fill="FFFFFF"/>
        </w:rPr>
        <w:t> </w:t>
      </w:r>
      <w:r w:rsidRPr="001A706C">
        <w:rPr>
          <w:i/>
          <w:iCs/>
          <w:color w:val="000000"/>
          <w:sz w:val="24"/>
          <w:szCs w:val="24"/>
          <w:shd w:val="clear" w:color="auto" w:fill="FFFFFF"/>
        </w:rPr>
        <w:t>Ensuring standards in the quality of legislation - Political and Constitutional Reform</w:t>
      </w:r>
      <w:r w:rsidRPr="001A706C">
        <w:rPr>
          <w:color w:val="000000"/>
          <w:sz w:val="24"/>
          <w:szCs w:val="24"/>
          <w:shd w:val="clear" w:color="auto" w:fill="FFFFFF"/>
        </w:rPr>
        <w:t>. England: Parliament UK.</w:t>
      </w:r>
    </w:p>
    <w:p w14:paraId="6C951491" w14:textId="77777777" w:rsidR="00A13048" w:rsidRPr="001A706C" w:rsidRDefault="00A13048" w:rsidP="00A13048">
      <w:pPr>
        <w:tabs>
          <w:tab w:val="left" w:pos="5835"/>
        </w:tabs>
        <w:spacing w:line="480" w:lineRule="auto"/>
        <w:ind w:left="680" w:hanging="680"/>
        <w:rPr>
          <w:sz w:val="24"/>
          <w:szCs w:val="24"/>
        </w:rPr>
      </w:pPr>
      <w:r w:rsidRPr="001A706C">
        <w:rPr>
          <w:sz w:val="24"/>
          <w:szCs w:val="24"/>
        </w:rPr>
        <w:t>Partington, M., 2021. </w:t>
      </w:r>
      <w:r w:rsidRPr="001A706C">
        <w:rPr>
          <w:i/>
          <w:iCs/>
          <w:sz w:val="24"/>
          <w:szCs w:val="24"/>
        </w:rPr>
        <w:t>Introduction to the English legal system</w:t>
      </w:r>
      <w:r w:rsidRPr="001A706C">
        <w:rPr>
          <w:sz w:val="24"/>
          <w:szCs w:val="24"/>
        </w:rPr>
        <w:t>. Oxford University Press.</w:t>
      </w:r>
    </w:p>
    <w:p w14:paraId="2E42F464"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i/>
          <w:iCs/>
          <w:noProof/>
          <w:sz w:val="24"/>
          <w:szCs w:val="24"/>
          <w:lang w:val="en-US"/>
        </w:rPr>
        <w:t xml:space="preserve">Pepper v Hart </w:t>
      </w:r>
      <w:r w:rsidRPr="001A706C">
        <w:rPr>
          <w:rFonts w:ascii="Times New Roman" w:hAnsi="Times New Roman" w:cs="Times New Roman"/>
          <w:noProof/>
          <w:sz w:val="24"/>
          <w:szCs w:val="24"/>
          <w:lang w:val="en-US"/>
        </w:rPr>
        <w:t xml:space="preserve">(1992) House of Lords. </w:t>
      </w:r>
    </w:p>
    <w:p w14:paraId="59A66197"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noProof/>
          <w:sz w:val="24"/>
          <w:szCs w:val="24"/>
          <w:lang w:val="en-US"/>
        </w:rPr>
        <w:lastRenderedPageBreak/>
        <w:t xml:space="preserve">Quinn, E. a., </w:t>
      </w:r>
      <w:r>
        <w:rPr>
          <w:rFonts w:ascii="Times New Roman" w:hAnsi="Times New Roman" w:cs="Times New Roman"/>
          <w:noProof/>
          <w:sz w:val="24"/>
          <w:szCs w:val="24"/>
          <w:lang w:val="en-US"/>
        </w:rPr>
        <w:t>(</w:t>
      </w:r>
      <w:r w:rsidRPr="001A706C">
        <w:rPr>
          <w:rFonts w:ascii="Times New Roman" w:hAnsi="Times New Roman" w:cs="Times New Roman"/>
          <w:noProof/>
          <w:sz w:val="24"/>
          <w:szCs w:val="24"/>
          <w:lang w:val="en-US"/>
        </w:rPr>
        <w:t>2020</w:t>
      </w:r>
      <w:r>
        <w:rPr>
          <w:rFonts w:ascii="Times New Roman" w:hAnsi="Times New Roman" w:cs="Times New Roman"/>
          <w:noProof/>
          <w:sz w:val="24"/>
          <w:szCs w:val="24"/>
          <w:lang w:val="en-US"/>
        </w:rPr>
        <w:t>)</w:t>
      </w:r>
      <w:r w:rsidRPr="001A706C">
        <w:rPr>
          <w:rFonts w:ascii="Times New Roman" w:hAnsi="Times New Roman" w:cs="Times New Roman"/>
          <w:noProof/>
          <w:sz w:val="24"/>
          <w:szCs w:val="24"/>
          <w:lang w:val="en-US"/>
        </w:rPr>
        <w:t xml:space="preserve"> </w:t>
      </w:r>
      <w:r w:rsidRPr="001A706C">
        <w:rPr>
          <w:rFonts w:ascii="Times New Roman" w:hAnsi="Times New Roman" w:cs="Times New Roman"/>
          <w:i/>
          <w:iCs/>
          <w:noProof/>
          <w:sz w:val="24"/>
          <w:szCs w:val="24"/>
          <w:lang w:val="en-US"/>
        </w:rPr>
        <w:t xml:space="preserve">English Legal Systems. </w:t>
      </w:r>
      <w:r w:rsidRPr="001A706C">
        <w:rPr>
          <w:rFonts w:ascii="Times New Roman" w:hAnsi="Times New Roman" w:cs="Times New Roman"/>
          <w:noProof/>
          <w:sz w:val="24"/>
          <w:szCs w:val="24"/>
          <w:lang w:val="en-US"/>
        </w:rPr>
        <w:t>21 ed. s.l.:Harlow, Pearson Education Limited.</w:t>
      </w:r>
    </w:p>
    <w:p w14:paraId="5EFABFB6" w14:textId="77777777" w:rsidR="00A13048" w:rsidRPr="001A706C" w:rsidRDefault="00A13048" w:rsidP="00A13048">
      <w:pPr>
        <w:rPr>
          <w:sz w:val="24"/>
          <w:szCs w:val="24"/>
        </w:rPr>
      </w:pPr>
      <w:r w:rsidRPr="001A706C">
        <w:rPr>
          <w:sz w:val="24"/>
          <w:szCs w:val="24"/>
        </w:rPr>
        <w:t>R (</w:t>
      </w:r>
      <w:proofErr w:type="spellStart"/>
      <w:r w:rsidRPr="001A706C">
        <w:rPr>
          <w:sz w:val="24"/>
          <w:szCs w:val="24"/>
        </w:rPr>
        <w:t>Quintavalle</w:t>
      </w:r>
      <w:proofErr w:type="spellEnd"/>
      <w:r w:rsidRPr="001A706C">
        <w:rPr>
          <w:sz w:val="24"/>
          <w:szCs w:val="24"/>
        </w:rPr>
        <w:t>) v Secretary of State for Health [2003] 2 AC 687</w:t>
      </w:r>
    </w:p>
    <w:p w14:paraId="54998B7F" w14:textId="77777777" w:rsidR="00A13048" w:rsidRDefault="00A13048" w:rsidP="00A13048">
      <w:pPr>
        <w:pStyle w:val="Bibliography"/>
        <w:rPr>
          <w:rFonts w:ascii="Times New Roman" w:hAnsi="Times New Roman" w:cs="Times New Roman"/>
          <w:i/>
          <w:iCs/>
          <w:noProof/>
          <w:sz w:val="24"/>
          <w:szCs w:val="24"/>
          <w:lang w:val="en-US"/>
        </w:rPr>
      </w:pPr>
    </w:p>
    <w:p w14:paraId="218973EF"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i/>
          <w:iCs/>
          <w:noProof/>
          <w:sz w:val="24"/>
          <w:szCs w:val="24"/>
          <w:lang w:val="en-US"/>
        </w:rPr>
        <w:t xml:space="preserve">R v Allen </w:t>
      </w:r>
      <w:r w:rsidRPr="001A706C">
        <w:rPr>
          <w:rFonts w:ascii="Times New Roman" w:hAnsi="Times New Roman" w:cs="Times New Roman"/>
          <w:noProof/>
          <w:sz w:val="24"/>
          <w:szCs w:val="24"/>
          <w:lang w:val="en-US"/>
        </w:rPr>
        <w:t xml:space="preserve">(1872). </w:t>
      </w:r>
    </w:p>
    <w:p w14:paraId="313167C6"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i/>
          <w:iCs/>
          <w:noProof/>
          <w:sz w:val="24"/>
          <w:szCs w:val="24"/>
          <w:lang w:val="en-US"/>
        </w:rPr>
        <w:t xml:space="preserve">R v Maginis </w:t>
      </w:r>
      <w:r w:rsidRPr="001A706C">
        <w:rPr>
          <w:rFonts w:ascii="Times New Roman" w:hAnsi="Times New Roman" w:cs="Times New Roman"/>
          <w:noProof/>
          <w:sz w:val="24"/>
          <w:szCs w:val="24"/>
          <w:lang w:val="en-US"/>
        </w:rPr>
        <w:t xml:space="preserve">(1987) Court of Appeal . </w:t>
      </w:r>
    </w:p>
    <w:p w14:paraId="4F66E980" w14:textId="77777777" w:rsidR="00A13048" w:rsidRPr="001A706C" w:rsidRDefault="00A13048" w:rsidP="00A13048">
      <w:pPr>
        <w:rPr>
          <w:sz w:val="24"/>
          <w:szCs w:val="24"/>
        </w:rPr>
      </w:pPr>
      <w:r w:rsidRPr="001A706C">
        <w:rPr>
          <w:sz w:val="24"/>
          <w:szCs w:val="24"/>
        </w:rPr>
        <w:t xml:space="preserve">Styles, S. C., (1994) The Rule of Parliament: Statutory Interpretation after Pepper v Hart. </w:t>
      </w:r>
      <w:r w:rsidRPr="001A706C">
        <w:rPr>
          <w:i/>
          <w:iCs/>
          <w:sz w:val="24"/>
          <w:szCs w:val="24"/>
        </w:rPr>
        <w:t>Oxford Journal of Legal Studies</w:t>
      </w:r>
      <w:r w:rsidRPr="001A706C">
        <w:rPr>
          <w:sz w:val="24"/>
          <w:szCs w:val="24"/>
        </w:rPr>
        <w:t xml:space="preserve">, </w:t>
      </w:r>
      <w:r w:rsidRPr="001A706C">
        <w:rPr>
          <w:i/>
          <w:iCs/>
          <w:sz w:val="24"/>
          <w:szCs w:val="24"/>
        </w:rPr>
        <w:t>14</w:t>
      </w:r>
      <w:r w:rsidRPr="001A706C">
        <w:rPr>
          <w:sz w:val="24"/>
          <w:szCs w:val="24"/>
        </w:rPr>
        <w:t xml:space="preserve">(1), 151–158. </w:t>
      </w:r>
      <w:r>
        <w:rPr>
          <w:sz w:val="24"/>
          <w:szCs w:val="24"/>
        </w:rPr>
        <w:t xml:space="preserve">&lt; </w:t>
      </w:r>
      <w:hyperlink r:id="rId7" w:history="1">
        <w:r w:rsidRPr="00DE152D">
          <w:rPr>
            <w:rStyle w:val="Hyperlink"/>
            <w:sz w:val="24"/>
            <w:szCs w:val="24"/>
          </w:rPr>
          <w:t>http://www.jstor.org/stable/764768</w:t>
        </w:r>
      </w:hyperlink>
      <w:r>
        <w:rPr>
          <w:sz w:val="24"/>
          <w:szCs w:val="24"/>
        </w:rPr>
        <w:t xml:space="preserve"> &gt;</w:t>
      </w:r>
    </w:p>
    <w:p w14:paraId="3A18B3C9" w14:textId="77777777" w:rsidR="00A13048" w:rsidRDefault="00A13048" w:rsidP="00A13048">
      <w:pPr>
        <w:spacing w:line="276" w:lineRule="auto"/>
        <w:rPr>
          <w:color w:val="000000"/>
          <w:sz w:val="24"/>
          <w:szCs w:val="24"/>
          <w:shd w:val="clear" w:color="auto" w:fill="FFFFFF"/>
        </w:rPr>
      </w:pPr>
    </w:p>
    <w:p w14:paraId="60B5E927" w14:textId="77777777" w:rsidR="00A13048" w:rsidRPr="001A706C" w:rsidRDefault="00A13048" w:rsidP="00A13048">
      <w:pPr>
        <w:spacing w:line="276" w:lineRule="auto"/>
        <w:rPr>
          <w:color w:val="000000"/>
          <w:sz w:val="24"/>
          <w:szCs w:val="24"/>
          <w:shd w:val="clear" w:color="auto" w:fill="FFFFFF"/>
        </w:rPr>
      </w:pPr>
      <w:r w:rsidRPr="001A706C">
        <w:rPr>
          <w:color w:val="000000"/>
          <w:sz w:val="24"/>
          <w:szCs w:val="24"/>
          <w:shd w:val="clear" w:color="auto" w:fill="FFFFFF"/>
        </w:rPr>
        <w:t xml:space="preserve">The Scottish Law </w:t>
      </w:r>
      <w:proofErr w:type="spellStart"/>
      <w:r w:rsidRPr="001A706C">
        <w:rPr>
          <w:color w:val="000000"/>
          <w:sz w:val="24"/>
          <w:szCs w:val="24"/>
          <w:shd w:val="clear" w:color="auto" w:fill="FFFFFF"/>
        </w:rPr>
        <w:t>Commssion</w:t>
      </w:r>
      <w:proofErr w:type="spellEnd"/>
      <w:r w:rsidRPr="001A706C">
        <w:rPr>
          <w:color w:val="000000"/>
          <w:sz w:val="24"/>
          <w:szCs w:val="24"/>
          <w:shd w:val="clear" w:color="auto" w:fill="FFFFFF"/>
        </w:rPr>
        <w:t>, T., (2022) </w:t>
      </w:r>
      <w:r w:rsidRPr="001A706C">
        <w:rPr>
          <w:i/>
          <w:iCs/>
          <w:color w:val="000000"/>
          <w:sz w:val="24"/>
          <w:szCs w:val="24"/>
          <w:shd w:val="clear" w:color="auto" w:fill="FFFFFF"/>
        </w:rPr>
        <w:t>THE INTERPRETATION OF STATUTES</w:t>
      </w:r>
      <w:r w:rsidRPr="001A706C">
        <w:rPr>
          <w:color w:val="000000"/>
          <w:sz w:val="24"/>
          <w:szCs w:val="24"/>
          <w:shd w:val="clear" w:color="auto" w:fill="FFFFFF"/>
        </w:rPr>
        <w:t>. [</w:t>
      </w:r>
      <w:proofErr w:type="spellStart"/>
      <w:r w:rsidRPr="001A706C">
        <w:rPr>
          <w:color w:val="000000"/>
          <w:sz w:val="24"/>
          <w:szCs w:val="24"/>
          <w:shd w:val="clear" w:color="auto" w:fill="FFFFFF"/>
        </w:rPr>
        <w:t>ebook</w:t>
      </w:r>
      <w:proofErr w:type="spellEnd"/>
      <w:r w:rsidRPr="001A706C">
        <w:rPr>
          <w:color w:val="000000"/>
          <w:sz w:val="24"/>
          <w:szCs w:val="24"/>
          <w:shd w:val="clear" w:color="auto" w:fill="FFFFFF"/>
        </w:rPr>
        <w:t>] London: HER MAJESTY'S STATIONERY OFFICE. Available at: &lt;</w:t>
      </w:r>
      <w:r>
        <w:rPr>
          <w:color w:val="000000"/>
          <w:sz w:val="24"/>
          <w:szCs w:val="24"/>
          <w:shd w:val="clear" w:color="auto" w:fill="FFFFFF"/>
        </w:rPr>
        <w:t xml:space="preserve"> </w:t>
      </w:r>
      <w:hyperlink r:id="rId8" w:history="1">
        <w:r w:rsidRPr="00DE152D">
          <w:rPr>
            <w:rStyle w:val="Hyperlink"/>
            <w:sz w:val="24"/>
            <w:szCs w:val="24"/>
            <w:shd w:val="clear" w:color="auto" w:fill="FFFFFF"/>
          </w:rPr>
          <w:t>https://assets.publishing.service.gov.uk/government/uploads/system/uploads/attachment_data/file/228894/0256.pdf</w:t>
        </w:r>
      </w:hyperlink>
      <w:r>
        <w:rPr>
          <w:color w:val="000000"/>
          <w:sz w:val="24"/>
          <w:szCs w:val="24"/>
          <w:shd w:val="clear" w:color="auto" w:fill="FFFFFF"/>
        </w:rPr>
        <w:t xml:space="preserve"> </w:t>
      </w:r>
      <w:r w:rsidRPr="001A706C">
        <w:rPr>
          <w:color w:val="000000"/>
          <w:sz w:val="24"/>
          <w:szCs w:val="24"/>
          <w:shd w:val="clear" w:color="auto" w:fill="FFFFFF"/>
        </w:rPr>
        <w:t>&gt; [Accessed 27 April 2022].</w:t>
      </w:r>
    </w:p>
    <w:p w14:paraId="3DBE73C8" w14:textId="77777777" w:rsidR="00A13048" w:rsidRDefault="00A13048" w:rsidP="00A13048">
      <w:pPr>
        <w:rPr>
          <w:color w:val="000000"/>
          <w:sz w:val="24"/>
          <w:szCs w:val="24"/>
          <w:shd w:val="clear" w:color="auto" w:fill="FFFFFF"/>
        </w:rPr>
      </w:pPr>
    </w:p>
    <w:p w14:paraId="4E6C87BD" w14:textId="77777777" w:rsidR="00A13048" w:rsidRPr="001A706C" w:rsidRDefault="00A13048" w:rsidP="00A13048">
      <w:pPr>
        <w:rPr>
          <w:rStyle w:val="BookTitle"/>
          <w:rFonts w:ascii="Times New Roman" w:hAnsi="Times New Roman"/>
          <w:bCs w:val="0"/>
          <w:iCs w:val="0"/>
          <w:color w:val="000000"/>
          <w:sz w:val="24"/>
          <w:szCs w:val="24"/>
          <w:shd w:val="clear" w:color="auto" w:fill="FFFFFF"/>
        </w:rPr>
      </w:pPr>
      <w:r w:rsidRPr="001A706C">
        <w:rPr>
          <w:color w:val="000000"/>
          <w:sz w:val="24"/>
          <w:szCs w:val="24"/>
          <w:shd w:val="clear" w:color="auto" w:fill="FFFFFF"/>
        </w:rPr>
        <w:t xml:space="preserve">Thrombe Shrikant, P., (2019) General principles of statutory interpretation with special reference to golden rule &amp; mischief rule. International Journal of Law, Volume 5, Issue 6, Pages 135-140. &lt; </w:t>
      </w:r>
      <w:hyperlink r:id="rId9" w:history="1">
        <w:r w:rsidRPr="001A706C">
          <w:rPr>
            <w:rStyle w:val="Hyperlink"/>
            <w:sz w:val="24"/>
            <w:szCs w:val="24"/>
          </w:rPr>
          <w:t>http://www.lawjournals.org/archives/2019/vol5/issue6/5-6-45</w:t>
        </w:r>
      </w:hyperlink>
      <w:r w:rsidRPr="001A706C">
        <w:rPr>
          <w:rStyle w:val="BookTitle"/>
          <w:rFonts w:ascii="Times New Roman" w:hAnsi="Times New Roman"/>
          <w:sz w:val="24"/>
          <w:szCs w:val="24"/>
        </w:rPr>
        <w:t xml:space="preserve"> &gt;</w:t>
      </w:r>
    </w:p>
    <w:p w14:paraId="34A02D76" w14:textId="77777777" w:rsidR="00A13048" w:rsidRDefault="00A13048" w:rsidP="00A13048">
      <w:pPr>
        <w:rPr>
          <w:color w:val="000000"/>
          <w:sz w:val="24"/>
          <w:szCs w:val="24"/>
          <w:shd w:val="clear" w:color="auto" w:fill="FFFFFF"/>
        </w:rPr>
      </w:pPr>
    </w:p>
    <w:p w14:paraId="7FFCCC7F" w14:textId="77777777" w:rsidR="00A13048" w:rsidRPr="001A706C" w:rsidRDefault="00A13048" w:rsidP="00A13048">
      <w:pPr>
        <w:rPr>
          <w:color w:val="000000"/>
          <w:sz w:val="24"/>
          <w:szCs w:val="24"/>
          <w:shd w:val="clear" w:color="auto" w:fill="FFFFFF"/>
        </w:rPr>
      </w:pPr>
      <w:r w:rsidRPr="001A706C">
        <w:rPr>
          <w:color w:val="000000"/>
          <w:sz w:val="24"/>
          <w:szCs w:val="24"/>
          <w:shd w:val="clear" w:color="auto" w:fill="FFFFFF"/>
        </w:rPr>
        <w:t xml:space="preserve">UK Parliament., (2022) </w:t>
      </w:r>
      <w:r w:rsidRPr="001A706C">
        <w:rPr>
          <w:i/>
          <w:iCs/>
          <w:color w:val="000000"/>
          <w:sz w:val="24"/>
          <w:szCs w:val="24"/>
          <w:shd w:val="clear" w:color="auto" w:fill="FFFFFF"/>
        </w:rPr>
        <w:t>Delegated legislation</w:t>
      </w:r>
      <w:r w:rsidRPr="001A706C">
        <w:rPr>
          <w:color w:val="000000"/>
          <w:sz w:val="24"/>
          <w:szCs w:val="24"/>
          <w:shd w:val="clear" w:color="auto" w:fill="FFFFFF"/>
        </w:rPr>
        <w:t>. London: Parliament UK.</w:t>
      </w:r>
    </w:p>
    <w:p w14:paraId="203E3307" w14:textId="77777777" w:rsidR="00A13048" w:rsidRPr="001A706C" w:rsidRDefault="00A13048" w:rsidP="00A13048">
      <w:pPr>
        <w:rPr>
          <w:sz w:val="24"/>
          <w:szCs w:val="24"/>
        </w:rPr>
      </w:pPr>
      <w:proofErr w:type="spellStart"/>
      <w:r w:rsidRPr="001A706C">
        <w:rPr>
          <w:sz w:val="24"/>
          <w:szCs w:val="24"/>
        </w:rPr>
        <w:t>Vogenauer</w:t>
      </w:r>
      <w:proofErr w:type="spellEnd"/>
      <w:r w:rsidRPr="001A706C">
        <w:rPr>
          <w:sz w:val="24"/>
          <w:szCs w:val="24"/>
        </w:rPr>
        <w:t xml:space="preserve">, S., (2005) A Retreat from Pepper v Hart? A Reply to Lord Steyn. </w:t>
      </w:r>
      <w:r w:rsidRPr="001A706C">
        <w:rPr>
          <w:i/>
          <w:iCs/>
          <w:sz w:val="24"/>
          <w:szCs w:val="24"/>
        </w:rPr>
        <w:t>Oxford Journal of Legal Studies</w:t>
      </w:r>
      <w:r w:rsidRPr="001A706C">
        <w:rPr>
          <w:sz w:val="24"/>
          <w:szCs w:val="24"/>
        </w:rPr>
        <w:t xml:space="preserve">, </w:t>
      </w:r>
      <w:r w:rsidRPr="001A706C">
        <w:rPr>
          <w:i/>
          <w:iCs/>
          <w:sz w:val="24"/>
          <w:szCs w:val="24"/>
        </w:rPr>
        <w:t>25</w:t>
      </w:r>
      <w:r w:rsidRPr="001A706C">
        <w:rPr>
          <w:sz w:val="24"/>
          <w:szCs w:val="24"/>
        </w:rPr>
        <w:t xml:space="preserve">(4), 629–674. </w:t>
      </w:r>
      <w:hyperlink r:id="rId10" w:history="1">
        <w:r w:rsidRPr="001A706C">
          <w:rPr>
            <w:color w:val="0563C1" w:themeColor="hyperlink"/>
            <w:sz w:val="24"/>
            <w:szCs w:val="24"/>
            <w:u w:val="single"/>
          </w:rPr>
          <w:t>http://www.jstor.org/stable/3600612</w:t>
        </w:r>
      </w:hyperlink>
    </w:p>
    <w:p w14:paraId="0D385602" w14:textId="77777777" w:rsidR="00A13048" w:rsidRDefault="00A13048" w:rsidP="00A13048">
      <w:pPr>
        <w:tabs>
          <w:tab w:val="left" w:pos="5835"/>
        </w:tabs>
        <w:spacing w:line="480" w:lineRule="auto"/>
        <w:ind w:left="680" w:hanging="680"/>
        <w:rPr>
          <w:sz w:val="24"/>
          <w:szCs w:val="24"/>
        </w:rPr>
      </w:pPr>
    </w:p>
    <w:p w14:paraId="454842A0" w14:textId="77777777" w:rsidR="00A13048" w:rsidRPr="001A706C" w:rsidRDefault="00A13048" w:rsidP="00A13048">
      <w:pPr>
        <w:tabs>
          <w:tab w:val="left" w:pos="5835"/>
        </w:tabs>
        <w:spacing w:line="480" w:lineRule="auto"/>
        <w:ind w:left="680" w:hanging="680"/>
        <w:rPr>
          <w:sz w:val="24"/>
          <w:szCs w:val="24"/>
        </w:rPr>
      </w:pPr>
      <w:r w:rsidRPr="001A706C">
        <w:rPr>
          <w:sz w:val="24"/>
          <w:szCs w:val="24"/>
        </w:rPr>
        <w:t>Walshaw, C., 2014. Concurrent legal interpretation versus moderate intentionalism. </w:t>
      </w:r>
      <w:r w:rsidRPr="001A706C">
        <w:rPr>
          <w:i/>
          <w:iCs/>
          <w:sz w:val="24"/>
          <w:szCs w:val="24"/>
        </w:rPr>
        <w:t>Statute law review</w:t>
      </w:r>
      <w:r w:rsidRPr="001A706C">
        <w:rPr>
          <w:sz w:val="24"/>
          <w:szCs w:val="24"/>
        </w:rPr>
        <w:t>, </w:t>
      </w:r>
      <w:r w:rsidRPr="001A706C">
        <w:rPr>
          <w:i/>
          <w:iCs/>
          <w:sz w:val="24"/>
          <w:szCs w:val="24"/>
        </w:rPr>
        <w:t>35</w:t>
      </w:r>
      <w:r w:rsidRPr="001A706C">
        <w:rPr>
          <w:sz w:val="24"/>
          <w:szCs w:val="24"/>
        </w:rPr>
        <w:t>(3), pp.244-260.</w:t>
      </w:r>
    </w:p>
    <w:p w14:paraId="0030BAF0" w14:textId="77777777" w:rsidR="00A13048" w:rsidRPr="001A706C" w:rsidRDefault="00A13048" w:rsidP="00A13048">
      <w:pPr>
        <w:pStyle w:val="Bibliography"/>
        <w:rPr>
          <w:rFonts w:ascii="Times New Roman" w:hAnsi="Times New Roman" w:cs="Times New Roman"/>
          <w:i/>
          <w:iCs/>
          <w:noProof/>
          <w:sz w:val="24"/>
          <w:szCs w:val="24"/>
          <w:lang w:val="en-US"/>
        </w:rPr>
      </w:pPr>
      <w:r w:rsidRPr="001A706C">
        <w:rPr>
          <w:rFonts w:ascii="Times New Roman" w:hAnsi="Times New Roman" w:cs="Times New Roman"/>
          <w:color w:val="000000"/>
          <w:sz w:val="24"/>
          <w:szCs w:val="24"/>
          <w:shd w:val="clear" w:color="auto" w:fill="FFFFFF"/>
        </w:rPr>
        <w:t xml:space="preserve">Wilson, S., Kotecha, B., Rutherford, H., Storey, T. and Wortley, N., (2020) </w:t>
      </w:r>
      <w:r w:rsidRPr="001A706C">
        <w:rPr>
          <w:rFonts w:ascii="Times New Roman" w:hAnsi="Times New Roman" w:cs="Times New Roman"/>
          <w:i/>
          <w:iCs/>
          <w:color w:val="000000"/>
          <w:sz w:val="24"/>
          <w:szCs w:val="24"/>
          <w:shd w:val="clear" w:color="auto" w:fill="FFFFFF"/>
        </w:rPr>
        <w:t>English legal system</w:t>
      </w:r>
      <w:r w:rsidRPr="001A706C">
        <w:rPr>
          <w:rFonts w:ascii="Times New Roman" w:hAnsi="Times New Roman" w:cs="Times New Roman"/>
          <w:color w:val="000000"/>
          <w:sz w:val="24"/>
          <w:szCs w:val="24"/>
          <w:shd w:val="clear" w:color="auto" w:fill="FFFFFF"/>
        </w:rPr>
        <w:t>. 4th ed. Oxford.</w:t>
      </w:r>
    </w:p>
    <w:p w14:paraId="3ADD6962" w14:textId="77777777" w:rsidR="00895559" w:rsidRDefault="00895559"/>
    <w:sectPr w:rsidR="00895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8031D"/>
    <w:rsid w:val="00895559"/>
    <w:rsid w:val="009D7B33"/>
    <w:rsid w:val="00A13048"/>
    <w:rsid w:val="00C8031D"/>
    <w:rsid w:val="00D60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70756"/>
  <w15:chartTrackingRefBased/>
  <w15:docId w15:val="{22F281DE-94FD-4D2E-A401-CFED9C4D3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04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3048"/>
    <w:rPr>
      <w:color w:val="0000FF"/>
      <w:u w:val="single"/>
    </w:rPr>
  </w:style>
  <w:style w:type="paragraph" w:styleId="Bibliography">
    <w:name w:val="Bibliography"/>
    <w:basedOn w:val="Normal"/>
    <w:next w:val="Normal"/>
    <w:uiPriority w:val="37"/>
    <w:unhideWhenUsed/>
    <w:rsid w:val="00A13048"/>
    <w:pPr>
      <w:spacing w:after="200" w:line="276" w:lineRule="auto"/>
    </w:pPr>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A13048"/>
    <w:rPr>
      <w:i/>
      <w:iCs/>
    </w:rPr>
  </w:style>
  <w:style w:type="character" w:styleId="BookTitle">
    <w:name w:val="Book Title"/>
    <w:basedOn w:val="DefaultParagraphFont"/>
    <w:uiPriority w:val="33"/>
    <w:qFormat/>
    <w:rsid w:val="00A13048"/>
    <w:rPr>
      <w:rFonts w:ascii="Verdana" w:hAnsi="Verdana"/>
      <w:b w:val="0"/>
      <w:bCs/>
      <w:i w:val="0"/>
      <w:iCs/>
      <w:spacing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28894/0256.pdf" TargetMode="External"/><Relationship Id="rId3" Type="http://schemas.openxmlformats.org/officeDocument/2006/relationships/webSettings" Target="webSettings.xml"/><Relationship Id="rId7" Type="http://schemas.openxmlformats.org/officeDocument/2006/relationships/hyperlink" Target="http://www.jstor.org/stable/764768"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26168509" TargetMode="External"/><Relationship Id="rId11" Type="http://schemas.openxmlformats.org/officeDocument/2006/relationships/fontTable" Target="fontTable.xml"/><Relationship Id="rId5" Type="http://schemas.openxmlformats.org/officeDocument/2006/relationships/hyperlink" Target="https://assets.publishing.service.gov.uk/government/uploads/system/uploads/attachment_data/file/187015/GoodLaw_report_8April_AP.pdf" TargetMode="External"/><Relationship Id="rId10" Type="http://schemas.openxmlformats.org/officeDocument/2006/relationships/hyperlink" Target="http://www.jstor.org/stable/3600612" TargetMode="External"/><Relationship Id="rId4" Type="http://schemas.openxmlformats.org/officeDocument/2006/relationships/hyperlink" Target="http://www.jstor.org/stable/40660488" TargetMode="External"/><Relationship Id="rId9" Type="http://schemas.openxmlformats.org/officeDocument/2006/relationships/hyperlink" Target="http://www.lawjournals.org/archives/2019/vol5/issue6/5-6-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1983</Words>
  <Characters>11306</Characters>
  <Application>Microsoft Office Word</Application>
  <DocSecurity>0</DocSecurity>
  <Lines>94</Lines>
  <Paragraphs>26</Paragraphs>
  <ScaleCrop>false</ScaleCrop>
  <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3</cp:revision>
  <dcterms:created xsi:type="dcterms:W3CDTF">2022-05-05T17:04:00Z</dcterms:created>
  <dcterms:modified xsi:type="dcterms:W3CDTF">2022-05-05T17:07:00Z</dcterms:modified>
</cp:coreProperties>
</file>