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86476292"/>
        <w:docPartObj>
          <w:docPartGallery w:val="Cover Pages"/>
          <w:docPartUnique/>
        </w:docPartObj>
      </w:sdtPr>
      <w:sdtEndPr>
        <w:rPr>
          <w:rFonts w:ascii="Times New Roman" w:hAnsi="Times New Roman" w:cs="Times New Roman"/>
          <w:b/>
          <w:bCs/>
        </w:rPr>
      </w:sdtEndPr>
      <w:sdtContent>
        <w:p w14:paraId="2400A10B" w14:textId="638A61CB" w:rsidR="00AB4AD5" w:rsidRPr="00AB4AD5" w:rsidRDefault="00AB4AD5" w:rsidP="00AB4AD5">
          <w:pPr>
            <w:rPr>
              <w:rFonts w:ascii="Times New Roman" w:hAnsi="Times New Roman" w:cs="Times New Roman"/>
              <w:b/>
              <w:bCs/>
              <w:color w:val="156082" w:themeColor="accent1"/>
              <w:sz w:val="36"/>
              <w:szCs w:val="36"/>
            </w:rPr>
          </w:pPr>
          <w:r w:rsidRPr="00AB4AD5">
            <w:rPr>
              <w:rFonts w:ascii="Times New Roman" w:hAnsi="Times New Roman" w:cs="Times New Roman"/>
              <w:b/>
              <w:bCs/>
              <w:color w:val="156082" w:themeColor="accent1"/>
              <w:sz w:val="36"/>
              <w:szCs w:val="36"/>
            </w:rPr>
            <w:t>Student name:</w:t>
          </w:r>
          <w:r w:rsidRPr="00AB4AD5">
            <w:rPr>
              <w:rFonts w:ascii="Times New Roman" w:hAnsi="Times New Roman" w:cs="Times New Roman"/>
              <w:b/>
              <w:bCs/>
              <w:color w:val="156082" w:themeColor="accent1"/>
              <w:sz w:val="36"/>
              <w:szCs w:val="36"/>
            </w:rPr>
            <w:t xml:space="preserve"> Neculai Pascu</w:t>
          </w:r>
          <w:r w:rsidRPr="00AB4AD5">
            <w:rPr>
              <w:rFonts w:ascii="Times New Roman" w:hAnsi="Times New Roman" w:cs="Times New Roman"/>
              <w:b/>
              <w:bCs/>
              <w:color w:val="156082" w:themeColor="accent1"/>
              <w:sz w:val="36"/>
              <w:szCs w:val="36"/>
            </w:rPr>
            <w:tab/>
            <w:t xml:space="preserve">     </w:t>
          </w:r>
        </w:p>
        <w:p w14:paraId="472EDB58" w14:textId="68BD9AAB" w:rsidR="00AB4AD5" w:rsidRPr="00AB4AD5" w:rsidRDefault="00AB4AD5" w:rsidP="00AB4AD5">
          <w:pPr>
            <w:rPr>
              <w:rFonts w:ascii="Times New Roman" w:hAnsi="Times New Roman" w:cs="Times New Roman"/>
              <w:b/>
              <w:bCs/>
              <w:color w:val="156082" w:themeColor="accent1"/>
              <w:sz w:val="36"/>
              <w:szCs w:val="36"/>
            </w:rPr>
          </w:pPr>
          <w:r w:rsidRPr="00AB4AD5">
            <w:rPr>
              <w:rFonts w:ascii="Times New Roman" w:hAnsi="Times New Roman" w:cs="Times New Roman"/>
              <w:b/>
              <w:bCs/>
              <w:color w:val="156082" w:themeColor="accent1"/>
              <w:sz w:val="36"/>
              <w:szCs w:val="36"/>
            </w:rPr>
            <w:t>Programme:</w:t>
          </w:r>
          <w:r w:rsidRPr="00AB4AD5">
            <w:rPr>
              <w:rFonts w:ascii="Times New Roman" w:hAnsi="Times New Roman" w:cs="Times New Roman"/>
              <w:b/>
              <w:bCs/>
              <w:color w:val="156082" w:themeColor="accent1"/>
              <w:sz w:val="36"/>
              <w:szCs w:val="36"/>
            </w:rPr>
            <w:t xml:space="preserve"> </w:t>
          </w:r>
          <w:r w:rsidRPr="00AB4AD5">
            <w:rPr>
              <w:rFonts w:ascii="Times New Roman" w:hAnsi="Times New Roman" w:cs="Times New Roman"/>
              <w:b/>
              <w:bCs/>
              <w:color w:val="156082" w:themeColor="accent1"/>
              <w:sz w:val="36"/>
              <w:szCs w:val="36"/>
            </w:rPr>
            <w:t>BA/HND Business and Management</w:t>
          </w:r>
        </w:p>
        <w:p w14:paraId="6BA18938" w14:textId="50A25523" w:rsidR="00AB4AD5" w:rsidRPr="00AB4AD5" w:rsidRDefault="00AB4AD5" w:rsidP="00AB4AD5">
          <w:pPr>
            <w:rPr>
              <w:rFonts w:ascii="Times New Roman" w:hAnsi="Times New Roman" w:cs="Times New Roman"/>
              <w:b/>
              <w:bCs/>
              <w:color w:val="156082" w:themeColor="accent1"/>
              <w:sz w:val="36"/>
              <w:szCs w:val="36"/>
            </w:rPr>
          </w:pPr>
          <w:r w:rsidRPr="00AB4AD5">
            <w:rPr>
              <w:rFonts w:ascii="Times New Roman" w:hAnsi="Times New Roman" w:cs="Times New Roman"/>
              <w:b/>
              <w:bCs/>
              <w:color w:val="156082" w:themeColor="accent1"/>
              <w:sz w:val="36"/>
              <w:szCs w:val="36"/>
            </w:rPr>
            <w:t>Module:</w:t>
          </w:r>
          <w:r w:rsidRPr="00AB4AD5">
            <w:rPr>
              <w:rFonts w:ascii="Times New Roman" w:hAnsi="Times New Roman" w:cs="Times New Roman"/>
              <w:b/>
              <w:bCs/>
              <w:color w:val="156082" w:themeColor="accent1"/>
              <w:sz w:val="36"/>
              <w:szCs w:val="36"/>
            </w:rPr>
            <w:t xml:space="preserve"> </w:t>
          </w:r>
          <w:r w:rsidRPr="00AB4AD5">
            <w:rPr>
              <w:rFonts w:ascii="Times New Roman" w:hAnsi="Times New Roman" w:cs="Times New Roman"/>
              <w:b/>
              <w:bCs/>
              <w:color w:val="156082" w:themeColor="accent1"/>
              <w:sz w:val="36"/>
              <w:szCs w:val="36"/>
            </w:rPr>
            <w:t xml:space="preserve">Financial Management </w:t>
          </w:r>
          <w:r w:rsidRPr="00AB4AD5">
            <w:rPr>
              <w:rFonts w:ascii="Times New Roman" w:hAnsi="Times New Roman" w:cs="Times New Roman"/>
              <w:b/>
              <w:bCs/>
              <w:color w:val="156082" w:themeColor="accent1"/>
              <w:sz w:val="36"/>
              <w:szCs w:val="36"/>
            </w:rPr>
            <w:t>for</w:t>
          </w:r>
          <w:r w:rsidRPr="00AB4AD5">
            <w:rPr>
              <w:rFonts w:ascii="Times New Roman" w:hAnsi="Times New Roman" w:cs="Times New Roman"/>
              <w:b/>
              <w:bCs/>
              <w:color w:val="156082" w:themeColor="accent1"/>
              <w:sz w:val="36"/>
              <w:szCs w:val="36"/>
            </w:rPr>
            <w:t xml:space="preserve"> Business Sustainability</w:t>
          </w:r>
        </w:p>
        <w:p w14:paraId="2F1A29C6" w14:textId="77777777" w:rsidR="00AB4AD5" w:rsidRPr="00AB4AD5" w:rsidRDefault="00AB4AD5" w:rsidP="00AB4AD5">
          <w:pPr>
            <w:rPr>
              <w:rFonts w:ascii="Times New Roman" w:hAnsi="Times New Roman" w:cs="Times New Roman"/>
              <w:b/>
              <w:bCs/>
              <w:color w:val="156082" w:themeColor="accent1"/>
              <w:sz w:val="36"/>
              <w:szCs w:val="36"/>
            </w:rPr>
          </w:pPr>
          <w:r w:rsidRPr="00AB4AD5">
            <w:rPr>
              <w:rFonts w:ascii="Times New Roman" w:hAnsi="Times New Roman" w:cs="Times New Roman"/>
              <w:b/>
              <w:bCs/>
              <w:color w:val="156082" w:themeColor="accent1"/>
              <w:sz w:val="36"/>
              <w:szCs w:val="36"/>
            </w:rPr>
            <w:t>Module code:</w:t>
          </w:r>
          <w:r w:rsidRPr="00AB4AD5">
            <w:rPr>
              <w:rFonts w:ascii="Times New Roman" w:hAnsi="Times New Roman" w:cs="Times New Roman"/>
              <w:b/>
              <w:bCs/>
              <w:color w:val="156082" w:themeColor="accent1"/>
              <w:sz w:val="36"/>
              <w:szCs w:val="36"/>
            </w:rPr>
            <w:tab/>
            <w:t>BMSP4011</w:t>
          </w:r>
        </w:p>
        <w:p w14:paraId="40927BCA" w14:textId="7050F45C" w:rsidR="00AB4AD5" w:rsidRPr="00AB4AD5" w:rsidRDefault="00AB4AD5" w:rsidP="00AB4AD5">
          <w:pPr>
            <w:rPr>
              <w:rFonts w:ascii="Times New Roman" w:hAnsi="Times New Roman" w:cs="Times New Roman"/>
              <w:b/>
              <w:bCs/>
              <w:color w:val="156082" w:themeColor="accent1"/>
              <w:sz w:val="36"/>
              <w:szCs w:val="36"/>
            </w:rPr>
          </w:pPr>
          <w:r w:rsidRPr="00AB4AD5">
            <w:rPr>
              <w:rFonts w:ascii="Times New Roman" w:hAnsi="Times New Roman" w:cs="Times New Roman"/>
              <w:b/>
              <w:bCs/>
              <w:color w:val="156082" w:themeColor="accent1"/>
              <w:sz w:val="36"/>
              <w:szCs w:val="36"/>
            </w:rPr>
            <w:t>Lecturer:</w:t>
          </w:r>
          <w:r w:rsidRPr="00AB4AD5">
            <w:rPr>
              <w:rFonts w:ascii="Times New Roman" w:hAnsi="Times New Roman" w:cs="Times New Roman"/>
              <w:b/>
              <w:bCs/>
              <w:color w:val="156082" w:themeColor="accent1"/>
              <w:sz w:val="36"/>
              <w:szCs w:val="36"/>
            </w:rPr>
            <w:t xml:space="preserve"> </w:t>
          </w:r>
          <w:r w:rsidRPr="00AB4AD5">
            <w:rPr>
              <w:rFonts w:ascii="Times New Roman" w:hAnsi="Times New Roman" w:cs="Times New Roman"/>
              <w:b/>
              <w:bCs/>
              <w:color w:val="156082" w:themeColor="accent1"/>
              <w:sz w:val="36"/>
              <w:szCs w:val="36"/>
            </w:rPr>
            <w:t>Navdeep Randhawa</w:t>
          </w:r>
        </w:p>
        <w:p w14:paraId="15B98405" w14:textId="64D06DC9" w:rsidR="00AB4AD5" w:rsidRDefault="00AB4AD5">
          <w:pPr>
            <w:rPr>
              <w:rFonts w:ascii="Times New Roman" w:hAnsi="Times New Roman" w:cs="Times New Roman"/>
              <w:b/>
              <w:bCs/>
            </w:rPr>
          </w:pPr>
          <w:r>
            <w:rPr>
              <w:noProof/>
            </w:rPr>
            <mc:AlternateContent>
              <mc:Choice Requires="wps">
                <w:drawing>
                  <wp:anchor distT="0" distB="0" distL="182880" distR="182880" simplePos="0" relativeHeight="251660288" behindDoc="0" locked="0" layoutInCell="1" allowOverlap="1" wp14:anchorId="7BE0A13F" wp14:editId="12FABBDD">
                    <wp:simplePos x="0" y="0"/>
                    <wp:positionH relativeFrom="margin">
                      <wp:align>center</wp:align>
                    </wp:positionH>
                    <wp:positionV relativeFrom="page">
                      <wp:posOffset>5469255</wp:posOffset>
                    </wp:positionV>
                    <wp:extent cx="6360795" cy="2143125"/>
                    <wp:effectExtent l="0" t="0" r="1905" b="9525"/>
                    <wp:wrapSquare wrapText="bothSides"/>
                    <wp:docPr id="131" name="Text Box 131"/>
                    <wp:cNvGraphicFramePr/>
                    <a:graphic xmlns:a="http://schemas.openxmlformats.org/drawingml/2006/main">
                      <a:graphicData uri="http://schemas.microsoft.com/office/word/2010/wordprocessingShape">
                        <wps:wsp>
                          <wps:cNvSpPr txBox="1"/>
                          <wps:spPr>
                            <a:xfrm>
                              <a:off x="0" y="0"/>
                              <a:ext cx="6360795" cy="21431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96B91" w14:textId="16A68B30" w:rsidR="00AB4AD5" w:rsidRPr="00AB4AD5" w:rsidRDefault="00AB4AD5" w:rsidP="00AB4AD5">
                                <w:pPr>
                                  <w:pStyle w:val="NoSpacing"/>
                                  <w:spacing w:before="40" w:after="560" w:line="216" w:lineRule="auto"/>
                                  <w:jc w:val="center"/>
                                  <w:rPr>
                                    <w:rFonts w:ascii="Times New Roman" w:hAnsi="Times New Roman" w:cs="Times New Roman"/>
                                    <w:b/>
                                    <w:bCs/>
                                    <w:color w:val="156082" w:themeColor="accent1"/>
                                    <w:sz w:val="96"/>
                                    <w:szCs w:val="96"/>
                                  </w:rPr>
                                </w:pPr>
                                <w:sdt>
                                  <w:sdtPr>
                                    <w:rPr>
                                      <w:rFonts w:ascii="Times New Roman" w:hAnsi="Times New Roman" w:cs="Times New Roman"/>
                                      <w:b/>
                                      <w:bCs/>
                                      <w:color w:val="156082" w:themeColor="accent1"/>
                                      <w:sz w:val="96"/>
                                      <w:szCs w:val="9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AB4AD5">
                                      <w:rPr>
                                        <w:rFonts w:ascii="Times New Roman" w:hAnsi="Times New Roman" w:cs="Times New Roman"/>
                                        <w:b/>
                                        <w:bCs/>
                                        <w:color w:val="156082" w:themeColor="accent1"/>
                                        <w:sz w:val="96"/>
                                        <w:szCs w:val="96"/>
                                      </w:rPr>
                                      <w:t>Fi</w:t>
                                    </w:r>
                                    <w:r w:rsidRPr="00AB4AD5">
                                      <w:rPr>
                                        <w:rFonts w:ascii="Times New Roman" w:hAnsi="Times New Roman" w:cs="Times New Roman"/>
                                        <w:b/>
                                        <w:bCs/>
                                        <w:color w:val="156082" w:themeColor="accent1"/>
                                        <w:sz w:val="96"/>
                                        <w:szCs w:val="96"/>
                                      </w:rPr>
                                      <w:t>n</w:t>
                                    </w:r>
                                    <w:r w:rsidRPr="00AB4AD5">
                                      <w:rPr>
                                        <w:rFonts w:ascii="Times New Roman" w:hAnsi="Times New Roman" w:cs="Times New Roman"/>
                                        <w:b/>
                                        <w:bCs/>
                                        <w:color w:val="156082" w:themeColor="accent1"/>
                                        <w:sz w:val="96"/>
                                        <w:szCs w:val="96"/>
                                      </w:rPr>
                                      <w:t>ancial Analysis</w:t>
                                    </w:r>
                                  </w:sdtContent>
                                </w:sdt>
                                <w:r w:rsidRPr="00AB4AD5">
                                  <w:rPr>
                                    <w:rFonts w:ascii="Times New Roman" w:hAnsi="Times New Roman" w:cs="Times New Roman"/>
                                    <w:b/>
                                    <w:bCs/>
                                    <w:color w:val="156082" w:themeColor="accent1"/>
                                    <w:sz w:val="96"/>
                                    <w:szCs w:val="96"/>
                                  </w:rPr>
                                  <w:t>: Tesco Plc</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7BE0A13F" id="_x0000_t202" coordsize="21600,21600" o:spt="202" path="m,l,21600r21600,l21600,xe">
                    <v:stroke joinstyle="miter"/>
                    <v:path gradientshapeok="t" o:connecttype="rect"/>
                  </v:shapetype>
                  <v:shape id="Text Box 131" o:spid="_x0000_s1026" type="#_x0000_t202" style="position:absolute;margin-left:0;margin-top:430.65pt;width:500.85pt;height:168.75pt;z-index:251660288;visibility:visible;mso-wrap-style:square;mso-width-percent:0;mso-height-percent:0;mso-wrap-distance-left:14.4pt;mso-wrap-distance-top:0;mso-wrap-distance-right:14.4pt;mso-wrap-distance-bottom:0;mso-position-horizontal:center;mso-position-horizontal-relative:margin;mso-position-vertical:absolute;mso-position-vertical-relative:page;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" filled="f" stroked="f" strokeweight=".5pt">
                    <v:textbox inset="0,0,0,0">
                      <w:txbxContent>
                        <w:p w14:paraId="7E696B91" w14:textId="16A68B30" w:rsidR="00AB4AD5" w:rsidRPr="00AB4AD5" w:rsidRDefault="00AB4AD5" w:rsidP="00AB4AD5">
                          <w:pPr>
                            <w:pStyle w:val="NoSpacing"/>
                            <w:spacing w:before="40" w:after="560" w:line="216" w:lineRule="auto"/>
                            <w:jc w:val="center"/>
                            <w:rPr>
                              <w:rFonts w:ascii="Times New Roman" w:hAnsi="Times New Roman" w:cs="Times New Roman"/>
                              <w:b/>
                              <w:bCs/>
                              <w:color w:val="156082" w:themeColor="accent1"/>
                              <w:sz w:val="96"/>
                              <w:szCs w:val="96"/>
                            </w:rPr>
                          </w:pPr>
                          <w:sdt>
                            <w:sdtPr>
                              <w:rPr>
                                <w:rFonts w:ascii="Times New Roman" w:hAnsi="Times New Roman" w:cs="Times New Roman"/>
                                <w:b/>
                                <w:bCs/>
                                <w:color w:val="156082" w:themeColor="accent1"/>
                                <w:sz w:val="96"/>
                                <w:szCs w:val="96"/>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AB4AD5">
                                <w:rPr>
                                  <w:rFonts w:ascii="Times New Roman" w:hAnsi="Times New Roman" w:cs="Times New Roman"/>
                                  <w:b/>
                                  <w:bCs/>
                                  <w:color w:val="156082" w:themeColor="accent1"/>
                                  <w:sz w:val="96"/>
                                  <w:szCs w:val="96"/>
                                </w:rPr>
                                <w:t>Fi</w:t>
                              </w:r>
                              <w:r w:rsidRPr="00AB4AD5">
                                <w:rPr>
                                  <w:rFonts w:ascii="Times New Roman" w:hAnsi="Times New Roman" w:cs="Times New Roman"/>
                                  <w:b/>
                                  <w:bCs/>
                                  <w:color w:val="156082" w:themeColor="accent1"/>
                                  <w:sz w:val="96"/>
                                  <w:szCs w:val="96"/>
                                </w:rPr>
                                <w:t>n</w:t>
                              </w:r>
                              <w:r w:rsidRPr="00AB4AD5">
                                <w:rPr>
                                  <w:rFonts w:ascii="Times New Roman" w:hAnsi="Times New Roman" w:cs="Times New Roman"/>
                                  <w:b/>
                                  <w:bCs/>
                                  <w:color w:val="156082" w:themeColor="accent1"/>
                                  <w:sz w:val="96"/>
                                  <w:szCs w:val="96"/>
                                </w:rPr>
                                <w:t>ancial Analysis</w:t>
                              </w:r>
                            </w:sdtContent>
                          </w:sdt>
                          <w:r w:rsidRPr="00AB4AD5">
                            <w:rPr>
                              <w:rFonts w:ascii="Times New Roman" w:hAnsi="Times New Roman" w:cs="Times New Roman"/>
                              <w:b/>
                              <w:bCs/>
                              <w:color w:val="156082" w:themeColor="accent1"/>
                              <w:sz w:val="96"/>
                              <w:szCs w:val="96"/>
                            </w:rPr>
                            <w:t>: Tesco Plc</w:t>
                          </w:r>
                        </w:p>
                      </w:txbxContent>
                    </v:textbox>
                    <w10:wrap type="square" anchorx="margin" anchory="page"/>
                  </v:shape>
                </w:pict>
              </mc:Fallback>
            </mc:AlternateContent>
          </w:r>
          <w:r>
            <w:rPr>
              <w:rFonts w:ascii="Times New Roman" w:hAnsi="Times New Roman" w:cs="Times New Roman"/>
              <w:b/>
              <w:bCs/>
            </w:rPr>
            <w:br w:type="page"/>
          </w:r>
        </w:p>
      </w:sdtContent>
    </w:sdt>
    <w:p w14:paraId="2F29C9FD" w14:textId="703E0101" w:rsidR="00A5301F" w:rsidRPr="00A5301F" w:rsidRDefault="00A5301F" w:rsidP="00A5301F">
      <w:pPr>
        <w:spacing w:line="480" w:lineRule="auto"/>
        <w:rPr>
          <w:rFonts w:ascii="Times New Roman" w:hAnsi="Times New Roman" w:cs="Times New Roman"/>
          <w:b/>
          <w:bCs/>
        </w:rPr>
      </w:pPr>
      <w:r w:rsidRPr="00A5301F">
        <w:rPr>
          <w:rFonts w:ascii="Times New Roman" w:hAnsi="Times New Roman" w:cs="Times New Roman"/>
          <w:b/>
          <w:bCs/>
        </w:rPr>
        <w:lastRenderedPageBreak/>
        <w:t>Ratio Analysis of Tesco PLC</w:t>
      </w:r>
    </w:p>
    <w:p w14:paraId="5E27BAC4" w14:textId="7E3CCD3B"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The analysis used for performing a financial ratio analysis of Tesco PLC is based on the comparison of its Financial Statements in 2024 and 2025</w:t>
      </w:r>
      <w:r>
        <w:rPr>
          <w:rFonts w:ascii="Times New Roman" w:hAnsi="Times New Roman" w:cs="Times New Roman"/>
        </w:rPr>
        <w:t>, respectively</w:t>
      </w:r>
      <w:r w:rsidRPr="00A5301F">
        <w:rPr>
          <w:rFonts w:ascii="Times New Roman" w:hAnsi="Times New Roman" w:cs="Times New Roman"/>
        </w:rPr>
        <w:t xml:space="preserve">. The reason Tesco is suitable for this analysis is due to the availability of </w:t>
      </w:r>
      <w:r>
        <w:rPr>
          <w:rFonts w:ascii="Times New Roman" w:hAnsi="Times New Roman" w:cs="Times New Roman"/>
        </w:rPr>
        <w:t>its</w:t>
      </w:r>
      <w:r w:rsidRPr="00A5301F">
        <w:rPr>
          <w:rFonts w:ascii="Times New Roman" w:hAnsi="Times New Roman" w:cs="Times New Roman"/>
        </w:rPr>
        <w:t xml:space="preserve"> full annual accounts. This allows for trend analysis of the financial measures between periods. Ratio analysis is an effective analytical tool for measuring the financial health of a company. It can be used to determine the company's profitability, liquidity, efficiency and financial stability in addition to being an effective way to evaluate the company's performance over time</w:t>
      </w:r>
      <w:r>
        <w:rPr>
          <w:rFonts w:ascii="Times New Roman" w:hAnsi="Times New Roman" w:cs="Times New Roman"/>
        </w:rPr>
        <w:t xml:space="preserve"> (</w:t>
      </w:r>
      <w:r w:rsidRPr="00A5301F">
        <w:rPr>
          <w:rFonts w:ascii="Times New Roman" w:hAnsi="Times New Roman" w:cs="Times New Roman"/>
        </w:rPr>
        <w:t>Olayinka 2022</w:t>
      </w:r>
      <w:r>
        <w:rPr>
          <w:rFonts w:ascii="Times New Roman" w:hAnsi="Times New Roman" w:cs="Times New Roman"/>
        </w:rPr>
        <w:t>)</w:t>
      </w:r>
      <w:r w:rsidRPr="00A5301F">
        <w:rPr>
          <w:rFonts w:ascii="Times New Roman" w:hAnsi="Times New Roman" w:cs="Times New Roman"/>
        </w:rPr>
        <w:t>. The annual report of Tesco demonstrates an increase in sales, operating profit and capital return for the company in total</w:t>
      </w:r>
      <w:r>
        <w:rPr>
          <w:rFonts w:ascii="Times New Roman" w:hAnsi="Times New Roman" w:cs="Times New Roman"/>
        </w:rPr>
        <w:t>,</w:t>
      </w:r>
      <w:r w:rsidRPr="00A5301F">
        <w:rPr>
          <w:rFonts w:ascii="Times New Roman" w:hAnsi="Times New Roman" w:cs="Times New Roman"/>
        </w:rPr>
        <w:t xml:space="preserve"> but there was a reduction in statutory profit and liquidity.</w:t>
      </w:r>
    </w:p>
    <w:p w14:paraId="46162E64" w14:textId="77777777" w:rsidR="00A5301F" w:rsidRPr="00A5301F" w:rsidRDefault="00A5301F" w:rsidP="00A5301F">
      <w:pPr>
        <w:spacing w:line="480" w:lineRule="auto"/>
        <w:rPr>
          <w:rFonts w:ascii="Times New Roman" w:hAnsi="Times New Roman" w:cs="Times New Roman"/>
          <w:b/>
          <w:bCs/>
        </w:rPr>
      </w:pPr>
      <w:r w:rsidRPr="00A5301F">
        <w:rPr>
          <w:rFonts w:ascii="Times New Roman" w:hAnsi="Times New Roman" w:cs="Times New Roman"/>
          <w:b/>
          <w:bCs/>
        </w:rPr>
        <w:t>Financial Ratio Calculations</w:t>
      </w:r>
    </w:p>
    <w:p w14:paraId="4FFAD7CB" w14:textId="18F99236" w:rsidR="00A5301F" w:rsidRPr="00A5301F" w:rsidRDefault="00A5301F" w:rsidP="00A5301F">
      <w:pPr>
        <w:pStyle w:val="ListParagraph"/>
        <w:numPr>
          <w:ilvl w:val="0"/>
          <w:numId w:val="1"/>
        </w:numPr>
        <w:spacing w:line="480" w:lineRule="auto"/>
        <w:rPr>
          <w:rFonts w:ascii="Times New Roman" w:hAnsi="Times New Roman" w:cs="Times New Roman"/>
          <w:b/>
          <w:bCs/>
        </w:rPr>
      </w:pPr>
      <w:r w:rsidRPr="00A5301F">
        <w:rPr>
          <w:rFonts w:ascii="Times New Roman" w:hAnsi="Times New Roman" w:cs="Times New Roman"/>
          <w:b/>
          <w:bCs/>
        </w:rPr>
        <w:t>Gross Profit Margin (GPM)</w:t>
      </w:r>
    </w:p>
    <w:p w14:paraId="4A62BC33" w14:textId="1865FB9A" w:rsidR="00A5301F" w:rsidRPr="00097288" w:rsidRDefault="00A5301F" w:rsidP="00A5301F">
      <w:pPr>
        <w:spacing w:line="480" w:lineRule="auto"/>
        <w:rPr>
          <w:rFonts w:ascii="Times New Roman" w:hAnsi="Times New Roman" w:cs="Times New Roman"/>
          <w:b/>
          <w:bCs/>
          <w:color w:val="156082" w:themeColor="accent1"/>
        </w:rPr>
      </w:pPr>
      <w:r w:rsidRPr="00097288">
        <w:rPr>
          <w:rFonts w:ascii="Times New Roman" w:hAnsi="Times New Roman" w:cs="Times New Roman"/>
          <w:b/>
          <w:bCs/>
          <w:color w:val="156082" w:themeColor="accent1"/>
        </w:rPr>
        <w:t>Gross Profit / Revenue x 100</w:t>
      </w:r>
    </w:p>
    <w:p w14:paraId="0E587564" w14:textId="1A9D4345"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 xml:space="preserve">2025: £5,051 m </w:t>
      </w:r>
      <w:r w:rsidR="00097288">
        <w:rPr>
          <w:rFonts w:ascii="Times New Roman" w:hAnsi="Times New Roman" w:cs="Times New Roman"/>
        </w:rPr>
        <w:t>/</w:t>
      </w:r>
      <w:r w:rsidRPr="00A5301F">
        <w:rPr>
          <w:rFonts w:ascii="Times New Roman" w:hAnsi="Times New Roman" w:cs="Times New Roman"/>
        </w:rPr>
        <w:t xml:space="preserve"> £69,916 m x 100 </w:t>
      </w:r>
      <w:r w:rsidR="00097288">
        <w:rPr>
          <w:rFonts w:ascii="Times New Roman" w:hAnsi="Times New Roman" w:cs="Times New Roman"/>
        </w:rPr>
        <w:t>=</w:t>
      </w:r>
      <w:r w:rsidRPr="00A5301F">
        <w:rPr>
          <w:rFonts w:ascii="Times New Roman" w:hAnsi="Times New Roman" w:cs="Times New Roman"/>
        </w:rPr>
        <w:t xml:space="preserve"> 7.22%</w:t>
      </w:r>
    </w:p>
    <w:p w14:paraId="6D201F79" w14:textId="77777777"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2024: £4,849 m / £68,187 m x 100 = 7.11%</w:t>
      </w:r>
    </w:p>
    <w:p w14:paraId="193DB5CE" w14:textId="77777777" w:rsidR="00097288" w:rsidRDefault="00A5301F" w:rsidP="00A5301F">
      <w:pPr>
        <w:spacing w:line="480" w:lineRule="auto"/>
        <w:rPr>
          <w:rFonts w:ascii="Times New Roman" w:hAnsi="Times New Roman" w:cs="Times New Roman"/>
        </w:rPr>
      </w:pPr>
      <w:r w:rsidRPr="00A5301F">
        <w:rPr>
          <w:rFonts w:ascii="Times New Roman" w:hAnsi="Times New Roman" w:cs="Times New Roman"/>
        </w:rPr>
        <w:t>The increase in GPM suggests that in 2025</w:t>
      </w:r>
      <w:r w:rsidR="00097288">
        <w:rPr>
          <w:rFonts w:ascii="Times New Roman" w:hAnsi="Times New Roman" w:cs="Times New Roman"/>
        </w:rPr>
        <w:t>,</w:t>
      </w:r>
      <w:r w:rsidRPr="00A5301F">
        <w:rPr>
          <w:rFonts w:ascii="Times New Roman" w:hAnsi="Times New Roman" w:cs="Times New Roman"/>
        </w:rPr>
        <w:t xml:space="preserve"> Tesco generated a slightly higher amount of gross profit from each pound of sales than it did in 2024, reflecting improved cost control or improved pricing performance. Profitability ratios are significant because they provide a measure of the effectiveness of a business in converting revenue into operating profit Saputra 2022.</w:t>
      </w:r>
    </w:p>
    <w:p w14:paraId="5D0EB156" w14:textId="77777777" w:rsidR="00097288" w:rsidRDefault="00097288" w:rsidP="00A5301F">
      <w:pPr>
        <w:spacing w:line="480" w:lineRule="auto"/>
        <w:rPr>
          <w:rFonts w:ascii="Times New Roman" w:hAnsi="Times New Roman" w:cs="Times New Roman"/>
        </w:rPr>
      </w:pPr>
    </w:p>
    <w:p w14:paraId="3F9C030F" w14:textId="77777777" w:rsidR="00097288" w:rsidRDefault="00097288" w:rsidP="00A5301F">
      <w:pPr>
        <w:spacing w:line="480" w:lineRule="auto"/>
        <w:rPr>
          <w:rFonts w:ascii="Times New Roman" w:hAnsi="Times New Roman" w:cs="Times New Roman"/>
        </w:rPr>
      </w:pPr>
    </w:p>
    <w:p w14:paraId="5DE18D43" w14:textId="5445AA5A" w:rsidR="00A5301F" w:rsidRPr="00097288" w:rsidRDefault="00A5301F" w:rsidP="00097288">
      <w:pPr>
        <w:pStyle w:val="ListParagraph"/>
        <w:numPr>
          <w:ilvl w:val="0"/>
          <w:numId w:val="1"/>
        </w:numPr>
        <w:spacing w:line="480" w:lineRule="auto"/>
        <w:rPr>
          <w:rFonts w:ascii="Times New Roman" w:hAnsi="Times New Roman" w:cs="Times New Roman"/>
          <w:b/>
          <w:bCs/>
        </w:rPr>
      </w:pPr>
      <w:r w:rsidRPr="00097288">
        <w:rPr>
          <w:rFonts w:ascii="Times New Roman" w:hAnsi="Times New Roman" w:cs="Times New Roman"/>
          <w:b/>
          <w:bCs/>
        </w:rPr>
        <w:lastRenderedPageBreak/>
        <w:t>Operating Profit Margin (OPM)</w:t>
      </w:r>
    </w:p>
    <w:p w14:paraId="48BD64BE" w14:textId="40242FB8" w:rsidR="00A5301F" w:rsidRPr="00097288" w:rsidRDefault="00A5301F" w:rsidP="00A5301F">
      <w:pPr>
        <w:spacing w:line="480" w:lineRule="auto"/>
        <w:rPr>
          <w:rFonts w:ascii="Times New Roman" w:hAnsi="Times New Roman" w:cs="Times New Roman"/>
          <w:b/>
          <w:bCs/>
          <w:color w:val="156082" w:themeColor="accent1"/>
        </w:rPr>
      </w:pPr>
      <w:r w:rsidRPr="00097288">
        <w:rPr>
          <w:rFonts w:ascii="Times New Roman" w:hAnsi="Times New Roman" w:cs="Times New Roman"/>
          <w:b/>
          <w:bCs/>
          <w:color w:val="156082" w:themeColor="accent1"/>
        </w:rPr>
        <w:t>Operating Profit / Revenue x 100</w:t>
      </w:r>
    </w:p>
    <w:p w14:paraId="26154745" w14:textId="77777777"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2025: £2,711 m / £69,916 m x 100 = 3.88%</w:t>
      </w:r>
    </w:p>
    <w:p w14:paraId="77439750" w14:textId="77777777"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2024: £2,821 m / £68,187 m x 100 = 4.14%</w:t>
      </w:r>
    </w:p>
    <w:p w14:paraId="35EC8172" w14:textId="77777777" w:rsidR="00097288" w:rsidRDefault="00A5301F" w:rsidP="00A5301F">
      <w:pPr>
        <w:spacing w:line="480" w:lineRule="auto"/>
        <w:rPr>
          <w:rFonts w:ascii="Times New Roman" w:hAnsi="Times New Roman" w:cs="Times New Roman"/>
        </w:rPr>
      </w:pPr>
      <w:r w:rsidRPr="00A5301F">
        <w:rPr>
          <w:rFonts w:ascii="Times New Roman" w:hAnsi="Times New Roman" w:cs="Times New Roman"/>
        </w:rPr>
        <w:t xml:space="preserve">In 2025, although there is an increase in sales, the decrease in OPM </w:t>
      </w:r>
      <w:r w:rsidR="00097288">
        <w:rPr>
          <w:rFonts w:ascii="Times New Roman" w:hAnsi="Times New Roman" w:cs="Times New Roman"/>
        </w:rPr>
        <w:t>compared</w:t>
      </w:r>
      <w:r w:rsidRPr="00A5301F">
        <w:rPr>
          <w:rFonts w:ascii="Times New Roman" w:hAnsi="Times New Roman" w:cs="Times New Roman"/>
        </w:rPr>
        <w:t xml:space="preserve"> with previous years suggests that Tesco has retained a lesser amount of operating profit from each pound of revenue generated in 2025. This may have resulted from an increase in labour, distribution and operating costs incurred during the year by the </w:t>
      </w:r>
      <w:r w:rsidR="00097288" w:rsidRPr="00A5301F">
        <w:rPr>
          <w:rFonts w:ascii="Times New Roman" w:hAnsi="Times New Roman" w:cs="Times New Roman"/>
        </w:rPr>
        <w:t xml:space="preserve">company. </w:t>
      </w:r>
    </w:p>
    <w:p w14:paraId="5DA9EA69" w14:textId="67F5F3D1" w:rsidR="00A5301F" w:rsidRPr="00097288" w:rsidRDefault="00097288" w:rsidP="00097288">
      <w:pPr>
        <w:pStyle w:val="ListParagraph"/>
        <w:numPr>
          <w:ilvl w:val="0"/>
          <w:numId w:val="1"/>
        </w:numPr>
        <w:spacing w:line="480" w:lineRule="auto"/>
        <w:rPr>
          <w:rFonts w:ascii="Times New Roman" w:hAnsi="Times New Roman" w:cs="Times New Roman"/>
          <w:b/>
          <w:bCs/>
          <w:color w:val="000000" w:themeColor="text1"/>
        </w:rPr>
      </w:pPr>
      <w:r w:rsidRPr="00097288">
        <w:rPr>
          <w:rFonts w:ascii="Times New Roman" w:hAnsi="Times New Roman" w:cs="Times New Roman"/>
          <w:b/>
          <w:bCs/>
          <w:color w:val="000000" w:themeColor="text1"/>
        </w:rPr>
        <w:t>Improved</w:t>
      </w:r>
      <w:r w:rsidR="00A5301F" w:rsidRPr="00097288">
        <w:rPr>
          <w:rFonts w:ascii="Times New Roman" w:hAnsi="Times New Roman" w:cs="Times New Roman"/>
          <w:b/>
          <w:bCs/>
          <w:color w:val="000000" w:themeColor="text1"/>
        </w:rPr>
        <w:t xml:space="preserve"> adjusted profit operating margin</w:t>
      </w:r>
    </w:p>
    <w:p w14:paraId="04E3E35A" w14:textId="477924B3"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2025:</w:t>
      </w:r>
      <w:r w:rsidR="00097288">
        <w:rPr>
          <w:rFonts w:ascii="Times New Roman" w:hAnsi="Times New Roman" w:cs="Times New Roman"/>
        </w:rPr>
        <w:t xml:space="preserve"> </w:t>
      </w:r>
      <w:r w:rsidRPr="00A5301F">
        <w:rPr>
          <w:rFonts w:ascii="Times New Roman" w:hAnsi="Times New Roman" w:cs="Times New Roman"/>
        </w:rPr>
        <w:t xml:space="preserve">Underlying </w:t>
      </w:r>
      <w:r w:rsidR="00097288" w:rsidRPr="00A5301F">
        <w:rPr>
          <w:rFonts w:ascii="Times New Roman" w:hAnsi="Times New Roman" w:cs="Times New Roman"/>
        </w:rPr>
        <w:t>profit</w:t>
      </w:r>
      <w:r w:rsidR="00097288">
        <w:rPr>
          <w:rFonts w:ascii="Times New Roman" w:hAnsi="Times New Roman" w:cs="Times New Roman"/>
        </w:rPr>
        <w:t xml:space="preserve"> </w:t>
      </w:r>
      <w:r w:rsidRPr="00A5301F">
        <w:rPr>
          <w:rFonts w:ascii="Times New Roman" w:hAnsi="Times New Roman" w:cs="Times New Roman"/>
        </w:rPr>
        <w:t>= £3,128 million / £69,916 million x 100 = 4.47%</w:t>
      </w:r>
    </w:p>
    <w:p w14:paraId="5EA96AD0" w14:textId="59130DBC"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2024:</w:t>
      </w:r>
      <w:r w:rsidR="00097288">
        <w:rPr>
          <w:rFonts w:ascii="Times New Roman" w:hAnsi="Times New Roman" w:cs="Times New Roman"/>
        </w:rPr>
        <w:t xml:space="preserve"> </w:t>
      </w:r>
      <w:r w:rsidRPr="00A5301F">
        <w:rPr>
          <w:rFonts w:ascii="Times New Roman" w:hAnsi="Times New Roman" w:cs="Times New Roman"/>
        </w:rPr>
        <w:t xml:space="preserve">Underlying </w:t>
      </w:r>
      <w:r w:rsidR="00097288" w:rsidRPr="00A5301F">
        <w:rPr>
          <w:rFonts w:ascii="Times New Roman" w:hAnsi="Times New Roman" w:cs="Times New Roman"/>
        </w:rPr>
        <w:t>profit before</w:t>
      </w:r>
      <w:r w:rsidR="00097288">
        <w:rPr>
          <w:rFonts w:ascii="Times New Roman" w:hAnsi="Times New Roman" w:cs="Times New Roman"/>
        </w:rPr>
        <w:t xml:space="preserve"> </w:t>
      </w:r>
      <w:r w:rsidRPr="00A5301F">
        <w:rPr>
          <w:rFonts w:ascii="Times New Roman" w:hAnsi="Times New Roman" w:cs="Times New Roman"/>
        </w:rPr>
        <w:t>= £2,829 million / £68,187 million x 100 = 4.15%</w:t>
      </w:r>
    </w:p>
    <w:p w14:paraId="55AA2431" w14:textId="4704687B"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 xml:space="preserve">As such, adjusted profit from Tesco has improved, meaning their underlying business performance has become stronger after excluding exceptional items. This information is useful for financial statement analysis as the analyst can differentiate between core business results versus any variety of non-recurring </w:t>
      </w:r>
      <w:r w:rsidR="00097288">
        <w:rPr>
          <w:rFonts w:ascii="Times New Roman" w:hAnsi="Times New Roman" w:cs="Times New Roman"/>
        </w:rPr>
        <w:t>events</w:t>
      </w:r>
      <w:r w:rsidRPr="00A5301F">
        <w:rPr>
          <w:rFonts w:ascii="Times New Roman" w:hAnsi="Times New Roman" w:cs="Times New Roman"/>
        </w:rPr>
        <w:t xml:space="preserve"> (Olayinka, 2022).</w:t>
      </w:r>
    </w:p>
    <w:p w14:paraId="6ADE483A" w14:textId="13E06F67" w:rsidR="00A5301F" w:rsidRPr="00097288" w:rsidRDefault="00097288" w:rsidP="00097288">
      <w:pPr>
        <w:pStyle w:val="ListParagraph"/>
        <w:numPr>
          <w:ilvl w:val="0"/>
          <w:numId w:val="1"/>
        </w:numPr>
        <w:spacing w:line="480" w:lineRule="auto"/>
        <w:rPr>
          <w:rFonts w:ascii="Times New Roman" w:hAnsi="Times New Roman" w:cs="Times New Roman"/>
          <w:b/>
          <w:bCs/>
        </w:rPr>
      </w:pPr>
      <w:r w:rsidRPr="00097288">
        <w:rPr>
          <w:rFonts w:ascii="Times New Roman" w:hAnsi="Times New Roman" w:cs="Times New Roman"/>
          <w:b/>
          <w:bCs/>
        </w:rPr>
        <w:t>C</w:t>
      </w:r>
      <w:r w:rsidR="00A5301F" w:rsidRPr="00097288">
        <w:rPr>
          <w:rFonts w:ascii="Times New Roman" w:hAnsi="Times New Roman" w:cs="Times New Roman"/>
          <w:b/>
          <w:bCs/>
        </w:rPr>
        <w:t>urrent ratio</w:t>
      </w:r>
    </w:p>
    <w:p w14:paraId="55B3AFC2" w14:textId="373EE0B1" w:rsidR="00A5301F" w:rsidRPr="00097288" w:rsidRDefault="00A5301F" w:rsidP="00A5301F">
      <w:pPr>
        <w:spacing w:line="480" w:lineRule="auto"/>
        <w:rPr>
          <w:rFonts w:ascii="Times New Roman" w:hAnsi="Times New Roman" w:cs="Times New Roman"/>
          <w:b/>
          <w:bCs/>
          <w:color w:val="156082" w:themeColor="accent1"/>
        </w:rPr>
      </w:pPr>
      <w:r w:rsidRPr="00097288">
        <w:rPr>
          <w:rFonts w:ascii="Times New Roman" w:hAnsi="Times New Roman" w:cs="Times New Roman"/>
          <w:b/>
          <w:bCs/>
          <w:color w:val="156082" w:themeColor="accent1"/>
        </w:rPr>
        <w:t>Current Assets / Current Liabilities</w:t>
      </w:r>
    </w:p>
    <w:p w14:paraId="05F4B33A" w14:textId="32786D0F"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2025:</w:t>
      </w:r>
      <w:r w:rsidR="00097288">
        <w:rPr>
          <w:rFonts w:ascii="Times New Roman" w:hAnsi="Times New Roman" w:cs="Times New Roman"/>
        </w:rPr>
        <w:t xml:space="preserve"> </w:t>
      </w:r>
      <w:r w:rsidRPr="00A5301F">
        <w:rPr>
          <w:rFonts w:ascii="Times New Roman" w:hAnsi="Times New Roman" w:cs="Times New Roman"/>
        </w:rPr>
        <w:t>Current Assets = £8,806m / Current Liabilities = £13,820m = 0.64:1</w:t>
      </w:r>
    </w:p>
    <w:p w14:paraId="6461BFE6" w14:textId="08847BBE"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2024:</w:t>
      </w:r>
      <w:r w:rsidR="00097288">
        <w:rPr>
          <w:rFonts w:ascii="Times New Roman" w:hAnsi="Times New Roman" w:cs="Times New Roman"/>
        </w:rPr>
        <w:t xml:space="preserve"> </w:t>
      </w:r>
      <w:r w:rsidRPr="00A5301F">
        <w:rPr>
          <w:rFonts w:ascii="Times New Roman" w:hAnsi="Times New Roman" w:cs="Times New Roman"/>
        </w:rPr>
        <w:t>Current Assets = £8,823m / Current Liabilities = £13,350m = 0.66:1.</w:t>
      </w:r>
    </w:p>
    <w:p w14:paraId="26782538" w14:textId="77584BA7" w:rsidR="000D3603" w:rsidRDefault="00A5301F" w:rsidP="00A5301F">
      <w:pPr>
        <w:spacing w:line="480" w:lineRule="auto"/>
        <w:rPr>
          <w:rFonts w:ascii="Times New Roman" w:hAnsi="Times New Roman" w:cs="Times New Roman"/>
        </w:rPr>
      </w:pPr>
      <w:r w:rsidRPr="00A5301F">
        <w:rPr>
          <w:rFonts w:ascii="Times New Roman" w:hAnsi="Times New Roman" w:cs="Times New Roman"/>
        </w:rPr>
        <w:t xml:space="preserve">Both years, Tesco's current ratio remains &lt;1 for both years. </w:t>
      </w:r>
      <w:r w:rsidR="00097288">
        <w:rPr>
          <w:rFonts w:ascii="Times New Roman" w:hAnsi="Times New Roman" w:cs="Times New Roman"/>
        </w:rPr>
        <w:t>Supermarkets</w:t>
      </w:r>
      <w:r w:rsidRPr="00A5301F">
        <w:rPr>
          <w:rFonts w:ascii="Times New Roman" w:hAnsi="Times New Roman" w:cs="Times New Roman"/>
        </w:rPr>
        <w:t xml:space="preserve"> typically operate under this premise due to fast-moving stock and reliance on supplier </w:t>
      </w:r>
      <w:r w:rsidR="000D3603" w:rsidRPr="00A5301F">
        <w:rPr>
          <w:rFonts w:ascii="Times New Roman" w:hAnsi="Times New Roman" w:cs="Times New Roman"/>
        </w:rPr>
        <w:t>credit but</w:t>
      </w:r>
      <w:r w:rsidRPr="00A5301F">
        <w:rPr>
          <w:rFonts w:ascii="Times New Roman" w:hAnsi="Times New Roman" w:cs="Times New Roman"/>
        </w:rPr>
        <w:t xml:space="preserve"> indicate a generally weak level of short-term liquidity.</w:t>
      </w:r>
    </w:p>
    <w:p w14:paraId="1BF0407C" w14:textId="50DAFA23" w:rsidR="00A5301F" w:rsidRPr="000D3603" w:rsidRDefault="000D3603" w:rsidP="000D3603">
      <w:pPr>
        <w:pStyle w:val="ListParagraph"/>
        <w:numPr>
          <w:ilvl w:val="0"/>
          <w:numId w:val="1"/>
        </w:numPr>
        <w:spacing w:line="480" w:lineRule="auto"/>
        <w:rPr>
          <w:rFonts w:ascii="Times New Roman" w:hAnsi="Times New Roman" w:cs="Times New Roman"/>
          <w:b/>
          <w:bCs/>
        </w:rPr>
      </w:pPr>
      <w:r w:rsidRPr="000D3603">
        <w:rPr>
          <w:rFonts w:ascii="Times New Roman" w:hAnsi="Times New Roman" w:cs="Times New Roman"/>
          <w:b/>
          <w:bCs/>
        </w:rPr>
        <w:lastRenderedPageBreak/>
        <w:t>A</w:t>
      </w:r>
      <w:r w:rsidR="00A5301F" w:rsidRPr="000D3603">
        <w:rPr>
          <w:rFonts w:ascii="Times New Roman" w:hAnsi="Times New Roman" w:cs="Times New Roman"/>
          <w:b/>
          <w:bCs/>
        </w:rPr>
        <w:t>cid test ratio</w:t>
      </w:r>
    </w:p>
    <w:p w14:paraId="49DD434F" w14:textId="28842907" w:rsidR="00A5301F" w:rsidRPr="000D3603" w:rsidRDefault="000D3603" w:rsidP="00A5301F">
      <w:pPr>
        <w:spacing w:line="480" w:lineRule="auto"/>
        <w:rPr>
          <w:rFonts w:ascii="Times New Roman" w:hAnsi="Times New Roman" w:cs="Times New Roman"/>
          <w:b/>
          <w:bCs/>
          <w:color w:val="156082" w:themeColor="accent1"/>
        </w:rPr>
      </w:pPr>
      <w:r w:rsidRPr="000D3603">
        <w:rPr>
          <w:rFonts w:ascii="Times New Roman" w:hAnsi="Times New Roman" w:cs="Times New Roman"/>
          <w:b/>
          <w:bCs/>
          <w:color w:val="156082" w:themeColor="accent1"/>
        </w:rPr>
        <w:t>C</w:t>
      </w:r>
      <w:r w:rsidR="00A5301F" w:rsidRPr="000D3603">
        <w:rPr>
          <w:rFonts w:ascii="Times New Roman" w:hAnsi="Times New Roman" w:cs="Times New Roman"/>
          <w:b/>
          <w:bCs/>
          <w:color w:val="156082" w:themeColor="accent1"/>
        </w:rPr>
        <w:t xml:space="preserve">urrent assets </w:t>
      </w:r>
      <w:r w:rsidRPr="000D3603">
        <w:rPr>
          <w:rFonts w:ascii="Times New Roman" w:hAnsi="Times New Roman" w:cs="Times New Roman"/>
          <w:b/>
          <w:bCs/>
          <w:color w:val="156082" w:themeColor="accent1"/>
        </w:rPr>
        <w:t>–</w:t>
      </w:r>
      <w:r w:rsidR="00A5301F" w:rsidRPr="000D3603">
        <w:rPr>
          <w:rFonts w:ascii="Times New Roman" w:hAnsi="Times New Roman" w:cs="Times New Roman"/>
          <w:b/>
          <w:bCs/>
          <w:color w:val="156082" w:themeColor="accent1"/>
        </w:rPr>
        <w:t xml:space="preserve"> </w:t>
      </w:r>
      <w:r w:rsidRPr="000D3603">
        <w:rPr>
          <w:rFonts w:ascii="Times New Roman" w:hAnsi="Times New Roman" w:cs="Times New Roman"/>
          <w:b/>
          <w:bCs/>
          <w:color w:val="156082" w:themeColor="accent1"/>
        </w:rPr>
        <w:t>(I</w:t>
      </w:r>
      <w:r w:rsidR="00A5301F" w:rsidRPr="000D3603">
        <w:rPr>
          <w:rFonts w:ascii="Times New Roman" w:hAnsi="Times New Roman" w:cs="Times New Roman"/>
          <w:b/>
          <w:bCs/>
          <w:color w:val="156082" w:themeColor="accent1"/>
        </w:rPr>
        <w:t>nventory</w:t>
      </w:r>
      <w:r w:rsidRPr="000D3603">
        <w:rPr>
          <w:rFonts w:ascii="Times New Roman" w:hAnsi="Times New Roman" w:cs="Times New Roman"/>
          <w:b/>
          <w:bCs/>
          <w:color w:val="156082" w:themeColor="accent1"/>
        </w:rPr>
        <w:t xml:space="preserve">) </w:t>
      </w:r>
      <w:r w:rsidR="00A5301F" w:rsidRPr="000D3603">
        <w:rPr>
          <w:rFonts w:ascii="Times New Roman" w:hAnsi="Times New Roman" w:cs="Times New Roman"/>
          <w:b/>
          <w:bCs/>
          <w:color w:val="156082" w:themeColor="accent1"/>
        </w:rPr>
        <w:t xml:space="preserve">/ </w:t>
      </w:r>
      <w:r w:rsidRPr="000D3603">
        <w:rPr>
          <w:rFonts w:ascii="Times New Roman" w:hAnsi="Times New Roman" w:cs="Times New Roman"/>
          <w:b/>
          <w:bCs/>
          <w:color w:val="156082" w:themeColor="accent1"/>
        </w:rPr>
        <w:t>C</w:t>
      </w:r>
      <w:r w:rsidR="00A5301F" w:rsidRPr="000D3603">
        <w:rPr>
          <w:rFonts w:ascii="Times New Roman" w:hAnsi="Times New Roman" w:cs="Times New Roman"/>
          <w:b/>
          <w:bCs/>
          <w:color w:val="156082" w:themeColor="accent1"/>
        </w:rPr>
        <w:t xml:space="preserve">urrent </w:t>
      </w:r>
      <w:r w:rsidRPr="000D3603">
        <w:rPr>
          <w:rFonts w:ascii="Times New Roman" w:hAnsi="Times New Roman" w:cs="Times New Roman"/>
          <w:b/>
          <w:bCs/>
          <w:color w:val="156082" w:themeColor="accent1"/>
        </w:rPr>
        <w:t>L</w:t>
      </w:r>
      <w:r w:rsidR="00A5301F" w:rsidRPr="000D3603">
        <w:rPr>
          <w:rFonts w:ascii="Times New Roman" w:hAnsi="Times New Roman" w:cs="Times New Roman"/>
          <w:b/>
          <w:bCs/>
          <w:color w:val="156082" w:themeColor="accent1"/>
        </w:rPr>
        <w:t>iabilities</w:t>
      </w:r>
    </w:p>
    <w:p w14:paraId="71C03E6F" w14:textId="399D2C5C"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2025:</w:t>
      </w:r>
      <w:r w:rsidR="000D3603">
        <w:rPr>
          <w:rFonts w:ascii="Times New Roman" w:hAnsi="Times New Roman" w:cs="Times New Roman"/>
        </w:rPr>
        <w:t xml:space="preserve"> </w:t>
      </w:r>
      <w:r w:rsidRPr="00A5301F">
        <w:rPr>
          <w:rFonts w:ascii="Times New Roman" w:hAnsi="Times New Roman" w:cs="Times New Roman"/>
        </w:rPr>
        <w:t>(£8,806m - £2,697m) / £13,820</w:t>
      </w:r>
      <w:r w:rsidR="000D3603">
        <w:rPr>
          <w:rFonts w:ascii="Times New Roman" w:hAnsi="Times New Roman" w:cs="Times New Roman"/>
        </w:rPr>
        <w:t xml:space="preserve"> </w:t>
      </w:r>
      <w:r w:rsidRPr="00A5301F">
        <w:rPr>
          <w:rFonts w:ascii="Times New Roman" w:hAnsi="Times New Roman" w:cs="Times New Roman"/>
        </w:rPr>
        <w:t>= £6,109m / £13,820m</w:t>
      </w:r>
      <w:r w:rsidR="000D3603">
        <w:rPr>
          <w:rFonts w:ascii="Times New Roman" w:hAnsi="Times New Roman" w:cs="Times New Roman"/>
        </w:rPr>
        <w:t xml:space="preserve"> </w:t>
      </w:r>
      <w:r w:rsidRPr="00A5301F">
        <w:rPr>
          <w:rFonts w:ascii="Times New Roman" w:hAnsi="Times New Roman" w:cs="Times New Roman"/>
        </w:rPr>
        <w:t>= 0.44:1</w:t>
      </w:r>
    </w:p>
    <w:p w14:paraId="24C9AC69" w14:textId="733F7EC3"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2024:</w:t>
      </w:r>
      <w:r w:rsidR="000D3603">
        <w:rPr>
          <w:rFonts w:ascii="Times New Roman" w:hAnsi="Times New Roman" w:cs="Times New Roman"/>
        </w:rPr>
        <w:t xml:space="preserve"> </w:t>
      </w:r>
      <w:r w:rsidRPr="00A5301F">
        <w:rPr>
          <w:rFonts w:ascii="Times New Roman" w:hAnsi="Times New Roman" w:cs="Times New Roman"/>
        </w:rPr>
        <w:t>(£8,823m - £2,638m) / £13,350</w:t>
      </w:r>
      <w:r w:rsidR="000D3603">
        <w:rPr>
          <w:rFonts w:ascii="Times New Roman" w:hAnsi="Times New Roman" w:cs="Times New Roman"/>
        </w:rPr>
        <w:t xml:space="preserve"> </w:t>
      </w:r>
      <w:r w:rsidRPr="00A5301F">
        <w:rPr>
          <w:rFonts w:ascii="Times New Roman" w:hAnsi="Times New Roman" w:cs="Times New Roman"/>
        </w:rPr>
        <w:t>= £6,185m / £13,350</w:t>
      </w:r>
      <w:r w:rsidR="000D3603">
        <w:rPr>
          <w:rFonts w:ascii="Times New Roman" w:hAnsi="Times New Roman" w:cs="Times New Roman"/>
        </w:rPr>
        <w:t xml:space="preserve"> </w:t>
      </w:r>
      <w:r w:rsidRPr="00A5301F">
        <w:rPr>
          <w:rFonts w:ascii="Times New Roman" w:hAnsi="Times New Roman" w:cs="Times New Roman"/>
        </w:rPr>
        <w:t>= 0.46:1.</w:t>
      </w:r>
    </w:p>
    <w:p w14:paraId="56FDD73C" w14:textId="5CC19B37" w:rsidR="00A5301F" w:rsidRPr="00A5301F" w:rsidRDefault="000D3603" w:rsidP="00A5301F">
      <w:pPr>
        <w:spacing w:line="480" w:lineRule="auto"/>
        <w:rPr>
          <w:rFonts w:ascii="Times New Roman" w:hAnsi="Times New Roman" w:cs="Times New Roman"/>
        </w:rPr>
      </w:pPr>
      <w:r w:rsidRPr="00A5301F">
        <w:rPr>
          <w:rFonts w:ascii="Times New Roman" w:hAnsi="Times New Roman" w:cs="Times New Roman"/>
        </w:rPr>
        <w:t>Again,</w:t>
      </w:r>
      <w:r w:rsidR="00A5301F" w:rsidRPr="00A5301F">
        <w:rPr>
          <w:rFonts w:ascii="Times New Roman" w:hAnsi="Times New Roman" w:cs="Times New Roman"/>
        </w:rPr>
        <w:t xml:space="preserve"> reducing slightly suggests Tesco's immediate liquidity has also weakened. According to </w:t>
      </w:r>
      <w:proofErr w:type="spellStart"/>
      <w:r w:rsidR="00A5301F" w:rsidRPr="00A5301F">
        <w:rPr>
          <w:rFonts w:ascii="Times New Roman" w:hAnsi="Times New Roman" w:cs="Times New Roman"/>
        </w:rPr>
        <w:t>Susellawati</w:t>
      </w:r>
      <w:proofErr w:type="spellEnd"/>
      <w:r w:rsidR="00A5301F" w:rsidRPr="00A5301F">
        <w:rPr>
          <w:rFonts w:ascii="Times New Roman" w:hAnsi="Times New Roman" w:cs="Times New Roman"/>
        </w:rPr>
        <w:t xml:space="preserve"> et al. (2022), a significant reason to review liquidity ratios relates to the business's ability to meet its short-term obligations.</w:t>
      </w:r>
    </w:p>
    <w:p w14:paraId="30AE0665" w14:textId="40C1731A" w:rsidR="00A5301F" w:rsidRPr="000D3603" w:rsidRDefault="000D3603" w:rsidP="000D3603">
      <w:pPr>
        <w:pStyle w:val="ListParagraph"/>
        <w:numPr>
          <w:ilvl w:val="0"/>
          <w:numId w:val="1"/>
        </w:numPr>
        <w:spacing w:line="480" w:lineRule="auto"/>
        <w:rPr>
          <w:rFonts w:ascii="Times New Roman" w:hAnsi="Times New Roman" w:cs="Times New Roman"/>
          <w:b/>
          <w:bCs/>
        </w:rPr>
      </w:pPr>
      <w:r w:rsidRPr="000D3603">
        <w:rPr>
          <w:rFonts w:ascii="Times New Roman" w:hAnsi="Times New Roman" w:cs="Times New Roman"/>
          <w:b/>
          <w:bCs/>
        </w:rPr>
        <w:t>G</w:t>
      </w:r>
      <w:r w:rsidR="00A5301F" w:rsidRPr="000D3603">
        <w:rPr>
          <w:rFonts w:ascii="Times New Roman" w:hAnsi="Times New Roman" w:cs="Times New Roman"/>
          <w:b/>
          <w:bCs/>
        </w:rPr>
        <w:t>earing ratio</w:t>
      </w:r>
    </w:p>
    <w:p w14:paraId="364ECF41" w14:textId="76414FB0" w:rsidR="00A5301F" w:rsidRPr="000D3603" w:rsidRDefault="000D3603" w:rsidP="00A5301F">
      <w:pPr>
        <w:spacing w:line="480" w:lineRule="auto"/>
        <w:rPr>
          <w:rFonts w:ascii="Times New Roman" w:hAnsi="Times New Roman" w:cs="Times New Roman"/>
          <w:b/>
          <w:bCs/>
          <w:color w:val="156082" w:themeColor="accent1"/>
        </w:rPr>
      </w:pPr>
      <w:r w:rsidRPr="000D3603">
        <w:rPr>
          <w:rFonts w:ascii="Times New Roman" w:hAnsi="Times New Roman" w:cs="Times New Roman"/>
          <w:b/>
          <w:bCs/>
          <w:color w:val="156082" w:themeColor="accent1"/>
        </w:rPr>
        <w:t>N</w:t>
      </w:r>
      <w:r w:rsidR="00A5301F" w:rsidRPr="000D3603">
        <w:rPr>
          <w:rFonts w:ascii="Times New Roman" w:hAnsi="Times New Roman" w:cs="Times New Roman"/>
          <w:b/>
          <w:bCs/>
          <w:color w:val="156082" w:themeColor="accent1"/>
        </w:rPr>
        <w:t xml:space="preserve">et </w:t>
      </w:r>
      <w:r w:rsidRPr="000D3603">
        <w:rPr>
          <w:rFonts w:ascii="Times New Roman" w:hAnsi="Times New Roman" w:cs="Times New Roman"/>
          <w:b/>
          <w:bCs/>
          <w:color w:val="156082" w:themeColor="accent1"/>
        </w:rPr>
        <w:t>d</w:t>
      </w:r>
      <w:r w:rsidR="00A5301F" w:rsidRPr="000D3603">
        <w:rPr>
          <w:rFonts w:ascii="Times New Roman" w:hAnsi="Times New Roman" w:cs="Times New Roman"/>
          <w:b/>
          <w:bCs/>
          <w:color w:val="156082" w:themeColor="accent1"/>
        </w:rPr>
        <w:t xml:space="preserve">ebt / </w:t>
      </w:r>
      <w:r w:rsidRPr="000D3603">
        <w:rPr>
          <w:rFonts w:ascii="Times New Roman" w:hAnsi="Times New Roman" w:cs="Times New Roman"/>
          <w:b/>
          <w:bCs/>
          <w:color w:val="156082" w:themeColor="accent1"/>
        </w:rPr>
        <w:t>(E</w:t>
      </w:r>
      <w:r w:rsidR="00A5301F" w:rsidRPr="000D3603">
        <w:rPr>
          <w:rFonts w:ascii="Times New Roman" w:hAnsi="Times New Roman" w:cs="Times New Roman"/>
          <w:b/>
          <w:bCs/>
          <w:color w:val="156082" w:themeColor="accent1"/>
        </w:rPr>
        <w:t>quity</w:t>
      </w:r>
      <w:r w:rsidRPr="000D3603">
        <w:rPr>
          <w:rFonts w:ascii="Times New Roman" w:hAnsi="Times New Roman" w:cs="Times New Roman"/>
          <w:b/>
          <w:bCs/>
          <w:color w:val="156082" w:themeColor="accent1"/>
        </w:rPr>
        <w:t>)</w:t>
      </w:r>
      <w:r w:rsidR="00A5301F" w:rsidRPr="000D3603">
        <w:rPr>
          <w:rFonts w:ascii="Times New Roman" w:hAnsi="Times New Roman" w:cs="Times New Roman"/>
          <w:b/>
          <w:bCs/>
          <w:color w:val="156082" w:themeColor="accent1"/>
        </w:rPr>
        <w:t xml:space="preserve"> x 100</w:t>
      </w:r>
    </w:p>
    <w:p w14:paraId="6118C2E3" w14:textId="4FD2F980"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2025:</w:t>
      </w:r>
      <w:r w:rsidR="000D3603">
        <w:rPr>
          <w:rFonts w:ascii="Times New Roman" w:hAnsi="Times New Roman" w:cs="Times New Roman"/>
        </w:rPr>
        <w:t xml:space="preserve"> </w:t>
      </w:r>
      <w:r w:rsidRPr="00A5301F">
        <w:rPr>
          <w:rFonts w:ascii="Times New Roman" w:hAnsi="Times New Roman" w:cs="Times New Roman"/>
        </w:rPr>
        <w:t>Net Debt = £9,454 / Equity = £11,662 x 100 = 81.1%</w:t>
      </w:r>
    </w:p>
    <w:p w14:paraId="32D459D8" w14:textId="6D5019CD"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2024:</w:t>
      </w:r>
      <w:r w:rsidR="000D3603">
        <w:rPr>
          <w:rFonts w:ascii="Times New Roman" w:hAnsi="Times New Roman" w:cs="Times New Roman"/>
        </w:rPr>
        <w:t xml:space="preserve"> </w:t>
      </w:r>
      <w:r w:rsidRPr="00A5301F">
        <w:rPr>
          <w:rFonts w:ascii="Times New Roman" w:hAnsi="Times New Roman" w:cs="Times New Roman"/>
        </w:rPr>
        <w:t>Net Debt = £9,684 / Equity = £11,665 x 100 = 83.0%</w:t>
      </w:r>
    </w:p>
    <w:p w14:paraId="2FB8A2E6" w14:textId="77777777" w:rsidR="000D3603" w:rsidRDefault="00A5301F" w:rsidP="00A5301F">
      <w:pPr>
        <w:spacing w:line="480" w:lineRule="auto"/>
        <w:rPr>
          <w:rFonts w:ascii="Times New Roman" w:hAnsi="Times New Roman" w:cs="Times New Roman"/>
        </w:rPr>
      </w:pPr>
      <w:r w:rsidRPr="00A5301F">
        <w:rPr>
          <w:rFonts w:ascii="Times New Roman" w:hAnsi="Times New Roman" w:cs="Times New Roman"/>
        </w:rPr>
        <w:t>Indicating a modest improvement that also reflects on how slightly decreased net debt supports reduced levels of financial risk through lower levels of gearing</w:t>
      </w:r>
      <w:r w:rsidR="000D3603">
        <w:rPr>
          <w:rFonts w:ascii="Times New Roman" w:hAnsi="Times New Roman" w:cs="Times New Roman"/>
        </w:rPr>
        <w:t>,</w:t>
      </w:r>
      <w:r w:rsidRPr="00A5301F">
        <w:rPr>
          <w:rFonts w:ascii="Times New Roman" w:hAnsi="Times New Roman" w:cs="Times New Roman"/>
        </w:rPr>
        <w:t xml:space="preserve"> particularly relevant regarding potential financial distress and resilience (Ramzan, 2023).</w:t>
      </w:r>
    </w:p>
    <w:p w14:paraId="2A853006" w14:textId="3BF93AF8" w:rsidR="00A5301F" w:rsidRPr="000D3603" w:rsidRDefault="00A5301F" w:rsidP="000D3603">
      <w:pPr>
        <w:pStyle w:val="ListParagraph"/>
        <w:numPr>
          <w:ilvl w:val="0"/>
          <w:numId w:val="1"/>
        </w:numPr>
        <w:spacing w:line="480" w:lineRule="auto"/>
        <w:rPr>
          <w:rFonts w:ascii="Times New Roman" w:hAnsi="Times New Roman" w:cs="Times New Roman"/>
          <w:b/>
          <w:bCs/>
        </w:rPr>
      </w:pPr>
      <w:r w:rsidRPr="000D3603">
        <w:rPr>
          <w:rFonts w:ascii="Times New Roman" w:hAnsi="Times New Roman" w:cs="Times New Roman"/>
          <w:b/>
          <w:bCs/>
        </w:rPr>
        <w:t>Return on Funds Utilised</w:t>
      </w:r>
    </w:p>
    <w:p w14:paraId="7DD480E9" w14:textId="24992DBF"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Tesco publishes this direct information</w:t>
      </w:r>
      <w:r w:rsidR="000D3603">
        <w:rPr>
          <w:rFonts w:ascii="Times New Roman" w:hAnsi="Times New Roman" w:cs="Times New Roman"/>
        </w:rPr>
        <w:t>.</w:t>
      </w:r>
    </w:p>
    <w:p w14:paraId="4730F293" w14:textId="77777777"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In 2025: 14.6%</w:t>
      </w:r>
    </w:p>
    <w:p w14:paraId="3BD6D6DB" w14:textId="77777777"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In 2024: 13.4%</w:t>
      </w:r>
    </w:p>
    <w:p w14:paraId="036B039C" w14:textId="6D760782"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Tesco’s improved Return on Funds Utilised indicates that they achieved greater Returns from the deployed capital to the business. As such</w:t>
      </w:r>
      <w:r w:rsidR="000D3603">
        <w:rPr>
          <w:rFonts w:ascii="Times New Roman" w:hAnsi="Times New Roman" w:cs="Times New Roman"/>
        </w:rPr>
        <w:t>,</w:t>
      </w:r>
      <w:r w:rsidRPr="00A5301F">
        <w:rPr>
          <w:rFonts w:ascii="Times New Roman" w:hAnsi="Times New Roman" w:cs="Times New Roman"/>
        </w:rPr>
        <w:t xml:space="preserve"> they are achieving greater Efficiency and are </w:t>
      </w:r>
      <w:r w:rsidRPr="00A5301F">
        <w:rPr>
          <w:rFonts w:ascii="Times New Roman" w:hAnsi="Times New Roman" w:cs="Times New Roman"/>
        </w:rPr>
        <w:lastRenderedPageBreak/>
        <w:t xml:space="preserve">making better use of Long-Term Funding. Returns </w:t>
      </w:r>
      <w:r w:rsidR="000D3603">
        <w:rPr>
          <w:rFonts w:ascii="Times New Roman" w:hAnsi="Times New Roman" w:cs="Times New Roman"/>
        </w:rPr>
        <w:t>based on</w:t>
      </w:r>
      <w:r w:rsidRPr="00A5301F">
        <w:rPr>
          <w:rFonts w:ascii="Times New Roman" w:hAnsi="Times New Roman" w:cs="Times New Roman"/>
        </w:rPr>
        <w:t xml:space="preserve"> an organisation or business activities are vital </w:t>
      </w:r>
      <w:r w:rsidR="000D3603">
        <w:rPr>
          <w:rFonts w:ascii="Times New Roman" w:hAnsi="Times New Roman" w:cs="Times New Roman"/>
        </w:rPr>
        <w:t>i</w:t>
      </w:r>
      <w:r w:rsidRPr="00A5301F">
        <w:rPr>
          <w:rFonts w:ascii="Times New Roman" w:hAnsi="Times New Roman" w:cs="Times New Roman"/>
        </w:rPr>
        <w:t xml:space="preserve">ndicators of </w:t>
      </w:r>
      <w:r w:rsidR="000D3603">
        <w:rPr>
          <w:rFonts w:ascii="Times New Roman" w:hAnsi="Times New Roman" w:cs="Times New Roman"/>
        </w:rPr>
        <w:t>o</w:t>
      </w:r>
      <w:r w:rsidRPr="00A5301F">
        <w:rPr>
          <w:rFonts w:ascii="Times New Roman" w:hAnsi="Times New Roman" w:cs="Times New Roman"/>
        </w:rPr>
        <w:t xml:space="preserve">verall </w:t>
      </w:r>
      <w:r w:rsidR="000D3603">
        <w:rPr>
          <w:rFonts w:ascii="Times New Roman" w:hAnsi="Times New Roman" w:cs="Times New Roman"/>
        </w:rPr>
        <w:t>p</w:t>
      </w:r>
      <w:r w:rsidRPr="00A5301F">
        <w:rPr>
          <w:rFonts w:ascii="Times New Roman" w:hAnsi="Times New Roman" w:cs="Times New Roman"/>
        </w:rPr>
        <w:t xml:space="preserve">erformance and </w:t>
      </w:r>
      <w:r w:rsidR="000D3603">
        <w:rPr>
          <w:rFonts w:ascii="Times New Roman" w:hAnsi="Times New Roman" w:cs="Times New Roman"/>
        </w:rPr>
        <w:t>i</w:t>
      </w:r>
      <w:r w:rsidRPr="00A5301F">
        <w:rPr>
          <w:rFonts w:ascii="Times New Roman" w:hAnsi="Times New Roman" w:cs="Times New Roman"/>
        </w:rPr>
        <w:t xml:space="preserve">nvestors' </w:t>
      </w:r>
      <w:r w:rsidR="000D3603">
        <w:rPr>
          <w:rFonts w:ascii="Times New Roman" w:hAnsi="Times New Roman" w:cs="Times New Roman"/>
        </w:rPr>
        <w:t>c</w:t>
      </w:r>
      <w:r w:rsidRPr="00A5301F">
        <w:rPr>
          <w:rFonts w:ascii="Times New Roman" w:hAnsi="Times New Roman" w:cs="Times New Roman"/>
        </w:rPr>
        <w:t>onfidence (Saputra, 2022)</w:t>
      </w:r>
    </w:p>
    <w:p w14:paraId="40989482" w14:textId="77777777" w:rsidR="00A5301F" w:rsidRPr="000D3603" w:rsidRDefault="00A5301F" w:rsidP="00A5301F">
      <w:pPr>
        <w:spacing w:line="480" w:lineRule="auto"/>
        <w:rPr>
          <w:rFonts w:ascii="Times New Roman" w:hAnsi="Times New Roman" w:cs="Times New Roman"/>
          <w:b/>
          <w:bCs/>
        </w:rPr>
      </w:pPr>
      <w:r w:rsidRPr="000D3603">
        <w:rPr>
          <w:rFonts w:ascii="Times New Roman" w:hAnsi="Times New Roman" w:cs="Times New Roman"/>
          <w:b/>
          <w:bCs/>
        </w:rPr>
        <w:t>Performance Analysis</w:t>
      </w:r>
    </w:p>
    <w:p w14:paraId="0DB5993F" w14:textId="68A554A6"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 xml:space="preserve">Tesco achieved an improved </w:t>
      </w:r>
      <w:r w:rsidR="000D3603">
        <w:rPr>
          <w:rFonts w:ascii="Times New Roman" w:hAnsi="Times New Roman" w:cs="Times New Roman"/>
        </w:rPr>
        <w:t>p</w:t>
      </w:r>
      <w:r w:rsidRPr="00A5301F">
        <w:rPr>
          <w:rFonts w:ascii="Times New Roman" w:hAnsi="Times New Roman" w:cs="Times New Roman"/>
        </w:rPr>
        <w:t xml:space="preserve">erformance in 2025; specifically, Group Sales increased from £61,514,612,498 to £63,632,178,879, adjusted Operating Profit from £2,829 million to £3,128 million, and UK% Market Share from 27.6% to 28.3%. This indicates that Tesco has gained a more substantial position within the highly competitive Grocery sector. Tesco, within their reporting, have indicated that they achieved this </w:t>
      </w:r>
      <w:r w:rsidR="000D3603" w:rsidRPr="00A5301F">
        <w:rPr>
          <w:rFonts w:ascii="Times New Roman" w:hAnsi="Times New Roman" w:cs="Times New Roman"/>
        </w:rPr>
        <w:t>because of</w:t>
      </w:r>
      <w:r w:rsidRPr="00A5301F">
        <w:rPr>
          <w:rFonts w:ascii="Times New Roman" w:hAnsi="Times New Roman" w:cs="Times New Roman"/>
        </w:rPr>
        <w:t xml:space="preserve"> their continued investment into Value, Quality and Service, particularly through Clubcard Prices, Aldi Price Match and Low Everyday Prices. Tesco has also recorded improvements in Customer Satisfaction and increased Volume Growth.</w:t>
      </w:r>
    </w:p>
    <w:p w14:paraId="366A0915" w14:textId="78576A38"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 xml:space="preserve">One factor for the improved performance could be Tesco’s Loyalty Strategy; increasing perceived value and </w:t>
      </w:r>
      <w:r w:rsidR="00363C88">
        <w:rPr>
          <w:rFonts w:ascii="Times New Roman" w:hAnsi="Times New Roman" w:cs="Times New Roman"/>
        </w:rPr>
        <w:t>c</w:t>
      </w:r>
      <w:r w:rsidRPr="00A5301F">
        <w:rPr>
          <w:rFonts w:ascii="Times New Roman" w:hAnsi="Times New Roman" w:cs="Times New Roman"/>
        </w:rPr>
        <w:t>ustomer engagement with the Loyalty Programme can both improve Customer retention and repeat purchasing (Parashar, 2026). The Clubcard Scheme supplied by Tesco appears to have supported sales growth and strengthened Customer Loyalty. In addition, Bhujel links Customer Satisfaction and Improved Retail Performance, both highly relevant due to Tesco’s improvements in Customer Recommendation Scores and Market Share.</w:t>
      </w:r>
    </w:p>
    <w:p w14:paraId="058F6539" w14:textId="200BA788"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 xml:space="preserve">Tesco has also successfully continued to invest in product Quality and </w:t>
      </w:r>
      <w:r w:rsidR="000D3603" w:rsidRPr="00A5301F">
        <w:rPr>
          <w:rFonts w:ascii="Times New Roman" w:hAnsi="Times New Roman" w:cs="Times New Roman"/>
        </w:rPr>
        <w:t>Convenience. The</w:t>
      </w:r>
      <w:r w:rsidRPr="00A5301F">
        <w:rPr>
          <w:rFonts w:ascii="Times New Roman" w:hAnsi="Times New Roman" w:cs="Times New Roman"/>
        </w:rPr>
        <w:t xml:space="preserve"> report for 2025 notes that Tesco positively impacted quality image, increased </w:t>
      </w:r>
      <w:r w:rsidR="000D3603">
        <w:rPr>
          <w:rFonts w:ascii="Times New Roman" w:hAnsi="Times New Roman" w:cs="Times New Roman"/>
        </w:rPr>
        <w:t>f</w:t>
      </w:r>
      <w:r w:rsidRPr="00A5301F">
        <w:rPr>
          <w:rFonts w:ascii="Times New Roman" w:hAnsi="Times New Roman" w:cs="Times New Roman"/>
        </w:rPr>
        <w:t xml:space="preserve">inest product family offerings and enhanced efficiency via their app usage and fast delivery services, all of which likely contributed to improved sales; however, they have incurred additional operating expenses in doing so. According to Davies (2025), supermarket chains like Tesco need to </w:t>
      </w:r>
      <w:r w:rsidRPr="00A5301F">
        <w:rPr>
          <w:rFonts w:ascii="Times New Roman" w:hAnsi="Times New Roman" w:cs="Times New Roman"/>
        </w:rPr>
        <w:lastRenderedPageBreak/>
        <w:t>compete based on price and equally, if not more so, on the customer experience, brand identity, and establishing trust to support a broader corporate strategy.</w:t>
      </w:r>
    </w:p>
    <w:p w14:paraId="2E4C3994" w14:textId="3C4FA743"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 xml:space="preserve">Tesco's statutory operating margin decreased from 4.14% to 3.88%, and </w:t>
      </w:r>
      <w:r w:rsidR="00363C88">
        <w:rPr>
          <w:rFonts w:ascii="Times New Roman" w:hAnsi="Times New Roman" w:cs="Times New Roman"/>
        </w:rPr>
        <w:t>its</w:t>
      </w:r>
      <w:r w:rsidRPr="00A5301F">
        <w:rPr>
          <w:rFonts w:ascii="Times New Roman" w:hAnsi="Times New Roman" w:cs="Times New Roman"/>
        </w:rPr>
        <w:t xml:space="preserve"> liquidity ratios have deteriorated slightly. This implies that while Tesco made progress in its core operations, the company has experienced higher cost pressures. The annual report cites the effects of inflation, higher colleague wages, environmental compliance costs, and competition in the UK grocery sector. The above factors likely led to reduced operating profitability, demonstrating that while Tesco has strengthened its commercial position, it has had to give up some short-term margin to maintain a competitive position.</w:t>
      </w:r>
    </w:p>
    <w:p w14:paraId="4BF5D01C" w14:textId="6C03F610"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 xml:space="preserve">In addition, significant investment in sustainability initiatives is another issue. Short-term climate mitigation costs will increase, but long-term financial performance should improve due to reductions in energy use and waste and/or enhanced reputation (e.g., a better public image and increased political support) (Olarewaju et al., 2024). Solar energy sources, rail freight transportation agreements, and the reduction of packaging waste are examples of sustainability issues referenced in Tesco's annual report. Supermarkets are increasingly analysing their sustainability initiatives using energy-efficient measures, as they benefit both financially and environmentally from these initiatives (Terzis and Gotzamani, 2025). Therefore, Tesco's firms' investment in sustainability should help explain how the short-term margin declined while long-term sustainability </w:t>
      </w:r>
      <w:r w:rsidR="00363C88" w:rsidRPr="00A5301F">
        <w:rPr>
          <w:rFonts w:ascii="Times New Roman" w:hAnsi="Times New Roman" w:cs="Times New Roman"/>
        </w:rPr>
        <w:t>improved. Users</w:t>
      </w:r>
      <w:r w:rsidRPr="00A5301F">
        <w:rPr>
          <w:rFonts w:ascii="Times New Roman" w:hAnsi="Times New Roman" w:cs="Times New Roman"/>
        </w:rPr>
        <w:t xml:space="preserve"> of financial statements need to be conscious of issues related to both the complexities of accounting and how the accounts have been presented. Adejumo &amp; </w:t>
      </w:r>
      <w:proofErr w:type="spellStart"/>
      <w:r w:rsidRPr="00A5301F">
        <w:rPr>
          <w:rFonts w:ascii="Times New Roman" w:hAnsi="Times New Roman" w:cs="Times New Roman"/>
        </w:rPr>
        <w:t>Ogburie</w:t>
      </w:r>
      <w:proofErr w:type="spellEnd"/>
      <w:r w:rsidRPr="00A5301F">
        <w:rPr>
          <w:rFonts w:ascii="Times New Roman" w:hAnsi="Times New Roman" w:cs="Times New Roman"/>
        </w:rPr>
        <w:t xml:space="preserve"> (2025) have pointed out that ethical and transparent reporting are important aspects of financial accounting, while Olayinka (2022) details that the interpretation of financial statement ratios is only useful when used alongside narrative disclosures within the financial statements. As the statutory and adjusted figures provided by Tesco differ, it will also be particularly advantageous to use ratio analysis to </w:t>
      </w:r>
      <w:r w:rsidRPr="00A5301F">
        <w:rPr>
          <w:rFonts w:ascii="Times New Roman" w:hAnsi="Times New Roman" w:cs="Times New Roman"/>
        </w:rPr>
        <w:lastRenderedPageBreak/>
        <w:t>separate out any underlying performance from the impact of accounting on the overall financial statements provided by Tesco.</w:t>
      </w:r>
    </w:p>
    <w:p w14:paraId="44580AA0" w14:textId="291D207C"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 xml:space="preserve">To enable continued customer allegiance and therefore to maintain </w:t>
      </w:r>
      <w:r w:rsidR="00363C88">
        <w:rPr>
          <w:rFonts w:ascii="Times New Roman" w:hAnsi="Times New Roman" w:cs="Times New Roman"/>
        </w:rPr>
        <w:t>its</w:t>
      </w:r>
      <w:r w:rsidRPr="00A5301F">
        <w:rPr>
          <w:rFonts w:ascii="Times New Roman" w:hAnsi="Times New Roman" w:cs="Times New Roman"/>
        </w:rPr>
        <w:t xml:space="preserve"> competitive advantage as an outstanding provider for customer convenience, Tesco should continue its investment </w:t>
      </w:r>
      <w:r w:rsidR="00363C88">
        <w:rPr>
          <w:rFonts w:ascii="Times New Roman" w:hAnsi="Times New Roman" w:cs="Times New Roman"/>
        </w:rPr>
        <w:t>in</w:t>
      </w:r>
      <w:r w:rsidRPr="00A5301F">
        <w:rPr>
          <w:rFonts w:ascii="Times New Roman" w:hAnsi="Times New Roman" w:cs="Times New Roman"/>
        </w:rPr>
        <w:t xml:space="preserve"> loyalty and value strategies. </w:t>
      </w:r>
      <w:r w:rsidR="00363C88" w:rsidRPr="00A5301F">
        <w:rPr>
          <w:rFonts w:ascii="Times New Roman" w:hAnsi="Times New Roman" w:cs="Times New Roman"/>
        </w:rPr>
        <w:t>Promotional</w:t>
      </w:r>
      <w:r w:rsidRPr="00A5301F">
        <w:rPr>
          <w:rFonts w:ascii="Times New Roman" w:hAnsi="Times New Roman" w:cs="Times New Roman"/>
        </w:rPr>
        <w:t xml:space="preserve"> opportunities based on the data from Clubcard can be used to grow profitability through more accurate targeting rather than resorting to extensive price reductions. As a result, this would maintain the market share of Tesco, while safeguarding margin requirements</w:t>
      </w:r>
      <w:r w:rsidR="00363C88">
        <w:rPr>
          <w:rFonts w:ascii="Times New Roman" w:hAnsi="Times New Roman" w:cs="Times New Roman"/>
        </w:rPr>
        <w:t>,</w:t>
      </w:r>
      <w:r w:rsidRPr="00A5301F">
        <w:rPr>
          <w:rFonts w:ascii="Times New Roman" w:hAnsi="Times New Roman" w:cs="Times New Roman"/>
        </w:rPr>
        <w:t xml:space="preserve"> supporting towards retaining their competitive advantage.</w:t>
      </w:r>
    </w:p>
    <w:p w14:paraId="101DF71C" w14:textId="4B00E2AC" w:rsidR="00A5301F" w:rsidRPr="00A5301F" w:rsidRDefault="00A5301F" w:rsidP="00A5301F">
      <w:pPr>
        <w:spacing w:line="480" w:lineRule="auto"/>
        <w:rPr>
          <w:rFonts w:ascii="Times New Roman" w:hAnsi="Times New Roman" w:cs="Times New Roman"/>
        </w:rPr>
      </w:pPr>
      <w:r w:rsidRPr="00A5301F">
        <w:rPr>
          <w:rFonts w:ascii="Times New Roman" w:hAnsi="Times New Roman" w:cs="Times New Roman"/>
        </w:rPr>
        <w:t>Tesco should also consider strengthening the existing low current and acid test ratios by enhancing the management of liquidity and working capital. The ratios remain considerably lower than the industry standard, which implies that better cash management practices could improve the overall financial well-being of Tesco's short-term liquidity position and be beneficial to the overall short-term financial health of Tesco. Financial indicators such as liquidity and coverage are some of the key variables used to identify the financial health or assess the strength of a business (Ramzan, 2023).</w:t>
      </w:r>
    </w:p>
    <w:p w14:paraId="5154719E" w14:textId="77777777" w:rsidR="00AB4AD5" w:rsidRDefault="00A5301F" w:rsidP="00A5301F">
      <w:pPr>
        <w:spacing w:line="480" w:lineRule="auto"/>
        <w:rPr>
          <w:rFonts w:ascii="Times New Roman" w:hAnsi="Times New Roman" w:cs="Times New Roman"/>
        </w:rPr>
      </w:pPr>
      <w:r w:rsidRPr="00A5301F">
        <w:rPr>
          <w:rFonts w:ascii="Times New Roman" w:hAnsi="Times New Roman" w:cs="Times New Roman"/>
        </w:rPr>
        <w:t xml:space="preserve">The recommendation to continue the sustainability projects currently in place with quantifiable financial benefits should be continued, specifically in terms of the efficiency improvements related to energy and transportation improvements. Climate-related investments should be established for long-term growth objectives by linking the energy-related and cost savings associated with reducing climate change effects and providing operational capability (Olarewaju et al., 2024; Terzis &amp; </w:t>
      </w:r>
      <w:proofErr w:type="spellStart"/>
      <w:r w:rsidRPr="00A5301F">
        <w:rPr>
          <w:rFonts w:ascii="Times New Roman" w:hAnsi="Times New Roman" w:cs="Times New Roman"/>
        </w:rPr>
        <w:t>Gotzamani</w:t>
      </w:r>
      <w:proofErr w:type="spellEnd"/>
      <w:r w:rsidRPr="00A5301F">
        <w:rPr>
          <w:rFonts w:ascii="Times New Roman" w:hAnsi="Times New Roman" w:cs="Times New Roman"/>
        </w:rPr>
        <w:t>, 2025). The development of financial literacy, coupled with better-defined performance metrics, will ultimately lead to improved decision-making processes across organisations (Gonz</w:t>
      </w:r>
      <w:r w:rsidR="00AB4AD5">
        <w:rPr>
          <w:rFonts w:ascii="Times New Roman" w:hAnsi="Times New Roman" w:cs="Times New Roman"/>
        </w:rPr>
        <w:t>a</w:t>
      </w:r>
      <w:r w:rsidRPr="00A5301F">
        <w:rPr>
          <w:rFonts w:ascii="Times New Roman" w:hAnsi="Times New Roman" w:cs="Times New Roman"/>
        </w:rPr>
        <w:t>lez-Prida et al., 2025).</w:t>
      </w:r>
    </w:p>
    <w:p w14:paraId="478A7AD5" w14:textId="77777777" w:rsidR="00AB4AD5" w:rsidRDefault="00AB4AD5" w:rsidP="00A5301F">
      <w:pPr>
        <w:spacing w:line="480" w:lineRule="auto"/>
        <w:rPr>
          <w:rFonts w:ascii="Times New Roman" w:hAnsi="Times New Roman" w:cs="Times New Roman"/>
        </w:rPr>
      </w:pPr>
    </w:p>
    <w:p w14:paraId="0C31DEBA" w14:textId="293121D8" w:rsidR="00AB4AD5" w:rsidRPr="00AB4AD5" w:rsidRDefault="00AB4AD5" w:rsidP="00A5301F">
      <w:pPr>
        <w:spacing w:line="480" w:lineRule="auto"/>
        <w:rPr>
          <w:rFonts w:ascii="Times New Roman" w:hAnsi="Times New Roman" w:cs="Times New Roman"/>
          <w:b/>
          <w:bCs/>
        </w:rPr>
      </w:pPr>
      <w:r w:rsidRPr="00AB4AD5">
        <w:rPr>
          <w:rFonts w:ascii="Times New Roman" w:hAnsi="Times New Roman" w:cs="Times New Roman"/>
          <w:b/>
          <w:bCs/>
        </w:rPr>
        <w:lastRenderedPageBreak/>
        <w:t xml:space="preserve">Conclusion </w:t>
      </w:r>
    </w:p>
    <w:p w14:paraId="4290ECB1" w14:textId="26970F47" w:rsidR="00A5301F" w:rsidRDefault="00A5301F" w:rsidP="00A5301F">
      <w:pPr>
        <w:spacing w:line="480" w:lineRule="auto"/>
        <w:rPr>
          <w:rFonts w:ascii="Times New Roman" w:hAnsi="Times New Roman" w:cs="Times New Roman"/>
        </w:rPr>
      </w:pPr>
      <w:r w:rsidRPr="00A5301F">
        <w:rPr>
          <w:rFonts w:ascii="Times New Roman" w:hAnsi="Times New Roman" w:cs="Times New Roman"/>
        </w:rPr>
        <w:t>In conclusion, the results of Tesco's ratio analysis clearly demonstrate mixed</w:t>
      </w:r>
      <w:r w:rsidR="00AB4AD5">
        <w:rPr>
          <w:rFonts w:ascii="Times New Roman" w:hAnsi="Times New Roman" w:cs="Times New Roman"/>
        </w:rPr>
        <w:t xml:space="preserve"> results</w:t>
      </w:r>
      <w:r w:rsidRPr="00A5301F">
        <w:rPr>
          <w:rFonts w:ascii="Times New Roman" w:hAnsi="Times New Roman" w:cs="Times New Roman"/>
        </w:rPr>
        <w:t>, but improvement from 2024 to 2025. Tesco has achieved improved profitability, both gross and adjusted operating profit for the year, with the ROCE indicating improved, advantageous underlying trading and effective use of capital. While the statutory operating margin has decreased slightly and the liquidity ratio has deteriorated over the same period, the overall increase in costs and competition pressure on certain areas of the total financial performance of Tesco is evident. Ratio analysis is an effective method for converting publicly available financial accounting data into measures that can provide important insight into financial performance metrics that are of interest to both stakeholders and shareholders. Ratio analysis can also be used to explain both what has changed during the respective current and prior years and why those changes occurred (Olayinka, 2022). Ultimately, the result of the ratio analysis from Tesco demonstrates that Tesco has established improved competitiveness and strategic positioning; however, these improvements continue to place stress on certain aspects of the company's overall financial position within the context of short-term liquidity and margin requirements.</w:t>
      </w:r>
    </w:p>
    <w:p w14:paraId="2DB541DB" w14:textId="77777777" w:rsidR="00AB4AD5" w:rsidRDefault="00AB4AD5" w:rsidP="00A5301F">
      <w:pPr>
        <w:spacing w:line="480" w:lineRule="auto"/>
        <w:rPr>
          <w:rFonts w:ascii="Times New Roman" w:hAnsi="Times New Roman" w:cs="Times New Roman"/>
        </w:rPr>
      </w:pPr>
    </w:p>
    <w:p w14:paraId="7411F1DB" w14:textId="77777777" w:rsidR="00AB4AD5" w:rsidRDefault="00AB4AD5" w:rsidP="00A5301F">
      <w:pPr>
        <w:spacing w:line="480" w:lineRule="auto"/>
        <w:rPr>
          <w:rFonts w:ascii="Times New Roman" w:hAnsi="Times New Roman" w:cs="Times New Roman"/>
        </w:rPr>
      </w:pPr>
    </w:p>
    <w:p w14:paraId="754BADDE" w14:textId="77777777" w:rsidR="00AB4AD5" w:rsidRDefault="00AB4AD5" w:rsidP="00A5301F">
      <w:pPr>
        <w:spacing w:line="480" w:lineRule="auto"/>
        <w:rPr>
          <w:rFonts w:ascii="Times New Roman" w:hAnsi="Times New Roman" w:cs="Times New Roman"/>
        </w:rPr>
      </w:pPr>
    </w:p>
    <w:p w14:paraId="5FA02F53" w14:textId="77777777" w:rsidR="00AB4AD5" w:rsidRDefault="00AB4AD5" w:rsidP="00A5301F">
      <w:pPr>
        <w:spacing w:line="480" w:lineRule="auto"/>
        <w:rPr>
          <w:rFonts w:ascii="Times New Roman" w:hAnsi="Times New Roman" w:cs="Times New Roman"/>
        </w:rPr>
      </w:pPr>
    </w:p>
    <w:p w14:paraId="1FD529BC" w14:textId="77777777" w:rsidR="00AB4AD5" w:rsidRDefault="00AB4AD5" w:rsidP="00A5301F">
      <w:pPr>
        <w:spacing w:line="480" w:lineRule="auto"/>
        <w:rPr>
          <w:rFonts w:ascii="Times New Roman" w:hAnsi="Times New Roman" w:cs="Times New Roman"/>
        </w:rPr>
      </w:pPr>
    </w:p>
    <w:p w14:paraId="03FB3557" w14:textId="77777777" w:rsidR="00AB4AD5" w:rsidRDefault="00AB4AD5" w:rsidP="00A5301F">
      <w:pPr>
        <w:spacing w:line="480" w:lineRule="auto"/>
        <w:rPr>
          <w:rFonts w:ascii="Times New Roman" w:hAnsi="Times New Roman" w:cs="Times New Roman"/>
        </w:rPr>
      </w:pPr>
    </w:p>
    <w:p w14:paraId="6A72EFA4" w14:textId="77777777" w:rsidR="00AB4AD5" w:rsidRDefault="00AB4AD5" w:rsidP="00A5301F">
      <w:pPr>
        <w:spacing w:line="480" w:lineRule="auto"/>
        <w:rPr>
          <w:rFonts w:ascii="Times New Roman" w:hAnsi="Times New Roman" w:cs="Times New Roman"/>
        </w:rPr>
      </w:pPr>
    </w:p>
    <w:p w14:paraId="0D8831D1" w14:textId="5CEC25CC" w:rsidR="00AB4AD5" w:rsidRPr="00AB4AD5" w:rsidRDefault="00AB4AD5" w:rsidP="00A5301F">
      <w:pPr>
        <w:spacing w:line="480" w:lineRule="auto"/>
        <w:rPr>
          <w:rFonts w:ascii="Times New Roman" w:hAnsi="Times New Roman" w:cs="Times New Roman"/>
          <w:b/>
          <w:bCs/>
        </w:rPr>
      </w:pPr>
      <w:r w:rsidRPr="00AB4AD5">
        <w:rPr>
          <w:rFonts w:ascii="Times New Roman" w:hAnsi="Times New Roman" w:cs="Times New Roman"/>
          <w:b/>
          <w:bCs/>
        </w:rPr>
        <w:lastRenderedPageBreak/>
        <w:t xml:space="preserve">References </w:t>
      </w:r>
    </w:p>
    <w:p w14:paraId="43C0607A" w14:textId="77777777" w:rsidR="00AB4AD5" w:rsidRPr="00AB4AD5" w:rsidRDefault="00AB4AD5" w:rsidP="00AB4AD5">
      <w:pPr>
        <w:spacing w:line="480" w:lineRule="auto"/>
        <w:rPr>
          <w:rFonts w:ascii="Times New Roman" w:hAnsi="Times New Roman" w:cs="Times New Roman"/>
        </w:rPr>
      </w:pPr>
      <w:r w:rsidRPr="00AB4AD5">
        <w:rPr>
          <w:rFonts w:ascii="Times New Roman" w:hAnsi="Times New Roman" w:cs="Times New Roman"/>
        </w:rPr>
        <w:t xml:space="preserve">Adejumo, A., &amp; </w:t>
      </w:r>
      <w:proofErr w:type="spellStart"/>
      <w:r w:rsidRPr="00AB4AD5">
        <w:rPr>
          <w:rFonts w:ascii="Times New Roman" w:hAnsi="Times New Roman" w:cs="Times New Roman"/>
        </w:rPr>
        <w:t>Ogburie</w:t>
      </w:r>
      <w:proofErr w:type="spellEnd"/>
      <w:r w:rsidRPr="00AB4AD5">
        <w:rPr>
          <w:rFonts w:ascii="Times New Roman" w:hAnsi="Times New Roman" w:cs="Times New Roman"/>
        </w:rPr>
        <w:t xml:space="preserve">, C. (2025). Financial statement manipulation: Ethical and regulatory perspectives. </w:t>
      </w:r>
      <w:r w:rsidRPr="00AB4AD5">
        <w:rPr>
          <w:rFonts w:ascii="Times New Roman" w:hAnsi="Times New Roman" w:cs="Times New Roman"/>
          <w:i/>
          <w:iCs/>
        </w:rPr>
        <w:t>GSC Advanced Research and Reviews, 22</w:t>
      </w:r>
      <w:r w:rsidRPr="00AB4AD5">
        <w:rPr>
          <w:rFonts w:ascii="Times New Roman" w:hAnsi="Times New Roman" w:cs="Times New Roman"/>
        </w:rPr>
        <w:t>(03), 252–264.</w:t>
      </w:r>
    </w:p>
    <w:p w14:paraId="6E0628CE" w14:textId="56B64C88" w:rsidR="00AB4AD5" w:rsidRPr="00AB4AD5" w:rsidRDefault="00AB4AD5" w:rsidP="00AB4AD5">
      <w:pPr>
        <w:spacing w:line="480" w:lineRule="auto"/>
        <w:rPr>
          <w:rFonts w:ascii="Times New Roman" w:hAnsi="Times New Roman" w:cs="Times New Roman"/>
        </w:rPr>
      </w:pPr>
      <w:r w:rsidRPr="00AB4AD5">
        <w:rPr>
          <w:rFonts w:ascii="Times New Roman" w:hAnsi="Times New Roman" w:cs="Times New Roman"/>
        </w:rPr>
        <w:t xml:space="preserve">Bhujel, K. (n.d.). </w:t>
      </w:r>
      <w:r w:rsidRPr="00AB4AD5">
        <w:rPr>
          <w:rFonts w:ascii="Times New Roman" w:hAnsi="Times New Roman" w:cs="Times New Roman"/>
          <w:i/>
          <w:iCs/>
        </w:rPr>
        <w:t>Customer satisfaction in the British retail sectors: Evidence from Tesco Plc</w:t>
      </w:r>
      <w:r w:rsidRPr="00AB4AD5">
        <w:rPr>
          <w:rFonts w:ascii="Times New Roman" w:hAnsi="Times New Roman" w:cs="Times New Roman"/>
        </w:rPr>
        <w:t xml:space="preserve">. SSRN. </w:t>
      </w:r>
    </w:p>
    <w:p w14:paraId="40D51AA4" w14:textId="46A960B8" w:rsidR="00AB4AD5" w:rsidRPr="00AB4AD5" w:rsidRDefault="00AB4AD5" w:rsidP="00AB4AD5">
      <w:pPr>
        <w:spacing w:line="480" w:lineRule="auto"/>
        <w:rPr>
          <w:rFonts w:ascii="Times New Roman" w:hAnsi="Times New Roman" w:cs="Times New Roman"/>
        </w:rPr>
      </w:pPr>
      <w:r w:rsidRPr="00AB4AD5">
        <w:rPr>
          <w:rFonts w:ascii="Times New Roman" w:hAnsi="Times New Roman" w:cs="Times New Roman"/>
        </w:rPr>
        <w:t xml:space="preserve">Davies, G. (2025). Did Machiavelli advise </w:t>
      </w:r>
      <w:r w:rsidRPr="00AB4AD5">
        <w:rPr>
          <w:rFonts w:ascii="Times New Roman" w:hAnsi="Times New Roman" w:cs="Times New Roman"/>
        </w:rPr>
        <w:t>Tesco?</w:t>
      </w:r>
      <w:r w:rsidRPr="00AB4AD5">
        <w:rPr>
          <w:rFonts w:ascii="Times New Roman" w:hAnsi="Times New Roman" w:cs="Times New Roman"/>
        </w:rPr>
        <w:t xml:space="preserve"> The marketing of large-scale grocery retailers. In </w:t>
      </w:r>
      <w:r w:rsidRPr="00AB4AD5">
        <w:rPr>
          <w:rFonts w:ascii="Times New Roman" w:hAnsi="Times New Roman" w:cs="Times New Roman"/>
          <w:i/>
          <w:iCs/>
        </w:rPr>
        <w:t>Machiavelli, marketing and management (pp. 73–84).</w:t>
      </w:r>
      <w:r w:rsidRPr="00AB4AD5">
        <w:rPr>
          <w:rFonts w:ascii="Times New Roman" w:hAnsi="Times New Roman" w:cs="Times New Roman"/>
        </w:rPr>
        <w:t xml:space="preserve"> Routledge.</w:t>
      </w:r>
    </w:p>
    <w:p w14:paraId="292D091C" w14:textId="39573D74" w:rsidR="00AB4AD5" w:rsidRPr="00AB4AD5" w:rsidRDefault="00AB4AD5" w:rsidP="00AB4AD5">
      <w:pPr>
        <w:spacing w:line="480" w:lineRule="auto"/>
        <w:rPr>
          <w:rFonts w:ascii="Times New Roman" w:hAnsi="Times New Roman" w:cs="Times New Roman"/>
        </w:rPr>
      </w:pPr>
      <w:r w:rsidRPr="00AB4AD5">
        <w:rPr>
          <w:rFonts w:ascii="Times New Roman" w:hAnsi="Times New Roman" w:cs="Times New Roman"/>
        </w:rPr>
        <w:t>Gonz</w:t>
      </w:r>
      <w:r>
        <w:rPr>
          <w:rFonts w:ascii="Times New Roman" w:hAnsi="Times New Roman" w:cs="Times New Roman"/>
        </w:rPr>
        <w:t>a</w:t>
      </w:r>
      <w:r w:rsidRPr="00AB4AD5">
        <w:rPr>
          <w:rFonts w:ascii="Times New Roman" w:hAnsi="Times New Roman" w:cs="Times New Roman"/>
        </w:rPr>
        <w:t>lez-Prida, V., Pariona-Amaya, D., S</w:t>
      </w:r>
      <w:r>
        <w:rPr>
          <w:rFonts w:ascii="Times New Roman" w:hAnsi="Times New Roman" w:cs="Times New Roman"/>
        </w:rPr>
        <w:t>a</w:t>
      </w:r>
      <w:r w:rsidRPr="00AB4AD5">
        <w:rPr>
          <w:rFonts w:ascii="Times New Roman" w:hAnsi="Times New Roman" w:cs="Times New Roman"/>
        </w:rPr>
        <w:t xml:space="preserve">nchez-Soto, J. M., Barzola-Inga, S. L., Aguado-Riveros, U., Moreno-Menéndez, F. M., &amp; Villar-Aranda, M. D. (2025). Exploring the effects of financial knowledge on better decision-making in SMEs. </w:t>
      </w:r>
      <w:r w:rsidRPr="00AB4AD5">
        <w:rPr>
          <w:rFonts w:ascii="Times New Roman" w:hAnsi="Times New Roman" w:cs="Times New Roman"/>
          <w:i/>
          <w:iCs/>
        </w:rPr>
        <w:t>Administrative Sciences, 15</w:t>
      </w:r>
      <w:r w:rsidRPr="00AB4AD5">
        <w:rPr>
          <w:rFonts w:ascii="Times New Roman" w:hAnsi="Times New Roman" w:cs="Times New Roman"/>
        </w:rPr>
        <w:t xml:space="preserve">(1), 24. </w:t>
      </w:r>
    </w:p>
    <w:p w14:paraId="431EB0BA" w14:textId="62DD5B89" w:rsidR="00AB4AD5" w:rsidRPr="00AB4AD5" w:rsidRDefault="00AB4AD5" w:rsidP="00AB4AD5">
      <w:pPr>
        <w:spacing w:line="480" w:lineRule="auto"/>
        <w:rPr>
          <w:rFonts w:ascii="Times New Roman" w:hAnsi="Times New Roman" w:cs="Times New Roman"/>
        </w:rPr>
      </w:pPr>
      <w:r w:rsidRPr="00AB4AD5">
        <w:rPr>
          <w:rFonts w:ascii="Times New Roman" w:hAnsi="Times New Roman" w:cs="Times New Roman"/>
        </w:rPr>
        <w:t xml:space="preserve">Olarewaju, T., Dani, S., Obeng-Fosu, C., Olarewaju, T., &amp; Jabbar, A. (2024). The impact of climate action on the financial performance of food, grocery, and supermarket retailers in the UK. </w:t>
      </w:r>
      <w:r w:rsidRPr="00AB4AD5">
        <w:rPr>
          <w:rFonts w:ascii="Times New Roman" w:hAnsi="Times New Roman" w:cs="Times New Roman"/>
          <w:i/>
          <w:iCs/>
        </w:rPr>
        <w:t>Sustainability, 16</w:t>
      </w:r>
      <w:r w:rsidRPr="00AB4AD5">
        <w:rPr>
          <w:rFonts w:ascii="Times New Roman" w:hAnsi="Times New Roman" w:cs="Times New Roman"/>
        </w:rPr>
        <w:t xml:space="preserve">(5), 1785. </w:t>
      </w:r>
    </w:p>
    <w:p w14:paraId="3023AA48" w14:textId="77777777" w:rsidR="00AB4AD5" w:rsidRPr="00AB4AD5" w:rsidRDefault="00AB4AD5" w:rsidP="00AB4AD5">
      <w:pPr>
        <w:spacing w:line="480" w:lineRule="auto"/>
        <w:rPr>
          <w:rFonts w:ascii="Times New Roman" w:hAnsi="Times New Roman" w:cs="Times New Roman"/>
        </w:rPr>
      </w:pPr>
      <w:r w:rsidRPr="00AB4AD5">
        <w:rPr>
          <w:rFonts w:ascii="Times New Roman" w:hAnsi="Times New Roman" w:cs="Times New Roman"/>
        </w:rPr>
        <w:t xml:space="preserve">Olayinka, A. A. (2022). Financial statement analysis as a tool for investment decisions and assessment of companies’ performance. </w:t>
      </w:r>
      <w:r w:rsidRPr="00AB4AD5">
        <w:rPr>
          <w:rFonts w:ascii="Times New Roman" w:hAnsi="Times New Roman" w:cs="Times New Roman"/>
          <w:i/>
          <w:iCs/>
        </w:rPr>
        <w:t>International Journal of Financial, Accounting, and Management, 4</w:t>
      </w:r>
      <w:r w:rsidRPr="00AB4AD5">
        <w:rPr>
          <w:rFonts w:ascii="Times New Roman" w:hAnsi="Times New Roman" w:cs="Times New Roman"/>
        </w:rPr>
        <w:t>(1), 49–66.</w:t>
      </w:r>
    </w:p>
    <w:p w14:paraId="6AE84008" w14:textId="77777777" w:rsidR="00AB4AD5" w:rsidRPr="00AB4AD5" w:rsidRDefault="00AB4AD5" w:rsidP="00AB4AD5">
      <w:pPr>
        <w:spacing w:line="480" w:lineRule="auto"/>
        <w:rPr>
          <w:rFonts w:ascii="Times New Roman" w:hAnsi="Times New Roman" w:cs="Times New Roman"/>
          <w:i/>
          <w:iCs/>
        </w:rPr>
      </w:pPr>
      <w:r w:rsidRPr="00AB4AD5">
        <w:rPr>
          <w:rFonts w:ascii="Times New Roman" w:hAnsi="Times New Roman" w:cs="Times New Roman"/>
        </w:rPr>
        <w:t xml:space="preserve">Parashar, A. (2026). </w:t>
      </w:r>
      <w:r w:rsidRPr="00AB4AD5">
        <w:rPr>
          <w:rFonts w:ascii="Times New Roman" w:hAnsi="Times New Roman" w:cs="Times New Roman"/>
          <w:i/>
          <w:iCs/>
        </w:rPr>
        <w:t>Assessing the effectiveness of loyalty programmes in retaining customers: A survey-based approach (Doctoral dissertation, National College of Ireland).</w:t>
      </w:r>
    </w:p>
    <w:p w14:paraId="6521D6A6" w14:textId="77777777" w:rsidR="00AB4AD5" w:rsidRDefault="00AB4AD5" w:rsidP="00AB4AD5">
      <w:pPr>
        <w:spacing w:line="480" w:lineRule="auto"/>
        <w:rPr>
          <w:rFonts w:ascii="Times New Roman" w:hAnsi="Times New Roman" w:cs="Times New Roman"/>
        </w:rPr>
      </w:pPr>
      <w:r w:rsidRPr="00AB4AD5">
        <w:rPr>
          <w:rFonts w:ascii="Times New Roman" w:hAnsi="Times New Roman" w:cs="Times New Roman"/>
        </w:rPr>
        <w:t xml:space="preserve">Ramzan, S. (2023). Comparison of financial distress prediction models using financial variables. In </w:t>
      </w:r>
      <w:r>
        <w:rPr>
          <w:rFonts w:ascii="Times New Roman" w:hAnsi="Times New Roman" w:cs="Times New Roman"/>
        </w:rPr>
        <w:t xml:space="preserve">the </w:t>
      </w:r>
      <w:r w:rsidRPr="00AB4AD5">
        <w:rPr>
          <w:rFonts w:ascii="Times New Roman" w:hAnsi="Times New Roman" w:cs="Times New Roman"/>
          <w:i/>
          <w:iCs/>
        </w:rPr>
        <w:t>2023 International Conference on Electrical, Computer and Energy Technologies (ICECET)</w:t>
      </w:r>
      <w:r w:rsidRPr="00AB4AD5">
        <w:rPr>
          <w:rFonts w:ascii="Times New Roman" w:hAnsi="Times New Roman" w:cs="Times New Roman"/>
        </w:rPr>
        <w:t xml:space="preserve"> (pp. 1–7). IEEE. </w:t>
      </w:r>
    </w:p>
    <w:p w14:paraId="3E1F58B5" w14:textId="19F64600" w:rsidR="00AB4AD5" w:rsidRPr="00AB4AD5" w:rsidRDefault="00AB4AD5" w:rsidP="00AB4AD5">
      <w:pPr>
        <w:spacing w:line="480" w:lineRule="auto"/>
        <w:rPr>
          <w:rFonts w:ascii="Times New Roman" w:hAnsi="Times New Roman" w:cs="Times New Roman"/>
        </w:rPr>
      </w:pPr>
      <w:r w:rsidRPr="00AB4AD5">
        <w:rPr>
          <w:rFonts w:ascii="Times New Roman" w:hAnsi="Times New Roman" w:cs="Times New Roman"/>
        </w:rPr>
        <w:lastRenderedPageBreak/>
        <w:t xml:space="preserve">Saputra, F. (2022). Analysis </w:t>
      </w:r>
      <w:r>
        <w:rPr>
          <w:rFonts w:ascii="Times New Roman" w:hAnsi="Times New Roman" w:cs="Times New Roman"/>
        </w:rPr>
        <w:t xml:space="preserve">of the </w:t>
      </w:r>
      <w:r w:rsidRPr="00AB4AD5">
        <w:rPr>
          <w:rFonts w:ascii="Times New Roman" w:hAnsi="Times New Roman" w:cs="Times New Roman"/>
        </w:rPr>
        <w:t xml:space="preserve">effect </w:t>
      </w:r>
      <w:r>
        <w:rPr>
          <w:rFonts w:ascii="Times New Roman" w:hAnsi="Times New Roman" w:cs="Times New Roman"/>
        </w:rPr>
        <w:t xml:space="preserve">of </w:t>
      </w:r>
      <w:r w:rsidRPr="00AB4AD5">
        <w:rPr>
          <w:rFonts w:ascii="Times New Roman" w:hAnsi="Times New Roman" w:cs="Times New Roman"/>
        </w:rPr>
        <w:t xml:space="preserve">return on assets (ROA), return on equity (ROE) and </w:t>
      </w:r>
      <w:r>
        <w:rPr>
          <w:rFonts w:ascii="Times New Roman" w:hAnsi="Times New Roman" w:cs="Times New Roman"/>
        </w:rPr>
        <w:t>price-earnings</w:t>
      </w:r>
      <w:r w:rsidRPr="00AB4AD5">
        <w:rPr>
          <w:rFonts w:ascii="Times New Roman" w:hAnsi="Times New Roman" w:cs="Times New Roman"/>
        </w:rPr>
        <w:t xml:space="preserve"> ratio (PER) on stock prices of coal companies in the Indonesia Stock Exchange (IDX) period 2018–2021. </w:t>
      </w:r>
      <w:r w:rsidRPr="00AB4AD5">
        <w:rPr>
          <w:rFonts w:ascii="Times New Roman" w:hAnsi="Times New Roman" w:cs="Times New Roman"/>
          <w:i/>
          <w:iCs/>
        </w:rPr>
        <w:t>Dinasti International Journal of Economics, Finance and Accounting, 3</w:t>
      </w:r>
      <w:r w:rsidRPr="00AB4AD5">
        <w:rPr>
          <w:rFonts w:ascii="Times New Roman" w:hAnsi="Times New Roman" w:cs="Times New Roman"/>
        </w:rPr>
        <w:t>(1), 82–94.</w:t>
      </w:r>
    </w:p>
    <w:p w14:paraId="779843E4" w14:textId="74887B5E" w:rsidR="00AB4AD5" w:rsidRPr="00AB4AD5" w:rsidRDefault="00AB4AD5" w:rsidP="00AB4AD5">
      <w:pPr>
        <w:spacing w:line="480" w:lineRule="auto"/>
        <w:rPr>
          <w:rFonts w:ascii="Times New Roman" w:hAnsi="Times New Roman" w:cs="Times New Roman"/>
        </w:rPr>
      </w:pPr>
      <w:proofErr w:type="spellStart"/>
      <w:r w:rsidRPr="00AB4AD5">
        <w:rPr>
          <w:rFonts w:ascii="Times New Roman" w:hAnsi="Times New Roman" w:cs="Times New Roman"/>
        </w:rPr>
        <w:t>Suryanto</w:t>
      </w:r>
      <w:proofErr w:type="spellEnd"/>
      <w:r w:rsidRPr="00AB4AD5">
        <w:rPr>
          <w:rFonts w:ascii="Times New Roman" w:hAnsi="Times New Roman" w:cs="Times New Roman"/>
        </w:rPr>
        <w:t xml:space="preserve">, S., Muhyi, H. A., </w:t>
      </w:r>
      <w:proofErr w:type="spellStart"/>
      <w:r w:rsidRPr="00AB4AD5">
        <w:rPr>
          <w:rFonts w:ascii="Times New Roman" w:hAnsi="Times New Roman" w:cs="Times New Roman"/>
        </w:rPr>
        <w:t>Kuirniati</w:t>
      </w:r>
      <w:proofErr w:type="spellEnd"/>
      <w:r w:rsidRPr="00AB4AD5">
        <w:rPr>
          <w:rFonts w:ascii="Times New Roman" w:hAnsi="Times New Roman" w:cs="Times New Roman"/>
        </w:rPr>
        <w:t xml:space="preserve">, P. S., &amp; Mustapha, N. (2022). Banking financial performance in the industry </w:t>
      </w:r>
      <w:r>
        <w:rPr>
          <w:rFonts w:ascii="Times New Roman" w:hAnsi="Times New Roman" w:cs="Times New Roman"/>
        </w:rPr>
        <w:t xml:space="preserve">in the </w:t>
      </w:r>
      <w:r w:rsidRPr="00AB4AD5">
        <w:rPr>
          <w:rFonts w:ascii="Times New Roman" w:hAnsi="Times New Roman" w:cs="Times New Roman"/>
        </w:rPr>
        <w:t xml:space="preserve">financial technology era. </w:t>
      </w:r>
      <w:r w:rsidRPr="00AB4AD5">
        <w:rPr>
          <w:rFonts w:ascii="Times New Roman" w:hAnsi="Times New Roman" w:cs="Times New Roman"/>
          <w:i/>
          <w:iCs/>
        </w:rPr>
        <w:t>Journal of Eastern European and Central Asian Research, 9</w:t>
      </w:r>
      <w:r w:rsidRPr="00AB4AD5">
        <w:rPr>
          <w:rFonts w:ascii="Times New Roman" w:hAnsi="Times New Roman" w:cs="Times New Roman"/>
        </w:rPr>
        <w:t>(5), 889–900.</w:t>
      </w:r>
    </w:p>
    <w:p w14:paraId="4812049A" w14:textId="737D61C6" w:rsidR="00AB4AD5" w:rsidRPr="00AB4AD5" w:rsidRDefault="00AB4AD5" w:rsidP="00AB4AD5">
      <w:pPr>
        <w:spacing w:line="480" w:lineRule="auto"/>
        <w:rPr>
          <w:rFonts w:ascii="Times New Roman" w:hAnsi="Times New Roman" w:cs="Times New Roman"/>
        </w:rPr>
      </w:pPr>
      <w:proofErr w:type="spellStart"/>
      <w:r w:rsidRPr="00AB4AD5">
        <w:rPr>
          <w:rFonts w:ascii="Times New Roman" w:hAnsi="Times New Roman" w:cs="Times New Roman"/>
        </w:rPr>
        <w:t>Susellawati</w:t>
      </w:r>
      <w:proofErr w:type="spellEnd"/>
      <w:r w:rsidRPr="00AB4AD5">
        <w:rPr>
          <w:rFonts w:ascii="Times New Roman" w:hAnsi="Times New Roman" w:cs="Times New Roman"/>
        </w:rPr>
        <w:t xml:space="preserve">, S., Sari, D. P., Nabella, S. D., &amp; </w:t>
      </w:r>
      <w:proofErr w:type="spellStart"/>
      <w:r w:rsidRPr="00AB4AD5">
        <w:rPr>
          <w:rFonts w:ascii="Times New Roman" w:hAnsi="Times New Roman" w:cs="Times New Roman"/>
        </w:rPr>
        <w:t>Fadlilah</w:t>
      </w:r>
      <w:proofErr w:type="spellEnd"/>
      <w:r w:rsidRPr="00AB4AD5">
        <w:rPr>
          <w:rFonts w:ascii="Times New Roman" w:hAnsi="Times New Roman" w:cs="Times New Roman"/>
        </w:rPr>
        <w:t xml:space="preserve">, A. H. (2022). The effect of profitability, liquidity, leverage, and activity ratios on dividend policy in manufacturing companies in the food and beverage industry sector listed on the Indonesia Stock Exchange in the 2016–2020 period. </w:t>
      </w:r>
      <w:r w:rsidRPr="00AB4AD5">
        <w:rPr>
          <w:rFonts w:ascii="Times New Roman" w:hAnsi="Times New Roman" w:cs="Times New Roman"/>
          <w:i/>
          <w:iCs/>
        </w:rPr>
        <w:t>Journal</w:t>
      </w:r>
      <w:r w:rsidRPr="00AB4AD5">
        <w:rPr>
          <w:rFonts w:ascii="Times New Roman" w:hAnsi="Times New Roman" w:cs="Times New Roman"/>
          <w:i/>
          <w:iCs/>
        </w:rPr>
        <w:t xml:space="preserve"> Mantik, 6</w:t>
      </w:r>
      <w:r w:rsidRPr="00AB4AD5">
        <w:rPr>
          <w:rFonts w:ascii="Times New Roman" w:hAnsi="Times New Roman" w:cs="Times New Roman"/>
        </w:rPr>
        <w:t>(2), 141–152.</w:t>
      </w:r>
    </w:p>
    <w:p w14:paraId="6BDC2759" w14:textId="69D64889" w:rsidR="00AB4AD5" w:rsidRPr="00A5301F" w:rsidRDefault="00AB4AD5" w:rsidP="00AB4AD5">
      <w:pPr>
        <w:spacing w:line="480" w:lineRule="auto"/>
        <w:rPr>
          <w:rFonts w:ascii="Times New Roman" w:hAnsi="Times New Roman" w:cs="Times New Roman"/>
        </w:rPr>
      </w:pPr>
      <w:r w:rsidRPr="00AB4AD5">
        <w:rPr>
          <w:rFonts w:ascii="Times New Roman" w:hAnsi="Times New Roman" w:cs="Times New Roman"/>
        </w:rPr>
        <w:t xml:space="preserve">Terzis, M., &amp; </w:t>
      </w:r>
      <w:proofErr w:type="spellStart"/>
      <w:r w:rsidRPr="00AB4AD5">
        <w:rPr>
          <w:rFonts w:ascii="Times New Roman" w:hAnsi="Times New Roman" w:cs="Times New Roman"/>
        </w:rPr>
        <w:t>Gotzamani</w:t>
      </w:r>
      <w:proofErr w:type="spellEnd"/>
      <w:r w:rsidRPr="00AB4AD5">
        <w:rPr>
          <w:rFonts w:ascii="Times New Roman" w:hAnsi="Times New Roman" w:cs="Times New Roman"/>
        </w:rPr>
        <w:t xml:space="preserve">, K. (2025). Literature review on measuring sustainable performance in the retail sector: A review of energy efficiency strategies and their key performance indicators in supermarkets. </w:t>
      </w:r>
      <w:r w:rsidRPr="00AB4AD5">
        <w:rPr>
          <w:rFonts w:ascii="Times New Roman" w:hAnsi="Times New Roman" w:cs="Times New Roman"/>
          <w:i/>
          <w:iCs/>
        </w:rPr>
        <w:t>Sustainability, 17</w:t>
      </w:r>
      <w:r w:rsidRPr="00AB4AD5">
        <w:rPr>
          <w:rFonts w:ascii="Times New Roman" w:hAnsi="Times New Roman" w:cs="Times New Roman"/>
        </w:rPr>
        <w:t xml:space="preserve">(24), 11358. </w:t>
      </w:r>
    </w:p>
    <w:sectPr w:rsidR="00AB4AD5" w:rsidRPr="00A5301F" w:rsidSect="00AB4AD5">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6A53D3"/>
    <w:multiLevelType w:val="hybridMultilevel"/>
    <w:tmpl w:val="47E81C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559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01F"/>
    <w:rsid w:val="00097288"/>
    <w:rsid w:val="000D3603"/>
    <w:rsid w:val="00363C88"/>
    <w:rsid w:val="00972E8F"/>
    <w:rsid w:val="00A5301F"/>
    <w:rsid w:val="00AB4A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D63943"/>
  <w15:chartTrackingRefBased/>
  <w15:docId w15:val="{4487DDB8-F922-4AAC-B68D-9F3DCE0DA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30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30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30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30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30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30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30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30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30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0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30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30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30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30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30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30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30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301F"/>
    <w:rPr>
      <w:rFonts w:eastAsiaTheme="majorEastAsia" w:cstheme="majorBidi"/>
      <w:color w:val="272727" w:themeColor="text1" w:themeTint="D8"/>
    </w:rPr>
  </w:style>
  <w:style w:type="paragraph" w:styleId="Title">
    <w:name w:val="Title"/>
    <w:basedOn w:val="Normal"/>
    <w:next w:val="Normal"/>
    <w:link w:val="TitleChar"/>
    <w:uiPriority w:val="10"/>
    <w:qFormat/>
    <w:rsid w:val="00A530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30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30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30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301F"/>
    <w:pPr>
      <w:spacing w:before="160"/>
      <w:jc w:val="center"/>
    </w:pPr>
    <w:rPr>
      <w:i/>
      <w:iCs/>
      <w:color w:val="404040" w:themeColor="text1" w:themeTint="BF"/>
    </w:rPr>
  </w:style>
  <w:style w:type="character" w:customStyle="1" w:styleId="QuoteChar">
    <w:name w:val="Quote Char"/>
    <w:basedOn w:val="DefaultParagraphFont"/>
    <w:link w:val="Quote"/>
    <w:uiPriority w:val="29"/>
    <w:rsid w:val="00A5301F"/>
    <w:rPr>
      <w:i/>
      <w:iCs/>
      <w:color w:val="404040" w:themeColor="text1" w:themeTint="BF"/>
    </w:rPr>
  </w:style>
  <w:style w:type="paragraph" w:styleId="ListParagraph">
    <w:name w:val="List Paragraph"/>
    <w:basedOn w:val="Normal"/>
    <w:uiPriority w:val="34"/>
    <w:qFormat/>
    <w:rsid w:val="00A5301F"/>
    <w:pPr>
      <w:ind w:left="720"/>
      <w:contextualSpacing/>
    </w:pPr>
  </w:style>
  <w:style w:type="character" w:styleId="IntenseEmphasis">
    <w:name w:val="Intense Emphasis"/>
    <w:basedOn w:val="DefaultParagraphFont"/>
    <w:uiPriority w:val="21"/>
    <w:qFormat/>
    <w:rsid w:val="00A5301F"/>
    <w:rPr>
      <w:i/>
      <w:iCs/>
      <w:color w:val="0F4761" w:themeColor="accent1" w:themeShade="BF"/>
    </w:rPr>
  </w:style>
  <w:style w:type="paragraph" w:styleId="IntenseQuote">
    <w:name w:val="Intense Quote"/>
    <w:basedOn w:val="Normal"/>
    <w:next w:val="Normal"/>
    <w:link w:val="IntenseQuoteChar"/>
    <w:uiPriority w:val="30"/>
    <w:qFormat/>
    <w:rsid w:val="00A530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301F"/>
    <w:rPr>
      <w:i/>
      <w:iCs/>
      <w:color w:val="0F4761" w:themeColor="accent1" w:themeShade="BF"/>
    </w:rPr>
  </w:style>
  <w:style w:type="character" w:styleId="IntenseReference">
    <w:name w:val="Intense Reference"/>
    <w:basedOn w:val="DefaultParagraphFont"/>
    <w:uiPriority w:val="32"/>
    <w:qFormat/>
    <w:rsid w:val="00A5301F"/>
    <w:rPr>
      <w:b/>
      <w:bCs/>
      <w:smallCaps/>
      <w:color w:val="0F4761" w:themeColor="accent1" w:themeShade="BF"/>
      <w:spacing w:val="5"/>
    </w:rPr>
  </w:style>
  <w:style w:type="paragraph" w:styleId="NoSpacing">
    <w:name w:val="No Spacing"/>
    <w:link w:val="NoSpacingChar"/>
    <w:uiPriority w:val="1"/>
    <w:qFormat/>
    <w:rsid w:val="00AB4AD5"/>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AB4AD5"/>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2106</Words>
  <Characters>12005</Characters>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Financial Analysis</dc:title>
  <dc:subject/>
  <cp:keywords/>
  <dc:description/>
  <dcterms:created xsi:type="dcterms:W3CDTF">2026-04-21T22:39:00Z</dcterms:created>
  <dcterms:modified xsi:type="dcterms:W3CDTF">2026-04-21T22:39:00Z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08686db7-5513-4d82-8332-f24433f2f8b9</vt:lpwstr>
  </property>
</Properties>
</file>