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73A47D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E61C0">
              <w:rPr>
                <w:rFonts w:ascii="Times New Roman" w:hAnsi="Times New Roman" w:cs="Times New Roman"/>
                <w:b/>
                <w:color w:val="auto"/>
                <w:sz w:val="48"/>
              </w:rPr>
              <w:t>Adelle Maines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8D903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E61C0">
              <w:rPr>
                <w:rFonts w:ascii="Times New Roman" w:hAnsi="Times New Roman" w:cs="Times New Roman"/>
                <w:b/>
                <w:color w:val="auto"/>
                <w:sz w:val="48"/>
              </w:rPr>
              <w:t xml:space="preserve"> </w:t>
            </w:r>
            <w:r w:rsidR="00DE6AA2">
              <w:rPr>
                <w:rFonts w:ascii="Times New Roman" w:hAnsi="Times New Roman" w:cs="Times New Roman"/>
                <w:b/>
                <w:color w:val="auto"/>
                <w:sz w:val="48"/>
              </w:rPr>
              <w:t>2320490@student.uwtsd.ac.</w:t>
            </w:r>
            <w:r w:rsidR="003F5D54">
              <w:rPr>
                <w:rFonts w:ascii="Times New Roman" w:hAnsi="Times New Roman" w:cs="Times New Roman"/>
                <w:b/>
                <w:color w:val="auto"/>
                <w:sz w:val="48"/>
              </w:rPr>
              <w:t>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CA56E1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F5D54">
              <w:rPr>
                <w:rFonts w:ascii="Times New Roman" w:hAnsi="Times New Roman" w:cs="Times New Roman"/>
                <w:b/>
                <w:color w:val="auto"/>
                <w:sz w:val="48"/>
              </w:rPr>
              <w:t xml:space="preserve"> 2320490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5C56E9E" w14:textId="77777777" w:rsidR="00BD1E25" w:rsidRDefault="00BD1E25" w:rsidP="00BD1E25">
            <w:pPr>
              <w:jc w:val="both"/>
              <w:rPr>
                <w:sz w:val="24"/>
                <w:szCs w:val="24"/>
              </w:rPr>
            </w:pPr>
          </w:p>
          <w:p w14:paraId="023164F7" w14:textId="77777777" w:rsidR="00BD1E25" w:rsidRPr="00494593" w:rsidRDefault="00BD1E25" w:rsidP="00BD1E25">
            <w:pPr>
              <w:spacing w:line="360" w:lineRule="auto"/>
              <w:rPr>
                <w:sz w:val="24"/>
                <w:szCs w:val="24"/>
              </w:rPr>
            </w:pPr>
            <w:r w:rsidRPr="00494593">
              <w:rPr>
                <w:sz w:val="24"/>
                <w:szCs w:val="24"/>
              </w:rPr>
              <w:t>Although I’m a social worker in an adult’s social work team, I have some knowledge of the children services processes and safeguarding pathway. The Social Services and Wellbeing (Wales) Act 2014 (SSWB</w:t>
            </w:r>
            <w:r>
              <w:rPr>
                <w:sz w:val="24"/>
                <w:szCs w:val="24"/>
              </w:rPr>
              <w:t>(</w:t>
            </w:r>
            <w:r w:rsidRPr="00494593">
              <w:rPr>
                <w:sz w:val="24"/>
                <w:szCs w:val="24"/>
              </w:rPr>
              <w:t>W</w:t>
            </w:r>
            <w:r>
              <w:rPr>
                <w:sz w:val="24"/>
                <w:szCs w:val="24"/>
              </w:rPr>
              <w:t>)</w:t>
            </w:r>
            <w:r w:rsidRPr="00494593">
              <w:rPr>
                <w:sz w:val="24"/>
                <w:szCs w:val="24"/>
              </w:rPr>
              <w:t xml:space="preserve">A 2014) places duty on all local authority professionals to safeguard. </w:t>
            </w:r>
          </w:p>
          <w:p w14:paraId="3BFB08BC" w14:textId="77777777" w:rsidR="00BD1E25" w:rsidRPr="00494593" w:rsidRDefault="00BD1E25" w:rsidP="00BD1E25">
            <w:pPr>
              <w:spacing w:line="360" w:lineRule="auto"/>
              <w:rPr>
                <w:sz w:val="24"/>
                <w:szCs w:val="24"/>
              </w:rPr>
            </w:pPr>
          </w:p>
          <w:p w14:paraId="288AE633" w14:textId="77777777" w:rsidR="00BD1E25" w:rsidRPr="00494593" w:rsidRDefault="00BD1E25" w:rsidP="00BD1E25">
            <w:pPr>
              <w:spacing w:line="360" w:lineRule="auto"/>
              <w:rPr>
                <w:sz w:val="24"/>
                <w:szCs w:val="24"/>
              </w:rPr>
            </w:pPr>
            <w:r w:rsidRPr="00494593">
              <w:rPr>
                <w:sz w:val="24"/>
                <w:szCs w:val="24"/>
              </w:rPr>
              <w:t>Children’s services work with a range of legislations in practice determined by the outcome of the safeguarding referral and identified concerns. The primary legislation that all social workers in Wales work with the SSWB</w:t>
            </w:r>
            <w:r>
              <w:rPr>
                <w:sz w:val="24"/>
                <w:szCs w:val="24"/>
              </w:rPr>
              <w:t>(</w:t>
            </w:r>
            <w:r w:rsidRPr="00494593">
              <w:rPr>
                <w:sz w:val="24"/>
                <w:szCs w:val="24"/>
              </w:rPr>
              <w:t>W</w:t>
            </w:r>
            <w:r>
              <w:rPr>
                <w:sz w:val="24"/>
                <w:szCs w:val="24"/>
              </w:rPr>
              <w:t>)</w:t>
            </w:r>
            <w:r w:rsidRPr="00494593">
              <w:rPr>
                <w:sz w:val="24"/>
                <w:szCs w:val="24"/>
              </w:rPr>
              <w:t xml:space="preserve">A 2014. </w:t>
            </w:r>
            <w:r>
              <w:rPr>
                <w:sz w:val="24"/>
                <w:szCs w:val="24"/>
              </w:rPr>
              <w:t xml:space="preserve">The SSWB(W)A 2014 </w:t>
            </w:r>
            <w:r w:rsidRPr="00494593">
              <w:rPr>
                <w:sz w:val="24"/>
                <w:szCs w:val="24"/>
              </w:rPr>
              <w:t xml:space="preserve">Part 7 of the places empathises on the safeguarding criteria and processes which social workers adhere to. </w:t>
            </w:r>
          </w:p>
          <w:p w14:paraId="73ADEB18" w14:textId="77777777" w:rsidR="00BD1E25" w:rsidRPr="00494593" w:rsidRDefault="00BD1E25" w:rsidP="00BD1E25">
            <w:pPr>
              <w:spacing w:line="360" w:lineRule="auto"/>
              <w:rPr>
                <w:sz w:val="24"/>
                <w:szCs w:val="24"/>
              </w:rPr>
            </w:pPr>
          </w:p>
          <w:p w14:paraId="7220FD3D" w14:textId="77777777" w:rsidR="00BD1E25" w:rsidRPr="00494593" w:rsidRDefault="00BD1E25" w:rsidP="00BD1E25">
            <w:pPr>
              <w:spacing w:line="360" w:lineRule="auto"/>
              <w:rPr>
                <w:sz w:val="24"/>
                <w:szCs w:val="24"/>
              </w:rPr>
            </w:pPr>
            <w:r w:rsidRPr="00494593">
              <w:rPr>
                <w:sz w:val="24"/>
                <w:szCs w:val="24"/>
              </w:rPr>
              <w:t xml:space="preserve">Referrals to the team can be made in the form of a multi-agency referral form (MARF). This will provide a detailed account of concerns and family history. The MARF will be screened as per process and determine if the child needs immediate intervention, or they can be supported by an assessment of care and support (XX safeguarding board, 2019) </w:t>
            </w:r>
          </w:p>
          <w:p w14:paraId="76A0015F" w14:textId="77777777" w:rsidR="00BD1E25" w:rsidRPr="00494593" w:rsidRDefault="00BD1E25" w:rsidP="00BD1E25">
            <w:pPr>
              <w:spacing w:line="360" w:lineRule="auto"/>
              <w:rPr>
                <w:sz w:val="24"/>
                <w:szCs w:val="24"/>
              </w:rPr>
            </w:pPr>
          </w:p>
          <w:p w14:paraId="73618F39" w14:textId="25A2A9B4" w:rsidR="00BD1E25" w:rsidRPr="00494593" w:rsidRDefault="00BD1E25" w:rsidP="00BD1E25">
            <w:pPr>
              <w:spacing w:line="360" w:lineRule="auto"/>
              <w:rPr>
                <w:sz w:val="24"/>
                <w:szCs w:val="24"/>
              </w:rPr>
            </w:pPr>
            <w:r w:rsidRPr="00494593">
              <w:rPr>
                <w:sz w:val="24"/>
                <w:szCs w:val="24"/>
              </w:rPr>
              <w:t xml:space="preserve">If immediate concerns are raised and a child is identified at being at risk of significant harm, then an investigation will be completed under section 47 of the Children Act 1989. This can be undertaken even if an assessment under part 3 of the SSWBWA 2014 has not been </w:t>
            </w:r>
            <w:r w:rsidRPr="00494593">
              <w:rPr>
                <w:sz w:val="24"/>
                <w:szCs w:val="24"/>
              </w:rPr>
              <w:lastRenderedPageBreak/>
              <w:t>conducted. This assessment will determine if the child meets the threshold of the</w:t>
            </w:r>
            <w:r>
              <w:rPr>
                <w:sz w:val="24"/>
                <w:szCs w:val="24"/>
              </w:rPr>
              <w:t xml:space="preserve"> Children Act 1989</w:t>
            </w:r>
            <w:r w:rsidRPr="00494593">
              <w:rPr>
                <w:sz w:val="24"/>
                <w:szCs w:val="24"/>
              </w:rPr>
              <w:t xml:space="preserve"> s</w:t>
            </w:r>
            <w:r>
              <w:rPr>
                <w:sz w:val="24"/>
                <w:szCs w:val="24"/>
              </w:rPr>
              <w:t xml:space="preserve">ection </w:t>
            </w:r>
            <w:r w:rsidRPr="00494593">
              <w:rPr>
                <w:sz w:val="24"/>
                <w:szCs w:val="24"/>
              </w:rPr>
              <w:t xml:space="preserve">47, and if so, a strategy meeting will be held with a range of professionals including social services, health and police. The purpose of this would be to discuss the relevant information regarding the case in line with the General Data Protection Regulation 2018. A multi-agency decision would be made as to whether the </w:t>
            </w:r>
            <w:r>
              <w:rPr>
                <w:sz w:val="24"/>
                <w:szCs w:val="24"/>
              </w:rPr>
              <w:t xml:space="preserve">section </w:t>
            </w:r>
            <w:r w:rsidRPr="00494593">
              <w:rPr>
                <w:sz w:val="24"/>
                <w:szCs w:val="24"/>
              </w:rPr>
              <w:t xml:space="preserve">47 assessment should commence or continue if already started. In addition to this it would establish if criminal investigations should be </w:t>
            </w:r>
            <w:r w:rsidR="003F43E8" w:rsidRPr="00494593">
              <w:rPr>
                <w:sz w:val="24"/>
                <w:szCs w:val="24"/>
              </w:rPr>
              <w:t>made</w:t>
            </w:r>
            <w:r w:rsidR="003F43E8">
              <w:rPr>
                <w:sz w:val="24"/>
                <w:szCs w:val="24"/>
              </w:rPr>
              <w:t>(Johns</w:t>
            </w:r>
            <w:r>
              <w:rPr>
                <w:sz w:val="24"/>
                <w:szCs w:val="24"/>
              </w:rPr>
              <w:t>, 2017, p64)</w:t>
            </w:r>
            <w:r w:rsidRPr="00494593">
              <w:rPr>
                <w:sz w:val="24"/>
                <w:szCs w:val="24"/>
              </w:rPr>
              <w:t xml:space="preserve">. </w:t>
            </w:r>
          </w:p>
          <w:p w14:paraId="00C06556" w14:textId="77777777" w:rsidR="00BD1E25" w:rsidRPr="00494593" w:rsidRDefault="00BD1E25" w:rsidP="00BD1E25">
            <w:pPr>
              <w:spacing w:line="360" w:lineRule="auto"/>
              <w:rPr>
                <w:sz w:val="24"/>
                <w:szCs w:val="24"/>
              </w:rPr>
            </w:pPr>
          </w:p>
          <w:p w14:paraId="6FFC4FCF" w14:textId="77777777" w:rsidR="00BD1E25" w:rsidRPr="00494593" w:rsidRDefault="00BD1E25" w:rsidP="00BD1E25">
            <w:pPr>
              <w:spacing w:line="360" w:lineRule="auto"/>
              <w:rPr>
                <w:sz w:val="24"/>
                <w:szCs w:val="24"/>
              </w:rPr>
            </w:pPr>
            <w:r w:rsidRPr="00494593">
              <w:rPr>
                <w:sz w:val="24"/>
                <w:szCs w:val="24"/>
              </w:rPr>
              <w:t xml:space="preserve">The outcome of the strategy meeting would determine what immediate actions should be taken to safeguard the child. It could result in social services proceeding with an emergency protection order S44 of the children Act 1989 which will allow them to remove the child legally for up to 8 days. Another could be a police protection order S46 which has powers to remove the child for up to 72 hours. </w:t>
            </w:r>
          </w:p>
          <w:p w14:paraId="3D8EA18D" w14:textId="77777777" w:rsidR="00BD1E25" w:rsidRPr="00494593" w:rsidRDefault="00BD1E25" w:rsidP="00BD1E25">
            <w:pPr>
              <w:spacing w:line="360" w:lineRule="auto"/>
              <w:rPr>
                <w:sz w:val="24"/>
                <w:szCs w:val="24"/>
              </w:rPr>
            </w:pPr>
          </w:p>
          <w:p w14:paraId="23D86C13" w14:textId="77777777" w:rsidR="00BD1E25" w:rsidRPr="00494593" w:rsidRDefault="00BD1E25" w:rsidP="00BD1E25">
            <w:pPr>
              <w:spacing w:line="360" w:lineRule="auto"/>
              <w:rPr>
                <w:sz w:val="24"/>
                <w:szCs w:val="24"/>
              </w:rPr>
            </w:pPr>
            <w:r w:rsidRPr="00494593">
              <w:rPr>
                <w:sz w:val="24"/>
                <w:szCs w:val="24"/>
              </w:rPr>
              <w:t>The Wales safeguarding procedures</w:t>
            </w:r>
            <w:r>
              <w:rPr>
                <w:sz w:val="24"/>
                <w:szCs w:val="24"/>
              </w:rPr>
              <w:t xml:space="preserve"> 2019</w:t>
            </w:r>
            <w:r w:rsidRPr="00494593">
              <w:rPr>
                <w:sz w:val="24"/>
                <w:szCs w:val="24"/>
              </w:rPr>
              <w:t xml:space="preserve"> and regional safeguarding boards strengthen safeguarding processes in Wales. They operate the SSWB</w:t>
            </w:r>
            <w:r>
              <w:rPr>
                <w:sz w:val="24"/>
                <w:szCs w:val="24"/>
              </w:rPr>
              <w:t>(</w:t>
            </w:r>
            <w:r w:rsidRPr="00494593">
              <w:rPr>
                <w:sz w:val="24"/>
                <w:szCs w:val="24"/>
              </w:rPr>
              <w:t>W</w:t>
            </w:r>
            <w:r>
              <w:rPr>
                <w:sz w:val="24"/>
                <w:szCs w:val="24"/>
              </w:rPr>
              <w:t>)</w:t>
            </w:r>
            <w:r w:rsidRPr="00494593">
              <w:rPr>
                <w:sz w:val="24"/>
                <w:szCs w:val="24"/>
              </w:rPr>
              <w:t>A 2014</w:t>
            </w:r>
            <w:r>
              <w:rPr>
                <w:sz w:val="24"/>
                <w:szCs w:val="24"/>
              </w:rPr>
              <w:t xml:space="preserve"> part 7</w:t>
            </w:r>
            <w:r w:rsidRPr="00494593">
              <w:rPr>
                <w:sz w:val="24"/>
                <w:szCs w:val="24"/>
              </w:rPr>
              <w:t>. The boards are vital for ensuring that all local services work together in a multi-agency strategic partnership ensuring effectiveness of support to safeguard and promote the wellbeing of the child at risk (xx local safeguarding board, 2019).</w:t>
            </w:r>
          </w:p>
          <w:p w14:paraId="40B6E42D" w14:textId="36BA1BAA" w:rsidR="00BD1E25" w:rsidRPr="00494593" w:rsidRDefault="00BD1E25" w:rsidP="00BD1E25">
            <w:pPr>
              <w:spacing w:line="360" w:lineRule="auto"/>
              <w:rPr>
                <w:sz w:val="24"/>
                <w:szCs w:val="24"/>
              </w:rPr>
            </w:pPr>
            <w:r>
              <w:rPr>
                <w:sz w:val="24"/>
                <w:szCs w:val="24"/>
              </w:rPr>
              <w:t xml:space="preserve">Although I work in adult services, I am still accountable to the Codes of Professional Practice, in which I have a duty to protect (social care Wales, 2017). I work with individuals who may have children so </w:t>
            </w:r>
            <w:r>
              <w:rPr>
                <w:sz w:val="24"/>
                <w:szCs w:val="24"/>
              </w:rPr>
              <w:t>it’s</w:t>
            </w:r>
            <w:r>
              <w:rPr>
                <w:sz w:val="24"/>
                <w:szCs w:val="24"/>
              </w:rPr>
              <w:t xml:space="preserve"> imperative that I adhere to process to safeguard all. </w:t>
            </w:r>
          </w:p>
          <w:p w14:paraId="5CA894DD" w14:textId="5609ABD5" w:rsidR="004C74DE" w:rsidRPr="004C74DE" w:rsidRDefault="004C74DE" w:rsidP="00A25A7C">
            <w:pPr>
              <w:spacing w:line="360" w:lineRule="auto"/>
              <w:rPr>
                <w:sz w:val="24"/>
                <w:szCs w:val="24"/>
              </w:rPr>
            </w:pPr>
          </w:p>
          <w:p w14:paraId="119B1FFF" w14:textId="67FC7706" w:rsidR="004C74DE" w:rsidRPr="00087A55" w:rsidRDefault="00AE0BA2" w:rsidP="00087A55">
            <w:pPr>
              <w:spacing w:line="360" w:lineRule="auto"/>
              <w:rPr>
                <w:sz w:val="24"/>
                <w:szCs w:val="24"/>
              </w:rPr>
            </w:pPr>
            <w:r>
              <w:rPr>
                <w:sz w:val="24"/>
                <w:szCs w:val="24"/>
              </w:rPr>
              <w:t>Word count: 477</w:t>
            </w:r>
          </w:p>
          <w:p w14:paraId="0318E819" w14:textId="77777777" w:rsidR="00FC0334" w:rsidRPr="00087A55" w:rsidRDefault="00FC0334" w:rsidP="00087A55">
            <w:pPr>
              <w:spacing w:line="360" w:lineRule="auto"/>
              <w:jc w:val="both"/>
              <w:rPr>
                <w:sz w:val="24"/>
                <w:szCs w:val="24"/>
              </w:rPr>
            </w:pPr>
          </w:p>
          <w:p w14:paraId="6D8CB8AF" w14:textId="77777777" w:rsidR="00FC0334" w:rsidRPr="00087A55" w:rsidRDefault="00FC0334" w:rsidP="00087A55">
            <w:pPr>
              <w:spacing w:line="360" w:lineRule="auto"/>
              <w:jc w:val="both"/>
              <w:rPr>
                <w:sz w:val="24"/>
                <w:szCs w:val="24"/>
              </w:rPr>
            </w:pPr>
          </w:p>
          <w:p w14:paraId="4A95F4DB" w14:textId="77777777" w:rsidR="00FC0334" w:rsidRDefault="00FC0334"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14303CBE" w:rsidR="005A545C" w:rsidRDefault="005A545C"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18566362" w14:textId="3BA5D58F" w:rsidR="00A25A7C" w:rsidRPr="00494593" w:rsidRDefault="00A25A7C" w:rsidP="00A25A7C">
            <w:pPr>
              <w:spacing w:line="360" w:lineRule="auto"/>
              <w:rPr>
                <w:sz w:val="24"/>
                <w:szCs w:val="24"/>
              </w:rPr>
            </w:pPr>
            <w:r w:rsidRPr="00494593">
              <w:rPr>
                <w:sz w:val="24"/>
                <w:szCs w:val="24"/>
              </w:rPr>
              <w:t>The Social Service and Well-being (Wales) Act 2014) (SSWB</w:t>
            </w:r>
            <w:r w:rsidR="00F27B1C">
              <w:rPr>
                <w:sz w:val="24"/>
                <w:szCs w:val="24"/>
              </w:rPr>
              <w:t>W</w:t>
            </w:r>
            <w:r w:rsidRPr="00494593">
              <w:rPr>
                <w:sz w:val="24"/>
                <w:szCs w:val="24"/>
              </w:rPr>
              <w:t>A 2014) is the primary piece of legislative framework for social workers in Wales. The SSWB</w:t>
            </w:r>
            <w:r w:rsidR="00F27B1C">
              <w:rPr>
                <w:sz w:val="24"/>
                <w:szCs w:val="24"/>
              </w:rPr>
              <w:t>(</w:t>
            </w:r>
            <w:r w:rsidRPr="00494593">
              <w:rPr>
                <w:sz w:val="24"/>
                <w:szCs w:val="24"/>
              </w:rPr>
              <w:t>W</w:t>
            </w:r>
            <w:r w:rsidR="00F27B1C">
              <w:rPr>
                <w:sz w:val="24"/>
                <w:szCs w:val="24"/>
              </w:rPr>
              <w:t>)</w:t>
            </w:r>
            <w:r w:rsidRPr="00494593">
              <w:rPr>
                <w:sz w:val="24"/>
                <w:szCs w:val="24"/>
              </w:rPr>
              <w:t xml:space="preserve">A 2014 Part 7 sets out clear guidelines on how professionals should report individuals who are at risk of abuse.  There are clear processes and procedures which must be followed in respect of both adults and children identifying how safeguarding is everyone’s duty.  This works </w:t>
            </w:r>
            <w:r w:rsidR="00AE0BA2" w:rsidRPr="00494593">
              <w:rPr>
                <w:sz w:val="24"/>
                <w:szCs w:val="24"/>
              </w:rPr>
              <w:t>in line</w:t>
            </w:r>
            <w:r w:rsidRPr="00494593">
              <w:rPr>
                <w:sz w:val="24"/>
                <w:szCs w:val="24"/>
              </w:rPr>
              <w:t xml:space="preserve"> with the Wales Safeguarding procedures 2019 and local safeguarding boards (Social care Wales, 2025). </w:t>
            </w:r>
          </w:p>
          <w:p w14:paraId="452F5954" w14:textId="2BB03BA3" w:rsidR="00A25A7C" w:rsidRPr="00494593" w:rsidRDefault="00A25A7C" w:rsidP="00A25A7C">
            <w:pPr>
              <w:spacing w:line="360" w:lineRule="auto"/>
              <w:rPr>
                <w:sz w:val="24"/>
                <w:szCs w:val="24"/>
              </w:rPr>
            </w:pPr>
            <w:r w:rsidRPr="00494593">
              <w:rPr>
                <w:sz w:val="24"/>
                <w:szCs w:val="24"/>
              </w:rPr>
              <w:t xml:space="preserve"> Although children and adults can be suffering from the same types of abuse, a difference regarding the legislative framework will change if a child is identified that they could be suffering or likely to suffer significant harm. The Children Act 1989 </w:t>
            </w:r>
            <w:r w:rsidR="004700C8">
              <w:rPr>
                <w:sz w:val="24"/>
                <w:szCs w:val="24"/>
              </w:rPr>
              <w:t>works in conjunction</w:t>
            </w:r>
            <w:r w:rsidR="0006633D">
              <w:rPr>
                <w:sz w:val="24"/>
                <w:szCs w:val="24"/>
              </w:rPr>
              <w:t xml:space="preserve"> with</w:t>
            </w:r>
            <w:r w:rsidRPr="00494593">
              <w:rPr>
                <w:sz w:val="24"/>
                <w:szCs w:val="24"/>
              </w:rPr>
              <w:t xml:space="preserve"> the SSWB(W)A part 7, and S47 enquiries would be made to investigate the allegations. The local authority has a duty to safeguard the child which could mean taking immediate action. Working within the framework of the Children Act 1989 would provide them with additional powers to implement such as an emergency protection order under section 44 of the Children Act 1989.  Although legislations are incorporated with human rights there will be times that a parent human rights are not considered due to the </w:t>
            </w:r>
            <w:r w:rsidRPr="00494593">
              <w:rPr>
                <w:color w:val="333333"/>
                <w:sz w:val="24"/>
                <w:szCs w:val="24"/>
                <w:shd w:val="clear" w:color="auto" w:fill="FFFFFF"/>
              </w:rPr>
              <w:t>legal principle “Welfare of the Child is Paramount” under the Children Act 1989. It means that the considerations which might apply to other situations should not be allowed to over-ride the right of children to be protected from harm (Social care Wales, 2025).</w:t>
            </w:r>
          </w:p>
          <w:p w14:paraId="4482C43B" w14:textId="77777777" w:rsidR="00A25A7C" w:rsidRPr="00494593" w:rsidRDefault="00A25A7C" w:rsidP="00A25A7C">
            <w:pPr>
              <w:spacing w:line="360" w:lineRule="auto"/>
              <w:rPr>
                <w:sz w:val="24"/>
                <w:szCs w:val="24"/>
              </w:rPr>
            </w:pPr>
            <w:r w:rsidRPr="00494593">
              <w:rPr>
                <w:sz w:val="24"/>
                <w:szCs w:val="24"/>
              </w:rPr>
              <w:t xml:space="preserve">Another difference between children and adults safeguarding is around capacity and consent.  The Mental Capacity Act 2005 states that people have the right to make unwise decisions, and we must assume them to have capacity until proven otherwise. Informed consent from adults should always be given wherever possible, although if the individual has capacity but does not consent then a social worker has a professional responsibility to </w:t>
            </w:r>
            <w:r w:rsidRPr="00494593">
              <w:rPr>
                <w:sz w:val="24"/>
                <w:szCs w:val="24"/>
              </w:rPr>
              <w:lastRenderedPageBreak/>
              <w:t xml:space="preserve">override consent if the adult is being coerced, controlled and intimidated or there has been a crime committed (XX safeguarding board,2018). </w:t>
            </w:r>
          </w:p>
          <w:p w14:paraId="67AEE7AB" w14:textId="77777777" w:rsidR="00A25A7C" w:rsidRDefault="00A25A7C" w:rsidP="00A25A7C">
            <w:pPr>
              <w:spacing w:line="360" w:lineRule="auto"/>
              <w:rPr>
                <w:sz w:val="24"/>
                <w:szCs w:val="24"/>
              </w:rPr>
            </w:pPr>
            <w:r w:rsidRPr="00494593">
              <w:rPr>
                <w:sz w:val="24"/>
                <w:szCs w:val="24"/>
              </w:rPr>
              <w:t xml:space="preserve">The local authority would not assess a child’s capacity regarding their understanding of risk. The Mental Capacity Act 2005 framework does not work with individuals who are under the age of 16 years. With children the Gillick/Fraser rules can be used to decide if a child is mature enough to make and understand decisions that affect them. Although if a child is identified at being at risk of significant harm, then safeguarding would override this (NSPCC, 2022). </w:t>
            </w:r>
          </w:p>
          <w:p w14:paraId="77DC1C43" w14:textId="1190D20A" w:rsidR="00B7113F" w:rsidRPr="00494593" w:rsidRDefault="00B7113F" w:rsidP="00A25A7C">
            <w:pPr>
              <w:spacing w:line="360" w:lineRule="auto"/>
              <w:rPr>
                <w:sz w:val="24"/>
                <w:szCs w:val="24"/>
              </w:rPr>
            </w:pPr>
            <w:r>
              <w:rPr>
                <w:sz w:val="24"/>
                <w:szCs w:val="24"/>
              </w:rPr>
              <w:t>Word count 420</w:t>
            </w: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6DFC8C76" w:rsidR="00FC0334" w:rsidRDefault="00FC0334"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A3B25" w14:textId="77777777" w:rsidR="00A65057" w:rsidRDefault="00A65057">
      <w:r>
        <w:separator/>
      </w:r>
    </w:p>
  </w:endnote>
  <w:endnote w:type="continuationSeparator" w:id="0">
    <w:p w14:paraId="59850249" w14:textId="77777777" w:rsidR="00A65057" w:rsidRDefault="00A65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27635" w14:textId="77777777" w:rsidR="00A65057" w:rsidRDefault="00A65057">
      <w:r>
        <w:separator/>
      </w:r>
    </w:p>
  </w:footnote>
  <w:footnote w:type="continuationSeparator" w:id="0">
    <w:p w14:paraId="504C216D" w14:textId="77777777" w:rsidR="00A65057" w:rsidRDefault="00A65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0E06A1"/>
    <w:multiLevelType w:val="multilevel"/>
    <w:tmpl w:val="DFE8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1"/>
  </w:num>
  <w:num w:numId="53" w16cid:durableId="435172075">
    <w:abstractNumId w:val="2"/>
  </w:num>
  <w:num w:numId="54" w16cid:durableId="1260258550">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566F"/>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6633D"/>
    <w:rsid w:val="00074461"/>
    <w:rsid w:val="000766EC"/>
    <w:rsid w:val="00080E58"/>
    <w:rsid w:val="00083D99"/>
    <w:rsid w:val="00084DA6"/>
    <w:rsid w:val="00085699"/>
    <w:rsid w:val="00087A55"/>
    <w:rsid w:val="00090160"/>
    <w:rsid w:val="00091F52"/>
    <w:rsid w:val="00092970"/>
    <w:rsid w:val="00093720"/>
    <w:rsid w:val="000938E6"/>
    <w:rsid w:val="00093B3C"/>
    <w:rsid w:val="0009488C"/>
    <w:rsid w:val="00095C1B"/>
    <w:rsid w:val="00096DEA"/>
    <w:rsid w:val="000A4240"/>
    <w:rsid w:val="000A469A"/>
    <w:rsid w:val="000A584A"/>
    <w:rsid w:val="000A6458"/>
    <w:rsid w:val="000C1B01"/>
    <w:rsid w:val="000C378F"/>
    <w:rsid w:val="000C5EDC"/>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428F"/>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6CD9"/>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385C"/>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9E8"/>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43E8"/>
    <w:rsid w:val="003F5D54"/>
    <w:rsid w:val="003F67A4"/>
    <w:rsid w:val="00400786"/>
    <w:rsid w:val="00401FDA"/>
    <w:rsid w:val="004046F0"/>
    <w:rsid w:val="0040668F"/>
    <w:rsid w:val="00411EF7"/>
    <w:rsid w:val="00412677"/>
    <w:rsid w:val="00420E45"/>
    <w:rsid w:val="00425160"/>
    <w:rsid w:val="00430DE3"/>
    <w:rsid w:val="004348AE"/>
    <w:rsid w:val="004376C0"/>
    <w:rsid w:val="0044223A"/>
    <w:rsid w:val="00444B5F"/>
    <w:rsid w:val="00450B67"/>
    <w:rsid w:val="00451851"/>
    <w:rsid w:val="0045189A"/>
    <w:rsid w:val="00453343"/>
    <w:rsid w:val="004538C3"/>
    <w:rsid w:val="004608B9"/>
    <w:rsid w:val="00463B55"/>
    <w:rsid w:val="00465947"/>
    <w:rsid w:val="004667B1"/>
    <w:rsid w:val="00467F66"/>
    <w:rsid w:val="004700C8"/>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C74DE"/>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356"/>
    <w:rsid w:val="00516ABB"/>
    <w:rsid w:val="00521123"/>
    <w:rsid w:val="00521221"/>
    <w:rsid w:val="0052250B"/>
    <w:rsid w:val="005305C6"/>
    <w:rsid w:val="00540EEC"/>
    <w:rsid w:val="005414F4"/>
    <w:rsid w:val="00542E18"/>
    <w:rsid w:val="00546187"/>
    <w:rsid w:val="00547B11"/>
    <w:rsid w:val="00553E03"/>
    <w:rsid w:val="00557D77"/>
    <w:rsid w:val="00562EAA"/>
    <w:rsid w:val="00563B58"/>
    <w:rsid w:val="005640C4"/>
    <w:rsid w:val="0056684C"/>
    <w:rsid w:val="005708EF"/>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3326"/>
    <w:rsid w:val="00606E27"/>
    <w:rsid w:val="006108C9"/>
    <w:rsid w:val="00614DF7"/>
    <w:rsid w:val="006179BB"/>
    <w:rsid w:val="0062158D"/>
    <w:rsid w:val="006223FD"/>
    <w:rsid w:val="00627344"/>
    <w:rsid w:val="006326D1"/>
    <w:rsid w:val="00632E0A"/>
    <w:rsid w:val="00633165"/>
    <w:rsid w:val="006447DE"/>
    <w:rsid w:val="00644889"/>
    <w:rsid w:val="0065276E"/>
    <w:rsid w:val="00654329"/>
    <w:rsid w:val="00654CEC"/>
    <w:rsid w:val="00655507"/>
    <w:rsid w:val="0065561B"/>
    <w:rsid w:val="006579FD"/>
    <w:rsid w:val="006635E3"/>
    <w:rsid w:val="006669F3"/>
    <w:rsid w:val="0066785B"/>
    <w:rsid w:val="006712A7"/>
    <w:rsid w:val="00672CED"/>
    <w:rsid w:val="00674FC2"/>
    <w:rsid w:val="00676E35"/>
    <w:rsid w:val="00677E42"/>
    <w:rsid w:val="00682334"/>
    <w:rsid w:val="00684732"/>
    <w:rsid w:val="00684B16"/>
    <w:rsid w:val="00687016"/>
    <w:rsid w:val="006872A0"/>
    <w:rsid w:val="00687C49"/>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3944"/>
    <w:rsid w:val="007C556F"/>
    <w:rsid w:val="007C5ABE"/>
    <w:rsid w:val="007C6A87"/>
    <w:rsid w:val="007D0A07"/>
    <w:rsid w:val="007D0F11"/>
    <w:rsid w:val="007D133D"/>
    <w:rsid w:val="007D3EB4"/>
    <w:rsid w:val="007D3F16"/>
    <w:rsid w:val="007E49DE"/>
    <w:rsid w:val="007E61C0"/>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28BF"/>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61EB"/>
    <w:rsid w:val="008B07DE"/>
    <w:rsid w:val="008B1309"/>
    <w:rsid w:val="008B28E7"/>
    <w:rsid w:val="008B58E5"/>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D78E0"/>
    <w:rsid w:val="008E3195"/>
    <w:rsid w:val="008E5A35"/>
    <w:rsid w:val="008F127E"/>
    <w:rsid w:val="008F32D9"/>
    <w:rsid w:val="00902A65"/>
    <w:rsid w:val="00903932"/>
    <w:rsid w:val="009079BD"/>
    <w:rsid w:val="00912BD9"/>
    <w:rsid w:val="00916FB2"/>
    <w:rsid w:val="00920E5B"/>
    <w:rsid w:val="00926436"/>
    <w:rsid w:val="00926C53"/>
    <w:rsid w:val="0093018C"/>
    <w:rsid w:val="00934D59"/>
    <w:rsid w:val="0094495F"/>
    <w:rsid w:val="009544C0"/>
    <w:rsid w:val="00954FA4"/>
    <w:rsid w:val="00956AE9"/>
    <w:rsid w:val="00964CC6"/>
    <w:rsid w:val="00967BFA"/>
    <w:rsid w:val="00973E7D"/>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A7C"/>
    <w:rsid w:val="00A25F64"/>
    <w:rsid w:val="00A275F6"/>
    <w:rsid w:val="00A303B9"/>
    <w:rsid w:val="00A37416"/>
    <w:rsid w:val="00A402C1"/>
    <w:rsid w:val="00A40ED6"/>
    <w:rsid w:val="00A47621"/>
    <w:rsid w:val="00A479CD"/>
    <w:rsid w:val="00A50CFC"/>
    <w:rsid w:val="00A54D67"/>
    <w:rsid w:val="00A55A3F"/>
    <w:rsid w:val="00A5656A"/>
    <w:rsid w:val="00A60103"/>
    <w:rsid w:val="00A65057"/>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728F"/>
    <w:rsid w:val="00AE0BA2"/>
    <w:rsid w:val="00AE134C"/>
    <w:rsid w:val="00AE1868"/>
    <w:rsid w:val="00AE2564"/>
    <w:rsid w:val="00AE301F"/>
    <w:rsid w:val="00AE3302"/>
    <w:rsid w:val="00AE427A"/>
    <w:rsid w:val="00AE5BA6"/>
    <w:rsid w:val="00AE6231"/>
    <w:rsid w:val="00AE6F0D"/>
    <w:rsid w:val="00AE7077"/>
    <w:rsid w:val="00AF529B"/>
    <w:rsid w:val="00AF61C2"/>
    <w:rsid w:val="00AF6CC6"/>
    <w:rsid w:val="00B0296A"/>
    <w:rsid w:val="00B07B36"/>
    <w:rsid w:val="00B07E79"/>
    <w:rsid w:val="00B12295"/>
    <w:rsid w:val="00B137BE"/>
    <w:rsid w:val="00B15998"/>
    <w:rsid w:val="00B17FA0"/>
    <w:rsid w:val="00B20E66"/>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13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E25"/>
    <w:rsid w:val="00BD30B1"/>
    <w:rsid w:val="00BE0F7B"/>
    <w:rsid w:val="00BE10C2"/>
    <w:rsid w:val="00BE5079"/>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CE1"/>
    <w:rsid w:val="00C63CAB"/>
    <w:rsid w:val="00C63D00"/>
    <w:rsid w:val="00C6441B"/>
    <w:rsid w:val="00C65921"/>
    <w:rsid w:val="00C65F13"/>
    <w:rsid w:val="00C7108B"/>
    <w:rsid w:val="00C75883"/>
    <w:rsid w:val="00C77FA5"/>
    <w:rsid w:val="00C8089F"/>
    <w:rsid w:val="00C835FE"/>
    <w:rsid w:val="00C836CC"/>
    <w:rsid w:val="00C852D6"/>
    <w:rsid w:val="00C87A74"/>
    <w:rsid w:val="00C92C71"/>
    <w:rsid w:val="00C93F8F"/>
    <w:rsid w:val="00CA0894"/>
    <w:rsid w:val="00CA1C0C"/>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4322"/>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6AA2"/>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246"/>
    <w:rsid w:val="00F01F92"/>
    <w:rsid w:val="00F030D4"/>
    <w:rsid w:val="00F04053"/>
    <w:rsid w:val="00F06573"/>
    <w:rsid w:val="00F10A08"/>
    <w:rsid w:val="00F15354"/>
    <w:rsid w:val="00F22AC5"/>
    <w:rsid w:val="00F23672"/>
    <w:rsid w:val="00F254D1"/>
    <w:rsid w:val="00F27B1C"/>
    <w:rsid w:val="00F32B82"/>
    <w:rsid w:val="00F34C86"/>
    <w:rsid w:val="00F4043E"/>
    <w:rsid w:val="00F41795"/>
    <w:rsid w:val="00F41BBC"/>
    <w:rsid w:val="00F444F0"/>
    <w:rsid w:val="00F446FF"/>
    <w:rsid w:val="00F45521"/>
    <w:rsid w:val="00F50847"/>
    <w:rsid w:val="00F5181B"/>
    <w:rsid w:val="00F53F27"/>
    <w:rsid w:val="00F546D1"/>
    <w:rsid w:val="00F60281"/>
    <w:rsid w:val="00F66272"/>
    <w:rsid w:val="00F709C0"/>
    <w:rsid w:val="00F81FEC"/>
    <w:rsid w:val="00F9029E"/>
    <w:rsid w:val="00F915D9"/>
    <w:rsid w:val="00F927A1"/>
    <w:rsid w:val="00F92E4D"/>
    <w:rsid w:val="00F95D08"/>
    <w:rsid w:val="00FA0497"/>
    <w:rsid w:val="00FA23BD"/>
    <w:rsid w:val="00FA3764"/>
    <w:rsid w:val="00FA41C7"/>
    <w:rsid w:val="00FA4A79"/>
    <w:rsid w:val="00FA56ED"/>
    <w:rsid w:val="00FB05DD"/>
    <w:rsid w:val="00FB0F7C"/>
    <w:rsid w:val="00FB24EA"/>
    <w:rsid w:val="00FB4772"/>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672019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E852B45EFF9D438C62F5731E55F2D7" ma:contentTypeVersion="3" ma:contentTypeDescription="Create a new document." ma:contentTypeScope="" ma:versionID="0f8667c337c632f1955f7f1465c04e4a">
  <xsd:schema xmlns:xsd="http://www.w3.org/2001/XMLSchema" xmlns:xs="http://www.w3.org/2001/XMLSchema" xmlns:p="http://schemas.microsoft.com/office/2006/metadata/properties" xmlns:ns2="2ec872c3-85f8-4ccc-9e70-3076f9915f1c" targetNamespace="http://schemas.microsoft.com/office/2006/metadata/properties" ma:root="true" ma:fieldsID="d21e980fc97fca048fbd41ea50865473" ns2:_="">
    <xsd:import namespace="2ec872c3-85f8-4ccc-9e70-3076f9915f1c"/>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c872c3-85f8-4ccc-9e70-3076f9915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D293D578-FC9F-49B1-9D32-72F206CEE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c872c3-85f8-4ccc-9e70-3076f9915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6524D4-9E52-4B93-A764-E20A1AB3246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5</Pages>
  <Words>1072</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Adelle M Maines</cp:lastModifiedBy>
  <cp:revision>56</cp:revision>
  <cp:lastPrinted>2020-02-11T19:20:00Z</cp:lastPrinted>
  <dcterms:created xsi:type="dcterms:W3CDTF">2022-09-29T11:35:00Z</dcterms:created>
  <dcterms:modified xsi:type="dcterms:W3CDTF">2025-02-19T11:30:00Z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0x0101006AE852B45EFF9D438C62F5731E55F2D7</vt:lpwstr>
  </property>
</Properties>
</file>