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BE369" w14:textId="77777777" w:rsidR="00EA0079" w:rsidRPr="00EA0079" w:rsidRDefault="00EA0079" w:rsidP="00EA0079">
      <w:pPr>
        <w:spacing w:before="120" w:after="120"/>
        <w:rPr>
          <w:rFonts w:ascii="Arial" w:hAnsi="Arial" w:cs="Arial"/>
        </w:rPr>
      </w:pPr>
      <w:r w:rsidRPr="00EA0079">
        <w:rPr>
          <w:rFonts w:ascii="Arial" w:hAnsi="Arial" w:cs="Arial"/>
        </w:rPr>
        <w:t>a)</w:t>
      </w:r>
    </w:p>
    <w:tbl>
      <w:tblPr>
        <w:tblStyle w:val="TableGrid"/>
        <w:tblW w:w="0" w:type="auto"/>
        <w:tblLook w:val="04A0" w:firstRow="1" w:lastRow="0" w:firstColumn="1" w:lastColumn="0" w:noHBand="0" w:noVBand="1"/>
      </w:tblPr>
      <w:tblGrid>
        <w:gridCol w:w="4452"/>
        <w:gridCol w:w="4404"/>
      </w:tblGrid>
      <w:tr w:rsidR="00EA0079" w:rsidRPr="00EA0079" w14:paraId="7A237815" w14:textId="77777777" w:rsidTr="00377DCE">
        <w:trPr>
          <w:trHeight w:val="231"/>
        </w:trPr>
        <w:tc>
          <w:tcPr>
            <w:tcW w:w="4452" w:type="dxa"/>
          </w:tcPr>
          <w:p w14:paraId="5E803837" w14:textId="77777777" w:rsidR="00EA0079" w:rsidRPr="00EA0079" w:rsidRDefault="00EA0079" w:rsidP="00EA0079">
            <w:pPr>
              <w:widowControl w:val="0"/>
              <w:autoSpaceDE w:val="0"/>
              <w:autoSpaceDN w:val="0"/>
              <w:spacing w:before="120" w:after="120"/>
              <w:jc w:val="center"/>
              <w:outlineLvl w:val="1"/>
              <w:rPr>
                <w:rFonts w:ascii="Arial" w:eastAsia="Arial" w:hAnsi="Arial" w:cs="Arial"/>
                <w:i/>
                <w:iCs/>
                <w:lang w:val="en-US" w:bidi="en-US"/>
              </w:rPr>
            </w:pPr>
            <w:r w:rsidRPr="00EA0079">
              <w:rPr>
                <w:rFonts w:ascii="Arial" w:eastAsia="Arial" w:hAnsi="Arial" w:cs="Arial"/>
                <w:i/>
                <w:iCs/>
                <w:lang w:val="en-US" w:bidi="en-US"/>
              </w:rPr>
              <w:t>Ethical Threats</w:t>
            </w:r>
          </w:p>
          <w:p w14:paraId="77F98698" w14:textId="77777777" w:rsidR="00EA0079" w:rsidRPr="00EA0079" w:rsidRDefault="00EA0079" w:rsidP="00EA0079">
            <w:pPr>
              <w:widowControl w:val="0"/>
              <w:autoSpaceDE w:val="0"/>
              <w:autoSpaceDN w:val="0"/>
              <w:spacing w:before="120" w:after="120"/>
              <w:jc w:val="center"/>
              <w:outlineLvl w:val="1"/>
              <w:rPr>
                <w:rFonts w:ascii="Arial" w:eastAsia="Arial" w:hAnsi="Arial" w:cs="Arial"/>
                <w:i/>
                <w:iCs/>
                <w:lang w:val="en-US" w:bidi="en-US"/>
              </w:rPr>
            </w:pPr>
            <w:r w:rsidRPr="00EA0079">
              <w:rPr>
                <w:rFonts w:ascii="Arial" w:eastAsia="Arial" w:hAnsi="Arial" w:cs="Arial"/>
                <w:i/>
                <w:iCs/>
                <w:lang w:val="en-US" w:bidi="en-US"/>
              </w:rPr>
              <w:t>(1.5 mark each, up to 6 marks in total)</w:t>
            </w:r>
          </w:p>
        </w:tc>
        <w:tc>
          <w:tcPr>
            <w:tcW w:w="4404" w:type="dxa"/>
          </w:tcPr>
          <w:p w14:paraId="3AAD75A6" w14:textId="77777777" w:rsidR="00EA0079" w:rsidRPr="00EA0079" w:rsidRDefault="00EA0079" w:rsidP="00EA0079">
            <w:pPr>
              <w:widowControl w:val="0"/>
              <w:autoSpaceDE w:val="0"/>
              <w:autoSpaceDN w:val="0"/>
              <w:spacing w:before="120" w:after="120"/>
              <w:jc w:val="center"/>
              <w:outlineLvl w:val="1"/>
              <w:rPr>
                <w:rFonts w:ascii="Arial" w:eastAsia="Arial" w:hAnsi="Arial" w:cs="Arial"/>
                <w:i/>
                <w:iCs/>
                <w:lang w:val="en-US" w:bidi="en-US"/>
              </w:rPr>
            </w:pPr>
            <w:r w:rsidRPr="00EA0079">
              <w:rPr>
                <w:rFonts w:ascii="Arial" w:eastAsia="Arial" w:hAnsi="Arial" w:cs="Arial"/>
                <w:i/>
                <w:iCs/>
                <w:lang w:val="en-US" w:bidi="en-US"/>
              </w:rPr>
              <w:t>Safeguard</w:t>
            </w:r>
          </w:p>
          <w:p w14:paraId="2B8721AB" w14:textId="77777777" w:rsidR="00EA0079" w:rsidRPr="00EA0079" w:rsidRDefault="00EA0079" w:rsidP="00EA0079">
            <w:pPr>
              <w:widowControl w:val="0"/>
              <w:autoSpaceDE w:val="0"/>
              <w:autoSpaceDN w:val="0"/>
              <w:spacing w:before="120" w:after="120"/>
              <w:jc w:val="center"/>
              <w:outlineLvl w:val="1"/>
              <w:rPr>
                <w:rFonts w:ascii="Arial" w:eastAsia="Arial" w:hAnsi="Arial" w:cs="Arial"/>
                <w:i/>
                <w:iCs/>
                <w:lang w:val="en-US" w:bidi="en-US"/>
              </w:rPr>
            </w:pPr>
            <w:r w:rsidRPr="00EA0079">
              <w:rPr>
                <w:rFonts w:ascii="Arial" w:eastAsia="Arial" w:hAnsi="Arial" w:cs="Arial"/>
                <w:i/>
                <w:iCs/>
                <w:lang w:val="en-US" w:bidi="en-US"/>
              </w:rPr>
              <w:t>(1.5 mark each, up to 6 marks in total)</w:t>
            </w:r>
          </w:p>
        </w:tc>
      </w:tr>
      <w:tr w:rsidR="00EA0079" w:rsidRPr="00EA0079" w14:paraId="57986FF5" w14:textId="77777777" w:rsidTr="00377DCE">
        <w:trPr>
          <w:trHeight w:val="134"/>
        </w:trPr>
        <w:tc>
          <w:tcPr>
            <w:tcW w:w="4452" w:type="dxa"/>
          </w:tcPr>
          <w:p w14:paraId="3DC2AB19" w14:textId="77777777" w:rsidR="00EA0079" w:rsidRPr="00EA0079" w:rsidRDefault="00EA0079" w:rsidP="00EA0079">
            <w:pPr>
              <w:widowControl w:val="0"/>
              <w:autoSpaceDE w:val="0"/>
              <w:autoSpaceDN w:val="0"/>
              <w:spacing w:before="120" w:after="120"/>
              <w:jc w:val="both"/>
              <w:outlineLvl w:val="1"/>
              <w:rPr>
                <w:rFonts w:ascii="Arial" w:eastAsia="Arial" w:hAnsi="Arial" w:cs="Arial"/>
                <w:lang w:val="en-US" w:bidi="en-US"/>
              </w:rPr>
            </w:pPr>
            <w:r w:rsidRPr="00EA0079">
              <w:rPr>
                <w:rFonts w:ascii="Arial" w:eastAsia="Arial" w:hAnsi="Arial" w:cs="Arial"/>
                <w:lang w:val="en-US" w:bidi="en-US"/>
              </w:rPr>
              <w:t>Former employee</w:t>
            </w:r>
          </w:p>
          <w:p w14:paraId="702AC674" w14:textId="77777777" w:rsidR="00EA0079" w:rsidRPr="00EA0079" w:rsidRDefault="00EA0079" w:rsidP="00EA0079">
            <w:pPr>
              <w:widowControl w:val="0"/>
              <w:autoSpaceDE w:val="0"/>
              <w:autoSpaceDN w:val="0"/>
              <w:spacing w:before="120" w:after="120"/>
              <w:ind w:right="117"/>
              <w:jc w:val="both"/>
              <w:rPr>
                <w:rFonts w:ascii="Arial" w:eastAsia="Arial" w:hAnsi="Arial" w:cs="Arial"/>
                <w:lang w:val="en-US" w:bidi="en-US"/>
              </w:rPr>
            </w:pPr>
            <w:r w:rsidRPr="00EA0079">
              <w:rPr>
                <w:rFonts w:ascii="Arial" w:eastAsia="Arial" w:hAnsi="Arial" w:cs="Arial"/>
                <w:lang w:val="en-US" w:bidi="en-US"/>
              </w:rPr>
              <w:t>There is a self-review threat because one of the audit staff used to work for the client. If they are involved in the audit, then they may well end up reviewing their own work.</w:t>
            </w:r>
          </w:p>
        </w:tc>
        <w:tc>
          <w:tcPr>
            <w:tcW w:w="4404" w:type="dxa"/>
          </w:tcPr>
          <w:p w14:paraId="340C5151"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 xml:space="preserve">The former employee should not be assigned to the audit of Square Ltd for the next two years. This </w:t>
            </w:r>
            <w:proofErr w:type="gramStart"/>
            <w:r w:rsidRPr="00EA0079">
              <w:rPr>
                <w:rFonts w:ascii="Arial" w:eastAsia="Arial" w:hAnsi="Arial" w:cs="Arial"/>
                <w:lang w:val="en-US" w:bidi="en-US"/>
              </w:rPr>
              <w:t>is considered to be</w:t>
            </w:r>
            <w:proofErr w:type="gramEnd"/>
            <w:r w:rsidRPr="00EA0079">
              <w:rPr>
                <w:rFonts w:ascii="Arial" w:eastAsia="Arial" w:hAnsi="Arial" w:cs="Arial"/>
                <w:lang w:val="en-US" w:bidi="en-US"/>
              </w:rPr>
              <w:t xml:space="preserve"> an acceptable "cooling off” period.</w:t>
            </w:r>
          </w:p>
        </w:tc>
      </w:tr>
      <w:tr w:rsidR="00EA0079" w:rsidRPr="00EA0079" w14:paraId="38C45C42" w14:textId="77777777" w:rsidTr="00377DCE">
        <w:trPr>
          <w:trHeight w:val="225"/>
        </w:trPr>
        <w:tc>
          <w:tcPr>
            <w:tcW w:w="4452" w:type="dxa"/>
          </w:tcPr>
          <w:p w14:paraId="0E0BFA8D"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Finance Director</w:t>
            </w:r>
          </w:p>
          <w:p w14:paraId="7C979FF4"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 xml:space="preserve">There is a familiarity threat because of the personal relationship between one member of your staff and the finance director of Square Ltd. The perception would be that any required professional </w:t>
            </w:r>
            <w:proofErr w:type="spellStart"/>
            <w:r w:rsidRPr="00EA0079">
              <w:rPr>
                <w:rFonts w:ascii="Arial" w:eastAsia="Arial" w:hAnsi="Arial" w:cs="Arial"/>
                <w:lang w:val="en-US" w:bidi="en-US"/>
              </w:rPr>
              <w:t>scepticism</w:t>
            </w:r>
            <w:proofErr w:type="spellEnd"/>
            <w:r w:rsidRPr="00EA0079">
              <w:rPr>
                <w:rFonts w:ascii="Arial" w:eastAsia="Arial" w:hAnsi="Arial" w:cs="Arial"/>
                <w:spacing w:val="-40"/>
                <w:lang w:val="en-US" w:bidi="en-US"/>
              </w:rPr>
              <w:t xml:space="preserve"> </w:t>
            </w:r>
            <w:r w:rsidRPr="00EA0079">
              <w:rPr>
                <w:rFonts w:ascii="Arial" w:eastAsia="Arial" w:hAnsi="Arial" w:cs="Arial"/>
                <w:lang w:val="en-US" w:bidi="en-US"/>
              </w:rPr>
              <w:t>would not be applied by the individual who is auditing the work of his own</w:t>
            </w:r>
            <w:r w:rsidRPr="00EA0079">
              <w:rPr>
                <w:rFonts w:ascii="Arial" w:eastAsia="Arial" w:hAnsi="Arial" w:cs="Arial"/>
                <w:spacing w:val="-19"/>
                <w:lang w:val="en-US" w:bidi="en-US"/>
              </w:rPr>
              <w:t xml:space="preserve"> </w:t>
            </w:r>
            <w:r w:rsidRPr="00EA0079">
              <w:rPr>
                <w:rFonts w:ascii="Arial" w:eastAsia="Arial" w:hAnsi="Arial" w:cs="Arial"/>
                <w:lang w:val="en-US" w:bidi="en-US"/>
              </w:rPr>
              <w:t>mother.</w:t>
            </w:r>
          </w:p>
        </w:tc>
        <w:tc>
          <w:tcPr>
            <w:tcW w:w="4404" w:type="dxa"/>
          </w:tcPr>
          <w:p w14:paraId="5FE03E56"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The</w:t>
            </w:r>
            <w:r w:rsidRPr="00EA0079">
              <w:rPr>
                <w:rFonts w:ascii="Arial" w:eastAsia="Arial" w:hAnsi="Arial" w:cs="Arial"/>
                <w:spacing w:val="-14"/>
                <w:lang w:val="en-US" w:bidi="en-US"/>
              </w:rPr>
              <w:t xml:space="preserve"> </w:t>
            </w:r>
            <w:r w:rsidRPr="00EA0079">
              <w:rPr>
                <w:rFonts w:ascii="Arial" w:eastAsia="Arial" w:hAnsi="Arial" w:cs="Arial"/>
                <w:lang w:val="en-US" w:bidi="en-US"/>
              </w:rPr>
              <w:t>individual</w:t>
            </w:r>
            <w:r w:rsidRPr="00EA0079">
              <w:rPr>
                <w:rFonts w:ascii="Arial" w:eastAsia="Arial" w:hAnsi="Arial" w:cs="Arial"/>
                <w:spacing w:val="-11"/>
                <w:lang w:val="en-US" w:bidi="en-US"/>
              </w:rPr>
              <w:t xml:space="preserve"> </w:t>
            </w:r>
            <w:r w:rsidRPr="00EA0079">
              <w:rPr>
                <w:rFonts w:ascii="Arial" w:eastAsia="Arial" w:hAnsi="Arial" w:cs="Arial"/>
                <w:lang w:val="en-US" w:bidi="en-US"/>
              </w:rPr>
              <w:t>involved</w:t>
            </w:r>
            <w:r w:rsidRPr="00EA0079">
              <w:rPr>
                <w:rFonts w:ascii="Arial" w:eastAsia="Arial" w:hAnsi="Arial" w:cs="Arial"/>
                <w:spacing w:val="-11"/>
                <w:lang w:val="en-US" w:bidi="en-US"/>
              </w:rPr>
              <w:t xml:space="preserve"> </w:t>
            </w:r>
            <w:r w:rsidRPr="00EA0079">
              <w:rPr>
                <w:rFonts w:ascii="Arial" w:eastAsia="Arial" w:hAnsi="Arial" w:cs="Arial"/>
                <w:lang w:val="en-US" w:bidi="en-US"/>
              </w:rPr>
              <w:t>should</w:t>
            </w:r>
            <w:r w:rsidRPr="00EA0079">
              <w:rPr>
                <w:rFonts w:ascii="Arial" w:eastAsia="Arial" w:hAnsi="Arial" w:cs="Arial"/>
                <w:spacing w:val="-12"/>
                <w:lang w:val="en-US" w:bidi="en-US"/>
              </w:rPr>
              <w:t xml:space="preserve"> </w:t>
            </w:r>
            <w:r w:rsidRPr="00EA0079">
              <w:rPr>
                <w:rFonts w:ascii="Arial" w:eastAsia="Arial" w:hAnsi="Arial" w:cs="Arial"/>
                <w:lang w:val="en-US" w:bidi="en-US"/>
              </w:rPr>
              <w:t>not</w:t>
            </w:r>
            <w:r w:rsidRPr="00EA0079">
              <w:rPr>
                <w:rFonts w:ascii="Arial" w:eastAsia="Arial" w:hAnsi="Arial" w:cs="Arial"/>
                <w:spacing w:val="-14"/>
                <w:lang w:val="en-US" w:bidi="en-US"/>
              </w:rPr>
              <w:t xml:space="preserve"> </w:t>
            </w:r>
            <w:r w:rsidRPr="00EA0079">
              <w:rPr>
                <w:rFonts w:ascii="Arial" w:eastAsia="Arial" w:hAnsi="Arial" w:cs="Arial"/>
                <w:lang w:val="en-US" w:bidi="en-US"/>
              </w:rPr>
              <w:t>be</w:t>
            </w:r>
            <w:r w:rsidRPr="00EA0079">
              <w:rPr>
                <w:rFonts w:ascii="Arial" w:eastAsia="Arial" w:hAnsi="Arial" w:cs="Arial"/>
                <w:spacing w:val="-11"/>
                <w:lang w:val="en-US" w:bidi="en-US"/>
              </w:rPr>
              <w:t xml:space="preserve"> </w:t>
            </w:r>
            <w:r w:rsidRPr="00EA0079">
              <w:rPr>
                <w:rFonts w:ascii="Arial" w:eastAsia="Arial" w:hAnsi="Arial" w:cs="Arial"/>
                <w:lang w:val="en-US" w:bidi="en-US"/>
              </w:rPr>
              <w:t>assigned</w:t>
            </w:r>
            <w:r w:rsidRPr="00EA0079">
              <w:rPr>
                <w:rFonts w:ascii="Arial" w:eastAsia="Arial" w:hAnsi="Arial" w:cs="Arial"/>
                <w:spacing w:val="-12"/>
                <w:lang w:val="en-US" w:bidi="en-US"/>
              </w:rPr>
              <w:t xml:space="preserve"> </w:t>
            </w:r>
            <w:r w:rsidRPr="00EA0079">
              <w:rPr>
                <w:rFonts w:ascii="Arial" w:eastAsia="Arial" w:hAnsi="Arial" w:cs="Arial"/>
                <w:lang w:val="en-US" w:bidi="en-US"/>
              </w:rPr>
              <w:t>to</w:t>
            </w:r>
            <w:r w:rsidRPr="00EA0079">
              <w:rPr>
                <w:rFonts w:ascii="Arial" w:eastAsia="Arial" w:hAnsi="Arial" w:cs="Arial"/>
                <w:spacing w:val="-12"/>
                <w:lang w:val="en-US" w:bidi="en-US"/>
              </w:rPr>
              <w:t xml:space="preserve"> </w:t>
            </w:r>
            <w:r w:rsidRPr="00EA0079">
              <w:rPr>
                <w:rFonts w:ascii="Arial" w:eastAsia="Arial" w:hAnsi="Arial" w:cs="Arial"/>
                <w:lang w:val="en-US" w:bidi="en-US"/>
              </w:rPr>
              <w:t>the</w:t>
            </w:r>
            <w:r w:rsidRPr="00EA0079">
              <w:rPr>
                <w:rFonts w:ascii="Arial" w:eastAsia="Arial" w:hAnsi="Arial" w:cs="Arial"/>
                <w:spacing w:val="-12"/>
                <w:lang w:val="en-US" w:bidi="en-US"/>
              </w:rPr>
              <w:t xml:space="preserve"> </w:t>
            </w:r>
            <w:r w:rsidRPr="00EA0079">
              <w:rPr>
                <w:rFonts w:ascii="Arial" w:eastAsia="Arial" w:hAnsi="Arial" w:cs="Arial"/>
                <w:lang w:val="en-US" w:bidi="en-US"/>
              </w:rPr>
              <w:t>audit</w:t>
            </w:r>
            <w:r w:rsidRPr="00EA0079">
              <w:rPr>
                <w:rFonts w:ascii="Arial" w:eastAsia="Arial" w:hAnsi="Arial" w:cs="Arial"/>
                <w:spacing w:val="-12"/>
                <w:lang w:val="en-US" w:bidi="en-US"/>
              </w:rPr>
              <w:t xml:space="preserve"> </w:t>
            </w:r>
            <w:r w:rsidRPr="00EA0079">
              <w:rPr>
                <w:rFonts w:ascii="Arial" w:eastAsia="Arial" w:hAnsi="Arial" w:cs="Arial"/>
                <w:lang w:val="en-US" w:bidi="en-US"/>
              </w:rPr>
              <w:t>of</w:t>
            </w:r>
            <w:r w:rsidRPr="00EA0079">
              <w:rPr>
                <w:rFonts w:ascii="Arial" w:eastAsia="Arial" w:hAnsi="Arial" w:cs="Arial"/>
                <w:spacing w:val="-13"/>
                <w:lang w:val="en-US" w:bidi="en-US"/>
              </w:rPr>
              <w:t xml:space="preserve"> </w:t>
            </w:r>
            <w:r w:rsidRPr="00EA0079">
              <w:rPr>
                <w:rFonts w:ascii="Arial" w:eastAsia="Arial" w:hAnsi="Arial" w:cs="Arial"/>
                <w:lang w:val="en-US" w:bidi="en-US"/>
              </w:rPr>
              <w:t>Square Ltd.</w:t>
            </w:r>
            <w:r w:rsidRPr="00EA0079">
              <w:rPr>
                <w:rFonts w:ascii="Arial" w:eastAsia="Arial" w:hAnsi="Arial" w:cs="Arial"/>
                <w:spacing w:val="-13"/>
                <w:lang w:val="en-US" w:bidi="en-US"/>
              </w:rPr>
              <w:t xml:space="preserve"> </w:t>
            </w:r>
            <w:r w:rsidRPr="00EA0079">
              <w:rPr>
                <w:rFonts w:ascii="Arial" w:eastAsia="Arial" w:hAnsi="Arial" w:cs="Arial"/>
                <w:lang w:val="en-US" w:bidi="en-US"/>
              </w:rPr>
              <w:t>They</w:t>
            </w:r>
            <w:r w:rsidRPr="00EA0079">
              <w:rPr>
                <w:rFonts w:ascii="Arial" w:eastAsia="Arial" w:hAnsi="Arial" w:cs="Arial"/>
                <w:spacing w:val="-13"/>
                <w:lang w:val="en-US" w:bidi="en-US"/>
              </w:rPr>
              <w:t xml:space="preserve"> </w:t>
            </w:r>
            <w:r w:rsidRPr="00EA0079">
              <w:rPr>
                <w:rFonts w:ascii="Arial" w:eastAsia="Arial" w:hAnsi="Arial" w:cs="Arial"/>
                <w:lang w:val="en-US" w:bidi="en-US"/>
              </w:rPr>
              <w:t>have</w:t>
            </w:r>
            <w:r w:rsidRPr="00EA0079">
              <w:rPr>
                <w:rFonts w:ascii="Arial" w:eastAsia="Arial" w:hAnsi="Arial" w:cs="Arial"/>
                <w:spacing w:val="-12"/>
                <w:lang w:val="en-US" w:bidi="en-US"/>
              </w:rPr>
              <w:t xml:space="preserve"> </w:t>
            </w:r>
            <w:r w:rsidRPr="00EA0079">
              <w:rPr>
                <w:rFonts w:ascii="Arial" w:eastAsia="Arial" w:hAnsi="Arial" w:cs="Arial"/>
                <w:lang w:val="en-US" w:bidi="en-US"/>
              </w:rPr>
              <w:t>shown</w:t>
            </w:r>
            <w:r w:rsidRPr="00EA0079">
              <w:rPr>
                <w:rFonts w:ascii="Arial" w:eastAsia="Arial" w:hAnsi="Arial" w:cs="Arial"/>
                <w:spacing w:val="-14"/>
                <w:lang w:val="en-US" w:bidi="en-US"/>
              </w:rPr>
              <w:t xml:space="preserve"> </w:t>
            </w:r>
            <w:r w:rsidRPr="00EA0079">
              <w:rPr>
                <w:rFonts w:ascii="Arial" w:eastAsia="Arial" w:hAnsi="Arial" w:cs="Arial"/>
                <w:lang w:val="en-US" w:bidi="en-US"/>
              </w:rPr>
              <w:t>sound</w:t>
            </w:r>
            <w:r w:rsidRPr="00EA0079">
              <w:rPr>
                <w:rFonts w:ascii="Arial" w:eastAsia="Arial" w:hAnsi="Arial" w:cs="Arial"/>
                <w:spacing w:val="-11"/>
                <w:lang w:val="en-US" w:bidi="en-US"/>
              </w:rPr>
              <w:t xml:space="preserve"> </w:t>
            </w:r>
            <w:r w:rsidRPr="00EA0079">
              <w:rPr>
                <w:rFonts w:ascii="Arial" w:eastAsia="Arial" w:hAnsi="Arial" w:cs="Arial"/>
                <w:lang w:val="en-US" w:bidi="en-US"/>
              </w:rPr>
              <w:t xml:space="preserve">ethical </w:t>
            </w:r>
            <w:proofErr w:type="spellStart"/>
            <w:r w:rsidRPr="00EA0079">
              <w:rPr>
                <w:rFonts w:ascii="Arial" w:eastAsia="Arial" w:hAnsi="Arial" w:cs="Arial"/>
                <w:lang w:val="en-US" w:bidi="en-US"/>
              </w:rPr>
              <w:t>behaviour</w:t>
            </w:r>
            <w:proofErr w:type="spellEnd"/>
            <w:r w:rsidRPr="00EA0079">
              <w:rPr>
                <w:rFonts w:ascii="Arial" w:eastAsia="Arial" w:hAnsi="Arial" w:cs="Arial"/>
                <w:lang w:val="en-US" w:bidi="en-US"/>
              </w:rPr>
              <w:t xml:space="preserve"> by informing us of the relationship though - we may not have found out</w:t>
            </w:r>
            <w:r w:rsidRPr="00EA0079">
              <w:rPr>
                <w:rFonts w:ascii="Arial" w:eastAsia="Arial" w:hAnsi="Arial" w:cs="Arial"/>
                <w:spacing w:val="-26"/>
                <w:lang w:val="en-US" w:bidi="en-US"/>
              </w:rPr>
              <w:t xml:space="preserve"> </w:t>
            </w:r>
            <w:r w:rsidRPr="00EA0079">
              <w:rPr>
                <w:rFonts w:ascii="Arial" w:eastAsia="Arial" w:hAnsi="Arial" w:cs="Arial"/>
                <w:lang w:val="en-US" w:bidi="en-US"/>
              </w:rPr>
              <w:t>otherwise.</w:t>
            </w:r>
          </w:p>
        </w:tc>
      </w:tr>
      <w:tr w:rsidR="00EA0079" w:rsidRPr="00EA0079" w14:paraId="07C731D4" w14:textId="77777777" w:rsidTr="00377DCE">
        <w:trPr>
          <w:trHeight w:val="1365"/>
        </w:trPr>
        <w:tc>
          <w:tcPr>
            <w:tcW w:w="4452" w:type="dxa"/>
          </w:tcPr>
          <w:p w14:paraId="601422D8"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Length of time</w:t>
            </w:r>
          </w:p>
          <w:p w14:paraId="7F89B49F"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 xml:space="preserve">There is a familiarity threat associated with long association - carrying out an audit for </w:t>
            </w:r>
            <w:proofErr w:type="gramStart"/>
            <w:r w:rsidRPr="00EA0079">
              <w:rPr>
                <w:rFonts w:ascii="Arial" w:eastAsia="Arial" w:hAnsi="Arial" w:cs="Arial"/>
                <w:lang w:val="en-US" w:bidi="en-US"/>
              </w:rPr>
              <w:t>a number of</w:t>
            </w:r>
            <w:proofErr w:type="gramEnd"/>
            <w:r w:rsidRPr="00EA0079">
              <w:rPr>
                <w:rFonts w:ascii="Arial" w:eastAsia="Arial" w:hAnsi="Arial" w:cs="Arial"/>
                <w:lang w:val="en-US" w:bidi="en-US"/>
              </w:rPr>
              <w:t xml:space="preserve"> years will make it look as though the audit firm is too relaxed in their audit work so may not do it properly.</w:t>
            </w:r>
          </w:p>
        </w:tc>
        <w:tc>
          <w:tcPr>
            <w:tcW w:w="4404" w:type="dxa"/>
          </w:tcPr>
          <w:p w14:paraId="60E33723"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Square Ltd is not listed so all that needs to happen is that the relationship needs to be reviewed, but staff could be swapped to be seen to be acting as responsibly as possible.</w:t>
            </w:r>
          </w:p>
        </w:tc>
      </w:tr>
      <w:tr w:rsidR="00EA0079" w:rsidRPr="00EA0079" w14:paraId="11502893" w14:textId="77777777" w:rsidTr="00377DCE">
        <w:trPr>
          <w:trHeight w:val="231"/>
        </w:trPr>
        <w:tc>
          <w:tcPr>
            <w:tcW w:w="4452" w:type="dxa"/>
          </w:tcPr>
          <w:p w14:paraId="7FCF4C02"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Advice</w:t>
            </w:r>
          </w:p>
          <w:p w14:paraId="4EA3D932"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Tax and management consultancy advice can create a management threat. This is the danger that the audit firm may be making decisions that are normally made by the client.</w:t>
            </w:r>
          </w:p>
        </w:tc>
        <w:tc>
          <w:tcPr>
            <w:tcW w:w="4404" w:type="dxa"/>
          </w:tcPr>
          <w:p w14:paraId="7ED01F5D"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We should make sure that Square Ltd has “informed management". This means that it should be clarified with</w:t>
            </w:r>
            <w:r w:rsidRPr="00EA0079">
              <w:rPr>
                <w:rFonts w:ascii="Arial" w:eastAsia="Arial" w:hAnsi="Arial" w:cs="Arial"/>
                <w:spacing w:val="-5"/>
                <w:lang w:val="en-US" w:bidi="en-US"/>
              </w:rPr>
              <w:t xml:space="preserve"> </w:t>
            </w:r>
            <w:r w:rsidRPr="00EA0079">
              <w:rPr>
                <w:rFonts w:ascii="Arial" w:eastAsia="Arial" w:hAnsi="Arial" w:cs="Arial"/>
                <w:lang w:val="en-US" w:bidi="en-US"/>
              </w:rPr>
              <w:t>the</w:t>
            </w:r>
            <w:r w:rsidRPr="00EA0079">
              <w:rPr>
                <w:rFonts w:ascii="Arial" w:eastAsia="Arial" w:hAnsi="Arial" w:cs="Arial"/>
                <w:spacing w:val="-3"/>
                <w:lang w:val="en-US" w:bidi="en-US"/>
              </w:rPr>
              <w:t xml:space="preserve"> </w:t>
            </w:r>
            <w:r w:rsidRPr="00EA0079">
              <w:rPr>
                <w:rFonts w:ascii="Arial" w:eastAsia="Arial" w:hAnsi="Arial" w:cs="Arial"/>
                <w:lang w:val="en-US" w:bidi="en-US"/>
              </w:rPr>
              <w:t>directors</w:t>
            </w:r>
            <w:r w:rsidRPr="00EA0079">
              <w:rPr>
                <w:rFonts w:ascii="Arial" w:eastAsia="Arial" w:hAnsi="Arial" w:cs="Arial"/>
                <w:spacing w:val="-5"/>
                <w:lang w:val="en-US" w:bidi="en-US"/>
              </w:rPr>
              <w:t xml:space="preserve"> </w:t>
            </w:r>
            <w:r w:rsidRPr="00EA0079">
              <w:rPr>
                <w:rFonts w:ascii="Arial" w:eastAsia="Arial" w:hAnsi="Arial" w:cs="Arial"/>
                <w:lang w:val="en-US" w:bidi="en-US"/>
              </w:rPr>
              <w:t>that</w:t>
            </w:r>
            <w:r w:rsidRPr="00EA0079">
              <w:rPr>
                <w:rFonts w:ascii="Arial" w:eastAsia="Arial" w:hAnsi="Arial" w:cs="Arial"/>
                <w:spacing w:val="-5"/>
                <w:lang w:val="en-US" w:bidi="en-US"/>
              </w:rPr>
              <w:t xml:space="preserve"> </w:t>
            </w:r>
            <w:r w:rsidRPr="00EA0079">
              <w:rPr>
                <w:rFonts w:ascii="Arial" w:eastAsia="Arial" w:hAnsi="Arial" w:cs="Arial"/>
                <w:lang w:val="en-US" w:bidi="en-US"/>
              </w:rPr>
              <w:t>they</w:t>
            </w:r>
            <w:r w:rsidRPr="00EA0079">
              <w:rPr>
                <w:rFonts w:ascii="Arial" w:eastAsia="Arial" w:hAnsi="Arial" w:cs="Arial"/>
                <w:spacing w:val="-6"/>
                <w:lang w:val="en-US" w:bidi="en-US"/>
              </w:rPr>
              <w:t xml:space="preserve"> </w:t>
            </w:r>
            <w:r w:rsidRPr="00EA0079">
              <w:rPr>
                <w:rFonts w:ascii="Arial" w:eastAsia="Arial" w:hAnsi="Arial" w:cs="Arial"/>
                <w:lang w:val="en-US" w:bidi="en-US"/>
              </w:rPr>
              <w:t>know</w:t>
            </w:r>
            <w:r w:rsidRPr="00EA0079">
              <w:rPr>
                <w:rFonts w:ascii="Arial" w:eastAsia="Arial" w:hAnsi="Arial" w:cs="Arial"/>
                <w:spacing w:val="-6"/>
                <w:lang w:val="en-US" w:bidi="en-US"/>
              </w:rPr>
              <w:t xml:space="preserve"> </w:t>
            </w:r>
            <w:r w:rsidRPr="00EA0079">
              <w:rPr>
                <w:rFonts w:ascii="Arial" w:eastAsia="Arial" w:hAnsi="Arial" w:cs="Arial"/>
                <w:lang w:val="en-US" w:bidi="en-US"/>
              </w:rPr>
              <w:t>it</w:t>
            </w:r>
            <w:r w:rsidRPr="00EA0079">
              <w:rPr>
                <w:rFonts w:ascii="Arial" w:eastAsia="Arial" w:hAnsi="Arial" w:cs="Arial"/>
                <w:spacing w:val="-5"/>
                <w:lang w:val="en-US" w:bidi="en-US"/>
              </w:rPr>
              <w:t xml:space="preserve"> </w:t>
            </w:r>
            <w:r w:rsidRPr="00EA0079">
              <w:rPr>
                <w:rFonts w:ascii="Arial" w:eastAsia="Arial" w:hAnsi="Arial" w:cs="Arial"/>
                <w:lang w:val="en-US" w:bidi="en-US"/>
              </w:rPr>
              <w:t>is</w:t>
            </w:r>
            <w:r w:rsidRPr="00EA0079">
              <w:rPr>
                <w:rFonts w:ascii="Arial" w:eastAsia="Arial" w:hAnsi="Arial" w:cs="Arial"/>
                <w:spacing w:val="-5"/>
                <w:lang w:val="en-US" w:bidi="en-US"/>
              </w:rPr>
              <w:t xml:space="preserve"> </w:t>
            </w:r>
            <w:r w:rsidRPr="00EA0079">
              <w:rPr>
                <w:rFonts w:ascii="Arial" w:eastAsia="Arial" w:hAnsi="Arial" w:cs="Arial"/>
                <w:lang w:val="en-US" w:bidi="en-US"/>
              </w:rPr>
              <w:t>their</w:t>
            </w:r>
            <w:r w:rsidRPr="00EA0079">
              <w:rPr>
                <w:rFonts w:ascii="Arial" w:eastAsia="Arial" w:hAnsi="Arial" w:cs="Arial"/>
                <w:spacing w:val="-4"/>
                <w:lang w:val="en-US" w:bidi="en-US"/>
              </w:rPr>
              <w:t xml:space="preserve"> </w:t>
            </w:r>
            <w:r w:rsidRPr="00EA0079">
              <w:rPr>
                <w:rFonts w:ascii="Arial" w:eastAsia="Arial" w:hAnsi="Arial" w:cs="Arial"/>
                <w:lang w:val="en-US" w:bidi="en-US"/>
              </w:rPr>
              <w:t>responsibility</w:t>
            </w:r>
            <w:r w:rsidRPr="00EA0079">
              <w:rPr>
                <w:rFonts w:ascii="Arial" w:eastAsia="Arial" w:hAnsi="Arial" w:cs="Arial"/>
                <w:spacing w:val="-6"/>
                <w:lang w:val="en-US" w:bidi="en-US"/>
              </w:rPr>
              <w:t xml:space="preserve"> </w:t>
            </w:r>
            <w:r w:rsidRPr="00EA0079">
              <w:rPr>
                <w:rFonts w:ascii="Arial" w:eastAsia="Arial" w:hAnsi="Arial" w:cs="Arial"/>
                <w:lang w:val="en-US" w:bidi="en-US"/>
              </w:rPr>
              <w:t>to</w:t>
            </w:r>
            <w:r w:rsidRPr="00EA0079">
              <w:rPr>
                <w:rFonts w:ascii="Arial" w:eastAsia="Arial" w:hAnsi="Arial" w:cs="Arial"/>
                <w:spacing w:val="-5"/>
                <w:lang w:val="en-US" w:bidi="en-US"/>
              </w:rPr>
              <w:t xml:space="preserve"> </w:t>
            </w:r>
            <w:r w:rsidRPr="00EA0079">
              <w:rPr>
                <w:rFonts w:ascii="Arial" w:eastAsia="Arial" w:hAnsi="Arial" w:cs="Arial"/>
                <w:lang w:val="en-US" w:bidi="en-US"/>
              </w:rPr>
              <w:t>make</w:t>
            </w:r>
            <w:r w:rsidRPr="00EA0079">
              <w:rPr>
                <w:rFonts w:ascii="Arial" w:eastAsia="Arial" w:hAnsi="Arial" w:cs="Arial"/>
                <w:spacing w:val="-4"/>
                <w:lang w:val="en-US" w:bidi="en-US"/>
              </w:rPr>
              <w:t xml:space="preserve"> </w:t>
            </w:r>
            <w:r w:rsidRPr="00EA0079">
              <w:rPr>
                <w:rFonts w:ascii="Arial" w:eastAsia="Arial" w:hAnsi="Arial" w:cs="Arial"/>
                <w:lang w:val="en-US" w:bidi="en-US"/>
              </w:rPr>
              <w:t>the</w:t>
            </w:r>
            <w:r w:rsidRPr="00EA0079">
              <w:rPr>
                <w:rFonts w:ascii="Arial" w:eastAsia="Arial" w:hAnsi="Arial" w:cs="Arial"/>
                <w:spacing w:val="-4"/>
                <w:lang w:val="en-US" w:bidi="en-US"/>
              </w:rPr>
              <w:t xml:space="preserve"> </w:t>
            </w:r>
            <w:r w:rsidRPr="00EA0079">
              <w:rPr>
                <w:rFonts w:ascii="Arial" w:eastAsia="Arial" w:hAnsi="Arial" w:cs="Arial"/>
                <w:lang w:val="en-US" w:bidi="en-US"/>
              </w:rPr>
              <w:t>decisions</w:t>
            </w:r>
            <w:r w:rsidRPr="00EA0079">
              <w:rPr>
                <w:rFonts w:ascii="Arial" w:eastAsia="Arial" w:hAnsi="Arial" w:cs="Arial"/>
                <w:spacing w:val="-6"/>
                <w:lang w:val="en-US" w:bidi="en-US"/>
              </w:rPr>
              <w:t xml:space="preserve"> </w:t>
            </w:r>
            <w:r w:rsidRPr="00EA0079">
              <w:rPr>
                <w:rFonts w:ascii="Arial" w:eastAsia="Arial" w:hAnsi="Arial" w:cs="Arial"/>
                <w:lang w:val="en-US" w:bidi="en-US"/>
              </w:rPr>
              <w:t>and</w:t>
            </w:r>
            <w:r w:rsidRPr="00EA0079">
              <w:rPr>
                <w:rFonts w:ascii="Arial" w:eastAsia="Arial" w:hAnsi="Arial" w:cs="Arial"/>
                <w:spacing w:val="-3"/>
                <w:lang w:val="en-US" w:bidi="en-US"/>
              </w:rPr>
              <w:t xml:space="preserve"> </w:t>
            </w:r>
            <w:r w:rsidRPr="00EA0079">
              <w:rPr>
                <w:rFonts w:ascii="Arial" w:eastAsia="Arial" w:hAnsi="Arial" w:cs="Arial"/>
                <w:lang w:val="en-US" w:bidi="en-US"/>
              </w:rPr>
              <w:t>that</w:t>
            </w:r>
            <w:r w:rsidRPr="00EA0079">
              <w:rPr>
                <w:rFonts w:ascii="Arial" w:eastAsia="Arial" w:hAnsi="Arial" w:cs="Arial"/>
                <w:spacing w:val="-6"/>
                <w:lang w:val="en-US" w:bidi="en-US"/>
              </w:rPr>
              <w:t xml:space="preserve"> </w:t>
            </w:r>
            <w:r w:rsidRPr="00EA0079">
              <w:rPr>
                <w:rFonts w:ascii="Arial" w:eastAsia="Arial" w:hAnsi="Arial" w:cs="Arial"/>
                <w:lang w:val="en-US" w:bidi="en-US"/>
              </w:rPr>
              <w:t>we</w:t>
            </w:r>
            <w:r w:rsidRPr="00EA0079">
              <w:rPr>
                <w:rFonts w:ascii="Arial" w:eastAsia="Arial" w:hAnsi="Arial" w:cs="Arial"/>
                <w:spacing w:val="-4"/>
                <w:lang w:val="en-US" w:bidi="en-US"/>
              </w:rPr>
              <w:t xml:space="preserve"> </w:t>
            </w:r>
            <w:r w:rsidRPr="00EA0079">
              <w:rPr>
                <w:rFonts w:ascii="Arial" w:eastAsia="Arial" w:hAnsi="Arial" w:cs="Arial"/>
                <w:lang w:val="en-US" w:bidi="en-US"/>
              </w:rPr>
              <w:t>cannot</w:t>
            </w:r>
            <w:r w:rsidRPr="00EA0079">
              <w:rPr>
                <w:rFonts w:ascii="Arial" w:eastAsia="Arial" w:hAnsi="Arial" w:cs="Arial"/>
                <w:spacing w:val="-5"/>
                <w:lang w:val="en-US" w:bidi="en-US"/>
              </w:rPr>
              <w:t xml:space="preserve"> </w:t>
            </w:r>
            <w:r w:rsidRPr="00EA0079">
              <w:rPr>
                <w:rFonts w:ascii="Arial" w:eastAsia="Arial" w:hAnsi="Arial" w:cs="Arial"/>
                <w:lang w:val="en-US" w:bidi="en-US"/>
              </w:rPr>
              <w:t>do</w:t>
            </w:r>
            <w:r w:rsidRPr="00EA0079">
              <w:rPr>
                <w:rFonts w:ascii="Arial" w:eastAsia="Arial" w:hAnsi="Arial" w:cs="Arial"/>
                <w:spacing w:val="-7"/>
                <w:lang w:val="en-US" w:bidi="en-US"/>
              </w:rPr>
              <w:t xml:space="preserve"> </w:t>
            </w:r>
            <w:r w:rsidRPr="00EA0079">
              <w:rPr>
                <w:rFonts w:ascii="Arial" w:eastAsia="Arial" w:hAnsi="Arial" w:cs="Arial"/>
                <w:lang w:val="en-US" w:bidi="en-US"/>
              </w:rPr>
              <w:t>it</w:t>
            </w:r>
            <w:r w:rsidRPr="00EA0079">
              <w:rPr>
                <w:rFonts w:ascii="Arial" w:eastAsia="Arial" w:hAnsi="Arial" w:cs="Arial"/>
                <w:spacing w:val="-5"/>
                <w:lang w:val="en-US" w:bidi="en-US"/>
              </w:rPr>
              <w:t xml:space="preserve"> </w:t>
            </w:r>
            <w:r w:rsidRPr="00EA0079">
              <w:rPr>
                <w:rFonts w:ascii="Arial" w:eastAsia="Arial" w:hAnsi="Arial" w:cs="Arial"/>
                <w:lang w:val="en-US" w:bidi="en-US"/>
              </w:rPr>
              <w:t>for them.</w:t>
            </w:r>
          </w:p>
        </w:tc>
      </w:tr>
      <w:tr w:rsidR="00EA0079" w:rsidRPr="00EA0079" w14:paraId="041CC9F6" w14:textId="77777777" w:rsidTr="00377DCE">
        <w:trPr>
          <w:trHeight w:val="231"/>
        </w:trPr>
        <w:tc>
          <w:tcPr>
            <w:tcW w:w="4452" w:type="dxa"/>
          </w:tcPr>
          <w:p w14:paraId="4B31578F"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Summer holiday</w:t>
            </w:r>
          </w:p>
          <w:p w14:paraId="3EF8DFB7"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This is a self-interest threat. It may be offered with the best of intentions, but it could be perceived as a bribe to overlook any problems that may be found during the audit.</w:t>
            </w:r>
          </w:p>
        </w:tc>
        <w:tc>
          <w:tcPr>
            <w:tcW w:w="4404" w:type="dxa"/>
          </w:tcPr>
          <w:p w14:paraId="6CAB565B" w14:textId="77777777" w:rsidR="00EA0079" w:rsidRPr="00EA0079" w:rsidRDefault="00EA0079" w:rsidP="00EA0079">
            <w:pPr>
              <w:widowControl w:val="0"/>
              <w:autoSpaceDE w:val="0"/>
              <w:autoSpaceDN w:val="0"/>
              <w:spacing w:before="120" w:after="120"/>
              <w:outlineLvl w:val="1"/>
              <w:rPr>
                <w:rFonts w:ascii="Arial" w:eastAsia="Arial" w:hAnsi="Arial" w:cs="Arial"/>
                <w:lang w:val="en-US" w:bidi="en-US"/>
              </w:rPr>
            </w:pPr>
            <w:r w:rsidRPr="00EA0079">
              <w:rPr>
                <w:rFonts w:ascii="Arial" w:eastAsia="Arial" w:hAnsi="Arial" w:cs="Arial"/>
                <w:lang w:val="en-US" w:bidi="en-US"/>
              </w:rPr>
              <w:t>It is advisable for this tradition to be stopped. If the reason for doing so is explained carefully, then there is no reason that it should sour the relationship with Square Ltd.</w:t>
            </w:r>
          </w:p>
        </w:tc>
      </w:tr>
      <w:tr w:rsidR="00EA0079" w:rsidRPr="00EA0079" w14:paraId="0BD46C22" w14:textId="77777777" w:rsidTr="00377DCE">
        <w:trPr>
          <w:trHeight w:val="1359"/>
        </w:trPr>
        <w:tc>
          <w:tcPr>
            <w:tcW w:w="4452" w:type="dxa"/>
          </w:tcPr>
          <w:p w14:paraId="5F7CA13B" w14:textId="77777777" w:rsidR="00EA0079" w:rsidRPr="00EA0079" w:rsidRDefault="00EA0079" w:rsidP="00EA0079">
            <w:pPr>
              <w:widowControl w:val="0"/>
              <w:autoSpaceDE w:val="0"/>
              <w:autoSpaceDN w:val="0"/>
              <w:spacing w:before="120" w:after="120"/>
              <w:jc w:val="both"/>
              <w:outlineLvl w:val="1"/>
              <w:rPr>
                <w:rFonts w:ascii="Arial" w:eastAsia="Arial" w:hAnsi="Arial" w:cs="Arial"/>
                <w:lang w:val="en-US" w:bidi="en-US"/>
              </w:rPr>
            </w:pPr>
            <w:r w:rsidRPr="00EA0079">
              <w:rPr>
                <w:rFonts w:ascii="Arial" w:eastAsia="Arial" w:hAnsi="Arial" w:cs="Arial"/>
                <w:lang w:val="en-US" w:bidi="en-US"/>
              </w:rPr>
              <w:t>Size of client</w:t>
            </w:r>
          </w:p>
          <w:p w14:paraId="4B423D7C" w14:textId="77777777" w:rsidR="00EA0079" w:rsidRPr="00EA0079" w:rsidRDefault="00EA0079" w:rsidP="00EA0079">
            <w:pPr>
              <w:widowControl w:val="0"/>
              <w:autoSpaceDE w:val="0"/>
              <w:autoSpaceDN w:val="0"/>
              <w:spacing w:before="120" w:after="120"/>
              <w:jc w:val="both"/>
              <w:outlineLvl w:val="1"/>
              <w:rPr>
                <w:rFonts w:ascii="Arial" w:eastAsia="Arial" w:hAnsi="Arial" w:cs="Arial"/>
                <w:lang w:val="en-US" w:bidi="en-US"/>
              </w:rPr>
            </w:pPr>
            <w:r w:rsidRPr="00EA0079">
              <w:rPr>
                <w:rFonts w:ascii="Arial" w:eastAsia="Arial" w:hAnsi="Arial" w:cs="Arial"/>
                <w:lang w:val="en-US" w:bidi="en-US"/>
              </w:rPr>
              <w:t>There could be an increased self-interest threat due to our concern over losing the large amount of fee income that is obtained from Square Ltd.</w:t>
            </w:r>
          </w:p>
          <w:p w14:paraId="473D8AD9" w14:textId="77777777" w:rsidR="00EA0079" w:rsidRPr="00EA0079" w:rsidRDefault="00EA0079" w:rsidP="00EA0079">
            <w:pPr>
              <w:widowControl w:val="0"/>
              <w:autoSpaceDE w:val="0"/>
              <w:autoSpaceDN w:val="0"/>
              <w:spacing w:before="120" w:after="120"/>
              <w:jc w:val="both"/>
              <w:outlineLvl w:val="1"/>
              <w:rPr>
                <w:rFonts w:ascii="Arial" w:eastAsia="Arial" w:hAnsi="Arial" w:cs="Arial"/>
                <w:lang w:val="en-US" w:bidi="en-US"/>
              </w:rPr>
            </w:pPr>
            <w:r w:rsidRPr="00EA0079">
              <w:rPr>
                <w:rFonts w:ascii="Arial" w:eastAsia="Arial" w:hAnsi="Arial" w:cs="Arial"/>
                <w:lang w:val="en-US" w:bidi="en-US"/>
              </w:rPr>
              <w:t xml:space="preserve">There are </w:t>
            </w:r>
            <w:proofErr w:type="gramStart"/>
            <w:r w:rsidRPr="00EA0079">
              <w:rPr>
                <w:rFonts w:ascii="Arial" w:eastAsia="Arial" w:hAnsi="Arial" w:cs="Arial"/>
                <w:lang w:val="en-US" w:bidi="en-US"/>
              </w:rPr>
              <w:t>a number of</w:t>
            </w:r>
            <w:proofErr w:type="gramEnd"/>
            <w:r w:rsidRPr="00EA0079">
              <w:rPr>
                <w:rFonts w:ascii="Arial" w:eastAsia="Arial" w:hAnsi="Arial" w:cs="Arial"/>
                <w:lang w:val="en-US" w:bidi="en-US"/>
              </w:rPr>
              <w:t xml:space="preserve"> services that are being provided on a recurring basis.</w:t>
            </w:r>
          </w:p>
        </w:tc>
        <w:tc>
          <w:tcPr>
            <w:tcW w:w="4404" w:type="dxa"/>
          </w:tcPr>
          <w:p w14:paraId="1F0487A4" w14:textId="77777777" w:rsidR="00EA0079" w:rsidRPr="00EA0079" w:rsidRDefault="00EA0079" w:rsidP="00EA0079">
            <w:pPr>
              <w:widowControl w:val="0"/>
              <w:autoSpaceDE w:val="0"/>
              <w:autoSpaceDN w:val="0"/>
              <w:spacing w:before="120" w:after="120"/>
              <w:jc w:val="both"/>
              <w:outlineLvl w:val="1"/>
              <w:rPr>
                <w:rFonts w:ascii="Arial" w:eastAsia="Arial" w:hAnsi="Arial" w:cs="Arial"/>
                <w:lang w:val="en-US" w:bidi="en-US"/>
              </w:rPr>
            </w:pPr>
            <w:r w:rsidRPr="00EA0079">
              <w:rPr>
                <w:rFonts w:ascii="Arial" w:eastAsia="Arial" w:hAnsi="Arial" w:cs="Arial"/>
                <w:lang w:val="en-US" w:bidi="en-US"/>
              </w:rPr>
              <w:t>The level of recurring fees should be constantly monitored to ensure that it does not exceed the permitted level (</w:t>
            </w:r>
            <w:r w:rsidRPr="00EA0079">
              <w:rPr>
                <w:rFonts w:ascii="Arial" w:eastAsia="Arial" w:hAnsi="Arial" w:cs="Arial"/>
                <w:lang w:bidi="en-US"/>
              </w:rPr>
              <w:t>10%, in the case of public interest entities or 15%, in the case of non-listed entities</w:t>
            </w:r>
            <w:r w:rsidRPr="00EA0079">
              <w:rPr>
                <w:rFonts w:ascii="Arial" w:eastAsia="Arial" w:hAnsi="Arial" w:cs="Arial"/>
                <w:lang w:val="en-US" w:bidi="en-US"/>
              </w:rPr>
              <w:t>). If necessary, some work could be passed on to a different firm. This would mean a loss of some income but at least the client would still be kept.</w:t>
            </w:r>
          </w:p>
        </w:tc>
      </w:tr>
    </w:tbl>
    <w:p w14:paraId="6F4507C0" w14:textId="77777777" w:rsidR="00EA0079" w:rsidRPr="00EA0079" w:rsidRDefault="00EA0079" w:rsidP="00EA0079">
      <w:pPr>
        <w:widowControl w:val="0"/>
        <w:autoSpaceDE w:val="0"/>
        <w:autoSpaceDN w:val="0"/>
        <w:spacing w:before="120" w:after="120" w:line="240" w:lineRule="auto"/>
        <w:rPr>
          <w:rFonts w:ascii="Arial" w:eastAsia="Arial" w:hAnsi="Arial" w:cs="Arial"/>
          <w:color w:val="FF0000"/>
          <w:lang w:val="en-US" w:bidi="en-US"/>
        </w:rPr>
      </w:pPr>
    </w:p>
    <w:p w14:paraId="464741D1" w14:textId="77777777" w:rsidR="00EA0079" w:rsidRPr="00EA0079" w:rsidRDefault="00EA0079" w:rsidP="00EA0079">
      <w:pPr>
        <w:spacing w:before="120" w:after="120"/>
        <w:rPr>
          <w:rFonts w:ascii="Arial" w:hAnsi="Arial" w:cs="Arial"/>
        </w:rPr>
      </w:pPr>
      <w:r w:rsidRPr="00EA0079">
        <w:rPr>
          <w:rFonts w:ascii="Arial" w:hAnsi="Arial" w:cs="Arial"/>
        </w:rPr>
        <w:t>b)</w:t>
      </w:r>
    </w:p>
    <w:p w14:paraId="36B4CC83" w14:textId="77777777" w:rsidR="00EA0079" w:rsidRPr="00EA0079" w:rsidRDefault="00EA0079" w:rsidP="00EA0079">
      <w:pPr>
        <w:widowControl w:val="0"/>
        <w:autoSpaceDE w:val="0"/>
        <w:autoSpaceDN w:val="0"/>
        <w:spacing w:before="120" w:after="120" w:line="240" w:lineRule="auto"/>
        <w:jc w:val="both"/>
        <w:rPr>
          <w:rFonts w:ascii="Arial" w:eastAsia="Arial" w:hAnsi="Arial" w:cs="Arial"/>
          <w:lang w:val="en-US" w:bidi="en-US"/>
        </w:rPr>
      </w:pPr>
      <w:r w:rsidRPr="00EA0079">
        <w:rPr>
          <w:rFonts w:ascii="Arial" w:eastAsia="Arial" w:hAnsi="Arial" w:cs="Arial"/>
          <w:lang w:val="en-US" w:bidi="en-US"/>
        </w:rPr>
        <w:t xml:space="preserve">An auditor CAN disclose confidential information in certain </w:t>
      </w:r>
      <w:proofErr w:type="gramStart"/>
      <w:r w:rsidRPr="00EA0079">
        <w:rPr>
          <w:rFonts w:ascii="Arial" w:eastAsia="Arial" w:hAnsi="Arial" w:cs="Arial"/>
          <w:lang w:val="en-US" w:bidi="en-US"/>
        </w:rPr>
        <w:t>circumstances;</w:t>
      </w:r>
      <w:proofErr w:type="gramEnd"/>
    </w:p>
    <w:p w14:paraId="51169268" w14:textId="77777777" w:rsidR="00EA0079" w:rsidRPr="00EA0079" w:rsidRDefault="00EA0079" w:rsidP="00EA0079">
      <w:pPr>
        <w:widowControl w:val="0"/>
        <w:autoSpaceDE w:val="0"/>
        <w:autoSpaceDN w:val="0"/>
        <w:spacing w:before="120" w:after="120" w:line="240" w:lineRule="auto"/>
        <w:jc w:val="both"/>
        <w:rPr>
          <w:rFonts w:ascii="Arial" w:eastAsia="Arial" w:hAnsi="Arial" w:cs="Arial"/>
          <w:lang w:val="en-US" w:bidi="en-US"/>
        </w:rPr>
      </w:pPr>
    </w:p>
    <w:p w14:paraId="69FB914C" w14:textId="77777777" w:rsidR="00EA0079" w:rsidRPr="00EA0079" w:rsidRDefault="00EA0079" w:rsidP="00EA0079">
      <w:pPr>
        <w:widowControl w:val="0"/>
        <w:numPr>
          <w:ilvl w:val="0"/>
          <w:numId w:val="1"/>
        </w:numPr>
        <w:tabs>
          <w:tab w:val="left" w:pos="253"/>
        </w:tabs>
        <w:autoSpaceDE w:val="0"/>
        <w:autoSpaceDN w:val="0"/>
        <w:spacing w:before="120" w:after="120" w:line="240" w:lineRule="auto"/>
        <w:ind w:right="117"/>
        <w:jc w:val="both"/>
        <w:rPr>
          <w:rFonts w:ascii="Arial" w:hAnsi="Arial" w:cs="Arial"/>
        </w:rPr>
      </w:pPr>
      <w:r w:rsidRPr="00EA0079">
        <w:rPr>
          <w:rFonts w:ascii="Arial" w:hAnsi="Arial" w:cs="Arial"/>
        </w:rPr>
        <w:t xml:space="preserve">A client may give you permission to do so. It is essential that this is documented in case the client tries to deny giving consent </w:t>
      </w:r>
      <w:proofErr w:type="gramStart"/>
      <w:r w:rsidRPr="00EA0079">
        <w:rPr>
          <w:rFonts w:ascii="Arial" w:hAnsi="Arial" w:cs="Arial"/>
        </w:rPr>
        <w:t>at a later date</w:t>
      </w:r>
      <w:proofErr w:type="gramEnd"/>
      <w:r w:rsidRPr="00EA0079">
        <w:rPr>
          <w:rFonts w:ascii="Arial" w:hAnsi="Arial" w:cs="Arial"/>
        </w:rPr>
        <w:t>.</w:t>
      </w:r>
    </w:p>
    <w:p w14:paraId="7301F190" w14:textId="77777777" w:rsidR="00EA0079" w:rsidRPr="00EA0079" w:rsidRDefault="00EA0079" w:rsidP="00EA0079">
      <w:pPr>
        <w:widowControl w:val="0"/>
        <w:numPr>
          <w:ilvl w:val="0"/>
          <w:numId w:val="1"/>
        </w:numPr>
        <w:tabs>
          <w:tab w:val="left" w:pos="248"/>
        </w:tabs>
        <w:autoSpaceDE w:val="0"/>
        <w:autoSpaceDN w:val="0"/>
        <w:spacing w:before="120" w:after="120" w:line="240" w:lineRule="auto"/>
        <w:ind w:right="117"/>
        <w:jc w:val="both"/>
        <w:rPr>
          <w:rFonts w:ascii="Arial" w:hAnsi="Arial" w:cs="Arial"/>
        </w:rPr>
      </w:pPr>
      <w:r w:rsidRPr="00EA0079">
        <w:rPr>
          <w:rFonts w:ascii="Arial" w:hAnsi="Arial" w:cs="Arial"/>
        </w:rPr>
        <w:t>If disclosure is in the public interest, then an auditor can make disclosure of any necessary information</w:t>
      </w:r>
    </w:p>
    <w:p w14:paraId="2C9D232A" w14:textId="77777777" w:rsidR="00EA0079" w:rsidRPr="00EA0079" w:rsidRDefault="00EA0079" w:rsidP="00EA0079">
      <w:pPr>
        <w:widowControl w:val="0"/>
        <w:tabs>
          <w:tab w:val="left" w:pos="248"/>
        </w:tabs>
        <w:autoSpaceDE w:val="0"/>
        <w:autoSpaceDN w:val="0"/>
        <w:spacing w:before="120" w:after="120" w:line="480" w:lineRule="auto"/>
        <w:ind w:right="180"/>
        <w:jc w:val="both"/>
        <w:rPr>
          <w:rFonts w:ascii="Arial" w:hAnsi="Arial" w:cs="Arial"/>
        </w:rPr>
      </w:pPr>
      <w:r w:rsidRPr="00EA0079">
        <w:rPr>
          <w:rFonts w:ascii="Arial" w:hAnsi="Arial" w:cs="Arial"/>
        </w:rPr>
        <w:t>There are also a number of situations where an auditor MUST</w:t>
      </w:r>
      <w:r w:rsidRPr="00EA0079">
        <w:rPr>
          <w:rFonts w:ascii="Arial" w:hAnsi="Arial" w:cs="Arial"/>
          <w:spacing w:val="-13"/>
        </w:rPr>
        <w:t xml:space="preserve"> </w:t>
      </w:r>
      <w:proofErr w:type="gramStart"/>
      <w:r w:rsidRPr="00EA0079">
        <w:rPr>
          <w:rFonts w:ascii="Arial" w:hAnsi="Arial" w:cs="Arial"/>
        </w:rPr>
        <w:t>disclose;</w:t>
      </w:r>
      <w:proofErr w:type="gramEnd"/>
    </w:p>
    <w:p w14:paraId="235AD3DB" w14:textId="77777777" w:rsidR="00EA0079" w:rsidRPr="00EA0079" w:rsidRDefault="00EA0079" w:rsidP="00EA0079">
      <w:pPr>
        <w:widowControl w:val="0"/>
        <w:numPr>
          <w:ilvl w:val="0"/>
          <w:numId w:val="1"/>
        </w:numPr>
        <w:tabs>
          <w:tab w:val="left" w:pos="279"/>
        </w:tabs>
        <w:autoSpaceDE w:val="0"/>
        <w:autoSpaceDN w:val="0"/>
        <w:spacing w:before="120" w:after="120" w:line="240" w:lineRule="auto"/>
        <w:ind w:right="121"/>
        <w:jc w:val="both"/>
        <w:rPr>
          <w:rFonts w:ascii="Arial" w:hAnsi="Arial" w:cs="Arial"/>
        </w:rPr>
      </w:pPr>
      <w:r w:rsidRPr="00EA0079">
        <w:rPr>
          <w:rFonts w:ascii="Arial" w:hAnsi="Arial" w:cs="Arial"/>
          <w:spacing w:val="3"/>
        </w:rPr>
        <w:t xml:space="preserve">The auditor </w:t>
      </w:r>
      <w:r w:rsidRPr="00EA0079">
        <w:rPr>
          <w:rFonts w:ascii="Arial" w:hAnsi="Arial" w:cs="Arial"/>
        </w:rPr>
        <w:t xml:space="preserve">must disclose </w:t>
      </w:r>
      <w:proofErr w:type="gramStart"/>
      <w:r w:rsidRPr="00EA0079">
        <w:rPr>
          <w:rFonts w:ascii="Arial" w:hAnsi="Arial" w:cs="Arial"/>
        </w:rPr>
        <w:t>in order to</w:t>
      </w:r>
      <w:proofErr w:type="gramEnd"/>
      <w:r w:rsidRPr="00EA0079">
        <w:rPr>
          <w:rFonts w:ascii="Arial" w:hAnsi="Arial" w:cs="Arial"/>
        </w:rPr>
        <w:t xml:space="preserve"> comply with any quality control review that is being carried out by a regulatory body, such as the</w:t>
      </w:r>
      <w:r w:rsidRPr="00EA0079">
        <w:rPr>
          <w:rFonts w:ascii="Arial" w:hAnsi="Arial" w:cs="Arial"/>
          <w:spacing w:val="-9"/>
        </w:rPr>
        <w:t xml:space="preserve"> </w:t>
      </w:r>
      <w:r w:rsidRPr="00EA0079">
        <w:rPr>
          <w:rFonts w:ascii="Arial" w:hAnsi="Arial" w:cs="Arial"/>
        </w:rPr>
        <w:t>ACCA.</w:t>
      </w:r>
    </w:p>
    <w:p w14:paraId="6E7E4AFA" w14:textId="77777777" w:rsidR="00EA0079" w:rsidRPr="00EA0079" w:rsidRDefault="00EA0079" w:rsidP="00EA0079">
      <w:pPr>
        <w:widowControl w:val="0"/>
        <w:numPr>
          <w:ilvl w:val="0"/>
          <w:numId w:val="1"/>
        </w:numPr>
        <w:tabs>
          <w:tab w:val="left" w:pos="301"/>
        </w:tabs>
        <w:autoSpaceDE w:val="0"/>
        <w:autoSpaceDN w:val="0"/>
        <w:spacing w:before="120" w:after="120" w:line="240" w:lineRule="auto"/>
        <w:jc w:val="both"/>
        <w:rPr>
          <w:rFonts w:ascii="Arial" w:hAnsi="Arial" w:cs="Arial"/>
        </w:rPr>
      </w:pPr>
      <w:r w:rsidRPr="00EA0079">
        <w:rPr>
          <w:rFonts w:ascii="Arial" w:hAnsi="Arial" w:cs="Arial"/>
          <w:spacing w:val="3"/>
        </w:rPr>
        <w:t xml:space="preserve">The auditor </w:t>
      </w:r>
      <w:r w:rsidRPr="00EA0079">
        <w:rPr>
          <w:rFonts w:ascii="Arial" w:hAnsi="Arial" w:cs="Arial"/>
        </w:rPr>
        <w:t>must disclose if we are under investigation by a professional</w:t>
      </w:r>
      <w:r w:rsidRPr="00EA0079">
        <w:rPr>
          <w:rFonts w:ascii="Arial" w:hAnsi="Arial" w:cs="Arial"/>
          <w:spacing w:val="-22"/>
        </w:rPr>
        <w:t xml:space="preserve"> </w:t>
      </w:r>
      <w:r w:rsidRPr="00EA0079">
        <w:rPr>
          <w:rFonts w:ascii="Arial" w:hAnsi="Arial" w:cs="Arial"/>
        </w:rPr>
        <w:t>body.</w:t>
      </w:r>
    </w:p>
    <w:p w14:paraId="7E0F5187" w14:textId="77777777" w:rsidR="00EA0079" w:rsidRPr="00EA0079" w:rsidRDefault="00EA0079" w:rsidP="00EA0079">
      <w:pPr>
        <w:widowControl w:val="0"/>
        <w:numPr>
          <w:ilvl w:val="0"/>
          <w:numId w:val="1"/>
        </w:numPr>
        <w:tabs>
          <w:tab w:val="left" w:pos="248"/>
        </w:tabs>
        <w:autoSpaceDE w:val="0"/>
        <w:autoSpaceDN w:val="0"/>
        <w:spacing w:before="120" w:after="120" w:line="240" w:lineRule="auto"/>
        <w:jc w:val="both"/>
        <w:rPr>
          <w:rFonts w:ascii="Arial" w:hAnsi="Arial" w:cs="Arial"/>
        </w:rPr>
      </w:pPr>
      <w:r w:rsidRPr="00EA0079">
        <w:rPr>
          <w:rFonts w:ascii="Arial" w:hAnsi="Arial" w:cs="Arial"/>
        </w:rPr>
        <w:t>If the auditor is required by law to act as a witness in a court case, then disclosure will also be</w:t>
      </w:r>
      <w:r w:rsidRPr="00EA0079">
        <w:rPr>
          <w:rFonts w:ascii="Arial" w:hAnsi="Arial" w:cs="Arial"/>
          <w:spacing w:val="-30"/>
        </w:rPr>
        <w:t xml:space="preserve"> </w:t>
      </w:r>
      <w:r w:rsidRPr="00EA0079">
        <w:rPr>
          <w:rFonts w:ascii="Arial" w:hAnsi="Arial" w:cs="Arial"/>
        </w:rPr>
        <w:t>necessary.</w:t>
      </w:r>
    </w:p>
    <w:p w14:paraId="2CB799DC" w14:textId="77777777" w:rsidR="00EA0079" w:rsidRPr="00EA0079" w:rsidRDefault="00EA0079" w:rsidP="00EA0079">
      <w:pPr>
        <w:widowControl w:val="0"/>
        <w:numPr>
          <w:ilvl w:val="0"/>
          <w:numId w:val="1"/>
        </w:numPr>
        <w:tabs>
          <w:tab w:val="left" w:pos="246"/>
        </w:tabs>
        <w:autoSpaceDE w:val="0"/>
        <w:autoSpaceDN w:val="0"/>
        <w:spacing w:before="120" w:after="120" w:line="240" w:lineRule="auto"/>
        <w:ind w:right="118"/>
        <w:jc w:val="both"/>
        <w:rPr>
          <w:rFonts w:ascii="Arial" w:hAnsi="Arial" w:cs="Arial"/>
        </w:rPr>
      </w:pPr>
      <w:r w:rsidRPr="00EA0079">
        <w:rPr>
          <w:rFonts w:ascii="Arial" w:hAnsi="Arial" w:cs="Arial"/>
        </w:rPr>
        <w:t>Sometimes</w:t>
      </w:r>
      <w:r w:rsidRPr="00EA0079">
        <w:rPr>
          <w:rFonts w:ascii="Arial" w:hAnsi="Arial" w:cs="Arial"/>
          <w:spacing w:val="-5"/>
        </w:rPr>
        <w:t xml:space="preserve"> </w:t>
      </w:r>
      <w:r w:rsidRPr="00EA0079">
        <w:rPr>
          <w:rFonts w:ascii="Arial" w:hAnsi="Arial" w:cs="Arial"/>
        </w:rPr>
        <w:t>auditors</w:t>
      </w:r>
      <w:r w:rsidRPr="00EA0079">
        <w:rPr>
          <w:rFonts w:ascii="Arial" w:hAnsi="Arial" w:cs="Arial"/>
          <w:spacing w:val="-4"/>
        </w:rPr>
        <w:t xml:space="preserve"> </w:t>
      </w:r>
      <w:r w:rsidRPr="00EA0079">
        <w:rPr>
          <w:rFonts w:ascii="Arial" w:hAnsi="Arial" w:cs="Arial"/>
        </w:rPr>
        <w:t>will</w:t>
      </w:r>
      <w:r w:rsidRPr="00EA0079">
        <w:rPr>
          <w:rFonts w:ascii="Arial" w:hAnsi="Arial" w:cs="Arial"/>
          <w:spacing w:val="-4"/>
        </w:rPr>
        <w:t xml:space="preserve"> </w:t>
      </w:r>
      <w:r w:rsidRPr="00EA0079">
        <w:rPr>
          <w:rFonts w:ascii="Arial" w:hAnsi="Arial" w:cs="Arial"/>
        </w:rPr>
        <w:t>find</w:t>
      </w:r>
      <w:r w:rsidRPr="00EA0079">
        <w:rPr>
          <w:rFonts w:ascii="Arial" w:hAnsi="Arial" w:cs="Arial"/>
          <w:spacing w:val="-3"/>
        </w:rPr>
        <w:t xml:space="preserve"> </w:t>
      </w:r>
      <w:r w:rsidRPr="00EA0079">
        <w:rPr>
          <w:rFonts w:ascii="Arial" w:hAnsi="Arial" w:cs="Arial"/>
        </w:rPr>
        <w:t>that</w:t>
      </w:r>
      <w:r w:rsidRPr="00EA0079">
        <w:rPr>
          <w:rFonts w:ascii="Arial" w:hAnsi="Arial" w:cs="Arial"/>
          <w:spacing w:val="-6"/>
        </w:rPr>
        <w:t xml:space="preserve"> </w:t>
      </w:r>
      <w:r w:rsidRPr="00EA0079">
        <w:rPr>
          <w:rFonts w:ascii="Arial" w:hAnsi="Arial" w:cs="Arial"/>
        </w:rPr>
        <w:t>the</w:t>
      </w:r>
      <w:r w:rsidRPr="00EA0079">
        <w:rPr>
          <w:rFonts w:ascii="Arial" w:hAnsi="Arial" w:cs="Arial"/>
          <w:spacing w:val="-3"/>
        </w:rPr>
        <w:t xml:space="preserve"> </w:t>
      </w:r>
      <w:r w:rsidRPr="00EA0079">
        <w:rPr>
          <w:rFonts w:ascii="Arial" w:hAnsi="Arial" w:cs="Arial"/>
        </w:rPr>
        <w:t>client</w:t>
      </w:r>
      <w:r w:rsidRPr="00EA0079">
        <w:rPr>
          <w:rFonts w:ascii="Arial" w:hAnsi="Arial" w:cs="Arial"/>
          <w:spacing w:val="-6"/>
        </w:rPr>
        <w:t xml:space="preserve"> </w:t>
      </w:r>
      <w:r w:rsidRPr="00EA0079">
        <w:rPr>
          <w:rFonts w:ascii="Arial" w:hAnsi="Arial" w:cs="Arial"/>
        </w:rPr>
        <w:t>has</w:t>
      </w:r>
      <w:r w:rsidRPr="00EA0079">
        <w:rPr>
          <w:rFonts w:ascii="Arial" w:hAnsi="Arial" w:cs="Arial"/>
          <w:spacing w:val="-6"/>
        </w:rPr>
        <w:t xml:space="preserve"> </w:t>
      </w:r>
      <w:r w:rsidRPr="00EA0079">
        <w:rPr>
          <w:rFonts w:ascii="Arial" w:hAnsi="Arial" w:cs="Arial"/>
        </w:rPr>
        <w:t>broken</w:t>
      </w:r>
      <w:r w:rsidRPr="00EA0079">
        <w:rPr>
          <w:rFonts w:ascii="Arial" w:hAnsi="Arial" w:cs="Arial"/>
          <w:spacing w:val="-4"/>
        </w:rPr>
        <w:t xml:space="preserve"> </w:t>
      </w:r>
      <w:r w:rsidRPr="00EA0079">
        <w:rPr>
          <w:rFonts w:ascii="Arial" w:hAnsi="Arial" w:cs="Arial"/>
        </w:rPr>
        <w:t>the</w:t>
      </w:r>
      <w:r w:rsidRPr="00EA0079">
        <w:rPr>
          <w:rFonts w:ascii="Arial" w:hAnsi="Arial" w:cs="Arial"/>
          <w:spacing w:val="-3"/>
        </w:rPr>
        <w:t xml:space="preserve"> </w:t>
      </w:r>
      <w:proofErr w:type="gramStart"/>
      <w:r w:rsidRPr="00EA0079">
        <w:rPr>
          <w:rFonts w:ascii="Arial" w:hAnsi="Arial" w:cs="Arial"/>
        </w:rPr>
        <w:t>law,</w:t>
      </w:r>
      <w:r w:rsidRPr="00EA0079">
        <w:rPr>
          <w:rFonts w:ascii="Arial" w:hAnsi="Arial" w:cs="Arial"/>
          <w:spacing w:val="-6"/>
        </w:rPr>
        <w:t xml:space="preserve"> </w:t>
      </w:r>
      <w:r w:rsidRPr="00EA0079">
        <w:rPr>
          <w:rFonts w:ascii="Arial" w:hAnsi="Arial" w:cs="Arial"/>
        </w:rPr>
        <w:t>or</w:t>
      </w:r>
      <w:proofErr w:type="gramEnd"/>
      <w:r w:rsidRPr="00EA0079">
        <w:rPr>
          <w:rFonts w:ascii="Arial" w:hAnsi="Arial" w:cs="Arial"/>
          <w:spacing w:val="-4"/>
        </w:rPr>
        <w:t xml:space="preserve"> </w:t>
      </w:r>
      <w:r w:rsidRPr="00EA0079">
        <w:rPr>
          <w:rFonts w:ascii="Arial" w:hAnsi="Arial" w:cs="Arial"/>
        </w:rPr>
        <w:t>is</w:t>
      </w:r>
      <w:r w:rsidRPr="00EA0079">
        <w:rPr>
          <w:rFonts w:ascii="Arial" w:hAnsi="Arial" w:cs="Arial"/>
          <w:spacing w:val="-5"/>
        </w:rPr>
        <w:t xml:space="preserve"> </w:t>
      </w:r>
      <w:r w:rsidRPr="00EA0079">
        <w:rPr>
          <w:rFonts w:ascii="Arial" w:hAnsi="Arial" w:cs="Arial"/>
        </w:rPr>
        <w:t>potentially</w:t>
      </w:r>
      <w:r w:rsidRPr="00EA0079">
        <w:rPr>
          <w:rFonts w:ascii="Arial" w:hAnsi="Arial" w:cs="Arial"/>
          <w:spacing w:val="-6"/>
        </w:rPr>
        <w:t xml:space="preserve"> </w:t>
      </w:r>
      <w:r w:rsidRPr="00EA0079">
        <w:rPr>
          <w:rFonts w:ascii="Arial" w:hAnsi="Arial" w:cs="Arial"/>
        </w:rPr>
        <w:t>going</w:t>
      </w:r>
      <w:r w:rsidRPr="00EA0079">
        <w:rPr>
          <w:rFonts w:ascii="Arial" w:hAnsi="Arial" w:cs="Arial"/>
          <w:spacing w:val="-4"/>
        </w:rPr>
        <w:t xml:space="preserve"> </w:t>
      </w:r>
      <w:r w:rsidRPr="00EA0079">
        <w:rPr>
          <w:rFonts w:ascii="Arial" w:hAnsi="Arial" w:cs="Arial"/>
        </w:rPr>
        <w:t>to</w:t>
      </w:r>
      <w:r w:rsidRPr="00EA0079">
        <w:rPr>
          <w:rFonts w:ascii="Arial" w:hAnsi="Arial" w:cs="Arial"/>
          <w:spacing w:val="-4"/>
        </w:rPr>
        <w:t xml:space="preserve"> </w:t>
      </w:r>
      <w:r w:rsidRPr="00EA0079">
        <w:rPr>
          <w:rFonts w:ascii="Arial" w:hAnsi="Arial" w:cs="Arial"/>
        </w:rPr>
        <w:t>do</w:t>
      </w:r>
      <w:r w:rsidRPr="00EA0079">
        <w:rPr>
          <w:rFonts w:ascii="Arial" w:hAnsi="Arial" w:cs="Arial"/>
          <w:spacing w:val="-4"/>
        </w:rPr>
        <w:t xml:space="preserve"> </w:t>
      </w:r>
      <w:r w:rsidRPr="00EA0079">
        <w:rPr>
          <w:rFonts w:ascii="Arial" w:hAnsi="Arial" w:cs="Arial"/>
        </w:rPr>
        <w:t>so.</w:t>
      </w:r>
      <w:r w:rsidRPr="00EA0079">
        <w:rPr>
          <w:rFonts w:ascii="Arial" w:hAnsi="Arial" w:cs="Arial"/>
          <w:spacing w:val="-9"/>
        </w:rPr>
        <w:t xml:space="preserve"> </w:t>
      </w:r>
      <w:r w:rsidRPr="00EA0079">
        <w:rPr>
          <w:rFonts w:ascii="Arial" w:hAnsi="Arial" w:cs="Arial"/>
          <w:spacing w:val="3"/>
        </w:rPr>
        <w:t>We</w:t>
      </w:r>
      <w:r w:rsidRPr="00EA0079">
        <w:rPr>
          <w:rFonts w:ascii="Arial" w:hAnsi="Arial" w:cs="Arial"/>
          <w:spacing w:val="-7"/>
        </w:rPr>
        <w:t xml:space="preserve"> </w:t>
      </w:r>
      <w:r w:rsidRPr="00EA0079">
        <w:rPr>
          <w:rFonts w:ascii="Arial" w:hAnsi="Arial" w:cs="Arial"/>
        </w:rPr>
        <w:t>would have to disclose</w:t>
      </w:r>
      <w:r w:rsidRPr="00EA0079">
        <w:rPr>
          <w:rFonts w:ascii="Arial" w:hAnsi="Arial" w:cs="Arial"/>
          <w:spacing w:val="-4"/>
        </w:rPr>
        <w:t xml:space="preserve"> </w:t>
      </w:r>
      <w:r w:rsidRPr="00EA0079">
        <w:rPr>
          <w:rFonts w:ascii="Arial" w:hAnsi="Arial" w:cs="Arial"/>
        </w:rPr>
        <w:t>this.</w:t>
      </w:r>
    </w:p>
    <w:p w14:paraId="1A966377" w14:textId="77777777" w:rsidR="00EA0079" w:rsidRPr="00EA0079" w:rsidRDefault="00EA0079" w:rsidP="00EA0079">
      <w:pPr>
        <w:widowControl w:val="0"/>
        <w:numPr>
          <w:ilvl w:val="0"/>
          <w:numId w:val="1"/>
        </w:numPr>
        <w:tabs>
          <w:tab w:val="left" w:pos="248"/>
        </w:tabs>
        <w:autoSpaceDE w:val="0"/>
        <w:autoSpaceDN w:val="0"/>
        <w:spacing w:before="120" w:after="120" w:line="241" w:lineRule="exact"/>
        <w:jc w:val="both"/>
        <w:rPr>
          <w:rFonts w:ascii="Arial" w:hAnsi="Arial" w:cs="Arial"/>
        </w:rPr>
      </w:pPr>
      <w:r w:rsidRPr="00EA0079">
        <w:rPr>
          <w:rFonts w:ascii="Arial" w:hAnsi="Arial" w:cs="Arial"/>
        </w:rPr>
        <w:t>Some specific issues will need to be disclosed relating to any assurance</w:t>
      </w:r>
      <w:r w:rsidRPr="00EA0079">
        <w:rPr>
          <w:rFonts w:ascii="Arial" w:hAnsi="Arial" w:cs="Arial"/>
          <w:spacing w:val="-17"/>
        </w:rPr>
        <w:t xml:space="preserve"> </w:t>
      </w:r>
      <w:r w:rsidRPr="00EA0079">
        <w:rPr>
          <w:rFonts w:ascii="Arial" w:hAnsi="Arial" w:cs="Arial"/>
        </w:rPr>
        <w:t>client.</w:t>
      </w:r>
    </w:p>
    <w:p w14:paraId="16729E34" w14:textId="77777777" w:rsidR="00EA0079" w:rsidRPr="00EA0079" w:rsidRDefault="00EA0079" w:rsidP="00EA0079">
      <w:pPr>
        <w:widowControl w:val="0"/>
        <w:numPr>
          <w:ilvl w:val="0"/>
          <w:numId w:val="1"/>
        </w:numPr>
        <w:autoSpaceDE w:val="0"/>
        <w:autoSpaceDN w:val="0"/>
        <w:spacing w:before="120" w:after="120" w:line="241" w:lineRule="exact"/>
        <w:jc w:val="both"/>
        <w:rPr>
          <w:rFonts w:ascii="Arial" w:eastAsia="Arial" w:hAnsi="Arial" w:cs="Arial"/>
          <w:lang w:val="en-US" w:bidi="en-US"/>
        </w:rPr>
      </w:pPr>
      <w:r w:rsidRPr="00EA0079">
        <w:rPr>
          <w:rFonts w:ascii="Arial" w:eastAsia="Arial" w:hAnsi="Arial" w:cs="Arial"/>
          <w:lang w:val="en-US" w:bidi="en-US"/>
        </w:rPr>
        <w:t>If they are guilty of terrorism money laundering or drug trafficking, then these must always be disclosed.</w:t>
      </w:r>
    </w:p>
    <w:p w14:paraId="462BFFCA" w14:textId="77777777" w:rsidR="00EA0079" w:rsidRPr="00EA0079" w:rsidRDefault="00EA0079" w:rsidP="00EA0079">
      <w:pPr>
        <w:widowControl w:val="0"/>
        <w:autoSpaceDE w:val="0"/>
        <w:autoSpaceDN w:val="0"/>
        <w:spacing w:before="120" w:after="120" w:line="240" w:lineRule="auto"/>
        <w:jc w:val="both"/>
        <w:rPr>
          <w:rFonts w:ascii="Arial" w:eastAsia="Arial" w:hAnsi="Arial" w:cs="Arial"/>
          <w:lang w:val="en-US" w:bidi="en-US"/>
        </w:rPr>
      </w:pPr>
    </w:p>
    <w:p w14:paraId="5AE5748C" w14:textId="2100CC7D" w:rsidR="009A6A88" w:rsidRDefault="00EA0079" w:rsidP="00EA0079">
      <w:r w:rsidRPr="00EA0079">
        <w:rPr>
          <w:rFonts w:ascii="Arial" w:hAnsi="Arial" w:cs="Arial"/>
          <w:i/>
          <w:iCs/>
        </w:rPr>
        <w:t>Note: 1 mark each, up to 8 marks in total</w:t>
      </w:r>
    </w:p>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27D07"/>
    <w:multiLevelType w:val="hybridMultilevel"/>
    <w:tmpl w:val="A2F8AD84"/>
    <w:lvl w:ilvl="0" w:tplc="EB8E325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079"/>
    <w:rsid w:val="009A6A88"/>
    <w:rsid w:val="00EA0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E214F"/>
  <w15:chartTrackingRefBased/>
  <w15:docId w15:val="{64821866-2989-48FF-9CF2-35A68C8C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0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3261</Characters>
  <Application>Microsoft Office Word</Application>
  <DocSecurity>0</DocSecurity>
  <Lines>27</Lines>
  <Paragraphs>7</Paragraphs>
  <ScaleCrop>false</ScaleCrop>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2020-12-01T11:45:00Z</dcterms:created>
  <dcterms:modified xsi:type="dcterms:W3CDTF">2020-12-01T11:46:00Z</dcterms:modified>
</cp:coreProperties>
</file>