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7F747" w14:textId="77777777" w:rsidR="00F53F03" w:rsidRDefault="00F53F03" w:rsidP="00474E36">
      <w:pPr>
        <w:jc w:val="center"/>
        <w:rPr>
          <w:sz w:val="36"/>
          <w:szCs w:val="32"/>
        </w:rPr>
      </w:pPr>
    </w:p>
    <w:p w14:paraId="1EF29F24" w14:textId="77777777" w:rsidR="00F53F03" w:rsidRDefault="00F53F03" w:rsidP="00474E36">
      <w:pPr>
        <w:jc w:val="center"/>
        <w:rPr>
          <w:sz w:val="36"/>
          <w:szCs w:val="32"/>
        </w:rPr>
      </w:pPr>
    </w:p>
    <w:p w14:paraId="2DE17FDA" w14:textId="77777777" w:rsidR="00F53F03" w:rsidRDefault="00F53F03" w:rsidP="00474E36">
      <w:pPr>
        <w:jc w:val="center"/>
        <w:rPr>
          <w:sz w:val="36"/>
          <w:szCs w:val="32"/>
        </w:rPr>
      </w:pPr>
    </w:p>
    <w:p w14:paraId="7E2DD28D" w14:textId="77777777" w:rsidR="00F53F03" w:rsidRDefault="00F53F03" w:rsidP="00474E36">
      <w:pPr>
        <w:jc w:val="center"/>
        <w:rPr>
          <w:sz w:val="36"/>
          <w:szCs w:val="32"/>
        </w:rPr>
      </w:pPr>
    </w:p>
    <w:p w14:paraId="19817C63" w14:textId="77777777" w:rsidR="00F53F03" w:rsidRDefault="00F53F03" w:rsidP="00474E36">
      <w:pPr>
        <w:jc w:val="center"/>
        <w:rPr>
          <w:sz w:val="36"/>
          <w:szCs w:val="32"/>
        </w:rPr>
      </w:pPr>
    </w:p>
    <w:p w14:paraId="2FB8EA0F" w14:textId="77777777" w:rsidR="00F53F03" w:rsidRDefault="00F53F03" w:rsidP="00474E36">
      <w:pPr>
        <w:jc w:val="center"/>
        <w:rPr>
          <w:sz w:val="36"/>
          <w:szCs w:val="32"/>
        </w:rPr>
      </w:pPr>
    </w:p>
    <w:p w14:paraId="00F556F3" w14:textId="178DA328" w:rsidR="001D0E87" w:rsidRPr="0070292E" w:rsidRDefault="00474E36" w:rsidP="00474E36">
      <w:pPr>
        <w:jc w:val="center"/>
        <w:rPr>
          <w:sz w:val="36"/>
          <w:szCs w:val="32"/>
        </w:rPr>
      </w:pPr>
      <w:r w:rsidRPr="0070292E">
        <w:rPr>
          <w:sz w:val="36"/>
          <w:szCs w:val="32"/>
        </w:rPr>
        <w:t>BMPL4009 Criminal law</w:t>
      </w:r>
    </w:p>
    <w:p w14:paraId="5F156AE3" w14:textId="77777777" w:rsidR="00474E36" w:rsidRDefault="00474E36">
      <w:pPr>
        <w:spacing w:line="276" w:lineRule="auto"/>
        <w:jc w:val="left"/>
      </w:pPr>
      <w:r>
        <w:br w:type="page"/>
      </w:r>
    </w:p>
    <w:p w14:paraId="53B272A9" w14:textId="77777777" w:rsidR="00474E36" w:rsidRPr="00CE7DED" w:rsidRDefault="00CE7DED" w:rsidP="00CE7DED">
      <w:pPr>
        <w:jc w:val="center"/>
        <w:rPr>
          <w:sz w:val="36"/>
        </w:rPr>
      </w:pPr>
      <w:r w:rsidRPr="00CE7DED">
        <w:rPr>
          <w:sz w:val="36"/>
        </w:rPr>
        <w:lastRenderedPageBreak/>
        <w:t>Role of Consent in Battery</w:t>
      </w:r>
    </w:p>
    <w:p w14:paraId="7FE5ADC9" w14:textId="1D5D50A4" w:rsidR="0018545B" w:rsidRDefault="00962B1C" w:rsidP="00474E36">
      <w:r w:rsidRPr="00962B1C">
        <w:t>The idea of consent holds significant importance in several domains, notably in situations pertaining to human damage or medical malpractice. In the realm of tort law, consent pertains to the deliberate and voluntary acquiescence of an individual to a certain course of conduct, particularly one that has a potential for injury. Consent may be categorized into two forms: express consent and inferred consent. Explicit permission is granted explicitly by either verbal or written communication</w:t>
      </w:r>
      <w:r w:rsidR="008748C7">
        <w:t xml:space="preserve"> (Turner, 2013)</w:t>
      </w:r>
      <w:r w:rsidRPr="00962B1C">
        <w:t xml:space="preserve">. For instance, when an individual provides informed consent after being apprised of the potential risks and advantages associated with a medical procedure, their explicit agreement is acquired. In contrast, implied consent is deduced from the </w:t>
      </w:r>
      <w:r w:rsidR="008330F9" w:rsidRPr="00962B1C">
        <w:t>behaviour</w:t>
      </w:r>
      <w:r w:rsidRPr="00962B1C">
        <w:t xml:space="preserve"> or contextual factors exhibited by the individuals concerned. For example, when an individual voluntarily extends their arm to facilitate a healthcare professional in measuring their blood pressure, it might be inferred that they have implicitly granted consent for that </w:t>
      </w:r>
      <w:r w:rsidR="008330F9" w:rsidRPr="00962B1C">
        <w:t>medical</w:t>
      </w:r>
      <w:r w:rsidRPr="00962B1C">
        <w:t xml:space="preserve"> treatment. The presence of valid permission might function as a legal </w:t>
      </w:r>
      <w:r w:rsidR="008330F9" w:rsidRPr="00962B1C">
        <w:t>defence</w:t>
      </w:r>
      <w:r w:rsidRPr="00962B1C">
        <w:t xml:space="preserve"> against allegations of violence or carelessness</w:t>
      </w:r>
      <w:r w:rsidR="00090577">
        <w:t xml:space="preserve"> (Priel, 2020)</w:t>
      </w:r>
      <w:r w:rsidRPr="00962B1C">
        <w:t xml:space="preserve">. In cases when an individual has provided informed and voluntary permission, it is typically not permissible for them to subsequently assert that the counterparty has committed a tort by carrying out the agreed-upon activity. The act of granting permission should be voluntary and not influenced by force, pressure, or undue influence. The act of making a true and independent decision should be undertaken by the individual. </w:t>
      </w:r>
      <w:r w:rsidR="008330F9" w:rsidRPr="00962B1C">
        <w:t>For</w:t>
      </w:r>
      <w:r w:rsidRPr="00962B1C">
        <w:t xml:space="preserve"> permission to be valid, the individual granting consent must possess adequate knowledge of the characteristics, potential hazards, advantages, and alternative options associated with the </w:t>
      </w:r>
      <w:r w:rsidR="008330F9" w:rsidRPr="00962B1C">
        <w:t>activity</w:t>
      </w:r>
      <w:r w:rsidRPr="00962B1C">
        <w:t xml:space="preserve"> or treatment</w:t>
      </w:r>
      <w:r w:rsidR="00090577">
        <w:t xml:space="preserve"> (</w:t>
      </w:r>
      <w:r w:rsidR="008330F9">
        <w:t>McBride</w:t>
      </w:r>
      <w:r w:rsidR="00090577">
        <w:t xml:space="preserve"> and Bagshaw, 2018)</w:t>
      </w:r>
      <w:r w:rsidRPr="00962B1C">
        <w:t xml:space="preserve">. The information presented should include clarity, comprehensiveness, and accessibility, so facilitating the individual's ability to make a well-informed decision. </w:t>
      </w:r>
      <w:r w:rsidR="008330F9" w:rsidRPr="00962B1C">
        <w:t>For</w:t>
      </w:r>
      <w:r w:rsidRPr="00962B1C">
        <w:t xml:space="preserve"> consent to be valid, the person involved must possess both the cognitive ability and legal authority to provide consent. This implies that individuals need possess mental competence and, in certain instances, meet specific age requirements</w:t>
      </w:r>
      <w:r w:rsidR="00090577">
        <w:t xml:space="preserve"> (Brennan, 2017)</w:t>
      </w:r>
      <w:r w:rsidRPr="00962B1C">
        <w:t xml:space="preserve">. </w:t>
      </w:r>
      <w:r w:rsidR="008330F9" w:rsidRPr="00962B1C">
        <w:t>For</w:t>
      </w:r>
      <w:r w:rsidRPr="00962B1C">
        <w:t xml:space="preserve"> consent to be valid, it is essential that it is explicitly given for the precise activity or process under consideration. A broad consent may prove inadequate if the subject lacked awareness of the precise hazards included. </w:t>
      </w:r>
    </w:p>
    <w:p w14:paraId="2948E38B" w14:textId="41B81979" w:rsidR="00CE7DED" w:rsidRDefault="00962B1C" w:rsidP="0018545B">
      <w:r w:rsidRPr="00962B1C">
        <w:t xml:space="preserve">Exceptions to the necessity of obtaining consent exist, notably in cases of emergency whereby prompt intervention is imperative to preserve an individual's life or avert severe injury. In </w:t>
      </w:r>
      <w:r w:rsidRPr="00962B1C">
        <w:lastRenderedPageBreak/>
        <w:t>situations of this nature, a healthcare practitioner may proceed with the administration of medical intervention without acquiring express agreement if it is not practically feasible to get such consent within a reasonable timeframe</w:t>
      </w:r>
      <w:r w:rsidR="00090577">
        <w:t xml:space="preserve"> (Edwards and Wells, 2012)</w:t>
      </w:r>
      <w:r w:rsidRPr="00962B1C">
        <w:t>.</w:t>
      </w:r>
      <w:r w:rsidR="0018545B">
        <w:t xml:space="preserve"> </w:t>
      </w:r>
      <w:r w:rsidRPr="00962B1C">
        <w:t xml:space="preserve">The principle of consent holds significant importance within the realm of tort law, particularly in matters pertaining to battery. The battery is a well-established legal tort that encompasses the deliberate and unconsented physical contact with another individual, resulting in either injury or offense. The concept of permission functions as a legal </w:t>
      </w:r>
      <w:r w:rsidR="008330F9" w:rsidRPr="00962B1C">
        <w:t>defence</w:t>
      </w:r>
      <w:r w:rsidRPr="00962B1C">
        <w:t xml:space="preserve"> against allegations of violence, on the condition that the consent obtained is both legitimate and freely given. Battery is legally defined as the act of purposefully and non-consensually making physical contact with another individual</w:t>
      </w:r>
      <w:r w:rsidR="008748C7">
        <w:t xml:space="preserve"> (Turner, 2013)</w:t>
      </w:r>
      <w:r w:rsidRPr="00962B1C">
        <w:t xml:space="preserve">. The judiciary is displaying a growing awareness of matters pertaining to consent, particularly in relation to those who are vulnerable, such as the elderly or those with mental disorders. Considerable attention is devoted to ensuring that the consent obtained is authentic and not influenced by any form of force or manipulation. The idea of consent is also influenced by the evolving societal norms and attitudes. Courts demonstrate adaptability in response to these developments by </w:t>
      </w:r>
      <w:r w:rsidR="008330F9" w:rsidRPr="00962B1C">
        <w:t>considering</w:t>
      </w:r>
      <w:r w:rsidRPr="00962B1C">
        <w:t xml:space="preserve"> modern norms when assessing the legitimacy of consent in diverse circumstances.</w:t>
      </w:r>
    </w:p>
    <w:p w14:paraId="6C4E1825" w14:textId="2F1391A7" w:rsidR="00CE7DED" w:rsidRDefault="0018545B" w:rsidP="00CE7DED">
      <w:r>
        <w:t xml:space="preserve">It was held in </w:t>
      </w:r>
      <w:r w:rsidR="00CE7DED" w:rsidRPr="0018545B">
        <w:rPr>
          <w:i/>
        </w:rPr>
        <w:t>Montgomery v. Lanarkshire Health Board (2015)</w:t>
      </w:r>
      <w:r>
        <w:t xml:space="preserve"> case that it is problematic to assess </w:t>
      </w:r>
      <w:r w:rsidR="00962B1C" w:rsidRPr="00962B1C">
        <w:t xml:space="preserve">the </w:t>
      </w:r>
      <w:r w:rsidRPr="00962B1C">
        <w:t>absences</w:t>
      </w:r>
      <w:r w:rsidR="00962B1C" w:rsidRPr="00962B1C">
        <w:t xml:space="preserve"> of a precise delineation on the parameter</w:t>
      </w:r>
      <w:r>
        <w:t>s that define a material risk.</w:t>
      </w:r>
      <w:r w:rsidR="00962B1C" w:rsidRPr="00962B1C">
        <w:t xml:space="preserve"> The ruling places emphasis on the disclosure of substantial risks; nevertheless, it does not offer explicit instructions on the methodology for assessing the magnitude of a risk in specific instances. As a result, this lack of guidance introduces potential ambiguity and allows for differing interpretations</w:t>
      </w:r>
      <w:r w:rsidR="008748C7">
        <w:t xml:space="preserve"> (Steele, 2017)</w:t>
      </w:r>
      <w:r w:rsidR="00962B1C" w:rsidRPr="00962B1C">
        <w:t xml:space="preserve">. The ruling continues to assign significant importance to the viewpoint of the doctor, granting them the authority to determine the relevance of facts. This particular methodology might not effectively facilitate the complete empowerment of patients, particularly those with poor understanding of medical concepts, to autonomously make </w:t>
      </w:r>
      <w:r w:rsidR="008330F9" w:rsidRPr="00962B1C">
        <w:t>informed</w:t>
      </w:r>
      <w:r w:rsidR="00962B1C" w:rsidRPr="00962B1C">
        <w:t xml:space="preserve"> decisions on their treatment alternatives. The implementation of Montgomery represented a notable transition towards an approach that prioritizes the needs and preferences of patients</w:t>
      </w:r>
      <w:r w:rsidR="00090577">
        <w:t xml:space="preserve"> (</w:t>
      </w:r>
      <w:r w:rsidR="008330F9">
        <w:t>McBride</w:t>
      </w:r>
      <w:r w:rsidR="00090577">
        <w:t xml:space="preserve"> and Bagshaw, 2018)</w:t>
      </w:r>
      <w:r w:rsidR="00962B1C" w:rsidRPr="00962B1C">
        <w:t xml:space="preserve">. The importance of personalized conversations between healthcare providers and patients was underscored, with the aim of delivering pertinent information that is specifically customized to the unique circumstances of each patient. The </w:t>
      </w:r>
      <w:r w:rsidR="008330F9" w:rsidRPr="00962B1C">
        <w:t>approach</w:t>
      </w:r>
      <w:r w:rsidR="00962B1C" w:rsidRPr="00962B1C">
        <w:t xml:space="preserve"> recognizes the wide range of patient demands and facilitates a more knowledgeable </w:t>
      </w:r>
      <w:r w:rsidR="00962B1C" w:rsidRPr="00962B1C">
        <w:lastRenderedPageBreak/>
        <w:t>and deliberate process of decision-making. Montgomery underscored the need of making well-informed decisions, placing emphasis on the entitlement of patients to actively participate in deliberations on their medical interventions, comprehend the potential hazards involved, and seek alternate courses of action</w:t>
      </w:r>
      <w:r w:rsidR="00090577">
        <w:t xml:space="preserve"> (Edwards and Wells, 2012)</w:t>
      </w:r>
      <w:r w:rsidR="00962B1C" w:rsidRPr="00962B1C">
        <w:t>. The significance of transparent interaction and patient engagement in healthcare choices has been further emphasized via subsequent cases and legal discourse, contributing to the ongoing development of this fundamental principle.</w:t>
      </w:r>
    </w:p>
    <w:p w14:paraId="0B013CAE" w14:textId="2A033A26" w:rsidR="00CE7DED" w:rsidRDefault="0018545B" w:rsidP="00CE7DED">
      <w:r>
        <w:t>The judgement of</w:t>
      </w:r>
      <w:r w:rsidR="00CE7DED">
        <w:t xml:space="preserve"> </w:t>
      </w:r>
      <w:r w:rsidR="00CE7DED" w:rsidRPr="0018545B">
        <w:rPr>
          <w:i/>
        </w:rPr>
        <w:t>Re F (Mental Patient: Sterilisation) (1990)</w:t>
      </w:r>
      <w:r>
        <w:t xml:space="preserve"> </w:t>
      </w:r>
      <w:r w:rsidR="00962B1C" w:rsidRPr="00962B1C">
        <w:t>pertains to the subjective character inherent in the judgment of "best interests." The process of ascertaining the optimal course of action for a mentally impaired individual might present difficulties and may exhibit variability due to the diverse viewpoints of specialists involved, perhaps resulting in incongruous consequences</w:t>
      </w:r>
      <w:r w:rsidR="00090577">
        <w:t xml:space="preserve"> (Dyson, 2014)</w:t>
      </w:r>
      <w:r w:rsidR="00962B1C" w:rsidRPr="00962B1C">
        <w:t xml:space="preserve">. Although the ruling places significant emphasis on the evaluation of alternative, less intrusive interventions, it falls short in properly addressing the matter of patient autonomy. The decision-making process in circumstances pertaining to mentally impaired individuals may not consistently encompass the full range of the patient's preferences and wishes, hence possibly impeding their liberty. The evaluation of decision-making competence for mentally impaired persons has been the subject of subsequent legislative advancements, with an emphasis on refinement. Contemporary frameworks strive to engage a diverse range of professionals, such as mental health specialists and ethicists, </w:t>
      </w:r>
      <w:r w:rsidR="008330F9" w:rsidRPr="00962B1C">
        <w:t>to</w:t>
      </w:r>
      <w:r w:rsidR="00962B1C" w:rsidRPr="00962B1C">
        <w:t xml:space="preserve"> carry out thorough evaluations that result in a more equitable and knowledgeable appraisal of the patient's capabilities and optimal welfare</w:t>
      </w:r>
      <w:r w:rsidR="008748C7">
        <w:t xml:space="preserve"> (Weeks, 2019)</w:t>
      </w:r>
      <w:r w:rsidR="00962B1C" w:rsidRPr="00962B1C">
        <w:t>. Recent legal advancements have placed increasing emphasis on the significance of thoroughly examining alternate options that impose little limitations before resorting to intrusive procedures. Contemporary courts and experts currently acknowledge a broader spectrum of alternatives, encompassing supportive and therapeutic treatments, with the aim of fostering the well-being of individuals while also upholding their autonomy to the greatest extent feasible.</w:t>
      </w:r>
    </w:p>
    <w:p w14:paraId="49818ECA" w14:textId="5257FD39" w:rsidR="00CE7DED" w:rsidRDefault="00CE7DED" w:rsidP="00CE7DED">
      <w:r w:rsidRPr="0018545B">
        <w:rPr>
          <w:i/>
        </w:rPr>
        <w:t>Bolam v. Friern Hospital Management Committee (1957)</w:t>
      </w:r>
      <w:r w:rsidR="0018545B">
        <w:t xml:space="preserve"> is another leading </w:t>
      </w:r>
      <w:r w:rsidR="008330F9">
        <w:t>case,</w:t>
      </w:r>
      <w:r w:rsidR="0018545B">
        <w:t xml:space="preserve"> and a </w:t>
      </w:r>
      <w:r w:rsidR="00962B1C" w:rsidRPr="00962B1C">
        <w:t xml:space="preserve">notable critique of the Bolam </w:t>
      </w:r>
      <w:r w:rsidR="0018545B">
        <w:t>test</w:t>
      </w:r>
      <w:r w:rsidR="00962B1C" w:rsidRPr="00962B1C">
        <w:t xml:space="preserve"> is to its predominant adoption of a doctor-centric viewpoint. This approach assigns significant importance to the practices endorsed by the medical community, perhaps enabling physicians to establish their own criteria without adequately addressing the </w:t>
      </w:r>
      <w:r w:rsidR="00962B1C" w:rsidRPr="00962B1C">
        <w:lastRenderedPageBreak/>
        <w:t>perspective of the patient. This phenomenon has the potential to restrict patient autonomy and impede their capacity to make well-informed decisions</w:t>
      </w:r>
      <w:r w:rsidR="008748C7">
        <w:t xml:space="preserve"> (Steele, 2017)</w:t>
      </w:r>
      <w:r w:rsidR="00962B1C" w:rsidRPr="00962B1C">
        <w:t>. The Bolam test does not expressly accord primacy to the patient's autonomy in making healthcare decisions that align with their own preferences and beliefs. The current approach may potentially undermine the notion of informed consent, as it is predicated on the medical community's established standard of care, which patients may not possess a comprehensive understanding of or possess agency over. Over the course of time, there has been a progressive development in the legislative framework to place greater emphasis on patient-</w:t>
      </w:r>
      <w:r w:rsidR="0018545B" w:rsidRPr="00962B1C">
        <w:t>centred</w:t>
      </w:r>
      <w:r w:rsidR="00962B1C" w:rsidRPr="00962B1C">
        <w:t xml:space="preserve"> treatment and the principle of informed consent. Contemporary perspectives on informed consent underscore the significance of a patient's entitlement to comprehensive knowledge and self-governance in the process of medical decision-making</w:t>
      </w:r>
      <w:r w:rsidR="008748C7">
        <w:t xml:space="preserve"> (Priel, 2020)</w:t>
      </w:r>
      <w:r w:rsidR="00962B1C" w:rsidRPr="00962B1C">
        <w:t xml:space="preserve">. The current paradigm recognizes patients as engaged participants in their healthcare decision-making process, as opposed to passive beneficiaries of medical interventions. </w:t>
      </w:r>
      <w:r w:rsidR="008330F9" w:rsidRPr="00962B1C">
        <w:t>Considering</w:t>
      </w:r>
      <w:r w:rsidR="00962B1C" w:rsidRPr="00962B1C">
        <w:t xml:space="preserve"> the constraints associated with the Bolam standard, healthcare establishments and professional organizations have formulated standards and norms that underscore the significance of transparent and thorough communication of information to patients. These principles serve to enhance openness and enable patients to make well-informed decisions regarding their medical care.</w:t>
      </w:r>
    </w:p>
    <w:p w14:paraId="0A4FC256" w14:textId="2BA2A089" w:rsidR="00CE7DED" w:rsidRDefault="0018545B" w:rsidP="00CE7DED">
      <w:r>
        <w:t xml:space="preserve">Lastly, the judgement of </w:t>
      </w:r>
      <w:r w:rsidR="00CE7DED" w:rsidRPr="0018545B">
        <w:rPr>
          <w:i/>
        </w:rPr>
        <w:t xml:space="preserve">Sidaway v. Bethlem </w:t>
      </w:r>
      <w:r w:rsidR="00A523B6" w:rsidRPr="0018545B">
        <w:rPr>
          <w:i/>
        </w:rPr>
        <w:t>Royal Hospital Governors (1985)</w:t>
      </w:r>
      <w:r>
        <w:t xml:space="preserve"> </w:t>
      </w:r>
      <w:r w:rsidR="00962B1C" w:rsidRPr="00962B1C">
        <w:t xml:space="preserve">used the "reasonable person" criterion </w:t>
      </w:r>
      <w:r w:rsidR="008330F9" w:rsidRPr="00962B1C">
        <w:t>to</w:t>
      </w:r>
      <w:r w:rsidR="00962B1C" w:rsidRPr="00962B1C">
        <w:t xml:space="preserve"> ascertain the definition of a significant danger</w:t>
      </w:r>
      <w:r w:rsidR="00090577">
        <w:t xml:space="preserve"> (Dyson, 2014)</w:t>
      </w:r>
      <w:r w:rsidR="00962B1C" w:rsidRPr="00962B1C">
        <w:t xml:space="preserve">. Critics contend that the </w:t>
      </w:r>
      <w:r w:rsidR="008330F9" w:rsidRPr="00962B1C">
        <w:t>norm</w:t>
      </w:r>
      <w:r w:rsidR="00962B1C" w:rsidRPr="00962B1C">
        <w:t xml:space="preserve"> lacks precision and fails to offer explicit instructions to medical practitioners, hence potentially resulting in disparate approaches to the sharing of information. Although </w:t>
      </w:r>
      <w:r w:rsidR="00090577">
        <w:t>this case</w:t>
      </w:r>
      <w:r w:rsidR="00962B1C" w:rsidRPr="00962B1C">
        <w:t xml:space="preserve"> established the need to disclose major hazards, it confers considerable discretion onto physicians in judging the significance of these risks. The use of discretion in this context may lead to a dearth of uniformity in the information conveyed to patients, thereby impeding their capacity to make decisions that are fully informed</w:t>
      </w:r>
      <w:r w:rsidR="00090577">
        <w:t xml:space="preserve"> (</w:t>
      </w:r>
      <w:r w:rsidR="008330F9">
        <w:t>McBride</w:t>
      </w:r>
      <w:r w:rsidR="00090577">
        <w:t xml:space="preserve"> and Bagshaw, 2018)</w:t>
      </w:r>
      <w:r w:rsidR="00962B1C" w:rsidRPr="00962B1C">
        <w:t>. Despite receiving critiques, Sidaway's work lay the groundwork for the development of a customized approach to the sharing of information. The need of clinicians engaging in tailored talks with patients, considering the patient's individual medical history, concerns, and choices, has been underscored by subsequent legislative advancements. This methodology guarantees that individuals seeking medical care are provided with information that is pertinent to their specific situation</w:t>
      </w:r>
      <w:r w:rsidR="008748C7">
        <w:t xml:space="preserve"> (Weeks, 2019)</w:t>
      </w:r>
      <w:r w:rsidR="00962B1C" w:rsidRPr="00962B1C">
        <w:t xml:space="preserve">. The breadth of information that should be revealed to patients has been </w:t>
      </w:r>
      <w:r w:rsidR="00962B1C" w:rsidRPr="00962B1C">
        <w:lastRenderedPageBreak/>
        <w:t xml:space="preserve">broadened by legal advancements, which have </w:t>
      </w:r>
      <w:r w:rsidR="008330F9" w:rsidRPr="00962B1C">
        <w:t>considered</w:t>
      </w:r>
      <w:r w:rsidR="00962B1C" w:rsidRPr="00962B1C">
        <w:t xml:space="preserve"> various circumstances and patient demographics, including youngsters and those with mental incapacitation. The </w:t>
      </w:r>
      <w:r w:rsidR="008330F9" w:rsidRPr="00962B1C">
        <w:t>enlargement</w:t>
      </w:r>
      <w:r w:rsidR="00962B1C" w:rsidRPr="00962B1C">
        <w:t xml:space="preserve"> guarantees that the need to reveal significant dangers is adaptable and receptive to the ever-changing medical and ethical norms.</w:t>
      </w:r>
    </w:p>
    <w:p w14:paraId="30DF26C0" w14:textId="77777777" w:rsidR="00090577" w:rsidRDefault="00090577">
      <w:pPr>
        <w:spacing w:line="276" w:lineRule="auto"/>
        <w:jc w:val="left"/>
      </w:pPr>
      <w:r>
        <w:br w:type="page"/>
      </w:r>
    </w:p>
    <w:p w14:paraId="7BDE4E7E" w14:textId="77777777" w:rsidR="00474E36" w:rsidRPr="00090577" w:rsidRDefault="00090577" w:rsidP="00090577">
      <w:pPr>
        <w:jc w:val="center"/>
        <w:rPr>
          <w:b/>
        </w:rPr>
      </w:pPr>
      <w:r w:rsidRPr="00090577">
        <w:rPr>
          <w:b/>
        </w:rPr>
        <w:lastRenderedPageBreak/>
        <w:t>References</w:t>
      </w:r>
    </w:p>
    <w:p w14:paraId="1A762133" w14:textId="77777777" w:rsidR="00090577" w:rsidRDefault="00090577" w:rsidP="00090577">
      <w:pPr>
        <w:pStyle w:val="NormalWeb"/>
        <w:spacing w:before="0" w:beforeAutospacing="0" w:after="240" w:afterAutospacing="0" w:line="360" w:lineRule="auto"/>
      </w:pPr>
      <w:r>
        <w:t xml:space="preserve">Brennan, C. (2017). </w:t>
      </w:r>
      <w:r>
        <w:rPr>
          <w:i/>
          <w:iCs/>
        </w:rPr>
        <w:t>Tort law</w:t>
      </w:r>
      <w:r>
        <w:t>. Oxford: Oxford University Press.</w:t>
      </w:r>
    </w:p>
    <w:p w14:paraId="40E46AE2" w14:textId="2720795E" w:rsidR="00090577" w:rsidRDefault="00090577" w:rsidP="00090577">
      <w:pPr>
        <w:pStyle w:val="NormalWeb"/>
        <w:spacing w:before="0" w:beforeAutospacing="0" w:after="240" w:afterAutospacing="0" w:line="360" w:lineRule="auto"/>
      </w:pPr>
      <w:r>
        <w:t xml:space="preserve">Edwards, </w:t>
      </w:r>
      <w:r w:rsidR="008330F9">
        <w:t>L.L.,</w:t>
      </w:r>
      <w:r>
        <w:t xml:space="preserve"> and Wells, P.K. (2012). </w:t>
      </w:r>
      <w:r>
        <w:rPr>
          <w:i/>
          <w:iCs/>
        </w:rPr>
        <w:t>Tort law</w:t>
      </w:r>
      <w:r>
        <w:t>. Clifton Park, Ny: Delmar Cengage Learning.</w:t>
      </w:r>
    </w:p>
    <w:p w14:paraId="15E53346" w14:textId="58A72F6B" w:rsidR="00090577" w:rsidRDefault="008330F9" w:rsidP="00090577">
      <w:pPr>
        <w:pStyle w:val="NormalWeb"/>
        <w:spacing w:before="0" w:beforeAutospacing="0" w:after="240" w:afterAutospacing="0" w:line="360" w:lineRule="auto"/>
      </w:pPr>
      <w:r>
        <w:t>McBride</w:t>
      </w:r>
      <w:r w:rsidR="00090577">
        <w:t xml:space="preserve">, N.J. and Bagshaw, R. (2018). </w:t>
      </w:r>
      <w:r w:rsidR="00090577">
        <w:rPr>
          <w:i/>
          <w:iCs/>
        </w:rPr>
        <w:t>Tort law</w:t>
      </w:r>
      <w:r w:rsidR="00090577">
        <w:t xml:space="preserve">. Harlow, United </w:t>
      </w:r>
      <w:r>
        <w:t>Kingdom;</w:t>
      </w:r>
      <w:r w:rsidR="00090577">
        <w:t xml:space="preserve"> New York: Pearson Education Limited.</w:t>
      </w:r>
    </w:p>
    <w:p w14:paraId="14ECCFBC" w14:textId="1F73E37E" w:rsidR="00090577" w:rsidRDefault="00090577" w:rsidP="00090577">
      <w:pPr>
        <w:pStyle w:val="NormalWeb"/>
        <w:spacing w:before="0" w:beforeAutospacing="0" w:after="240" w:afterAutospacing="0" w:line="360" w:lineRule="auto"/>
      </w:pPr>
      <w:r>
        <w:t xml:space="preserve">Priel, D. (2020). Structure, Function, and Tort Law. </w:t>
      </w:r>
      <w:r>
        <w:rPr>
          <w:i/>
          <w:iCs/>
        </w:rPr>
        <w:t>Journal of Tort Law</w:t>
      </w:r>
      <w:r>
        <w:t xml:space="preserve">, 0(0). </w:t>
      </w:r>
      <w:r w:rsidR="008330F9">
        <w:t>Doi: HTTPs</w:t>
      </w:r>
      <w:r>
        <w:t>://doi.org/10.1515/jtl-2020-2001.</w:t>
      </w:r>
    </w:p>
    <w:p w14:paraId="5BEA27D3" w14:textId="21F2D61E" w:rsidR="00090577" w:rsidRDefault="00090577" w:rsidP="00090577">
      <w:pPr>
        <w:pStyle w:val="NormalWeb"/>
        <w:spacing w:before="0" w:beforeAutospacing="0" w:after="240" w:afterAutospacing="0" w:line="360" w:lineRule="auto"/>
      </w:pPr>
      <w:r>
        <w:t xml:space="preserve">Steele, J. (2017). </w:t>
      </w:r>
      <w:r>
        <w:rPr>
          <w:i/>
          <w:iCs/>
        </w:rPr>
        <w:t xml:space="preserve">TORT </w:t>
      </w:r>
      <w:r w:rsidR="008330F9">
        <w:rPr>
          <w:i/>
          <w:iCs/>
        </w:rPr>
        <w:t>LAW:</w:t>
      </w:r>
      <w:r>
        <w:rPr>
          <w:i/>
          <w:iCs/>
        </w:rPr>
        <w:t xml:space="preserve"> text, cases, and materials.</w:t>
      </w:r>
      <w:r>
        <w:t xml:space="preserve"> S.L.: Oxford Univ Press.</w:t>
      </w:r>
    </w:p>
    <w:p w14:paraId="4106C343" w14:textId="77777777" w:rsidR="00090577" w:rsidRDefault="00090577" w:rsidP="00090577">
      <w:pPr>
        <w:pStyle w:val="NormalWeb"/>
        <w:spacing w:before="0" w:beforeAutospacing="0" w:after="240" w:afterAutospacing="0" w:line="360" w:lineRule="auto"/>
      </w:pPr>
      <w:r>
        <w:t xml:space="preserve">Turner, C. (2013). </w:t>
      </w:r>
      <w:r>
        <w:rPr>
          <w:i/>
          <w:iCs/>
        </w:rPr>
        <w:t>Unlocking Torts</w:t>
      </w:r>
      <w:r>
        <w:t>. Routledge.</w:t>
      </w:r>
    </w:p>
    <w:p w14:paraId="3B7DB39D" w14:textId="55063598" w:rsidR="00090577" w:rsidRDefault="00090577" w:rsidP="00090577">
      <w:pPr>
        <w:pStyle w:val="NormalWeb"/>
        <w:spacing w:before="0" w:beforeAutospacing="0" w:after="240" w:afterAutospacing="0" w:line="360" w:lineRule="auto"/>
      </w:pPr>
      <w:r>
        <w:t xml:space="preserve">Weeks, E. (2019). Healthism in Tort Law. </w:t>
      </w:r>
      <w:r>
        <w:rPr>
          <w:i/>
          <w:iCs/>
        </w:rPr>
        <w:t>Journal of Tort Law</w:t>
      </w:r>
      <w:r>
        <w:t xml:space="preserve">, 12(1), pp.81–126. </w:t>
      </w:r>
      <w:r w:rsidR="008330F9">
        <w:t>Doi: HTTPs</w:t>
      </w:r>
      <w:r>
        <w:t>://doi.org/10.1515/jtl-2019-0004.</w:t>
      </w:r>
    </w:p>
    <w:p w14:paraId="60605271" w14:textId="77777777" w:rsidR="00090577" w:rsidRDefault="00090577" w:rsidP="00090577"/>
    <w:sectPr w:rsidR="00090577">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22546" w14:textId="77777777" w:rsidR="00F6289B" w:rsidRDefault="00F6289B" w:rsidP="00C5150C">
      <w:pPr>
        <w:spacing w:after="0" w:line="240" w:lineRule="auto"/>
      </w:pPr>
      <w:r>
        <w:separator/>
      </w:r>
    </w:p>
  </w:endnote>
  <w:endnote w:type="continuationSeparator" w:id="0">
    <w:p w14:paraId="4BEA0054" w14:textId="77777777" w:rsidR="00F6289B" w:rsidRDefault="00F6289B" w:rsidP="00C51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3426879"/>
      <w:docPartObj>
        <w:docPartGallery w:val="Page Numbers (Bottom of Page)"/>
        <w:docPartUnique/>
      </w:docPartObj>
    </w:sdtPr>
    <w:sdtEndPr>
      <w:rPr>
        <w:noProof/>
      </w:rPr>
    </w:sdtEndPr>
    <w:sdtContent>
      <w:p w14:paraId="30907474" w14:textId="77777777" w:rsidR="00C5150C" w:rsidRDefault="00C5150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0D058DD" w14:textId="77777777" w:rsidR="00C5150C" w:rsidRDefault="00C51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35827" w14:textId="77777777" w:rsidR="00F6289B" w:rsidRDefault="00F6289B" w:rsidP="00C5150C">
      <w:pPr>
        <w:spacing w:after="0" w:line="240" w:lineRule="auto"/>
      </w:pPr>
      <w:r>
        <w:separator/>
      </w:r>
    </w:p>
  </w:footnote>
  <w:footnote w:type="continuationSeparator" w:id="0">
    <w:p w14:paraId="11225CD6" w14:textId="77777777" w:rsidR="00F6289B" w:rsidRDefault="00F6289B" w:rsidP="00C515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1082D"/>
    <w:rsid w:val="00090577"/>
    <w:rsid w:val="00097082"/>
    <w:rsid w:val="0018545B"/>
    <w:rsid w:val="001D0E87"/>
    <w:rsid w:val="002B3CCD"/>
    <w:rsid w:val="002D74BC"/>
    <w:rsid w:val="00323A69"/>
    <w:rsid w:val="00474E36"/>
    <w:rsid w:val="006D46B0"/>
    <w:rsid w:val="00701F0E"/>
    <w:rsid w:val="0070292E"/>
    <w:rsid w:val="0071082D"/>
    <w:rsid w:val="007D32FA"/>
    <w:rsid w:val="008330F9"/>
    <w:rsid w:val="008748C7"/>
    <w:rsid w:val="00962B1C"/>
    <w:rsid w:val="00A523B6"/>
    <w:rsid w:val="00A83F50"/>
    <w:rsid w:val="00C5150C"/>
    <w:rsid w:val="00CE7DED"/>
    <w:rsid w:val="00F53F03"/>
    <w:rsid w:val="00F628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40B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4BC"/>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83F50"/>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1F0E"/>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autoRedefine/>
    <w:uiPriority w:val="9"/>
    <w:unhideWhenUsed/>
    <w:qFormat/>
    <w:rsid w:val="006D46B0"/>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1F0E"/>
    <w:rPr>
      <w:rFonts w:ascii="Times New Roman" w:eastAsiaTheme="majorEastAsia" w:hAnsi="Times New Roman" w:cstheme="majorBidi"/>
      <w:b/>
      <w:bCs/>
      <w:color w:val="4F81BD" w:themeColor="accent1"/>
      <w:sz w:val="28"/>
      <w:szCs w:val="26"/>
      <w:lang w:val="en-GB"/>
    </w:rPr>
  </w:style>
  <w:style w:type="character" w:customStyle="1" w:styleId="Heading3Char">
    <w:name w:val="Heading 3 Char"/>
    <w:basedOn w:val="DefaultParagraphFont"/>
    <w:link w:val="Heading3"/>
    <w:uiPriority w:val="9"/>
    <w:rsid w:val="006D46B0"/>
    <w:rPr>
      <w:rFonts w:ascii="Times New Roman" w:eastAsiaTheme="majorEastAsia" w:hAnsi="Times New Roman" w:cstheme="majorBidi"/>
      <w:b/>
      <w:bCs/>
      <w:color w:val="4F81BD" w:themeColor="accent1"/>
      <w:sz w:val="24"/>
      <w:lang w:val="en-GB"/>
    </w:rPr>
  </w:style>
  <w:style w:type="character" w:customStyle="1" w:styleId="Heading1Char">
    <w:name w:val="Heading 1 Char"/>
    <w:basedOn w:val="DefaultParagraphFont"/>
    <w:link w:val="Heading1"/>
    <w:uiPriority w:val="9"/>
    <w:rsid w:val="00A83F50"/>
    <w:rPr>
      <w:rFonts w:ascii="Times New Roman" w:eastAsiaTheme="majorEastAsia" w:hAnsi="Times New Roman" w:cstheme="majorBidi"/>
      <w:b/>
      <w:bCs/>
      <w:color w:val="365F91" w:themeColor="accent1" w:themeShade="BF"/>
      <w:sz w:val="28"/>
      <w:szCs w:val="28"/>
      <w:lang w:val="en-GB"/>
    </w:rPr>
  </w:style>
  <w:style w:type="paragraph" w:styleId="NormalWeb">
    <w:name w:val="Normal (Web)"/>
    <w:basedOn w:val="Normal"/>
    <w:uiPriority w:val="99"/>
    <w:semiHidden/>
    <w:unhideWhenUsed/>
    <w:rsid w:val="00090577"/>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C515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150C"/>
    <w:rPr>
      <w:rFonts w:ascii="Times New Roman" w:hAnsi="Times New Roman"/>
      <w:sz w:val="24"/>
      <w:lang w:val="en-GB"/>
    </w:rPr>
  </w:style>
  <w:style w:type="paragraph" w:styleId="Footer">
    <w:name w:val="footer"/>
    <w:basedOn w:val="Normal"/>
    <w:link w:val="FooterChar"/>
    <w:uiPriority w:val="99"/>
    <w:unhideWhenUsed/>
    <w:rsid w:val="00C515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150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574763">
      <w:bodyDiv w:val="1"/>
      <w:marLeft w:val="0"/>
      <w:marRight w:val="0"/>
      <w:marTop w:val="0"/>
      <w:marBottom w:val="0"/>
      <w:divBdr>
        <w:top w:val="none" w:sz="0" w:space="0" w:color="auto"/>
        <w:left w:val="none" w:sz="0" w:space="0" w:color="auto"/>
        <w:bottom w:val="none" w:sz="0" w:space="0" w:color="auto"/>
        <w:right w:val="none" w:sz="0" w:space="0" w:color="auto"/>
      </w:divBdr>
      <w:divsChild>
        <w:div w:id="1241569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1798</Words>
  <Characters>10250</Characters>
  <Application>Microsoft Office Word</Application>
  <DocSecurity>0</DocSecurity>
  <Lines>85</Lines>
  <Paragraphs>24</Paragraphs>
  <ScaleCrop>false</ScaleCrop>
  <Company/>
  <LinksUpToDate>false</LinksUpToDate>
  <CharactersWithSpaces>12024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2023-11-09T07:11:00Z</dcterms:created>
  <dcterms:modified xsi:type="dcterms:W3CDTF">2023-11-21T11:04:00Z</dcterms:modified>
</cp:coreProperties>
</file>