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56DA7" w14:textId="0BB07C00" w:rsidR="00F80678" w:rsidRDefault="00CC585F" w:rsidP="00BD3696">
      <w:pPr>
        <w:pStyle w:val="NormalWeb"/>
        <w:spacing w:before="96" w:beforeAutospacing="0" w:after="0" w:afterAutospacing="0"/>
        <w:rPr>
          <w:rFonts w:ascii="Trebuchet MS" w:eastAsia="+mn-ea" w:hAnsi="Trebuchet MS" w:cs="+mn-cs"/>
          <w:color w:val="000000"/>
          <w:kern w:val="24"/>
          <w:sz w:val="40"/>
          <w:szCs w:val="40"/>
        </w:rPr>
      </w:pPr>
      <w:r w:rsidRPr="00A406E5">
        <w:rPr>
          <w:rFonts w:ascii="Arial" w:hAnsi="Arial" w:cs="Arial"/>
          <w:noProof/>
        </w:rPr>
        <w:drawing>
          <wp:anchor distT="0" distB="0" distL="114300" distR="114300" simplePos="0" relativeHeight="251659264" behindDoc="0" locked="0" layoutInCell="1" allowOverlap="1" wp14:anchorId="2AFB6DFF" wp14:editId="527E98C2">
            <wp:simplePos x="0" y="0"/>
            <wp:positionH relativeFrom="column">
              <wp:posOffset>-260350</wp:posOffset>
            </wp:positionH>
            <wp:positionV relativeFrom="paragraph">
              <wp:posOffset>123190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E7B0D66" w14:textId="262A8B77" w:rsidR="00C51C4B" w:rsidRDefault="00C51C4B" w:rsidP="00BD3696">
      <w:pPr>
        <w:pStyle w:val="NormalWeb"/>
        <w:spacing w:before="96" w:beforeAutospacing="0" w:after="0" w:afterAutospacing="0"/>
        <w:rPr>
          <w:rFonts w:ascii="Arial" w:eastAsia="+mn-ea" w:hAnsi="Arial" w:cs="Arial"/>
          <w:color w:val="000000"/>
          <w:kern w:val="24"/>
          <w:sz w:val="22"/>
          <w:szCs w:val="22"/>
        </w:rPr>
      </w:pPr>
    </w:p>
    <w:p w14:paraId="15FB334E" w14:textId="63A634C3" w:rsidR="00C51C4B" w:rsidRDefault="00C51C4B" w:rsidP="00BD3696">
      <w:pPr>
        <w:pStyle w:val="NormalWeb"/>
        <w:spacing w:before="96" w:beforeAutospacing="0" w:after="0" w:afterAutospacing="0"/>
        <w:rPr>
          <w:rFonts w:ascii="Arial" w:eastAsia="+mn-ea" w:hAnsi="Arial" w:cs="Arial"/>
          <w:color w:val="000000"/>
          <w:kern w:val="24"/>
          <w:sz w:val="22"/>
          <w:szCs w:val="22"/>
        </w:rPr>
      </w:pPr>
    </w:p>
    <w:p w14:paraId="5795E879" w14:textId="1A2ED60D" w:rsidR="00C51C4B" w:rsidRDefault="00C51C4B" w:rsidP="00BD3696">
      <w:pPr>
        <w:pStyle w:val="NormalWeb"/>
        <w:spacing w:before="96" w:beforeAutospacing="0" w:after="0" w:afterAutospacing="0"/>
        <w:rPr>
          <w:rFonts w:ascii="Arial" w:eastAsia="+mn-ea" w:hAnsi="Arial" w:cs="Arial"/>
          <w:color w:val="000000"/>
          <w:kern w:val="24"/>
          <w:sz w:val="22"/>
          <w:szCs w:val="22"/>
        </w:rPr>
      </w:pPr>
    </w:p>
    <w:p w14:paraId="1822755A" w14:textId="27699028" w:rsidR="00C51C4B" w:rsidRDefault="00C51C4B" w:rsidP="00BD3696">
      <w:pPr>
        <w:pStyle w:val="NormalWeb"/>
        <w:spacing w:before="96" w:beforeAutospacing="0" w:after="0" w:afterAutospacing="0"/>
        <w:rPr>
          <w:rFonts w:ascii="Arial" w:eastAsia="+mn-ea" w:hAnsi="Arial" w:cs="Arial"/>
          <w:color w:val="000000"/>
          <w:kern w:val="24"/>
          <w:sz w:val="22"/>
          <w:szCs w:val="22"/>
        </w:rPr>
      </w:pPr>
    </w:p>
    <w:p w14:paraId="415B0AF5" w14:textId="00AD1A47" w:rsidR="00C51C4B" w:rsidRDefault="00F80901" w:rsidP="00CC585F">
      <w:pPr>
        <w:pStyle w:val="NormalWeb"/>
        <w:spacing w:before="96" w:beforeAutospacing="0" w:after="0" w:afterAutospacing="0"/>
        <w:ind w:left="0"/>
        <w:rPr>
          <w:rFonts w:ascii="Arial" w:eastAsia="+mn-ea" w:hAnsi="Arial" w:cs="Arial"/>
          <w:b/>
          <w:bCs/>
          <w:color w:val="000000"/>
          <w:kern w:val="24"/>
          <w:sz w:val="32"/>
          <w:szCs w:val="32"/>
        </w:rPr>
      </w:pPr>
      <w:r w:rsidRPr="00465D94">
        <w:rPr>
          <w:rFonts w:ascii="Arial" w:eastAsia="+mn-ea" w:hAnsi="Arial" w:cs="Arial"/>
          <w:b/>
          <w:bCs/>
          <w:color w:val="000000"/>
          <w:kern w:val="24"/>
          <w:sz w:val="32"/>
          <w:szCs w:val="32"/>
        </w:rPr>
        <w:t xml:space="preserve">Component 1 </w:t>
      </w:r>
      <w:r w:rsidR="0032303D" w:rsidRPr="00465D94">
        <w:rPr>
          <w:rFonts w:ascii="Arial" w:eastAsia="+mn-ea" w:hAnsi="Arial" w:cs="Arial"/>
          <w:b/>
          <w:bCs/>
          <w:color w:val="000000"/>
          <w:kern w:val="24"/>
          <w:sz w:val="32"/>
          <w:szCs w:val="32"/>
        </w:rPr>
        <w:t>portfoli</w:t>
      </w:r>
      <w:r w:rsidR="000C04AB" w:rsidRPr="00465D94">
        <w:rPr>
          <w:rFonts w:ascii="Arial" w:eastAsia="+mn-ea" w:hAnsi="Arial" w:cs="Arial"/>
          <w:b/>
          <w:bCs/>
          <w:color w:val="000000"/>
          <w:kern w:val="24"/>
          <w:sz w:val="32"/>
          <w:szCs w:val="32"/>
        </w:rPr>
        <w:t>o</w:t>
      </w:r>
    </w:p>
    <w:p w14:paraId="6D694F5C" w14:textId="77777777" w:rsidR="001B1837" w:rsidRDefault="001B1837" w:rsidP="00BD3696">
      <w:pPr>
        <w:pStyle w:val="NormalWeb"/>
        <w:spacing w:before="96" w:beforeAutospacing="0" w:after="0" w:afterAutospacing="0"/>
        <w:rPr>
          <w:rFonts w:ascii="Arial" w:eastAsia="+mn-ea" w:hAnsi="Arial" w:cs="Arial"/>
          <w:b/>
          <w:bCs/>
          <w:color w:val="000000"/>
          <w:kern w:val="24"/>
          <w:sz w:val="32"/>
          <w:szCs w:val="32"/>
        </w:rPr>
      </w:pPr>
    </w:p>
    <w:p w14:paraId="0470269E" w14:textId="7B49873A" w:rsidR="001B1837" w:rsidRPr="00E84BAF" w:rsidRDefault="002004AB" w:rsidP="00BD3696">
      <w:pPr>
        <w:pStyle w:val="NormalWeb"/>
        <w:spacing w:before="96" w:beforeAutospacing="0" w:after="0" w:afterAutospacing="0"/>
        <w:rPr>
          <w:rFonts w:ascii="Arial" w:eastAsia="+mn-ea" w:hAnsi="Arial" w:cs="Arial"/>
          <w:b/>
          <w:bCs/>
          <w:color w:val="000000"/>
          <w:kern w:val="24"/>
          <w:sz w:val="48"/>
          <w:szCs w:val="48"/>
        </w:rPr>
      </w:pPr>
      <w:r w:rsidRPr="00E84BAF">
        <w:rPr>
          <w:rFonts w:ascii="Arial" w:eastAsia="+mn-ea" w:hAnsi="Arial" w:cs="Arial"/>
          <w:b/>
          <w:bCs/>
          <w:color w:val="000000"/>
          <w:kern w:val="24"/>
          <w:sz w:val="48"/>
          <w:szCs w:val="48"/>
        </w:rPr>
        <w:t>Anjumben Virani - 2535117</w:t>
      </w:r>
    </w:p>
    <w:p w14:paraId="1291CB0F" w14:textId="77777777" w:rsidR="00315DE1" w:rsidRDefault="00315DE1" w:rsidP="00BD3696">
      <w:pPr>
        <w:pStyle w:val="NormalWeb"/>
        <w:spacing w:before="96" w:beforeAutospacing="0" w:after="0" w:afterAutospacing="0"/>
        <w:rPr>
          <w:rFonts w:ascii="Arial" w:eastAsia="+mn-ea" w:hAnsi="Arial" w:cs="Arial"/>
          <w:color w:val="000000"/>
          <w:kern w:val="24"/>
          <w:sz w:val="22"/>
          <w:szCs w:val="22"/>
        </w:rPr>
      </w:pPr>
    </w:p>
    <w:p w14:paraId="1D7DD610" w14:textId="3BE67135" w:rsidR="00AF11A7" w:rsidRPr="00E84BAF" w:rsidRDefault="00573DF4" w:rsidP="00BD3696">
      <w:pPr>
        <w:pStyle w:val="NormalWeb"/>
        <w:spacing w:before="96" w:beforeAutospacing="0" w:after="0" w:afterAutospacing="0"/>
        <w:rPr>
          <w:rFonts w:ascii="Arial" w:eastAsia="+mn-ea" w:hAnsi="Arial" w:cs="Arial"/>
          <w:color w:val="000000"/>
          <w:kern w:val="24"/>
          <w:sz w:val="28"/>
          <w:szCs w:val="28"/>
        </w:rPr>
      </w:pPr>
      <w:r w:rsidRPr="00E84BAF">
        <w:rPr>
          <w:rFonts w:ascii="Arial" w:eastAsia="+mn-ea" w:hAnsi="Arial" w:cs="Arial"/>
          <w:color w:val="000000"/>
          <w:kern w:val="24"/>
          <w:sz w:val="28"/>
          <w:szCs w:val="28"/>
        </w:rPr>
        <w:t xml:space="preserve">Programme: </w:t>
      </w:r>
      <w:r w:rsidR="00465D94" w:rsidRPr="00E84BAF">
        <w:rPr>
          <w:rFonts w:ascii="Arial" w:hAnsi="Arial" w:cs="Arial"/>
          <w:sz w:val="28"/>
          <w:szCs w:val="28"/>
        </w:rPr>
        <w:t>Certificate of Higher Education Skills for the Workplace (Health &amp; Social Care)</w:t>
      </w:r>
    </w:p>
    <w:p w14:paraId="2AA97E55" w14:textId="7EDC22B8" w:rsidR="00AF11A7" w:rsidRPr="00E84BAF" w:rsidRDefault="00637447" w:rsidP="00BD3696">
      <w:pPr>
        <w:pStyle w:val="NormalWeb"/>
        <w:spacing w:before="96" w:beforeAutospacing="0" w:after="0" w:afterAutospacing="0"/>
        <w:rPr>
          <w:rFonts w:ascii="Arial" w:eastAsia="+mn-ea" w:hAnsi="Arial" w:cs="Arial"/>
          <w:color w:val="000000"/>
          <w:kern w:val="24"/>
          <w:sz w:val="28"/>
          <w:szCs w:val="28"/>
        </w:rPr>
      </w:pPr>
      <w:r w:rsidRPr="00E84BAF">
        <w:rPr>
          <w:rFonts w:ascii="Arial" w:eastAsia="+mn-ea" w:hAnsi="Arial" w:cs="Arial"/>
          <w:color w:val="000000"/>
          <w:kern w:val="24"/>
          <w:sz w:val="28"/>
          <w:szCs w:val="28"/>
        </w:rPr>
        <w:t>Mod</w:t>
      </w:r>
      <w:r w:rsidR="004011D3" w:rsidRPr="00E84BAF">
        <w:rPr>
          <w:rFonts w:ascii="Arial" w:eastAsia="+mn-ea" w:hAnsi="Arial" w:cs="Arial"/>
          <w:color w:val="000000"/>
          <w:kern w:val="24"/>
          <w:sz w:val="28"/>
          <w:szCs w:val="28"/>
        </w:rPr>
        <w:t xml:space="preserve">ule: </w:t>
      </w:r>
      <w:r w:rsidR="0028695B" w:rsidRPr="00E84BAF">
        <w:rPr>
          <w:rFonts w:ascii="Arial" w:hAnsi="Arial" w:cs="Arial"/>
          <w:b/>
          <w:bCs/>
          <w:sz w:val="28"/>
          <w:szCs w:val="28"/>
        </w:rPr>
        <w:t>Introduction to Health and Social Care</w:t>
      </w:r>
    </w:p>
    <w:p w14:paraId="54ECF6BE" w14:textId="15DCB070" w:rsidR="00315DE1" w:rsidRPr="00E84BAF" w:rsidRDefault="00637447" w:rsidP="00BD3696">
      <w:pPr>
        <w:pStyle w:val="NormalWeb"/>
        <w:spacing w:before="96" w:beforeAutospacing="0" w:after="0" w:afterAutospacing="0"/>
        <w:rPr>
          <w:rFonts w:ascii="Arial" w:hAnsi="Arial" w:cs="Arial"/>
          <w:b/>
          <w:sz w:val="28"/>
          <w:szCs w:val="28"/>
        </w:rPr>
      </w:pPr>
      <w:r w:rsidRPr="00E84BAF">
        <w:rPr>
          <w:rFonts w:ascii="Arial" w:eastAsia="+mn-ea" w:hAnsi="Arial" w:cs="Arial"/>
          <w:color w:val="000000"/>
          <w:kern w:val="24"/>
          <w:sz w:val="28"/>
          <w:szCs w:val="28"/>
        </w:rPr>
        <w:t>Module</w:t>
      </w:r>
      <w:r w:rsidR="00743F94" w:rsidRPr="00E84BAF">
        <w:rPr>
          <w:rFonts w:ascii="Arial" w:eastAsia="+mn-ea" w:hAnsi="Arial" w:cs="Arial"/>
          <w:color w:val="000000"/>
          <w:kern w:val="24"/>
          <w:sz w:val="28"/>
          <w:szCs w:val="28"/>
        </w:rPr>
        <w:t xml:space="preserve"> code: </w:t>
      </w:r>
      <w:r w:rsidRPr="00E84BAF">
        <w:rPr>
          <w:rFonts w:ascii="Arial" w:hAnsi="Arial" w:cs="Arial"/>
          <w:b/>
          <w:sz w:val="28"/>
          <w:szCs w:val="28"/>
        </w:rPr>
        <w:t>LCHS4003</w:t>
      </w:r>
    </w:p>
    <w:p w14:paraId="5D108F0A" w14:textId="4AD989F5" w:rsidR="009944ED" w:rsidRPr="00E84BAF" w:rsidRDefault="009944ED" w:rsidP="009944ED">
      <w:pPr>
        <w:spacing w:before="120" w:after="120"/>
        <w:rPr>
          <w:rFonts w:ascii="Arial" w:hAnsi="Arial" w:cs="Arial"/>
          <w:b/>
          <w:sz w:val="28"/>
          <w:szCs w:val="28"/>
        </w:rPr>
      </w:pPr>
      <w:r w:rsidRPr="00E84BAF">
        <w:rPr>
          <w:rFonts w:ascii="Arial" w:hAnsi="Arial" w:cs="Arial"/>
          <w:b/>
          <w:sz w:val="28"/>
          <w:szCs w:val="28"/>
        </w:rPr>
        <w:t xml:space="preserve">Lecture: </w:t>
      </w:r>
      <w:r w:rsidRPr="00E84BAF">
        <w:rPr>
          <w:rFonts w:ascii="Arial" w:hAnsi="Arial" w:cs="Arial"/>
          <w:b/>
          <w:bCs/>
          <w:sz w:val="28"/>
          <w:szCs w:val="28"/>
          <w:lang w:val="fr-FR"/>
        </w:rPr>
        <w:t>Dr Helen Parsons (Module Lead)</w:t>
      </w:r>
    </w:p>
    <w:p w14:paraId="13DB8564" w14:textId="33984547" w:rsidR="009944ED" w:rsidRDefault="009944ED" w:rsidP="00BD3696">
      <w:pPr>
        <w:pStyle w:val="NormalWeb"/>
        <w:spacing w:before="96" w:beforeAutospacing="0" w:after="0" w:afterAutospacing="0"/>
        <w:rPr>
          <w:rFonts w:ascii="Arial" w:hAnsi="Arial" w:cs="Arial"/>
          <w:b/>
          <w:sz w:val="22"/>
          <w:szCs w:val="22"/>
        </w:rPr>
      </w:pPr>
    </w:p>
    <w:p w14:paraId="3C8C79A0" w14:textId="77777777" w:rsidR="00CF4204" w:rsidRDefault="00CF4204" w:rsidP="00BD3696">
      <w:pPr>
        <w:pStyle w:val="NormalWeb"/>
        <w:spacing w:before="96" w:beforeAutospacing="0" w:after="0" w:afterAutospacing="0"/>
        <w:rPr>
          <w:rFonts w:ascii="Arial" w:eastAsia="+mn-ea" w:hAnsi="Arial" w:cs="Arial"/>
          <w:color w:val="000000"/>
          <w:kern w:val="24"/>
          <w:sz w:val="22"/>
          <w:szCs w:val="22"/>
        </w:rPr>
      </w:pPr>
    </w:p>
    <w:p w14:paraId="00384D50" w14:textId="77777777" w:rsidR="000C04AB" w:rsidRDefault="000C04AB" w:rsidP="00BD3696">
      <w:pPr>
        <w:pStyle w:val="NormalWeb"/>
        <w:spacing w:before="96" w:beforeAutospacing="0" w:after="0" w:afterAutospacing="0"/>
        <w:rPr>
          <w:rFonts w:ascii="Arial" w:eastAsia="+mn-ea" w:hAnsi="Arial" w:cs="Arial"/>
          <w:color w:val="000000"/>
          <w:kern w:val="24"/>
          <w:sz w:val="22"/>
          <w:szCs w:val="22"/>
        </w:rPr>
      </w:pPr>
    </w:p>
    <w:p w14:paraId="2A5C73A0" w14:textId="77777777" w:rsidR="00F80901" w:rsidRDefault="00F80901" w:rsidP="00BD3696">
      <w:pPr>
        <w:pStyle w:val="NormalWeb"/>
        <w:spacing w:before="96" w:beforeAutospacing="0" w:after="0" w:afterAutospacing="0"/>
        <w:rPr>
          <w:rFonts w:ascii="Arial" w:eastAsia="+mn-ea" w:hAnsi="Arial" w:cs="Arial"/>
          <w:color w:val="000000"/>
          <w:kern w:val="24"/>
          <w:sz w:val="22"/>
          <w:szCs w:val="22"/>
        </w:rPr>
      </w:pPr>
    </w:p>
    <w:p w14:paraId="52D60C60" w14:textId="77777777" w:rsidR="00C51C4B" w:rsidRDefault="00C51C4B" w:rsidP="00BD3696">
      <w:pPr>
        <w:pStyle w:val="NormalWeb"/>
        <w:spacing w:before="96" w:beforeAutospacing="0" w:after="0" w:afterAutospacing="0"/>
        <w:rPr>
          <w:rFonts w:ascii="Arial" w:eastAsia="+mn-ea" w:hAnsi="Arial" w:cs="Arial"/>
          <w:color w:val="000000"/>
          <w:kern w:val="24"/>
          <w:sz w:val="22"/>
          <w:szCs w:val="22"/>
        </w:rPr>
      </w:pPr>
    </w:p>
    <w:p w14:paraId="04A6CD3C" w14:textId="77777777" w:rsidR="00C51C4B" w:rsidRDefault="00C51C4B" w:rsidP="00BD3696">
      <w:pPr>
        <w:pStyle w:val="NormalWeb"/>
        <w:spacing w:before="96" w:beforeAutospacing="0" w:after="0" w:afterAutospacing="0"/>
        <w:rPr>
          <w:rFonts w:ascii="Arial" w:eastAsia="+mn-ea" w:hAnsi="Arial" w:cs="Arial"/>
          <w:color w:val="000000"/>
          <w:kern w:val="24"/>
          <w:sz w:val="22"/>
          <w:szCs w:val="22"/>
        </w:rPr>
      </w:pPr>
    </w:p>
    <w:p w14:paraId="6721AD09" w14:textId="77777777" w:rsidR="00C51C4B" w:rsidRDefault="00C51C4B" w:rsidP="00BD3696">
      <w:pPr>
        <w:pStyle w:val="NormalWeb"/>
        <w:spacing w:before="96" w:beforeAutospacing="0" w:after="0" w:afterAutospacing="0"/>
        <w:rPr>
          <w:rFonts w:ascii="Arial" w:eastAsia="+mn-ea" w:hAnsi="Arial" w:cs="Arial"/>
          <w:color w:val="000000"/>
          <w:kern w:val="24"/>
          <w:sz w:val="22"/>
          <w:szCs w:val="22"/>
        </w:rPr>
      </w:pPr>
    </w:p>
    <w:p w14:paraId="750F132B" w14:textId="77777777" w:rsidR="00C51C4B" w:rsidRDefault="00C51C4B" w:rsidP="00BD3696">
      <w:pPr>
        <w:pStyle w:val="NormalWeb"/>
        <w:spacing w:before="96" w:beforeAutospacing="0" w:after="0" w:afterAutospacing="0"/>
        <w:rPr>
          <w:rFonts w:ascii="Arial" w:eastAsia="+mn-ea" w:hAnsi="Arial" w:cs="Arial"/>
          <w:color w:val="000000"/>
          <w:kern w:val="24"/>
          <w:sz w:val="22"/>
          <w:szCs w:val="22"/>
        </w:rPr>
      </w:pPr>
    </w:p>
    <w:p w14:paraId="07C60C19" w14:textId="77777777" w:rsidR="00C51C4B" w:rsidRDefault="00C51C4B" w:rsidP="00BD3696">
      <w:pPr>
        <w:pStyle w:val="NormalWeb"/>
        <w:spacing w:before="96" w:beforeAutospacing="0" w:after="0" w:afterAutospacing="0"/>
        <w:rPr>
          <w:rFonts w:ascii="Arial" w:eastAsia="+mn-ea" w:hAnsi="Arial" w:cs="Arial"/>
          <w:color w:val="000000"/>
          <w:kern w:val="24"/>
          <w:sz w:val="22"/>
          <w:szCs w:val="22"/>
        </w:rPr>
      </w:pPr>
    </w:p>
    <w:p w14:paraId="2557C1A6" w14:textId="77777777" w:rsidR="00C51C4B" w:rsidRDefault="00C51C4B" w:rsidP="00BD3696">
      <w:pPr>
        <w:pStyle w:val="NormalWeb"/>
        <w:spacing w:before="96" w:beforeAutospacing="0" w:after="0" w:afterAutospacing="0"/>
        <w:rPr>
          <w:rFonts w:ascii="Arial" w:eastAsia="+mn-ea" w:hAnsi="Arial" w:cs="Arial"/>
          <w:color w:val="000000"/>
          <w:kern w:val="24"/>
          <w:sz w:val="22"/>
          <w:szCs w:val="22"/>
        </w:rPr>
      </w:pPr>
    </w:p>
    <w:p w14:paraId="2BA6D98A" w14:textId="77777777" w:rsidR="00C51C4B" w:rsidRDefault="00C51C4B" w:rsidP="00BD3696">
      <w:pPr>
        <w:pStyle w:val="NormalWeb"/>
        <w:spacing w:before="96" w:beforeAutospacing="0" w:after="0" w:afterAutospacing="0"/>
        <w:rPr>
          <w:rFonts w:ascii="Arial" w:eastAsia="+mn-ea" w:hAnsi="Arial" w:cs="Arial"/>
          <w:color w:val="000000"/>
          <w:kern w:val="24"/>
          <w:sz w:val="22"/>
          <w:szCs w:val="22"/>
        </w:rPr>
      </w:pPr>
    </w:p>
    <w:p w14:paraId="46D9E518" w14:textId="77777777" w:rsidR="00C51C4B" w:rsidRDefault="00C51C4B" w:rsidP="00BD3696">
      <w:pPr>
        <w:pStyle w:val="NormalWeb"/>
        <w:spacing w:before="96" w:beforeAutospacing="0" w:after="0" w:afterAutospacing="0"/>
        <w:rPr>
          <w:rFonts w:ascii="Arial" w:eastAsia="+mn-ea" w:hAnsi="Arial" w:cs="Arial"/>
          <w:color w:val="000000"/>
          <w:kern w:val="24"/>
          <w:sz w:val="22"/>
          <w:szCs w:val="22"/>
        </w:rPr>
      </w:pPr>
    </w:p>
    <w:p w14:paraId="391F6E4A" w14:textId="77777777" w:rsidR="00C51C4B" w:rsidRDefault="00C51C4B" w:rsidP="00BD3696">
      <w:pPr>
        <w:pStyle w:val="NormalWeb"/>
        <w:spacing w:before="96" w:beforeAutospacing="0" w:after="0" w:afterAutospacing="0"/>
        <w:rPr>
          <w:rFonts w:ascii="Arial" w:eastAsia="+mn-ea" w:hAnsi="Arial" w:cs="Arial"/>
          <w:color w:val="000000"/>
          <w:kern w:val="24"/>
          <w:sz w:val="22"/>
          <w:szCs w:val="22"/>
        </w:rPr>
      </w:pPr>
    </w:p>
    <w:p w14:paraId="2EBC4FC9" w14:textId="7EF2D535" w:rsidR="00B41155" w:rsidRDefault="00B41155" w:rsidP="00BD3696">
      <w:pPr>
        <w:pStyle w:val="NormalWeb"/>
        <w:spacing w:before="96" w:beforeAutospacing="0" w:after="0" w:afterAutospacing="0"/>
        <w:rPr>
          <w:rFonts w:ascii="Arial" w:eastAsia="+mn-ea" w:hAnsi="Arial" w:cs="Arial"/>
          <w:color w:val="000000"/>
          <w:kern w:val="24"/>
          <w:sz w:val="22"/>
          <w:szCs w:val="22"/>
        </w:rPr>
      </w:pPr>
    </w:p>
    <w:p w14:paraId="0297A07B" w14:textId="77777777" w:rsidR="00CC585F" w:rsidRDefault="00CC585F" w:rsidP="00415C33">
      <w:pPr>
        <w:ind w:left="426"/>
        <w:rPr>
          <w:rFonts w:ascii="Arial" w:eastAsia="Arial" w:hAnsi="Arial" w:cs="Arial"/>
          <w:b/>
          <w:bCs/>
          <w:sz w:val="36"/>
          <w:szCs w:val="36"/>
        </w:rPr>
      </w:pPr>
    </w:p>
    <w:p w14:paraId="702A7E97" w14:textId="77777777" w:rsidR="00CC585F" w:rsidRDefault="00CC585F" w:rsidP="00415C33">
      <w:pPr>
        <w:ind w:left="426"/>
        <w:rPr>
          <w:rFonts w:ascii="Arial" w:eastAsia="Arial" w:hAnsi="Arial" w:cs="Arial"/>
          <w:b/>
          <w:bCs/>
          <w:sz w:val="36"/>
          <w:szCs w:val="36"/>
        </w:rPr>
      </w:pPr>
    </w:p>
    <w:p w14:paraId="75A031EB" w14:textId="0DF44C94" w:rsidR="00415C33" w:rsidRPr="00CC0F6E" w:rsidRDefault="00415C33" w:rsidP="00415C33">
      <w:pPr>
        <w:ind w:left="426"/>
        <w:rPr>
          <w:rFonts w:ascii="Arial" w:eastAsia="Arial" w:hAnsi="Arial" w:cs="Arial"/>
          <w:color w:val="000000" w:themeColor="text1"/>
          <w:sz w:val="36"/>
          <w:szCs w:val="36"/>
        </w:rPr>
      </w:pPr>
      <w:r w:rsidRPr="00CC0F6E">
        <w:rPr>
          <w:rFonts w:ascii="Arial" w:eastAsia="Arial" w:hAnsi="Arial" w:cs="Arial"/>
          <w:b/>
          <w:bCs/>
          <w:sz w:val="36"/>
          <w:szCs w:val="36"/>
        </w:rPr>
        <w:lastRenderedPageBreak/>
        <w:t xml:space="preserve">Task 1: </w:t>
      </w:r>
      <w:r w:rsidR="003E7CA6" w:rsidRPr="00CC0F6E">
        <w:rPr>
          <w:rFonts w:ascii="Arial" w:eastAsia="Arial" w:hAnsi="Arial" w:cs="Arial"/>
          <w:b/>
          <w:bCs/>
          <w:sz w:val="36"/>
          <w:szCs w:val="36"/>
        </w:rPr>
        <w:t xml:space="preserve">A </w:t>
      </w:r>
      <w:r w:rsidR="00CC0F6E" w:rsidRPr="00CC0F6E">
        <w:rPr>
          <w:rFonts w:ascii="Arial" w:eastAsia="Arial" w:hAnsi="Arial" w:cs="Arial"/>
          <w:b/>
          <w:bCs/>
          <w:sz w:val="36"/>
          <w:szCs w:val="36"/>
        </w:rPr>
        <w:t>mini report</w:t>
      </w:r>
      <w:r w:rsidRPr="00CC0F6E">
        <w:rPr>
          <w:rFonts w:ascii="Arial" w:eastAsia="Arial" w:hAnsi="Arial" w:cs="Arial"/>
          <w:b/>
          <w:bCs/>
          <w:sz w:val="36"/>
          <w:szCs w:val="36"/>
        </w:rPr>
        <w:t xml:space="preserve"> </w:t>
      </w:r>
    </w:p>
    <w:p w14:paraId="60798E7D" w14:textId="77777777" w:rsidR="00415C33" w:rsidRPr="00442F05" w:rsidRDefault="00415C33" w:rsidP="00BD3696">
      <w:pPr>
        <w:pStyle w:val="NormalWeb"/>
        <w:spacing w:before="96" w:beforeAutospacing="0" w:after="0" w:afterAutospacing="0"/>
        <w:rPr>
          <w:rFonts w:ascii="Arial" w:eastAsia="+mn-ea" w:hAnsi="Arial" w:cs="Arial"/>
          <w:color w:val="000000"/>
          <w:kern w:val="24"/>
          <w:sz w:val="22"/>
          <w:szCs w:val="22"/>
        </w:rPr>
      </w:pPr>
    </w:p>
    <w:p w14:paraId="53282A83" w14:textId="54EF86EC" w:rsidR="00D116AC" w:rsidRPr="00442F05" w:rsidRDefault="00D116AC" w:rsidP="00203884">
      <w:pPr>
        <w:pStyle w:val="NormalWeb"/>
        <w:spacing w:before="96" w:beforeAutospacing="0" w:after="0" w:afterAutospacing="0"/>
        <w:rPr>
          <w:rFonts w:ascii="Arial" w:eastAsia="+mn-ea" w:hAnsi="Arial" w:cs="Arial"/>
          <w:color w:val="000000"/>
          <w:kern w:val="24"/>
          <w:sz w:val="22"/>
          <w:szCs w:val="22"/>
        </w:rPr>
      </w:pPr>
    </w:p>
    <w:p w14:paraId="0F88F8B5" w14:textId="77777777" w:rsidR="00D116AC" w:rsidRPr="00442F05" w:rsidRDefault="00D116AC" w:rsidP="00203884">
      <w:pPr>
        <w:pStyle w:val="NormalWeb"/>
        <w:spacing w:before="96" w:beforeAutospacing="0" w:after="0" w:afterAutospacing="0"/>
        <w:rPr>
          <w:rFonts w:ascii="Arial" w:eastAsia="+mn-ea" w:hAnsi="Arial" w:cs="Arial"/>
          <w:color w:val="000000"/>
          <w:kern w:val="24"/>
          <w:sz w:val="22"/>
          <w:szCs w:val="22"/>
        </w:rPr>
      </w:pPr>
    </w:p>
    <w:p w14:paraId="64777806" w14:textId="542EBA34" w:rsidR="007D7CB7" w:rsidRPr="00CC585F" w:rsidRDefault="74F41A2C" w:rsidP="00CC585F">
      <w:pPr>
        <w:pStyle w:val="NormalWeb"/>
        <w:spacing w:before="96" w:beforeAutospacing="0" w:after="0" w:afterAutospacing="0"/>
        <w:rPr>
          <w:rFonts w:ascii="Arial" w:hAnsi="Arial" w:cs="Arial"/>
          <w:b/>
          <w:bCs/>
          <w:color w:val="1D1D1D"/>
          <w:sz w:val="22"/>
          <w:szCs w:val="22"/>
        </w:rPr>
      </w:pPr>
      <w:r w:rsidRPr="00442F05">
        <w:rPr>
          <w:rFonts w:ascii="Arial" w:hAnsi="Arial" w:cs="Arial"/>
          <w:b/>
          <w:bCs/>
          <w:color w:val="1D1D1D"/>
          <w:sz w:val="22"/>
          <w:szCs w:val="22"/>
        </w:rPr>
        <w:t>Advisory Report to a Local Councillor</w:t>
      </w:r>
    </w:p>
    <w:p w14:paraId="56446C40" w14:textId="77777777" w:rsidR="007D7CB7" w:rsidRPr="00442F05" w:rsidRDefault="007D7CB7" w:rsidP="007D7CB7">
      <w:pPr>
        <w:pStyle w:val="df"/>
        <w:pBdr>
          <w:top w:val="single" w:sz="2" w:space="0" w:color="F0F3F5"/>
          <w:left w:val="single" w:sz="2" w:space="0" w:color="F0F3F5"/>
          <w:bottom w:val="single" w:sz="2" w:space="0" w:color="F0F3F5"/>
          <w:right w:val="single" w:sz="2" w:space="0" w:color="F0F3F5"/>
        </w:pBdr>
        <w:shd w:val="clear" w:color="auto" w:fill="FFFFFF"/>
        <w:rPr>
          <w:rFonts w:ascii="Arial" w:hAnsi="Arial" w:cs="Arial"/>
          <w:color w:val="1D1D1D"/>
          <w:sz w:val="22"/>
          <w:szCs w:val="22"/>
        </w:rPr>
      </w:pPr>
    </w:p>
    <w:p w14:paraId="19F9A693" w14:textId="77777777" w:rsidR="007D7CB7" w:rsidRPr="00442F05" w:rsidRDefault="007D7CB7" w:rsidP="007D7CB7">
      <w:pPr>
        <w:pStyle w:val="df"/>
        <w:pBdr>
          <w:top w:val="single" w:sz="2" w:space="0" w:color="F0F3F5"/>
          <w:left w:val="single" w:sz="2" w:space="0" w:color="F0F3F5"/>
          <w:bottom w:val="single" w:sz="2" w:space="0" w:color="F0F3F5"/>
          <w:right w:val="single" w:sz="2" w:space="0" w:color="F0F3F5"/>
        </w:pBdr>
        <w:shd w:val="clear" w:color="auto" w:fill="FFFFFF"/>
        <w:rPr>
          <w:rFonts w:ascii="Arial" w:hAnsi="Arial" w:cs="Arial"/>
          <w:color w:val="1D1D1D"/>
          <w:sz w:val="22"/>
          <w:szCs w:val="22"/>
        </w:rPr>
      </w:pPr>
      <w:r w:rsidRPr="00442F05">
        <w:rPr>
          <w:rFonts w:ascii="Arial" w:hAnsi="Arial" w:cs="Arial"/>
          <w:color w:val="1D1D1D"/>
          <w:sz w:val="22"/>
          <w:szCs w:val="22"/>
        </w:rPr>
        <w:t>To: Councillor Liam Preece</w:t>
      </w:r>
    </w:p>
    <w:p w14:paraId="19780848" w14:textId="77777777" w:rsidR="007D7CB7" w:rsidRPr="00442F05" w:rsidRDefault="007D7CB7" w:rsidP="007D7CB7">
      <w:pPr>
        <w:pStyle w:val="df"/>
        <w:pBdr>
          <w:top w:val="single" w:sz="2" w:space="0" w:color="F0F3F5"/>
          <w:left w:val="single" w:sz="2" w:space="0" w:color="F0F3F5"/>
          <w:bottom w:val="single" w:sz="2" w:space="0" w:color="F0F3F5"/>
          <w:right w:val="single" w:sz="2" w:space="0" w:color="F0F3F5"/>
        </w:pBdr>
        <w:shd w:val="clear" w:color="auto" w:fill="FFFFFF"/>
        <w:rPr>
          <w:rFonts w:ascii="Arial" w:hAnsi="Arial" w:cs="Arial"/>
          <w:color w:val="1D1D1D"/>
          <w:sz w:val="22"/>
          <w:szCs w:val="22"/>
        </w:rPr>
      </w:pPr>
      <w:r w:rsidRPr="00442F05">
        <w:rPr>
          <w:rFonts w:ascii="Arial" w:hAnsi="Arial" w:cs="Arial"/>
          <w:color w:val="1D1D1D"/>
          <w:sz w:val="22"/>
          <w:szCs w:val="22"/>
        </w:rPr>
        <w:t>West Bromwich Central Ward</w:t>
      </w:r>
    </w:p>
    <w:p w14:paraId="2CE27272" w14:textId="77777777" w:rsidR="007D7CB7" w:rsidRPr="00442F05" w:rsidRDefault="007D7CB7" w:rsidP="007D7CB7">
      <w:pPr>
        <w:pStyle w:val="df"/>
        <w:pBdr>
          <w:top w:val="single" w:sz="2" w:space="0" w:color="F0F3F5"/>
          <w:left w:val="single" w:sz="2" w:space="0" w:color="F0F3F5"/>
          <w:bottom w:val="single" w:sz="2" w:space="0" w:color="F0F3F5"/>
          <w:right w:val="single" w:sz="2" w:space="0" w:color="F0F3F5"/>
        </w:pBdr>
        <w:shd w:val="clear" w:color="auto" w:fill="FFFFFF"/>
        <w:rPr>
          <w:rFonts w:ascii="Arial" w:hAnsi="Arial" w:cs="Arial"/>
          <w:color w:val="1D1D1D"/>
          <w:sz w:val="22"/>
          <w:szCs w:val="22"/>
        </w:rPr>
      </w:pPr>
      <w:r w:rsidRPr="00442F05">
        <w:rPr>
          <w:rFonts w:ascii="Arial" w:hAnsi="Arial" w:cs="Arial"/>
          <w:color w:val="1D1D1D"/>
          <w:sz w:val="22"/>
          <w:szCs w:val="22"/>
        </w:rPr>
        <w:t>Sandwell Metropolitan Borough Council</w:t>
      </w:r>
    </w:p>
    <w:p w14:paraId="064D536A" w14:textId="77777777" w:rsidR="007D7CB7" w:rsidRPr="00442F05" w:rsidRDefault="007D7CB7" w:rsidP="007D7CB7">
      <w:pPr>
        <w:pStyle w:val="df"/>
        <w:pBdr>
          <w:top w:val="single" w:sz="2" w:space="0" w:color="F0F3F5"/>
          <w:left w:val="single" w:sz="2" w:space="0" w:color="F0F3F5"/>
          <w:bottom w:val="single" w:sz="2" w:space="0" w:color="F0F3F5"/>
          <w:right w:val="single" w:sz="2" w:space="0" w:color="F0F3F5"/>
        </w:pBdr>
        <w:shd w:val="clear" w:color="auto" w:fill="FFFFFF"/>
        <w:rPr>
          <w:rFonts w:ascii="Arial" w:hAnsi="Arial" w:cs="Arial"/>
          <w:color w:val="1D1D1D"/>
          <w:sz w:val="22"/>
          <w:szCs w:val="22"/>
        </w:rPr>
      </w:pPr>
      <w:r w:rsidRPr="00442F05">
        <w:rPr>
          <w:rFonts w:ascii="Arial" w:hAnsi="Arial" w:cs="Arial"/>
          <w:color w:val="1D1D1D"/>
          <w:sz w:val="22"/>
          <w:szCs w:val="22"/>
        </w:rPr>
        <w:t>Sandwell Council House</w:t>
      </w:r>
    </w:p>
    <w:p w14:paraId="5F85AE5F" w14:textId="77777777" w:rsidR="007D7CB7" w:rsidRPr="00442F05" w:rsidRDefault="007D7CB7" w:rsidP="007D7CB7">
      <w:pPr>
        <w:pStyle w:val="df"/>
        <w:pBdr>
          <w:top w:val="single" w:sz="2" w:space="0" w:color="F0F3F5"/>
          <w:left w:val="single" w:sz="2" w:space="0" w:color="F0F3F5"/>
          <w:bottom w:val="single" w:sz="2" w:space="0" w:color="F0F3F5"/>
          <w:right w:val="single" w:sz="2" w:space="0" w:color="F0F3F5"/>
        </w:pBdr>
        <w:shd w:val="clear" w:color="auto" w:fill="FFFFFF"/>
        <w:rPr>
          <w:rFonts w:ascii="Arial" w:hAnsi="Arial" w:cs="Arial"/>
          <w:color w:val="1D1D1D"/>
          <w:sz w:val="22"/>
          <w:szCs w:val="22"/>
        </w:rPr>
      </w:pPr>
      <w:r w:rsidRPr="00442F05">
        <w:rPr>
          <w:rFonts w:ascii="Arial" w:hAnsi="Arial" w:cs="Arial"/>
          <w:color w:val="1D1D1D"/>
          <w:sz w:val="22"/>
          <w:szCs w:val="22"/>
        </w:rPr>
        <w:t>Freeth Street</w:t>
      </w:r>
    </w:p>
    <w:p w14:paraId="267F5A70" w14:textId="77777777" w:rsidR="007D7CB7" w:rsidRPr="00442F05" w:rsidRDefault="007D7CB7" w:rsidP="007D7CB7">
      <w:pPr>
        <w:pStyle w:val="df"/>
        <w:pBdr>
          <w:top w:val="single" w:sz="2" w:space="0" w:color="F0F3F5"/>
          <w:left w:val="single" w:sz="2" w:space="0" w:color="F0F3F5"/>
          <w:bottom w:val="single" w:sz="2" w:space="0" w:color="F0F3F5"/>
          <w:right w:val="single" w:sz="2" w:space="0" w:color="F0F3F5"/>
        </w:pBdr>
        <w:shd w:val="clear" w:color="auto" w:fill="FFFFFF"/>
        <w:rPr>
          <w:rFonts w:ascii="Arial" w:hAnsi="Arial" w:cs="Arial"/>
          <w:color w:val="1D1D1D"/>
          <w:sz w:val="22"/>
          <w:szCs w:val="22"/>
        </w:rPr>
      </w:pPr>
      <w:r w:rsidRPr="00442F05">
        <w:rPr>
          <w:rFonts w:ascii="Arial" w:hAnsi="Arial" w:cs="Arial"/>
          <w:color w:val="1D1D1D"/>
          <w:sz w:val="22"/>
          <w:szCs w:val="22"/>
        </w:rPr>
        <w:t>Oldbury</w:t>
      </w:r>
    </w:p>
    <w:p w14:paraId="0D16BC80" w14:textId="5D4E9602" w:rsidR="007D7CB7" w:rsidRDefault="74F41A2C" w:rsidP="3DF03370">
      <w:pPr>
        <w:pStyle w:val="df"/>
        <w:pBdr>
          <w:top w:val="single" w:sz="2" w:space="0" w:color="F0F3F5"/>
          <w:left w:val="single" w:sz="2" w:space="0" w:color="F0F3F5"/>
          <w:bottom w:val="single" w:sz="2" w:space="0" w:color="F0F3F5"/>
          <w:right w:val="single" w:sz="2" w:space="0" w:color="F0F3F5"/>
        </w:pBdr>
        <w:shd w:val="clear" w:color="auto" w:fill="FFFFFF" w:themeFill="background1"/>
        <w:rPr>
          <w:rFonts w:ascii="Arial" w:hAnsi="Arial" w:cs="Arial"/>
          <w:color w:val="1D1D1D"/>
          <w:sz w:val="22"/>
          <w:szCs w:val="22"/>
        </w:rPr>
      </w:pPr>
      <w:r w:rsidRPr="00442F05">
        <w:rPr>
          <w:rFonts w:ascii="Arial" w:hAnsi="Arial" w:cs="Arial"/>
          <w:color w:val="1D1D1D"/>
          <w:sz w:val="22"/>
          <w:szCs w:val="22"/>
        </w:rPr>
        <w:t>B69 3DE</w:t>
      </w:r>
    </w:p>
    <w:p w14:paraId="66BF0F8E" w14:textId="77777777" w:rsidR="00CC0F6E" w:rsidRDefault="00CC0F6E" w:rsidP="3DF03370">
      <w:pPr>
        <w:pStyle w:val="df"/>
        <w:pBdr>
          <w:top w:val="single" w:sz="2" w:space="0" w:color="F0F3F5"/>
          <w:left w:val="single" w:sz="2" w:space="0" w:color="F0F3F5"/>
          <w:bottom w:val="single" w:sz="2" w:space="0" w:color="F0F3F5"/>
          <w:right w:val="single" w:sz="2" w:space="0" w:color="F0F3F5"/>
        </w:pBdr>
        <w:shd w:val="clear" w:color="auto" w:fill="FFFFFF" w:themeFill="background1"/>
        <w:rPr>
          <w:rFonts w:ascii="Arial" w:hAnsi="Arial" w:cs="Arial"/>
          <w:color w:val="1D1D1D"/>
          <w:sz w:val="22"/>
          <w:szCs w:val="22"/>
        </w:rPr>
      </w:pPr>
    </w:p>
    <w:p w14:paraId="755BEA4A" w14:textId="77777777" w:rsidR="00CC0F6E" w:rsidRPr="00442F05" w:rsidRDefault="00CC0F6E" w:rsidP="3DF03370">
      <w:pPr>
        <w:pStyle w:val="df"/>
        <w:pBdr>
          <w:top w:val="single" w:sz="2" w:space="0" w:color="F0F3F5"/>
          <w:left w:val="single" w:sz="2" w:space="0" w:color="F0F3F5"/>
          <w:bottom w:val="single" w:sz="2" w:space="0" w:color="F0F3F5"/>
          <w:right w:val="single" w:sz="2" w:space="0" w:color="F0F3F5"/>
        </w:pBdr>
        <w:shd w:val="clear" w:color="auto" w:fill="FFFFFF" w:themeFill="background1"/>
        <w:rPr>
          <w:rFonts w:ascii="Arial" w:hAnsi="Arial" w:cs="Arial"/>
          <w:sz w:val="22"/>
          <w:szCs w:val="22"/>
        </w:rPr>
      </w:pPr>
    </w:p>
    <w:p w14:paraId="1C88EF8E" w14:textId="4E892FBD" w:rsidR="007D7CB7" w:rsidRPr="00442F05" w:rsidRDefault="74F41A2C" w:rsidP="3DF03370">
      <w:pPr>
        <w:pStyle w:val="df"/>
        <w:pBdr>
          <w:top w:val="single" w:sz="2" w:space="0" w:color="F0F3F5"/>
          <w:left w:val="single" w:sz="2" w:space="0" w:color="F0F3F5"/>
          <w:bottom w:val="single" w:sz="2" w:space="0" w:color="F0F3F5"/>
          <w:right w:val="single" w:sz="2" w:space="0" w:color="F0F3F5"/>
        </w:pBdr>
        <w:shd w:val="clear" w:color="auto" w:fill="FFFFFF" w:themeFill="background1"/>
        <w:rPr>
          <w:rFonts w:ascii="Arial" w:hAnsi="Arial" w:cs="Arial"/>
          <w:b/>
          <w:bCs/>
          <w:color w:val="1D1D1D"/>
          <w:sz w:val="22"/>
          <w:szCs w:val="22"/>
        </w:rPr>
      </w:pPr>
      <w:r w:rsidRPr="00442F05">
        <w:rPr>
          <w:rFonts w:ascii="Arial" w:hAnsi="Arial" w:cs="Arial"/>
          <w:b/>
          <w:bCs/>
          <w:color w:val="1D1D1D"/>
          <w:sz w:val="22"/>
          <w:szCs w:val="22"/>
        </w:rPr>
        <w:t>Subject: Shortage of Residential Care Home Services within the West Bromwich Local Community</w:t>
      </w:r>
    </w:p>
    <w:p w14:paraId="4C5AE36A" w14:textId="77777777" w:rsidR="007D7CB7" w:rsidRPr="00442F05" w:rsidRDefault="007D7CB7" w:rsidP="007D7CB7">
      <w:pPr>
        <w:pStyle w:val="df"/>
        <w:pBdr>
          <w:top w:val="single" w:sz="2" w:space="0" w:color="F0F3F5"/>
          <w:left w:val="single" w:sz="2" w:space="0" w:color="F0F3F5"/>
          <w:bottom w:val="single" w:sz="2" w:space="0" w:color="F0F3F5"/>
          <w:right w:val="single" w:sz="2" w:space="0" w:color="F0F3F5"/>
        </w:pBdr>
        <w:shd w:val="clear" w:color="auto" w:fill="FFFFFF"/>
        <w:rPr>
          <w:rFonts w:ascii="Arial" w:hAnsi="Arial" w:cs="Arial"/>
          <w:color w:val="1D1D1D"/>
          <w:sz w:val="22"/>
          <w:szCs w:val="22"/>
        </w:rPr>
      </w:pPr>
    </w:p>
    <w:p w14:paraId="25960A47" w14:textId="482B55F5" w:rsidR="007D7CB7" w:rsidRPr="00442F05" w:rsidRDefault="4FEE8A20" w:rsidP="7829FDCB">
      <w:pPr>
        <w:pStyle w:val="df"/>
        <w:pBdr>
          <w:top w:val="single" w:sz="2" w:space="0" w:color="F0F3F5"/>
          <w:left w:val="single" w:sz="2" w:space="0" w:color="F0F3F5"/>
          <w:bottom w:val="single" w:sz="2" w:space="0" w:color="F0F3F5"/>
          <w:right w:val="single" w:sz="2" w:space="0" w:color="F0F3F5"/>
        </w:pBdr>
        <w:shd w:val="clear" w:color="auto" w:fill="FFFFFF" w:themeFill="background1"/>
        <w:rPr>
          <w:rFonts w:ascii="Arial" w:hAnsi="Arial" w:cs="Arial"/>
          <w:b/>
          <w:bCs/>
          <w:color w:val="1D1D1D"/>
          <w:sz w:val="22"/>
          <w:szCs w:val="22"/>
        </w:rPr>
      </w:pPr>
      <w:r w:rsidRPr="00442F05">
        <w:rPr>
          <w:rFonts w:ascii="Arial" w:hAnsi="Arial" w:cs="Arial"/>
          <w:b/>
          <w:bCs/>
          <w:color w:val="1D1D1D"/>
          <w:sz w:val="22"/>
          <w:szCs w:val="22"/>
        </w:rPr>
        <w:t>1. Introduction</w:t>
      </w:r>
    </w:p>
    <w:p w14:paraId="2A6EBDED" w14:textId="46E53776" w:rsidR="007D7CB7" w:rsidRPr="00442F05" w:rsidRDefault="74F41A2C" w:rsidP="004B6E08">
      <w:pPr>
        <w:pStyle w:val="df"/>
        <w:pBdr>
          <w:top w:val="single" w:sz="2" w:space="0" w:color="F0F3F5"/>
          <w:left w:val="single" w:sz="2" w:space="0" w:color="F0F3F5"/>
          <w:bottom w:val="single" w:sz="2" w:space="0" w:color="F0F3F5"/>
          <w:right w:val="single" w:sz="2" w:space="0" w:color="F0F3F5"/>
        </w:pBdr>
        <w:shd w:val="clear" w:color="auto" w:fill="FFFFFF" w:themeFill="background1"/>
        <w:spacing w:line="360" w:lineRule="auto"/>
        <w:rPr>
          <w:rFonts w:ascii="Arial" w:hAnsi="Arial" w:cs="Arial"/>
          <w:color w:val="1D1D1D"/>
          <w:sz w:val="22"/>
          <w:szCs w:val="22"/>
        </w:rPr>
      </w:pPr>
      <w:r w:rsidRPr="00442F05">
        <w:rPr>
          <w:rFonts w:ascii="Arial" w:hAnsi="Arial" w:cs="Arial"/>
          <w:color w:val="1D1D1D"/>
          <w:sz w:val="22"/>
          <w:szCs w:val="22"/>
        </w:rPr>
        <w:t>Residential care homes provide accommodation, personal care, supervision and support for people who cannot safely live independently at home. They support older people, people with dementia, physical disabilities and individuals with complex care needs.</w:t>
      </w:r>
    </w:p>
    <w:p w14:paraId="3C8813D4" w14:textId="40A4CCC0" w:rsidR="007D7CB7" w:rsidRPr="00442F05" w:rsidRDefault="74F41A2C" w:rsidP="004B6E08">
      <w:pPr>
        <w:pStyle w:val="df"/>
        <w:pBdr>
          <w:top w:val="single" w:sz="2" w:space="0" w:color="F0F3F5"/>
          <w:left w:val="single" w:sz="2" w:space="0" w:color="F0F3F5"/>
          <w:bottom w:val="single" w:sz="2" w:space="0" w:color="F0F3F5"/>
          <w:right w:val="single" w:sz="2" w:space="0" w:color="F0F3F5"/>
        </w:pBdr>
        <w:shd w:val="clear" w:color="auto" w:fill="FFFFFF" w:themeFill="background1"/>
        <w:spacing w:line="360" w:lineRule="auto"/>
        <w:rPr>
          <w:rFonts w:ascii="Arial" w:hAnsi="Arial" w:cs="Arial"/>
          <w:color w:val="1D1D1D"/>
          <w:sz w:val="22"/>
          <w:szCs w:val="22"/>
        </w:rPr>
      </w:pPr>
      <w:r w:rsidRPr="00442F05">
        <w:rPr>
          <w:rFonts w:ascii="Arial" w:hAnsi="Arial" w:cs="Arial"/>
          <w:color w:val="1D1D1D"/>
          <w:sz w:val="22"/>
          <w:szCs w:val="22"/>
        </w:rPr>
        <w:t>There is concern about the availability of residential care services in West Bromwich because demand for adult social care is increasing. The Care Quality Commission (CQC, 2025) has reported continuing pressures on adult social care, including demand for services and difficulties with capacity.</w:t>
      </w:r>
    </w:p>
    <w:p w14:paraId="1B7068EA" w14:textId="6B0FCBFF" w:rsidR="007D7CB7" w:rsidRPr="00442F05" w:rsidRDefault="74F41A2C" w:rsidP="004B6E08">
      <w:pPr>
        <w:pStyle w:val="df"/>
        <w:pBdr>
          <w:top w:val="single" w:sz="2" w:space="0" w:color="F0F3F5"/>
          <w:left w:val="single" w:sz="2" w:space="0" w:color="F0F3F5"/>
          <w:bottom w:val="single" w:sz="2" w:space="0" w:color="F0F3F5"/>
          <w:right w:val="single" w:sz="2" w:space="0" w:color="F0F3F5"/>
        </w:pBdr>
        <w:shd w:val="clear" w:color="auto" w:fill="FFFFFF" w:themeFill="background1"/>
        <w:spacing w:line="360" w:lineRule="auto"/>
        <w:rPr>
          <w:rFonts w:ascii="Arial" w:hAnsi="Arial" w:cs="Arial"/>
          <w:sz w:val="22"/>
          <w:szCs w:val="22"/>
        </w:rPr>
      </w:pPr>
      <w:r w:rsidRPr="00442F05">
        <w:rPr>
          <w:rFonts w:ascii="Arial" w:hAnsi="Arial" w:cs="Arial"/>
          <w:color w:val="1D1D1D"/>
          <w:sz w:val="22"/>
          <w:szCs w:val="22"/>
        </w:rPr>
        <w:lastRenderedPageBreak/>
        <w:t>The Care Act 2014 places individual wellbeing, prevention and meeting care and support needs at the centre of adult social care. This report explains why residential care is needed, how shortages affect the local community and what Sandwell Council could do to improve services.</w:t>
      </w:r>
    </w:p>
    <w:p w14:paraId="1FBDE9C4" w14:textId="0763FE32" w:rsidR="007D7CB7" w:rsidRPr="00442F05" w:rsidRDefault="4FEE8A20" w:rsidP="004B6E08">
      <w:pPr>
        <w:pStyle w:val="df"/>
        <w:pBdr>
          <w:top w:val="single" w:sz="2" w:space="0" w:color="F0F3F5"/>
          <w:left w:val="single" w:sz="2" w:space="0" w:color="F0F3F5"/>
          <w:bottom w:val="single" w:sz="2" w:space="0" w:color="F0F3F5"/>
          <w:right w:val="single" w:sz="2" w:space="0" w:color="F0F3F5"/>
        </w:pBdr>
        <w:shd w:val="clear" w:color="auto" w:fill="FFFFFF" w:themeFill="background1"/>
        <w:spacing w:line="360" w:lineRule="auto"/>
        <w:rPr>
          <w:rFonts w:ascii="Arial" w:hAnsi="Arial" w:cs="Arial"/>
          <w:b/>
          <w:bCs/>
          <w:color w:val="1D1D1D"/>
          <w:sz w:val="22"/>
          <w:szCs w:val="22"/>
        </w:rPr>
      </w:pPr>
      <w:r w:rsidRPr="00442F05">
        <w:rPr>
          <w:rFonts w:ascii="Arial" w:hAnsi="Arial" w:cs="Arial"/>
          <w:b/>
          <w:bCs/>
          <w:color w:val="1D1D1D"/>
          <w:sz w:val="22"/>
          <w:szCs w:val="22"/>
        </w:rPr>
        <w:t>2. Why Residential Care Homes Are Needed</w:t>
      </w:r>
    </w:p>
    <w:p w14:paraId="21170622" w14:textId="2C728111" w:rsidR="007D7CB7" w:rsidRPr="00442F05" w:rsidRDefault="57F5A9E2" w:rsidP="004B6E08">
      <w:pPr>
        <w:pStyle w:val="df"/>
        <w:pBdr>
          <w:top w:val="single" w:sz="2" w:space="0" w:color="F0F3F5"/>
          <w:left w:val="single" w:sz="2" w:space="0" w:color="F0F3F5"/>
          <w:bottom w:val="single" w:sz="2" w:space="0" w:color="F0F3F5"/>
          <w:right w:val="single" w:sz="2" w:space="0" w:color="F0F3F5"/>
        </w:pBdr>
        <w:shd w:val="clear" w:color="auto" w:fill="FFFFFF" w:themeFill="background1"/>
        <w:spacing w:line="360" w:lineRule="auto"/>
        <w:rPr>
          <w:rFonts w:ascii="Arial" w:hAnsi="Arial" w:cs="Arial"/>
          <w:color w:val="1D1D1D"/>
          <w:sz w:val="22"/>
          <w:szCs w:val="22"/>
        </w:rPr>
      </w:pPr>
      <w:r w:rsidRPr="00442F05">
        <w:rPr>
          <w:rFonts w:ascii="Arial" w:hAnsi="Arial" w:cs="Arial"/>
          <w:color w:val="1D1D1D"/>
          <w:sz w:val="22"/>
          <w:szCs w:val="22"/>
        </w:rPr>
        <w:t>Residential care is important for people who cannot manage everyday activities safely at home. Care homes can provide help with washing, dressing, eating, medication, mobility and other daily needs. They can also provide a safe environment for people with dementia, disabilities and complex needs.</w:t>
      </w:r>
    </w:p>
    <w:p w14:paraId="0C71A739" w14:textId="693F47D4" w:rsidR="007D7CB7" w:rsidRPr="00442F05" w:rsidRDefault="007D7CB7"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r w:rsidRPr="00442F05">
        <w:rPr>
          <w:rFonts w:ascii="Arial" w:hAnsi="Arial" w:cs="Arial"/>
          <w:color w:val="1D1D1D"/>
          <w:sz w:val="22"/>
          <w:szCs w:val="22"/>
        </w:rPr>
        <w:t>Residential care can promote individual wellbeing. The Care Act 2014 states that wellbeing includes dignity, physical and mental health, protection from abuse, control over daily life, relationships and participation in the community (Department of Health and Social Care, 2025).</w:t>
      </w:r>
    </w:p>
    <w:p w14:paraId="5DC615EB" w14:textId="46E69FAE" w:rsidR="007D7CB7" w:rsidRPr="00442F05" w:rsidRDefault="57F5A9E2"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r w:rsidRPr="00442F05">
        <w:rPr>
          <w:rFonts w:ascii="Arial" w:hAnsi="Arial" w:cs="Arial"/>
          <w:color w:val="1D1D1D"/>
          <w:sz w:val="22"/>
          <w:szCs w:val="22"/>
        </w:rPr>
        <w:t>Care homes can also help people maintain their independence. Staff can encourage residents to make choices and take part in activities rather than doing everything for them. This can help residents maintain their skills and confidence.</w:t>
      </w:r>
    </w:p>
    <w:p w14:paraId="2B6861A1" w14:textId="77777777" w:rsidR="007D7CB7" w:rsidRPr="00442F05" w:rsidRDefault="007D7CB7"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76B43484" w14:textId="310F3BD8" w:rsidR="007D7CB7" w:rsidRPr="00442F05" w:rsidRDefault="57F5A9E2" w:rsidP="004B6E08">
      <w:pPr>
        <w:pStyle w:val="df"/>
        <w:pBdr>
          <w:top w:val="single" w:sz="2" w:space="0" w:color="F0F3F5"/>
          <w:left w:val="single" w:sz="2" w:space="0" w:color="F0F3F5"/>
          <w:bottom w:val="single" w:sz="2" w:space="0" w:color="F0F3F5"/>
          <w:right w:val="single" w:sz="2" w:space="0" w:color="F0F3F5"/>
        </w:pBdr>
        <w:shd w:val="clear" w:color="auto" w:fill="FFFFFF" w:themeFill="background1"/>
        <w:spacing w:line="360" w:lineRule="auto"/>
        <w:rPr>
          <w:rFonts w:ascii="Arial" w:hAnsi="Arial" w:cs="Arial"/>
          <w:b/>
          <w:bCs/>
          <w:color w:val="1D1D1D"/>
          <w:sz w:val="22"/>
          <w:szCs w:val="22"/>
        </w:rPr>
      </w:pPr>
      <w:r w:rsidRPr="00442F05">
        <w:rPr>
          <w:rFonts w:ascii="Arial" w:hAnsi="Arial" w:cs="Arial"/>
          <w:b/>
          <w:bCs/>
          <w:color w:val="1D1D1D"/>
          <w:sz w:val="22"/>
          <w:szCs w:val="22"/>
        </w:rPr>
        <w:t>3. Effects of the Shortage</w:t>
      </w:r>
    </w:p>
    <w:p w14:paraId="7A4F947A" w14:textId="77777777" w:rsidR="007D7CB7" w:rsidRPr="00442F05" w:rsidRDefault="007D7CB7"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r w:rsidRPr="00442F05">
        <w:rPr>
          <w:rFonts w:ascii="Arial" w:hAnsi="Arial" w:cs="Arial"/>
          <w:color w:val="1D1D1D"/>
          <w:sz w:val="22"/>
          <w:szCs w:val="22"/>
        </w:rPr>
        <w:t>A shortage of suitable residential care places can cause delays in people receiving the care they need. Some people may remain in hospital for longer because an appropriate care placement has not been found. The CQC (2025) has identified social care capacity as one factor affecting hospital discharge.</w:t>
      </w:r>
    </w:p>
    <w:p w14:paraId="726E472B" w14:textId="48340D22" w:rsidR="007D7CB7" w:rsidRPr="00442F05" w:rsidRDefault="57F5A9E2" w:rsidP="004B6E08">
      <w:pPr>
        <w:pStyle w:val="df"/>
        <w:pBdr>
          <w:top w:val="single" w:sz="2" w:space="0" w:color="F0F3F5"/>
          <w:left w:val="single" w:sz="2" w:space="0" w:color="F0F3F5"/>
          <w:bottom w:val="single" w:sz="2" w:space="0" w:color="F0F3F5"/>
          <w:right w:val="single" w:sz="2" w:space="0" w:color="F0F3F5"/>
        </w:pBdr>
        <w:shd w:val="clear" w:color="auto" w:fill="FFFFFF" w:themeFill="background1"/>
        <w:spacing w:line="360" w:lineRule="auto"/>
        <w:rPr>
          <w:rFonts w:ascii="Arial" w:hAnsi="Arial" w:cs="Arial"/>
          <w:color w:val="1D1D1D"/>
          <w:sz w:val="22"/>
          <w:szCs w:val="22"/>
        </w:rPr>
      </w:pPr>
      <w:r w:rsidRPr="00442F05">
        <w:rPr>
          <w:rFonts w:ascii="Arial" w:hAnsi="Arial" w:cs="Arial"/>
          <w:color w:val="1D1D1D"/>
          <w:sz w:val="22"/>
          <w:szCs w:val="22"/>
        </w:rPr>
        <w:t>A shortage may also increase social isolation. If a person has to move outside West Bromwich to find a suitable care home, it may become more difficult for family and friends to visit regularly.</w:t>
      </w:r>
    </w:p>
    <w:p w14:paraId="0BAD419F" w14:textId="77777777" w:rsidR="007D7CB7" w:rsidRPr="00442F05" w:rsidRDefault="007D7CB7"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r w:rsidRPr="00442F05">
        <w:rPr>
          <w:rFonts w:ascii="Arial" w:hAnsi="Arial" w:cs="Arial"/>
          <w:color w:val="1D1D1D"/>
          <w:sz w:val="22"/>
          <w:szCs w:val="22"/>
        </w:rPr>
        <w:t>Limited services can also affect people with more complex needs, including dementia and disabilities. A wider range of local services would provide greater choice and help people receive care that meets their individual needs.</w:t>
      </w:r>
    </w:p>
    <w:p w14:paraId="10BB3420" w14:textId="77777777" w:rsidR="007D7CB7" w:rsidRPr="00442F05" w:rsidRDefault="007D7CB7"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2F57BA97" w14:textId="2BA16D97" w:rsidR="007D7CB7" w:rsidRPr="00442F05" w:rsidRDefault="57F5A9E2" w:rsidP="004B6E08">
      <w:pPr>
        <w:pStyle w:val="df"/>
        <w:pBdr>
          <w:top w:val="single" w:sz="2" w:space="0" w:color="F0F3F5"/>
          <w:left w:val="single" w:sz="2" w:space="0" w:color="F0F3F5"/>
          <w:bottom w:val="single" w:sz="2" w:space="0" w:color="F0F3F5"/>
          <w:right w:val="single" w:sz="2" w:space="0" w:color="F0F3F5"/>
        </w:pBdr>
        <w:shd w:val="clear" w:color="auto" w:fill="FFFFFF" w:themeFill="background1"/>
        <w:spacing w:line="360" w:lineRule="auto"/>
        <w:rPr>
          <w:rFonts w:ascii="Arial" w:hAnsi="Arial" w:cs="Arial"/>
          <w:b/>
          <w:bCs/>
          <w:color w:val="1D1D1D"/>
          <w:sz w:val="22"/>
          <w:szCs w:val="22"/>
        </w:rPr>
      </w:pPr>
      <w:r w:rsidRPr="00442F05">
        <w:rPr>
          <w:rFonts w:ascii="Arial" w:hAnsi="Arial" w:cs="Arial"/>
          <w:b/>
          <w:bCs/>
          <w:color w:val="1D1D1D"/>
          <w:sz w:val="22"/>
          <w:szCs w:val="22"/>
        </w:rPr>
        <w:t>4. Recommendations</w:t>
      </w:r>
    </w:p>
    <w:p w14:paraId="7006A998" w14:textId="0C25F042" w:rsidR="007D7CB7" w:rsidRPr="00442F05" w:rsidRDefault="57F5A9E2" w:rsidP="004B6E08">
      <w:pPr>
        <w:pStyle w:val="df"/>
        <w:pBdr>
          <w:top w:val="single" w:sz="2" w:space="0" w:color="F0F3F5"/>
          <w:left w:val="single" w:sz="2" w:space="0" w:color="F0F3F5"/>
          <w:bottom w:val="single" w:sz="2" w:space="0" w:color="F0F3F5"/>
          <w:right w:val="single" w:sz="2" w:space="0" w:color="F0F3F5"/>
        </w:pBdr>
        <w:shd w:val="clear" w:color="auto" w:fill="FFFFFF" w:themeFill="background1"/>
        <w:spacing w:line="360" w:lineRule="auto"/>
        <w:rPr>
          <w:rFonts w:ascii="Arial" w:hAnsi="Arial" w:cs="Arial"/>
          <w:b/>
          <w:bCs/>
          <w:color w:val="1D1D1D"/>
          <w:sz w:val="22"/>
          <w:szCs w:val="22"/>
        </w:rPr>
      </w:pPr>
      <w:r w:rsidRPr="00442F05">
        <w:rPr>
          <w:rFonts w:ascii="Arial" w:hAnsi="Arial" w:cs="Arial"/>
          <w:b/>
          <w:bCs/>
          <w:color w:val="1D1D1D"/>
          <w:sz w:val="22"/>
          <w:szCs w:val="22"/>
        </w:rPr>
        <w:t>Assess Local Demand</w:t>
      </w:r>
    </w:p>
    <w:p w14:paraId="79ED46EC" w14:textId="0D90DE08" w:rsidR="57F5A9E2" w:rsidRPr="00442F05" w:rsidRDefault="57F5A9E2" w:rsidP="004B6E08">
      <w:pPr>
        <w:pStyle w:val="df"/>
        <w:pBdr>
          <w:top w:val="single" w:sz="2" w:space="0" w:color="F0F3F5"/>
          <w:left w:val="single" w:sz="2" w:space="0" w:color="F0F3F5"/>
          <w:bottom w:val="single" w:sz="2" w:space="0" w:color="F0F3F5"/>
          <w:right w:val="single" w:sz="2" w:space="0" w:color="F0F3F5"/>
        </w:pBdr>
        <w:shd w:val="clear" w:color="auto" w:fill="FFFFFF" w:themeFill="background1"/>
        <w:spacing w:line="360" w:lineRule="auto"/>
        <w:rPr>
          <w:rFonts w:ascii="Arial" w:hAnsi="Arial" w:cs="Arial"/>
          <w:color w:val="1D1D1D"/>
          <w:sz w:val="22"/>
          <w:szCs w:val="22"/>
        </w:rPr>
      </w:pPr>
      <w:r w:rsidRPr="00442F05">
        <w:rPr>
          <w:rFonts w:ascii="Arial" w:hAnsi="Arial" w:cs="Arial"/>
          <w:color w:val="1D1D1D"/>
          <w:sz w:val="22"/>
          <w:szCs w:val="22"/>
        </w:rPr>
        <w:t>Sandwell Council should regularly assess the need for residential care in West Bromwich. This should include the number of available places, occupancy levels, waiting times and the types of care required. Future population changes should also be considered.</w:t>
      </w:r>
    </w:p>
    <w:p w14:paraId="0EC094C9" w14:textId="6FC5BBC1" w:rsidR="007D7CB7" w:rsidRPr="00442F05" w:rsidRDefault="57F5A9E2" w:rsidP="004B6E08">
      <w:pPr>
        <w:pStyle w:val="df"/>
        <w:pBdr>
          <w:top w:val="single" w:sz="2" w:space="0" w:color="F0F3F5"/>
          <w:left w:val="single" w:sz="2" w:space="0" w:color="F0F3F5"/>
          <w:bottom w:val="single" w:sz="2" w:space="0" w:color="F0F3F5"/>
          <w:right w:val="single" w:sz="2" w:space="0" w:color="F0F3F5"/>
        </w:pBdr>
        <w:shd w:val="clear" w:color="auto" w:fill="FFFFFF" w:themeFill="background1"/>
        <w:spacing w:line="360" w:lineRule="auto"/>
        <w:rPr>
          <w:rFonts w:ascii="Arial" w:hAnsi="Arial" w:cs="Arial"/>
          <w:sz w:val="22"/>
          <w:szCs w:val="22"/>
        </w:rPr>
      </w:pPr>
      <w:r w:rsidRPr="00442F05">
        <w:rPr>
          <w:rFonts w:ascii="Arial" w:hAnsi="Arial" w:cs="Arial"/>
          <w:b/>
          <w:bCs/>
          <w:color w:val="1D1D1D"/>
          <w:sz w:val="22"/>
          <w:szCs w:val="22"/>
        </w:rPr>
        <w:t>Increase Care Provision</w:t>
      </w:r>
    </w:p>
    <w:p w14:paraId="78C8A39A" w14:textId="23641B05" w:rsidR="007D7CB7" w:rsidRPr="00442F05" w:rsidRDefault="57F5A9E2" w:rsidP="004B6E08">
      <w:pPr>
        <w:pStyle w:val="df"/>
        <w:pBdr>
          <w:top w:val="single" w:sz="2" w:space="0" w:color="F0F3F5"/>
          <w:left w:val="single" w:sz="2" w:space="0" w:color="F0F3F5"/>
          <w:bottom w:val="single" w:sz="2" w:space="0" w:color="F0F3F5"/>
          <w:right w:val="single" w:sz="2" w:space="0" w:color="F0F3F5"/>
        </w:pBdr>
        <w:shd w:val="clear" w:color="auto" w:fill="FFFFFF" w:themeFill="background1"/>
        <w:spacing w:line="360" w:lineRule="auto"/>
        <w:rPr>
          <w:rFonts w:ascii="Arial" w:hAnsi="Arial" w:cs="Arial"/>
          <w:sz w:val="22"/>
          <w:szCs w:val="22"/>
        </w:rPr>
      </w:pPr>
      <w:r w:rsidRPr="00442F05">
        <w:rPr>
          <w:rFonts w:ascii="Arial" w:hAnsi="Arial" w:cs="Arial"/>
          <w:color w:val="1D1D1D"/>
          <w:sz w:val="22"/>
          <w:szCs w:val="22"/>
        </w:rPr>
        <w:t xml:space="preserve">The council should work with care providers, housing organisations, the NHS and voluntary organisations to increase suitable residential and supported-living services. </w:t>
      </w:r>
    </w:p>
    <w:p w14:paraId="78F975AB" w14:textId="4FB21C8F" w:rsidR="007D7CB7" w:rsidRPr="00442F05" w:rsidRDefault="57F5A9E2" w:rsidP="004B6E08">
      <w:pPr>
        <w:pStyle w:val="df"/>
        <w:pBdr>
          <w:top w:val="single" w:sz="2" w:space="0" w:color="F0F3F5"/>
          <w:left w:val="single" w:sz="2" w:space="0" w:color="F0F3F5"/>
          <w:bottom w:val="single" w:sz="2" w:space="0" w:color="F0F3F5"/>
          <w:right w:val="single" w:sz="2" w:space="0" w:color="F0F3F5"/>
        </w:pBdr>
        <w:shd w:val="clear" w:color="auto" w:fill="FFFFFF" w:themeFill="background1"/>
        <w:spacing w:line="360" w:lineRule="auto"/>
        <w:rPr>
          <w:rFonts w:ascii="Arial" w:hAnsi="Arial" w:cs="Arial"/>
          <w:sz w:val="22"/>
          <w:szCs w:val="22"/>
        </w:rPr>
      </w:pPr>
      <w:r w:rsidRPr="00442F05">
        <w:rPr>
          <w:rFonts w:ascii="Arial" w:hAnsi="Arial" w:cs="Arial"/>
          <w:b/>
          <w:bCs/>
          <w:color w:val="1D1D1D"/>
          <w:sz w:val="22"/>
          <w:szCs w:val="22"/>
        </w:rPr>
        <w:t>Improve the Care Workforce</w:t>
      </w:r>
    </w:p>
    <w:p w14:paraId="1DDE85F0" w14:textId="04507356" w:rsidR="007D7CB7" w:rsidRPr="00442F05" w:rsidRDefault="57F5A9E2" w:rsidP="004B6E08">
      <w:pPr>
        <w:pStyle w:val="df"/>
        <w:pBdr>
          <w:top w:val="single" w:sz="2" w:space="0" w:color="F0F3F5"/>
          <w:left w:val="single" w:sz="2" w:space="0" w:color="F0F3F5"/>
          <w:bottom w:val="single" w:sz="2" w:space="0" w:color="F0F3F5"/>
          <w:right w:val="single" w:sz="2" w:space="0" w:color="F0F3F5"/>
        </w:pBdr>
        <w:shd w:val="clear" w:color="auto" w:fill="FFFFFF" w:themeFill="background1"/>
        <w:spacing w:line="360" w:lineRule="auto"/>
        <w:rPr>
          <w:rFonts w:ascii="Arial" w:hAnsi="Arial" w:cs="Arial"/>
          <w:color w:val="1D1D1D"/>
          <w:sz w:val="22"/>
          <w:szCs w:val="22"/>
        </w:rPr>
      </w:pPr>
      <w:r w:rsidRPr="00442F05">
        <w:rPr>
          <w:rFonts w:ascii="Arial" w:hAnsi="Arial" w:cs="Arial"/>
          <w:color w:val="1D1D1D"/>
          <w:sz w:val="22"/>
          <w:szCs w:val="22"/>
        </w:rPr>
        <w:t>A well-trained workforce is essential for safe and effective care. Skills for Care (2025) reported around 111,000 vacant adult social care posts in England in 2024/25. Local services should therefore support recruitment, training, career development and staff retention.</w:t>
      </w:r>
    </w:p>
    <w:p w14:paraId="7CC4F9A3" w14:textId="77777777" w:rsidR="007D7CB7" w:rsidRPr="00442F05" w:rsidRDefault="007D7CB7"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306CB891" w14:textId="74C5112C" w:rsidR="007D7CB7" w:rsidRPr="00442F05" w:rsidRDefault="57F5A9E2" w:rsidP="004B6E08">
      <w:pPr>
        <w:pStyle w:val="df"/>
        <w:pBdr>
          <w:top w:val="single" w:sz="2" w:space="0" w:color="F0F3F5"/>
          <w:left w:val="single" w:sz="2" w:space="0" w:color="F0F3F5"/>
          <w:bottom w:val="single" w:sz="2" w:space="0" w:color="F0F3F5"/>
          <w:right w:val="single" w:sz="2" w:space="0" w:color="F0F3F5"/>
        </w:pBdr>
        <w:shd w:val="clear" w:color="auto" w:fill="FFFFFF" w:themeFill="background1"/>
        <w:spacing w:line="360" w:lineRule="auto"/>
        <w:rPr>
          <w:rFonts w:ascii="Arial" w:hAnsi="Arial" w:cs="Arial"/>
          <w:b/>
          <w:bCs/>
          <w:color w:val="1D1D1D"/>
          <w:sz w:val="22"/>
          <w:szCs w:val="22"/>
        </w:rPr>
      </w:pPr>
      <w:r w:rsidRPr="00442F05">
        <w:rPr>
          <w:rFonts w:ascii="Arial" w:hAnsi="Arial" w:cs="Arial"/>
          <w:b/>
          <w:bCs/>
          <w:color w:val="1D1D1D"/>
          <w:sz w:val="22"/>
          <w:szCs w:val="22"/>
        </w:rPr>
        <w:t>Invest in Prevention</w:t>
      </w:r>
    </w:p>
    <w:p w14:paraId="255C297D" w14:textId="2717D5B7" w:rsidR="007D7CB7" w:rsidRPr="00442F05" w:rsidRDefault="57F5A9E2" w:rsidP="004B6E08">
      <w:pPr>
        <w:pStyle w:val="df"/>
        <w:pBdr>
          <w:top w:val="single" w:sz="2" w:space="0" w:color="F0F3F5"/>
          <w:left w:val="single" w:sz="2" w:space="0" w:color="F0F3F5"/>
          <w:bottom w:val="single" w:sz="2" w:space="0" w:color="F0F3F5"/>
          <w:right w:val="single" w:sz="2" w:space="0" w:color="F0F3F5"/>
        </w:pBdr>
        <w:shd w:val="clear" w:color="auto" w:fill="FFFFFF" w:themeFill="background1"/>
        <w:spacing w:line="360" w:lineRule="auto"/>
        <w:rPr>
          <w:rFonts w:ascii="Arial" w:hAnsi="Arial" w:cs="Arial"/>
          <w:color w:val="1D1D1D"/>
          <w:sz w:val="22"/>
          <w:szCs w:val="22"/>
        </w:rPr>
      </w:pPr>
      <w:r w:rsidRPr="00442F05">
        <w:rPr>
          <w:rFonts w:ascii="Arial" w:hAnsi="Arial" w:cs="Arial"/>
          <w:color w:val="1D1D1D"/>
          <w:sz w:val="22"/>
          <w:szCs w:val="22"/>
        </w:rPr>
        <w:t>More support should be provided for falls prevention, rehabilitation, reablement, community services and unpaid carers. Early intervention can help people remain independent and may delay the need for residential care.</w:t>
      </w:r>
    </w:p>
    <w:p w14:paraId="16EDD8DF" w14:textId="5347ECC0" w:rsidR="007D7CB7" w:rsidRPr="00442F05" w:rsidRDefault="57F5A9E2" w:rsidP="004B6E08">
      <w:pPr>
        <w:pStyle w:val="df"/>
        <w:pBdr>
          <w:top w:val="single" w:sz="2" w:space="0" w:color="F0F3F5"/>
          <w:left w:val="single" w:sz="2" w:space="0" w:color="F0F3F5"/>
          <w:bottom w:val="single" w:sz="2" w:space="0" w:color="F0F3F5"/>
          <w:right w:val="single" w:sz="2" w:space="0" w:color="F0F3F5"/>
        </w:pBdr>
        <w:shd w:val="clear" w:color="auto" w:fill="FFFFFF" w:themeFill="background1"/>
        <w:spacing w:line="360" w:lineRule="auto"/>
        <w:rPr>
          <w:rFonts w:ascii="Arial" w:hAnsi="Arial" w:cs="Arial"/>
          <w:b/>
          <w:bCs/>
          <w:color w:val="1D1D1D"/>
          <w:sz w:val="22"/>
          <w:szCs w:val="22"/>
        </w:rPr>
      </w:pPr>
      <w:r w:rsidRPr="00442F05">
        <w:rPr>
          <w:rFonts w:ascii="Arial" w:hAnsi="Arial" w:cs="Arial"/>
          <w:b/>
          <w:bCs/>
          <w:color w:val="1D1D1D"/>
          <w:sz w:val="22"/>
          <w:szCs w:val="22"/>
        </w:rPr>
        <w:t>Involve Residents and Carers</w:t>
      </w:r>
    </w:p>
    <w:p w14:paraId="3DA5A77F" w14:textId="77777777" w:rsidR="007D7CB7" w:rsidRPr="00442F05" w:rsidRDefault="007D7CB7"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r w:rsidRPr="00442F05">
        <w:rPr>
          <w:rFonts w:ascii="Arial" w:hAnsi="Arial" w:cs="Arial"/>
          <w:color w:val="1D1D1D"/>
          <w:sz w:val="22"/>
          <w:szCs w:val="22"/>
        </w:rPr>
        <w:t>People who use care services and their families should be involved in planning new services. Their experiences can help the council understand local needs and develop person-centred services.</w:t>
      </w:r>
    </w:p>
    <w:p w14:paraId="17178DBA" w14:textId="77777777" w:rsidR="007D7CB7" w:rsidRPr="00442F05" w:rsidRDefault="007D7CB7"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39ACF212" w14:textId="52F8E8A5" w:rsidR="007D7CB7" w:rsidRPr="00442F05" w:rsidRDefault="57F5A9E2" w:rsidP="004B6E08">
      <w:pPr>
        <w:pStyle w:val="df"/>
        <w:pBdr>
          <w:top w:val="single" w:sz="2" w:space="0" w:color="F0F3F5"/>
          <w:left w:val="single" w:sz="2" w:space="0" w:color="F0F3F5"/>
          <w:bottom w:val="single" w:sz="2" w:space="0" w:color="F0F3F5"/>
          <w:right w:val="single" w:sz="2" w:space="0" w:color="F0F3F5"/>
        </w:pBdr>
        <w:shd w:val="clear" w:color="auto" w:fill="FFFFFF" w:themeFill="background1"/>
        <w:spacing w:line="360" w:lineRule="auto"/>
        <w:rPr>
          <w:rFonts w:ascii="Arial" w:hAnsi="Arial" w:cs="Arial"/>
          <w:b/>
          <w:bCs/>
          <w:color w:val="1D1D1D"/>
          <w:sz w:val="22"/>
          <w:szCs w:val="22"/>
        </w:rPr>
      </w:pPr>
      <w:r w:rsidRPr="00442F05">
        <w:rPr>
          <w:rFonts w:ascii="Arial" w:hAnsi="Arial" w:cs="Arial"/>
          <w:b/>
          <w:bCs/>
          <w:color w:val="1D1D1D"/>
          <w:sz w:val="22"/>
          <w:szCs w:val="22"/>
        </w:rPr>
        <w:lastRenderedPageBreak/>
        <w:t>5. Care Act 2014 Principles</w:t>
      </w:r>
    </w:p>
    <w:p w14:paraId="42D2465C" w14:textId="1849E875" w:rsidR="007D7CB7" w:rsidRPr="00442F05" w:rsidRDefault="57F5A9E2" w:rsidP="004B6E08">
      <w:pPr>
        <w:pStyle w:val="df"/>
        <w:pBdr>
          <w:top w:val="single" w:sz="2" w:space="0" w:color="F0F3F5"/>
          <w:left w:val="single" w:sz="2" w:space="0" w:color="F0F3F5"/>
          <w:bottom w:val="single" w:sz="2" w:space="0" w:color="F0F3F5"/>
          <w:right w:val="single" w:sz="2" w:space="0" w:color="F0F3F5"/>
        </w:pBdr>
        <w:shd w:val="clear" w:color="auto" w:fill="FFFFFF" w:themeFill="background1"/>
        <w:spacing w:line="360" w:lineRule="auto"/>
        <w:rPr>
          <w:rFonts w:ascii="Arial" w:hAnsi="Arial" w:cs="Arial"/>
          <w:color w:val="1D1D1D"/>
          <w:sz w:val="22"/>
          <w:szCs w:val="22"/>
        </w:rPr>
      </w:pPr>
      <w:r w:rsidRPr="00442F05">
        <w:rPr>
          <w:rFonts w:ascii="Arial" w:hAnsi="Arial" w:cs="Arial"/>
          <w:color w:val="1D1D1D"/>
          <w:sz w:val="22"/>
          <w:szCs w:val="22"/>
        </w:rPr>
        <w:t>The recommendations support the Care Act 2014 by:</w:t>
      </w:r>
    </w:p>
    <w:p w14:paraId="17E21768" w14:textId="77777777" w:rsidR="007D7CB7" w:rsidRPr="00442F05" w:rsidRDefault="007D7CB7"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r w:rsidRPr="00442F05">
        <w:rPr>
          <w:rFonts w:ascii="Arial" w:hAnsi="Arial" w:cs="Arial"/>
          <w:color w:val="1D1D1D"/>
          <w:sz w:val="22"/>
          <w:szCs w:val="22"/>
        </w:rPr>
        <w:t>* Promoting wellbeing: providing safe, dignified and person-centred care.</w:t>
      </w:r>
    </w:p>
    <w:p w14:paraId="57A8BE68" w14:textId="77777777" w:rsidR="007D7CB7" w:rsidRPr="00442F05" w:rsidRDefault="007D7CB7"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r w:rsidRPr="00442F05">
        <w:rPr>
          <w:rFonts w:ascii="Arial" w:hAnsi="Arial" w:cs="Arial"/>
          <w:color w:val="1D1D1D"/>
          <w:sz w:val="22"/>
          <w:szCs w:val="22"/>
        </w:rPr>
        <w:t>* Preventing increasing needs: providing early support, rehabilitation and reablement.</w:t>
      </w:r>
    </w:p>
    <w:p w14:paraId="7F9D7C83" w14:textId="77777777" w:rsidR="007D7CB7" w:rsidRPr="00442F05" w:rsidRDefault="007D7CB7"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r w:rsidRPr="00442F05">
        <w:rPr>
          <w:rFonts w:ascii="Arial" w:hAnsi="Arial" w:cs="Arial"/>
          <w:color w:val="1D1D1D"/>
          <w:sz w:val="22"/>
          <w:szCs w:val="22"/>
        </w:rPr>
        <w:t>* Meeting care needs: ensuring suitable residential services are available.</w:t>
      </w:r>
    </w:p>
    <w:p w14:paraId="57BE9A89" w14:textId="77777777" w:rsidR="007D7CB7" w:rsidRPr="00442F05" w:rsidRDefault="007D7CB7"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r w:rsidRPr="00442F05">
        <w:rPr>
          <w:rFonts w:ascii="Arial" w:hAnsi="Arial" w:cs="Arial"/>
          <w:color w:val="1D1D1D"/>
          <w:sz w:val="22"/>
          <w:szCs w:val="22"/>
        </w:rPr>
        <w:t>* Supporting independence: helping residents make choices and maintain daily skills.</w:t>
      </w:r>
    </w:p>
    <w:p w14:paraId="463B57CE" w14:textId="77777777" w:rsidR="007D7CB7" w:rsidRPr="00442F05" w:rsidRDefault="007D7CB7"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r w:rsidRPr="00442F05">
        <w:rPr>
          <w:rFonts w:ascii="Arial" w:hAnsi="Arial" w:cs="Arial"/>
          <w:color w:val="1D1D1D"/>
          <w:sz w:val="22"/>
          <w:szCs w:val="22"/>
        </w:rPr>
        <w:t>* Reducing isolation: helping people remain close to family, friends and their local community.</w:t>
      </w:r>
    </w:p>
    <w:p w14:paraId="6DA45219" w14:textId="77777777" w:rsidR="007D7CB7" w:rsidRPr="00442F05" w:rsidRDefault="007D7CB7"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00ED4915" w14:textId="1DB518EE" w:rsidR="007D7CB7" w:rsidRPr="00442F05" w:rsidRDefault="57F5A9E2" w:rsidP="004B6E08">
      <w:pPr>
        <w:pStyle w:val="df"/>
        <w:pBdr>
          <w:top w:val="single" w:sz="2" w:space="0" w:color="F0F3F5"/>
          <w:left w:val="single" w:sz="2" w:space="0" w:color="F0F3F5"/>
          <w:bottom w:val="single" w:sz="2" w:space="0" w:color="F0F3F5"/>
          <w:right w:val="single" w:sz="2" w:space="0" w:color="F0F3F5"/>
        </w:pBdr>
        <w:shd w:val="clear" w:color="auto" w:fill="FFFFFF" w:themeFill="background1"/>
        <w:spacing w:line="360" w:lineRule="auto"/>
        <w:rPr>
          <w:rFonts w:ascii="Arial" w:hAnsi="Arial" w:cs="Arial"/>
          <w:b/>
          <w:bCs/>
          <w:color w:val="1D1D1D"/>
          <w:sz w:val="22"/>
          <w:szCs w:val="22"/>
        </w:rPr>
      </w:pPr>
      <w:r w:rsidRPr="00442F05">
        <w:rPr>
          <w:rFonts w:ascii="Arial" w:hAnsi="Arial" w:cs="Arial"/>
          <w:b/>
          <w:bCs/>
          <w:color w:val="1D1D1D"/>
          <w:sz w:val="22"/>
          <w:szCs w:val="22"/>
        </w:rPr>
        <w:t>6. Conclusion</w:t>
      </w:r>
    </w:p>
    <w:p w14:paraId="285BF915" w14:textId="34F4EAD5" w:rsidR="007D7CB7" w:rsidRPr="00442F05" w:rsidRDefault="57F5A9E2" w:rsidP="004B6E08">
      <w:pPr>
        <w:pStyle w:val="df"/>
        <w:pBdr>
          <w:top w:val="single" w:sz="2" w:space="0" w:color="F0F3F5"/>
          <w:left w:val="single" w:sz="2" w:space="0" w:color="F0F3F5"/>
          <w:bottom w:val="single" w:sz="2" w:space="0" w:color="F0F3F5"/>
          <w:right w:val="single" w:sz="2" w:space="0" w:color="F0F3F5"/>
        </w:pBdr>
        <w:shd w:val="clear" w:color="auto" w:fill="FFFFFF" w:themeFill="background1"/>
        <w:spacing w:line="360" w:lineRule="auto"/>
        <w:rPr>
          <w:rFonts w:ascii="Arial" w:hAnsi="Arial" w:cs="Arial"/>
          <w:color w:val="1D1D1D"/>
          <w:sz w:val="22"/>
          <w:szCs w:val="22"/>
        </w:rPr>
      </w:pPr>
      <w:r w:rsidRPr="00442F05">
        <w:rPr>
          <w:rFonts w:ascii="Arial" w:hAnsi="Arial" w:cs="Arial"/>
          <w:color w:val="1D1D1D"/>
          <w:sz w:val="22"/>
          <w:szCs w:val="22"/>
        </w:rPr>
        <w:t>The shortage of residential care services can affect individuals, families and the wider health and social care system. It may contribute to delays in receiving care, pressure on unpaid carers and increased social isolation.</w:t>
      </w:r>
    </w:p>
    <w:p w14:paraId="6B6F56D5" w14:textId="77777777" w:rsidR="007D7CB7" w:rsidRPr="00442F05" w:rsidRDefault="007D7CB7"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r w:rsidRPr="00442F05">
        <w:rPr>
          <w:rFonts w:ascii="Arial" w:hAnsi="Arial" w:cs="Arial"/>
          <w:color w:val="1D1D1D"/>
          <w:sz w:val="22"/>
          <w:szCs w:val="22"/>
        </w:rPr>
        <w:t>Sandwell Council should assess local demand, increase suitable care provision, support the care workforce and invest in prevention. Involving residents and carers in planning would also help ensure that services meet local needs. These actions would support the Care Act 2014 principles of wellbeing, prevention, independence and appropriate care and support.</w:t>
      </w:r>
    </w:p>
    <w:p w14:paraId="2963146A" w14:textId="77777777" w:rsidR="007D7CB7" w:rsidRPr="00442F05" w:rsidRDefault="007D7CB7"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3E2068A3" w14:textId="77777777" w:rsidR="00442F05" w:rsidRDefault="00442F05" w:rsidP="004B6E08">
      <w:pPr>
        <w:pStyle w:val="df"/>
        <w:pBdr>
          <w:top w:val="single" w:sz="2" w:space="0" w:color="F0F3F5"/>
          <w:left w:val="single" w:sz="2" w:space="0" w:color="F0F3F5"/>
          <w:bottom w:val="single" w:sz="2" w:space="0" w:color="F0F3F5"/>
          <w:right w:val="single" w:sz="2" w:space="0" w:color="F0F3F5"/>
        </w:pBdr>
        <w:shd w:val="clear" w:color="auto" w:fill="FFFFFF" w:themeFill="background1"/>
        <w:spacing w:line="360" w:lineRule="auto"/>
        <w:rPr>
          <w:rFonts w:ascii="Arial" w:hAnsi="Arial" w:cs="Arial"/>
          <w:b/>
          <w:bCs/>
          <w:color w:val="1D1D1D"/>
          <w:sz w:val="22"/>
          <w:szCs w:val="22"/>
        </w:rPr>
      </w:pPr>
    </w:p>
    <w:p w14:paraId="7B8F5016" w14:textId="77777777" w:rsidR="00EC456C" w:rsidRDefault="00EC456C" w:rsidP="004B6E08">
      <w:pPr>
        <w:pStyle w:val="df"/>
        <w:pBdr>
          <w:top w:val="single" w:sz="2" w:space="0" w:color="F0F3F5"/>
          <w:left w:val="single" w:sz="2" w:space="0" w:color="F0F3F5"/>
          <w:bottom w:val="single" w:sz="2" w:space="0" w:color="F0F3F5"/>
          <w:right w:val="single" w:sz="2" w:space="0" w:color="F0F3F5"/>
        </w:pBdr>
        <w:shd w:val="clear" w:color="auto" w:fill="FFFFFF" w:themeFill="background1"/>
        <w:spacing w:line="360" w:lineRule="auto"/>
        <w:rPr>
          <w:rFonts w:ascii="Arial" w:hAnsi="Arial" w:cs="Arial"/>
          <w:b/>
          <w:bCs/>
          <w:color w:val="1D1D1D"/>
          <w:sz w:val="22"/>
          <w:szCs w:val="22"/>
        </w:rPr>
      </w:pPr>
    </w:p>
    <w:p w14:paraId="5ACCD3B5" w14:textId="77777777" w:rsidR="00EC456C" w:rsidRDefault="00EC456C" w:rsidP="004B6E08">
      <w:pPr>
        <w:pStyle w:val="df"/>
        <w:pBdr>
          <w:top w:val="single" w:sz="2" w:space="0" w:color="F0F3F5"/>
          <w:left w:val="single" w:sz="2" w:space="0" w:color="F0F3F5"/>
          <w:bottom w:val="single" w:sz="2" w:space="0" w:color="F0F3F5"/>
          <w:right w:val="single" w:sz="2" w:space="0" w:color="F0F3F5"/>
        </w:pBdr>
        <w:shd w:val="clear" w:color="auto" w:fill="FFFFFF" w:themeFill="background1"/>
        <w:spacing w:line="360" w:lineRule="auto"/>
        <w:rPr>
          <w:rFonts w:ascii="Arial" w:hAnsi="Arial" w:cs="Arial"/>
          <w:b/>
          <w:bCs/>
          <w:color w:val="1D1D1D"/>
          <w:sz w:val="22"/>
          <w:szCs w:val="22"/>
        </w:rPr>
      </w:pPr>
    </w:p>
    <w:p w14:paraId="56D8DD28" w14:textId="77777777" w:rsidR="00EC456C" w:rsidRDefault="00EC456C" w:rsidP="004B6E08">
      <w:pPr>
        <w:pStyle w:val="df"/>
        <w:pBdr>
          <w:top w:val="single" w:sz="2" w:space="0" w:color="F0F3F5"/>
          <w:left w:val="single" w:sz="2" w:space="0" w:color="F0F3F5"/>
          <w:bottom w:val="single" w:sz="2" w:space="0" w:color="F0F3F5"/>
          <w:right w:val="single" w:sz="2" w:space="0" w:color="F0F3F5"/>
        </w:pBdr>
        <w:shd w:val="clear" w:color="auto" w:fill="FFFFFF" w:themeFill="background1"/>
        <w:spacing w:line="360" w:lineRule="auto"/>
        <w:rPr>
          <w:rFonts w:ascii="Arial" w:hAnsi="Arial" w:cs="Arial"/>
          <w:b/>
          <w:bCs/>
          <w:color w:val="1D1D1D"/>
          <w:sz w:val="22"/>
          <w:szCs w:val="22"/>
        </w:rPr>
      </w:pPr>
    </w:p>
    <w:p w14:paraId="5912FF72" w14:textId="7EE29E1E" w:rsidR="007D7CB7" w:rsidRPr="00442F05" w:rsidRDefault="1E35546E" w:rsidP="004B6E08">
      <w:pPr>
        <w:pStyle w:val="df"/>
        <w:pBdr>
          <w:top w:val="single" w:sz="2" w:space="0" w:color="F0F3F5"/>
          <w:left w:val="single" w:sz="2" w:space="0" w:color="F0F3F5"/>
          <w:bottom w:val="single" w:sz="2" w:space="0" w:color="F0F3F5"/>
          <w:right w:val="single" w:sz="2" w:space="0" w:color="F0F3F5"/>
        </w:pBdr>
        <w:shd w:val="clear" w:color="auto" w:fill="FFFFFF" w:themeFill="background1"/>
        <w:spacing w:line="360" w:lineRule="auto"/>
        <w:rPr>
          <w:rFonts w:ascii="Arial" w:hAnsi="Arial" w:cs="Arial"/>
          <w:b/>
          <w:bCs/>
          <w:color w:val="FF0000"/>
          <w:sz w:val="22"/>
          <w:szCs w:val="22"/>
        </w:rPr>
      </w:pPr>
      <w:r w:rsidRPr="00442F05">
        <w:rPr>
          <w:rFonts w:ascii="Arial" w:hAnsi="Arial" w:cs="Arial"/>
          <w:b/>
          <w:bCs/>
          <w:color w:val="1D1D1D"/>
          <w:sz w:val="22"/>
          <w:szCs w:val="22"/>
        </w:rPr>
        <w:lastRenderedPageBreak/>
        <w:t>References</w:t>
      </w:r>
    </w:p>
    <w:p w14:paraId="48DEA98E" w14:textId="77777777" w:rsidR="007D7CB7" w:rsidRPr="00442F05" w:rsidRDefault="007D7CB7"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211B9111" w14:textId="77777777" w:rsidR="007D7CB7" w:rsidRPr="00442F05" w:rsidRDefault="007D7CB7"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r w:rsidRPr="00442F05">
        <w:rPr>
          <w:rFonts w:ascii="Arial" w:hAnsi="Arial" w:cs="Arial"/>
          <w:color w:val="1D1D1D"/>
          <w:sz w:val="22"/>
          <w:szCs w:val="22"/>
        </w:rPr>
        <w:t>Care Act 2014 (2014) Care Act 2014. London: The Stationery Office.</w:t>
      </w:r>
    </w:p>
    <w:p w14:paraId="399902E8" w14:textId="77777777" w:rsidR="007D7CB7" w:rsidRPr="00442F05" w:rsidRDefault="007D7CB7"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3E114DEE" w14:textId="77777777" w:rsidR="007D7CB7" w:rsidRPr="00442F05" w:rsidRDefault="007D7CB7"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r w:rsidRPr="00442F05">
        <w:rPr>
          <w:rFonts w:ascii="Arial" w:hAnsi="Arial" w:cs="Arial"/>
          <w:color w:val="1D1D1D"/>
          <w:sz w:val="22"/>
          <w:szCs w:val="22"/>
        </w:rPr>
        <w:t>Care Quality Commission (CQC) (2025) The state of health care and adult social care in England 2024/25. London: Care Quality Commission.</w:t>
      </w:r>
    </w:p>
    <w:p w14:paraId="38E78086" w14:textId="77777777" w:rsidR="007D7CB7" w:rsidRPr="00442F05" w:rsidRDefault="007D7CB7"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243A5F16" w14:textId="77777777" w:rsidR="007D7CB7" w:rsidRPr="00442F05" w:rsidRDefault="007D7CB7"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r w:rsidRPr="00442F05">
        <w:rPr>
          <w:rFonts w:ascii="Arial" w:hAnsi="Arial" w:cs="Arial"/>
          <w:color w:val="1D1D1D"/>
          <w:sz w:val="22"/>
          <w:szCs w:val="22"/>
        </w:rPr>
        <w:t>Department of Health and Social Care (2025) Care and support statutory guidance. London: Department of Health and Social Care.</w:t>
      </w:r>
    </w:p>
    <w:p w14:paraId="6E5E90A0" w14:textId="77777777" w:rsidR="007D7CB7" w:rsidRPr="00442F05" w:rsidRDefault="007D7CB7"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5DDFC280" w14:textId="6E5C310A" w:rsidR="007D7CB7" w:rsidRPr="00442F05" w:rsidRDefault="007D7CB7"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r w:rsidRPr="00442F05">
        <w:rPr>
          <w:rFonts w:ascii="Arial" w:hAnsi="Arial" w:cs="Arial"/>
          <w:color w:val="1D1D1D"/>
          <w:sz w:val="22"/>
          <w:szCs w:val="22"/>
        </w:rPr>
        <w:t>Skills for Care (2025) The state of the adult social care sector and workforce in England, 2025. Leeds: Skills for Care.</w:t>
      </w:r>
    </w:p>
    <w:p w14:paraId="5770D263"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34179FE0"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553337A1"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31FF8E7E"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076BCDEE"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08D50C9C"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00538774"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11701F13"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598B35DB"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583E223B" w14:textId="258E4195" w:rsidR="00354624" w:rsidRDefault="002E508F"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ind w:left="0"/>
        <w:rPr>
          <w:rFonts w:ascii="Arial" w:hAnsi="Arial" w:cs="Arial"/>
          <w:b/>
          <w:bCs/>
          <w:color w:val="1D1D1D"/>
          <w:sz w:val="32"/>
          <w:szCs w:val="32"/>
        </w:rPr>
      </w:pPr>
      <w:r w:rsidRPr="006A75BE">
        <w:rPr>
          <w:rFonts w:ascii="Arial" w:hAnsi="Arial" w:cs="Arial"/>
          <w:b/>
          <w:bCs/>
          <w:color w:val="1D1D1D"/>
          <w:sz w:val="32"/>
          <w:szCs w:val="32"/>
        </w:rPr>
        <w:lastRenderedPageBreak/>
        <w:t xml:space="preserve">Task </w:t>
      </w:r>
      <w:r w:rsidR="005B32E9" w:rsidRPr="006A75BE">
        <w:rPr>
          <w:rFonts w:ascii="Arial" w:hAnsi="Arial" w:cs="Arial"/>
          <w:b/>
          <w:bCs/>
          <w:color w:val="1D1D1D"/>
          <w:sz w:val="32"/>
          <w:szCs w:val="32"/>
        </w:rPr>
        <w:t xml:space="preserve">2: </w:t>
      </w:r>
      <w:r w:rsidR="003774A1">
        <w:rPr>
          <w:rFonts w:ascii="Arial" w:hAnsi="Arial" w:cs="Arial"/>
          <w:b/>
          <w:bCs/>
          <w:color w:val="1D1D1D"/>
          <w:sz w:val="32"/>
          <w:szCs w:val="32"/>
        </w:rPr>
        <w:t>E</w:t>
      </w:r>
      <w:r w:rsidR="00E76B09">
        <w:rPr>
          <w:rFonts w:ascii="Arial" w:hAnsi="Arial" w:cs="Arial"/>
          <w:b/>
          <w:bCs/>
          <w:color w:val="1D1D1D"/>
          <w:sz w:val="32"/>
          <w:szCs w:val="32"/>
        </w:rPr>
        <w:t xml:space="preserve">ssay </w:t>
      </w:r>
    </w:p>
    <w:p w14:paraId="4BA3577C" w14:textId="099FF31C" w:rsidR="00847CED" w:rsidRPr="006A75BE" w:rsidRDefault="002E508F"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ind w:left="0"/>
        <w:rPr>
          <w:rFonts w:ascii="Arial" w:hAnsi="Arial" w:cs="Arial"/>
          <w:b/>
          <w:bCs/>
          <w:color w:val="1D1D1D"/>
          <w:sz w:val="32"/>
          <w:szCs w:val="32"/>
        </w:rPr>
      </w:pPr>
      <w:r w:rsidRPr="006A75BE">
        <w:rPr>
          <w:rFonts w:ascii="Arial" w:hAnsi="Arial" w:cs="Arial"/>
          <w:b/>
          <w:bCs/>
          <w:color w:val="1D1D1D"/>
          <w:sz w:val="32"/>
          <w:szCs w:val="32"/>
        </w:rPr>
        <w:t xml:space="preserve"> </w:t>
      </w:r>
      <w:r w:rsidR="00847CED" w:rsidRPr="006A75BE">
        <w:rPr>
          <w:rFonts w:ascii="Arial" w:hAnsi="Arial" w:cs="Arial"/>
          <w:b/>
          <w:bCs/>
          <w:color w:val="1D1D1D"/>
          <w:sz w:val="32"/>
          <w:szCs w:val="32"/>
        </w:rPr>
        <w:t>Community Antenatal Midwifery Services</w:t>
      </w:r>
    </w:p>
    <w:p w14:paraId="54601965"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05BB205F" w14:textId="77777777" w:rsidR="00847CED" w:rsidRPr="006A75BE"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b/>
          <w:bCs/>
          <w:color w:val="1D1D1D"/>
        </w:rPr>
      </w:pPr>
      <w:r w:rsidRPr="006A75BE">
        <w:rPr>
          <w:rFonts w:ascii="Arial" w:hAnsi="Arial" w:cs="Arial"/>
          <w:b/>
          <w:bCs/>
          <w:color w:val="1D1D1D"/>
        </w:rPr>
        <w:t>Introduction</w:t>
      </w:r>
    </w:p>
    <w:p w14:paraId="76D58678"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78949F01"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r w:rsidRPr="00442F05">
        <w:rPr>
          <w:rFonts w:ascii="Arial" w:hAnsi="Arial" w:cs="Arial"/>
          <w:color w:val="1D1D1D"/>
          <w:sz w:val="22"/>
          <w:szCs w:val="22"/>
        </w:rPr>
        <w:t>Community antenatal midwifery services provide care, advice and support to women throughout pregnancy. The main aim is to protect the health and wellbeing of the mother and unborn baby. Community midwives provide care in community clinics, GP practices and maternity services. Antenatal care includes health checks, screening, health education, emotional support and referrals when specialist care is needed. NICE (2021) recommends that women have early access to antenatal care and that care should be personalised according to individual needs. The Care Act 2014 is also relevant because it promotes wellbeing, prevention and partnership working, although it mainly applies to adult social care rather than maternity services (Care Act 2014).</w:t>
      </w:r>
    </w:p>
    <w:p w14:paraId="78A4DB7A"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6784C9BC" w14:textId="77777777" w:rsidR="00847CED" w:rsidRPr="00865657"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b/>
          <w:bCs/>
          <w:color w:val="1D1D1D"/>
          <w:sz w:val="22"/>
          <w:szCs w:val="22"/>
        </w:rPr>
      </w:pPr>
      <w:r w:rsidRPr="00865657">
        <w:rPr>
          <w:rFonts w:ascii="Arial" w:hAnsi="Arial" w:cs="Arial"/>
          <w:b/>
          <w:bCs/>
          <w:color w:val="1D1D1D"/>
          <w:sz w:val="22"/>
          <w:szCs w:val="22"/>
        </w:rPr>
        <w:t>Historical Context and Current Function</w:t>
      </w:r>
    </w:p>
    <w:p w14:paraId="6C3C1938"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58A07712"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r w:rsidRPr="00442F05">
        <w:rPr>
          <w:rFonts w:ascii="Arial" w:hAnsi="Arial" w:cs="Arial"/>
          <w:color w:val="1D1D1D"/>
          <w:sz w:val="22"/>
          <w:szCs w:val="22"/>
        </w:rPr>
        <w:t>Midwifery has traditionally been an important community service. In the past, experienced women provided support during pregnancy and childbirth. The Midwives Act 1902 was an important development because it introduced formal regulation and training for midwives in England and Wales (Royal College of Midwives, 2022). The development of the NHS in 1948 further improved access to maternity healthcare.</w:t>
      </w:r>
    </w:p>
    <w:p w14:paraId="1F04E5F3"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19F67126"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r w:rsidRPr="00442F05">
        <w:rPr>
          <w:rFonts w:ascii="Arial" w:hAnsi="Arial" w:cs="Arial"/>
          <w:color w:val="1D1D1D"/>
          <w:sz w:val="22"/>
          <w:szCs w:val="22"/>
        </w:rPr>
        <w:lastRenderedPageBreak/>
        <w:t>Today, community midwives provide regular antenatal appointments to monitor the health of mothers and babies. NICE (2021) recommends 10 routine appointments for women having their first baby and 7 appointments for women who have previously given birth. During appointments, midwives may check blood pressure and urine, arrange blood tests and screening, monitor the baby’s development and provide advice about healthy eating, exercise, vitamins, smoking and alcohol. They also discuss birth, breastfeeding and emotional wellbeing. If problems are identified, women may be referred to GPs, obstetricians, mental health professionals or other services. Midwives therefore work as part of a wider multidisciplinary team (NMC, 2019).</w:t>
      </w:r>
    </w:p>
    <w:p w14:paraId="1E5F786D"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56E63289" w14:textId="77777777" w:rsidR="00E763A8" w:rsidRDefault="00E763A8"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b/>
          <w:bCs/>
          <w:color w:val="1D1D1D"/>
          <w:sz w:val="22"/>
          <w:szCs w:val="22"/>
        </w:rPr>
      </w:pPr>
    </w:p>
    <w:p w14:paraId="6A0086EC" w14:textId="77777777" w:rsidR="00E763A8" w:rsidRDefault="00E763A8"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b/>
          <w:bCs/>
          <w:color w:val="1D1D1D"/>
          <w:sz w:val="22"/>
          <w:szCs w:val="22"/>
        </w:rPr>
      </w:pPr>
    </w:p>
    <w:p w14:paraId="4F9BBB39" w14:textId="582DA42F" w:rsidR="00847CED" w:rsidRPr="00865657"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b/>
          <w:bCs/>
          <w:color w:val="1D1D1D"/>
          <w:sz w:val="22"/>
          <w:szCs w:val="22"/>
        </w:rPr>
      </w:pPr>
      <w:r w:rsidRPr="00865657">
        <w:rPr>
          <w:rFonts w:ascii="Arial" w:hAnsi="Arial" w:cs="Arial"/>
          <w:b/>
          <w:bCs/>
          <w:color w:val="1D1D1D"/>
          <w:sz w:val="22"/>
          <w:szCs w:val="22"/>
        </w:rPr>
        <w:t>Critical Evaluation and Significance for Service Users</w:t>
      </w:r>
    </w:p>
    <w:p w14:paraId="246A5A71" w14:textId="77777777" w:rsidR="00847CED" w:rsidRPr="00865657"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b/>
          <w:bCs/>
          <w:color w:val="1D1D1D"/>
          <w:sz w:val="22"/>
          <w:szCs w:val="22"/>
        </w:rPr>
      </w:pPr>
    </w:p>
    <w:p w14:paraId="1F1C67A3"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r w:rsidRPr="00442F05">
        <w:rPr>
          <w:rFonts w:ascii="Arial" w:hAnsi="Arial" w:cs="Arial"/>
          <w:color w:val="1D1D1D"/>
          <w:sz w:val="22"/>
          <w:szCs w:val="22"/>
        </w:rPr>
        <w:t>Community antenatal midwifery is important because it supports prevention and early intervention. Regular appointments can identify health problems at an early stage and allow appropriate treatment or referral. This can reduce risks to both mother and baby. Midwives also provide emotional support and information, helping women make informed decisions about their pregnancy and care.</w:t>
      </w:r>
    </w:p>
    <w:p w14:paraId="1FC08FBD"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39570FFD"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r w:rsidRPr="00442F05">
        <w:rPr>
          <w:rFonts w:ascii="Arial" w:hAnsi="Arial" w:cs="Arial"/>
          <w:color w:val="1D1D1D"/>
          <w:sz w:val="22"/>
          <w:szCs w:val="22"/>
        </w:rPr>
        <w:t xml:space="preserve">The Care Act 2014 supports the importance of wellbeing. Section 1 identifies wellbeing, including physical and mental health, emotional wellbeing, dignity and control over decisions, as important principles (Care Act 2014, s.1). These principles can be reflected in antenatal care because midwives should provide respectful, individualised and person-centred support. Section 2 focuses on preventing or delaying care and support needs, which relates to the early identification of physical, </w:t>
      </w:r>
      <w:r w:rsidRPr="00442F05">
        <w:rPr>
          <w:rFonts w:ascii="Arial" w:hAnsi="Arial" w:cs="Arial"/>
          <w:color w:val="1D1D1D"/>
          <w:sz w:val="22"/>
          <w:szCs w:val="22"/>
        </w:rPr>
        <w:lastRenderedPageBreak/>
        <w:t>emotional and social difficulties (Care Act 2014, s.2). Section 3 also promotes cooperation between health and care services (Care Act 2014, s.3).</w:t>
      </w:r>
    </w:p>
    <w:p w14:paraId="5C0D3DF1"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030E2903"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r w:rsidRPr="00442F05">
        <w:rPr>
          <w:rFonts w:ascii="Arial" w:hAnsi="Arial" w:cs="Arial"/>
          <w:color w:val="1D1D1D"/>
          <w:sz w:val="22"/>
          <w:szCs w:val="22"/>
        </w:rPr>
        <w:t>However, there are limitations. Some women may experience difficulties accessing antenatal services because of language barriers, transport, poverty or social circumstances. NICE (2021) highlights the importance of adapting antenatal care to individual needs. Staffing pressures and differences in local services can also affect continuity and accessibility.</w:t>
      </w:r>
    </w:p>
    <w:p w14:paraId="5147FF20"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521360D1"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r w:rsidRPr="00442F05">
        <w:rPr>
          <w:rFonts w:ascii="Arial" w:hAnsi="Arial" w:cs="Arial"/>
          <w:color w:val="1D1D1D"/>
          <w:sz w:val="22"/>
          <w:szCs w:val="22"/>
        </w:rPr>
        <w:t>Overall, the strengths of community antenatal midwifery include early intervention, health education, monitoring, emotional support and personalised care. However, improving accessibility and ensuring adequate staffing are important to reduce inequalities.</w:t>
      </w:r>
    </w:p>
    <w:p w14:paraId="4C761BE0"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6A183411" w14:textId="77777777" w:rsidR="00847CED" w:rsidRPr="00067FF6"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b/>
          <w:bCs/>
          <w:color w:val="1D1D1D"/>
          <w:sz w:val="22"/>
          <w:szCs w:val="22"/>
        </w:rPr>
      </w:pPr>
      <w:r w:rsidRPr="00067FF6">
        <w:rPr>
          <w:rFonts w:ascii="Arial" w:hAnsi="Arial" w:cs="Arial"/>
          <w:b/>
          <w:bCs/>
          <w:color w:val="1D1D1D"/>
          <w:sz w:val="22"/>
          <w:szCs w:val="22"/>
        </w:rPr>
        <w:t>Conclusion</w:t>
      </w:r>
    </w:p>
    <w:p w14:paraId="3D926C42"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4DECA111" w14:textId="77777777" w:rsidR="00EC456C" w:rsidRDefault="00847CED" w:rsidP="00EC456C">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r w:rsidRPr="00442F05">
        <w:rPr>
          <w:rFonts w:ascii="Arial" w:hAnsi="Arial" w:cs="Arial"/>
          <w:color w:val="1D1D1D"/>
          <w:sz w:val="22"/>
          <w:szCs w:val="22"/>
        </w:rPr>
        <w:t>Community antenatal midwifery services play an important role in protecting the health and wellbeing of mothers and babies. The service has developed from traditional community-based midwifery into a regulated professional service. Modern midwives provide monitoring, screening, health education and emotional support. The Care Act 2014 provides useful principles of wellbeing, prevention and partnership working. Although the Act mainly concerns adult social care, these principles can support evaluation of antenatal services. Accessible and person-centred midwifery care can help identify problems early and improve pregnancy experiences and outcomes.</w:t>
      </w:r>
    </w:p>
    <w:p w14:paraId="7DEC270D" w14:textId="77777777" w:rsidR="00067FF6" w:rsidRDefault="00067FF6" w:rsidP="00EC456C">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b/>
          <w:bCs/>
          <w:color w:val="1D1D1D"/>
          <w:sz w:val="22"/>
          <w:szCs w:val="22"/>
        </w:rPr>
      </w:pPr>
    </w:p>
    <w:p w14:paraId="78807640" w14:textId="77777777" w:rsidR="00067FF6" w:rsidRDefault="00067FF6" w:rsidP="00EC456C">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b/>
          <w:bCs/>
          <w:color w:val="1D1D1D"/>
          <w:sz w:val="22"/>
          <w:szCs w:val="22"/>
        </w:rPr>
      </w:pPr>
    </w:p>
    <w:p w14:paraId="4B9ACABF" w14:textId="77777777" w:rsidR="00067FF6" w:rsidRDefault="00067FF6" w:rsidP="00EC456C">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b/>
          <w:bCs/>
          <w:color w:val="1D1D1D"/>
          <w:sz w:val="22"/>
          <w:szCs w:val="22"/>
        </w:rPr>
      </w:pPr>
    </w:p>
    <w:p w14:paraId="7A039A88" w14:textId="77777777" w:rsidR="00067FF6" w:rsidRDefault="00067FF6" w:rsidP="00EC456C">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b/>
          <w:bCs/>
          <w:color w:val="1D1D1D"/>
          <w:sz w:val="22"/>
          <w:szCs w:val="22"/>
        </w:rPr>
      </w:pPr>
    </w:p>
    <w:p w14:paraId="6862FA57" w14:textId="0C60D622" w:rsidR="00847CED" w:rsidRPr="00067FF6" w:rsidRDefault="00847CED" w:rsidP="00EC456C">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b/>
          <w:bCs/>
          <w:color w:val="1D1D1D"/>
          <w:sz w:val="22"/>
          <w:szCs w:val="22"/>
        </w:rPr>
      </w:pPr>
      <w:r w:rsidRPr="00067FF6">
        <w:rPr>
          <w:rFonts w:ascii="Arial" w:hAnsi="Arial" w:cs="Arial"/>
          <w:b/>
          <w:bCs/>
          <w:color w:val="1D1D1D"/>
          <w:sz w:val="22"/>
          <w:szCs w:val="22"/>
        </w:rPr>
        <w:t>Reference List</w:t>
      </w:r>
    </w:p>
    <w:p w14:paraId="382ACF98"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5D6ADAF3"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r w:rsidRPr="00442F05">
        <w:rPr>
          <w:rFonts w:ascii="Arial" w:hAnsi="Arial" w:cs="Arial"/>
          <w:color w:val="1D1D1D"/>
          <w:sz w:val="22"/>
          <w:szCs w:val="22"/>
        </w:rPr>
        <w:t>Care Act 2014 (c.23). London: The Stationery Office.</w:t>
      </w:r>
    </w:p>
    <w:p w14:paraId="675E8939"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30C32D98"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r w:rsidRPr="00442F05">
        <w:rPr>
          <w:rFonts w:ascii="Arial" w:hAnsi="Arial" w:cs="Arial"/>
          <w:color w:val="1D1D1D"/>
          <w:sz w:val="22"/>
          <w:szCs w:val="22"/>
        </w:rPr>
        <w:t>NICE (2021) Antenatal care: NICE guideline NG201. Available at: NICE Antenatal Care</w:t>
      </w:r>
      <w:r w:rsidRPr="00442F05">
        <w:rPr>
          <w:rFonts w:ascii="Segoe UI Symbol" w:hAnsi="Segoe UI Symbol" w:cs="Segoe UI Symbol"/>
          <w:color w:val="1D1D1D"/>
          <w:sz w:val="22"/>
          <w:szCs w:val="22"/>
        </w:rPr>
        <w:t>⁠</w:t>
      </w:r>
      <w:r w:rsidRPr="00442F05">
        <w:rPr>
          <w:rFonts w:ascii="Arial" w:hAnsi="Arial" w:cs="Arial"/>
          <w:color w:val="1D1D1D"/>
          <w:sz w:val="22"/>
          <w:szCs w:val="22"/>
        </w:rPr>
        <w:t>￼ (Accessed: 7 October 2026).</w:t>
      </w:r>
    </w:p>
    <w:p w14:paraId="4AB8EA8C"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330ADDE5"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r w:rsidRPr="00442F05">
        <w:rPr>
          <w:rFonts w:ascii="Arial" w:hAnsi="Arial" w:cs="Arial"/>
          <w:color w:val="1D1D1D"/>
          <w:sz w:val="22"/>
          <w:szCs w:val="22"/>
        </w:rPr>
        <w:t>Nursing and Midwifery Council (NMC) (2019) Standards of proficiency for midwives. London: NMC.</w:t>
      </w:r>
    </w:p>
    <w:p w14:paraId="42EF5649"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72CDFBEB"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r w:rsidRPr="00442F05">
        <w:rPr>
          <w:rFonts w:ascii="Arial" w:hAnsi="Arial" w:cs="Arial"/>
          <w:color w:val="1D1D1D"/>
          <w:sz w:val="22"/>
          <w:szCs w:val="22"/>
        </w:rPr>
        <w:t>Royal College of Midwives (2022) 120 years of the Midwives Act in England and Wales. London: Royal College of Midwives.</w:t>
      </w:r>
    </w:p>
    <w:p w14:paraId="6346588F"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p>
    <w:p w14:paraId="1CC05F43" w14:textId="77777777" w:rsidR="00847CED" w:rsidRPr="00442F05" w:rsidRDefault="00847CED"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color w:val="1D1D1D"/>
          <w:sz w:val="22"/>
          <w:szCs w:val="22"/>
        </w:rPr>
      </w:pPr>
      <w:r w:rsidRPr="00442F05">
        <w:rPr>
          <w:rFonts w:ascii="Arial" w:hAnsi="Arial" w:cs="Arial"/>
          <w:color w:val="1D1D1D"/>
          <w:sz w:val="22"/>
          <w:szCs w:val="22"/>
        </w:rPr>
        <w:t>World Health Organization (2016) WHO recommendations on antenatal care for a positive pregnancy experience. Geneva: World Health Organization.</w:t>
      </w:r>
    </w:p>
    <w:p w14:paraId="11CB47A5" w14:textId="77777777" w:rsidR="00603D44" w:rsidRPr="00442F05" w:rsidRDefault="00603D44" w:rsidP="004B6E08">
      <w:pPr>
        <w:pStyle w:val="NormalWeb"/>
        <w:spacing w:before="96" w:beforeAutospacing="0" w:after="0" w:afterAutospacing="0" w:line="360" w:lineRule="auto"/>
        <w:rPr>
          <w:rFonts w:ascii="Arial" w:eastAsia="+mn-ea" w:hAnsi="Arial" w:cs="Arial"/>
          <w:color w:val="000000"/>
          <w:kern w:val="24"/>
          <w:sz w:val="22"/>
          <w:szCs w:val="22"/>
        </w:rPr>
      </w:pPr>
    </w:p>
    <w:p w14:paraId="312C9EA9" w14:textId="42D1C55F" w:rsidR="00BD3696" w:rsidRPr="00442F05" w:rsidRDefault="00585FF3" w:rsidP="004B6E08">
      <w:pPr>
        <w:pStyle w:val="df"/>
        <w:pBdr>
          <w:top w:val="single" w:sz="2" w:space="0" w:color="F0F3F5"/>
          <w:left w:val="single" w:sz="2" w:space="0" w:color="F0F3F5"/>
          <w:bottom w:val="single" w:sz="2" w:space="0" w:color="F0F3F5"/>
          <w:right w:val="single" w:sz="2" w:space="0" w:color="F0F3F5"/>
        </w:pBdr>
        <w:shd w:val="clear" w:color="auto" w:fill="FFFFFF"/>
        <w:spacing w:line="360" w:lineRule="auto"/>
        <w:rPr>
          <w:rFonts w:ascii="Arial" w:hAnsi="Arial" w:cs="Arial"/>
          <w:sz w:val="22"/>
          <w:szCs w:val="22"/>
        </w:rPr>
      </w:pPr>
      <w:r w:rsidRPr="00442F05">
        <w:rPr>
          <w:rFonts w:ascii="Arial" w:hAnsi="Arial" w:cs="Arial"/>
          <w:b/>
          <w:bCs/>
          <w:color w:val="1D1D1D"/>
          <w:sz w:val="22"/>
          <w:szCs w:val="22"/>
        </w:rPr>
        <w:t xml:space="preserve">     </w:t>
      </w:r>
    </w:p>
    <w:p w14:paraId="0E3CB0E9" w14:textId="77777777" w:rsidR="00BD3696" w:rsidRPr="00442F05" w:rsidRDefault="00BD3696" w:rsidP="004B6E08">
      <w:pPr>
        <w:rPr>
          <w:rFonts w:ascii="Arial" w:hAnsi="Arial" w:cs="Arial"/>
          <w:sz w:val="22"/>
          <w:szCs w:val="22"/>
        </w:rPr>
      </w:pPr>
    </w:p>
    <w:sectPr w:rsidR="00BD3696" w:rsidRPr="00442F05">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7AAD4" w14:textId="77777777" w:rsidR="00C265F9" w:rsidRDefault="00C265F9">
      <w:pPr>
        <w:spacing w:before="0" w:line="240" w:lineRule="auto"/>
      </w:pPr>
      <w:r>
        <w:separator/>
      </w:r>
    </w:p>
  </w:endnote>
  <w:endnote w:type="continuationSeparator" w:id="0">
    <w:p w14:paraId="27670CF3" w14:textId="77777777" w:rsidR="00C265F9" w:rsidRDefault="00C265F9">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mn-ea">
    <w:panose1 w:val="00000000000000000000"/>
    <w:charset w:val="00"/>
    <w:family w:val="roman"/>
    <w:notTrueType/>
    <w:pitch w:val="default"/>
  </w:font>
  <w:font w:name="+mn-cs">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DF03370" w14:paraId="04BFE038" w14:textId="77777777" w:rsidTr="3DF03370">
      <w:trPr>
        <w:trHeight w:val="300"/>
      </w:trPr>
      <w:tc>
        <w:tcPr>
          <w:tcW w:w="3005" w:type="dxa"/>
        </w:tcPr>
        <w:p w14:paraId="60EFC919" w14:textId="587B8CB2" w:rsidR="3DF03370" w:rsidRDefault="3DF03370" w:rsidP="3DF03370">
          <w:pPr>
            <w:pStyle w:val="Header"/>
            <w:ind w:left="-115"/>
          </w:pPr>
        </w:p>
      </w:tc>
      <w:tc>
        <w:tcPr>
          <w:tcW w:w="3005" w:type="dxa"/>
        </w:tcPr>
        <w:p w14:paraId="382376C3" w14:textId="32719BEA" w:rsidR="3DF03370" w:rsidRDefault="3DF03370" w:rsidP="3DF03370">
          <w:pPr>
            <w:pStyle w:val="Header"/>
            <w:jc w:val="center"/>
          </w:pPr>
        </w:p>
      </w:tc>
      <w:tc>
        <w:tcPr>
          <w:tcW w:w="3005" w:type="dxa"/>
        </w:tcPr>
        <w:p w14:paraId="47527DF6" w14:textId="60DA1D7B" w:rsidR="3DF03370" w:rsidRDefault="3DF03370" w:rsidP="3DF03370">
          <w:pPr>
            <w:pStyle w:val="Header"/>
            <w:ind w:right="-115"/>
            <w:jc w:val="right"/>
          </w:pPr>
        </w:p>
      </w:tc>
    </w:tr>
  </w:tbl>
  <w:p w14:paraId="0CF7BA44" w14:textId="7567E9AB" w:rsidR="3DF03370" w:rsidRDefault="3DF03370" w:rsidP="3DF033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B14C3" w14:textId="77777777" w:rsidR="00C265F9" w:rsidRDefault="00C265F9">
      <w:pPr>
        <w:spacing w:before="0" w:line="240" w:lineRule="auto"/>
      </w:pPr>
      <w:r>
        <w:separator/>
      </w:r>
    </w:p>
  </w:footnote>
  <w:footnote w:type="continuationSeparator" w:id="0">
    <w:p w14:paraId="239BC5A8" w14:textId="77777777" w:rsidR="00C265F9" w:rsidRDefault="00C265F9">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DF03370" w14:paraId="6A82395D" w14:textId="77777777" w:rsidTr="3DF03370">
      <w:trPr>
        <w:trHeight w:val="300"/>
      </w:trPr>
      <w:tc>
        <w:tcPr>
          <w:tcW w:w="3005" w:type="dxa"/>
        </w:tcPr>
        <w:p w14:paraId="4C960F30" w14:textId="52FE80FD" w:rsidR="3DF03370" w:rsidRDefault="3DF03370" w:rsidP="3DF03370">
          <w:pPr>
            <w:pStyle w:val="Header"/>
            <w:ind w:left="-115"/>
          </w:pPr>
        </w:p>
      </w:tc>
      <w:tc>
        <w:tcPr>
          <w:tcW w:w="3005" w:type="dxa"/>
        </w:tcPr>
        <w:p w14:paraId="364B6737" w14:textId="668CA2F3" w:rsidR="3DF03370" w:rsidRDefault="3DF03370" w:rsidP="3DF03370">
          <w:pPr>
            <w:pStyle w:val="Header"/>
            <w:jc w:val="center"/>
          </w:pPr>
        </w:p>
      </w:tc>
      <w:tc>
        <w:tcPr>
          <w:tcW w:w="3005" w:type="dxa"/>
        </w:tcPr>
        <w:p w14:paraId="13B3A67B" w14:textId="1601FA26" w:rsidR="3DF03370" w:rsidRDefault="3DF03370" w:rsidP="3DF03370">
          <w:pPr>
            <w:pStyle w:val="Header"/>
            <w:ind w:right="-115"/>
            <w:jc w:val="right"/>
          </w:pPr>
        </w:p>
      </w:tc>
    </w:tr>
  </w:tbl>
  <w:p w14:paraId="0E4EFEC2" w14:textId="5C29ACDB" w:rsidR="3DF03370" w:rsidRDefault="3DF03370" w:rsidP="3DF033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73E56"/>
    <w:multiLevelType w:val="multilevel"/>
    <w:tmpl w:val="6F38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196FA4"/>
    <w:multiLevelType w:val="multilevel"/>
    <w:tmpl w:val="81BA5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B55C75"/>
    <w:multiLevelType w:val="multilevel"/>
    <w:tmpl w:val="6576B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2782512">
    <w:abstractNumId w:val="2"/>
  </w:num>
  <w:num w:numId="2" w16cid:durableId="1946502910">
    <w:abstractNumId w:val="0"/>
  </w:num>
  <w:num w:numId="3" w16cid:durableId="11150957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696"/>
    <w:rsid w:val="000576EB"/>
    <w:rsid w:val="00067FF6"/>
    <w:rsid w:val="00084C7D"/>
    <w:rsid w:val="00084F63"/>
    <w:rsid w:val="000A6CBA"/>
    <w:rsid w:val="000C04AB"/>
    <w:rsid w:val="000F6A8E"/>
    <w:rsid w:val="001013C6"/>
    <w:rsid w:val="00106EA3"/>
    <w:rsid w:val="00147196"/>
    <w:rsid w:val="00153C34"/>
    <w:rsid w:val="00177C8C"/>
    <w:rsid w:val="001B1837"/>
    <w:rsid w:val="002004AB"/>
    <w:rsid w:val="00203884"/>
    <w:rsid w:val="0028695B"/>
    <w:rsid w:val="002B2F1F"/>
    <w:rsid w:val="002B5370"/>
    <w:rsid w:val="002C301C"/>
    <w:rsid w:val="002D6DBF"/>
    <w:rsid w:val="002E508F"/>
    <w:rsid w:val="00315DE1"/>
    <w:rsid w:val="0032303D"/>
    <w:rsid w:val="00327BE0"/>
    <w:rsid w:val="00354624"/>
    <w:rsid w:val="00366D95"/>
    <w:rsid w:val="003774A1"/>
    <w:rsid w:val="003E67AA"/>
    <w:rsid w:val="003E7CA6"/>
    <w:rsid w:val="004011D3"/>
    <w:rsid w:val="00411E3F"/>
    <w:rsid w:val="00415C33"/>
    <w:rsid w:val="00417316"/>
    <w:rsid w:val="00442F05"/>
    <w:rsid w:val="004438A2"/>
    <w:rsid w:val="00455CD1"/>
    <w:rsid w:val="00465D94"/>
    <w:rsid w:val="00476C7B"/>
    <w:rsid w:val="004B6E08"/>
    <w:rsid w:val="00522EEC"/>
    <w:rsid w:val="00573DF4"/>
    <w:rsid w:val="00585FF3"/>
    <w:rsid w:val="005B32E9"/>
    <w:rsid w:val="005D3761"/>
    <w:rsid w:val="00603D44"/>
    <w:rsid w:val="00613D52"/>
    <w:rsid w:val="006215FA"/>
    <w:rsid w:val="00637447"/>
    <w:rsid w:val="006A75BE"/>
    <w:rsid w:val="006D75E6"/>
    <w:rsid w:val="006F4C35"/>
    <w:rsid w:val="00743F94"/>
    <w:rsid w:val="00790C86"/>
    <w:rsid w:val="007D7CB7"/>
    <w:rsid w:val="00847076"/>
    <w:rsid w:val="00847CED"/>
    <w:rsid w:val="00865657"/>
    <w:rsid w:val="00880B77"/>
    <w:rsid w:val="008917BE"/>
    <w:rsid w:val="008A33A0"/>
    <w:rsid w:val="008C14A6"/>
    <w:rsid w:val="008D5D85"/>
    <w:rsid w:val="00957884"/>
    <w:rsid w:val="009944ED"/>
    <w:rsid w:val="009A4519"/>
    <w:rsid w:val="00A03CF2"/>
    <w:rsid w:val="00A45842"/>
    <w:rsid w:val="00A7399B"/>
    <w:rsid w:val="00A97058"/>
    <w:rsid w:val="00AF11A7"/>
    <w:rsid w:val="00B41155"/>
    <w:rsid w:val="00B62ACD"/>
    <w:rsid w:val="00BB5D76"/>
    <w:rsid w:val="00BD3696"/>
    <w:rsid w:val="00C0546F"/>
    <w:rsid w:val="00C265F9"/>
    <w:rsid w:val="00C31A4B"/>
    <w:rsid w:val="00C51C4B"/>
    <w:rsid w:val="00C53A8A"/>
    <w:rsid w:val="00C623FD"/>
    <w:rsid w:val="00CB6A40"/>
    <w:rsid w:val="00CC0F6E"/>
    <w:rsid w:val="00CC3FC7"/>
    <w:rsid w:val="00CC585F"/>
    <w:rsid w:val="00CF4204"/>
    <w:rsid w:val="00D116AC"/>
    <w:rsid w:val="00D563B5"/>
    <w:rsid w:val="00E176E4"/>
    <w:rsid w:val="00E43240"/>
    <w:rsid w:val="00E71D0A"/>
    <w:rsid w:val="00E763A8"/>
    <w:rsid w:val="00E76B09"/>
    <w:rsid w:val="00E84BAF"/>
    <w:rsid w:val="00E93C6A"/>
    <w:rsid w:val="00EB1259"/>
    <w:rsid w:val="00EB1E7C"/>
    <w:rsid w:val="00EC456C"/>
    <w:rsid w:val="00EC5361"/>
    <w:rsid w:val="00F00724"/>
    <w:rsid w:val="00F01C75"/>
    <w:rsid w:val="00F1293B"/>
    <w:rsid w:val="00F17F0D"/>
    <w:rsid w:val="00F22577"/>
    <w:rsid w:val="00F510E4"/>
    <w:rsid w:val="00F56B80"/>
    <w:rsid w:val="00F80678"/>
    <w:rsid w:val="00F80901"/>
    <w:rsid w:val="00F91D69"/>
    <w:rsid w:val="00FF3E1F"/>
    <w:rsid w:val="0C152BCB"/>
    <w:rsid w:val="0F00A74F"/>
    <w:rsid w:val="0F687DA2"/>
    <w:rsid w:val="1E35546E"/>
    <w:rsid w:val="223DE4DC"/>
    <w:rsid w:val="284BB012"/>
    <w:rsid w:val="2FEECC7C"/>
    <w:rsid w:val="32689805"/>
    <w:rsid w:val="390770BC"/>
    <w:rsid w:val="3DF03370"/>
    <w:rsid w:val="4525B226"/>
    <w:rsid w:val="4B888350"/>
    <w:rsid w:val="4E9BE57F"/>
    <w:rsid w:val="4FEE8A20"/>
    <w:rsid w:val="57EF6D6D"/>
    <w:rsid w:val="57F5A9E2"/>
    <w:rsid w:val="57FD0C2D"/>
    <w:rsid w:val="57FDE245"/>
    <w:rsid w:val="590820B6"/>
    <w:rsid w:val="598FB9CF"/>
    <w:rsid w:val="5EC73C78"/>
    <w:rsid w:val="6E1E3C8A"/>
    <w:rsid w:val="74F41A2C"/>
    <w:rsid w:val="7829FDC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DD48E"/>
  <w15:chartTrackingRefBased/>
  <w15:docId w15:val="{A7A9A205-974E-492C-B031-31F88FACB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before="100" w:beforeAutospacing="1" w:after="100" w:afterAutospacing="1" w:line="360" w:lineRule="auto"/>
        <w:ind w:left="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36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36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36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36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36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369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369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369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369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36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36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36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36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36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36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36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36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3696"/>
    <w:rPr>
      <w:rFonts w:eastAsiaTheme="majorEastAsia" w:cstheme="majorBidi"/>
      <w:color w:val="272727" w:themeColor="text1" w:themeTint="D8"/>
    </w:rPr>
  </w:style>
  <w:style w:type="paragraph" w:styleId="Title">
    <w:name w:val="Title"/>
    <w:basedOn w:val="Normal"/>
    <w:next w:val="Normal"/>
    <w:link w:val="TitleChar"/>
    <w:uiPriority w:val="10"/>
    <w:qFormat/>
    <w:rsid w:val="00BD36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36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3696"/>
    <w:pPr>
      <w:numPr>
        <w:ilvl w:val="1"/>
      </w:numPr>
      <w:spacing w:after="160"/>
      <w:ind w:left="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36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3696"/>
    <w:pPr>
      <w:spacing w:before="160" w:after="160"/>
    </w:pPr>
    <w:rPr>
      <w:i/>
      <w:iCs/>
      <w:color w:val="404040" w:themeColor="text1" w:themeTint="BF"/>
    </w:rPr>
  </w:style>
  <w:style w:type="character" w:customStyle="1" w:styleId="QuoteChar">
    <w:name w:val="Quote Char"/>
    <w:basedOn w:val="DefaultParagraphFont"/>
    <w:link w:val="Quote"/>
    <w:uiPriority w:val="29"/>
    <w:rsid w:val="00BD3696"/>
    <w:rPr>
      <w:i/>
      <w:iCs/>
      <w:color w:val="404040" w:themeColor="text1" w:themeTint="BF"/>
    </w:rPr>
  </w:style>
  <w:style w:type="paragraph" w:styleId="ListParagraph">
    <w:name w:val="List Paragraph"/>
    <w:basedOn w:val="Normal"/>
    <w:uiPriority w:val="34"/>
    <w:qFormat/>
    <w:rsid w:val="00BD3696"/>
    <w:pPr>
      <w:contextualSpacing/>
    </w:pPr>
  </w:style>
  <w:style w:type="character" w:styleId="IntenseEmphasis">
    <w:name w:val="Intense Emphasis"/>
    <w:basedOn w:val="DefaultParagraphFont"/>
    <w:uiPriority w:val="21"/>
    <w:qFormat/>
    <w:rsid w:val="00BD3696"/>
    <w:rPr>
      <w:i/>
      <w:iCs/>
      <w:color w:val="0F4761" w:themeColor="accent1" w:themeShade="BF"/>
    </w:rPr>
  </w:style>
  <w:style w:type="paragraph" w:styleId="IntenseQuote">
    <w:name w:val="Intense Quote"/>
    <w:basedOn w:val="Normal"/>
    <w:next w:val="Normal"/>
    <w:link w:val="IntenseQuoteChar"/>
    <w:uiPriority w:val="30"/>
    <w:qFormat/>
    <w:rsid w:val="00BD3696"/>
    <w:pPr>
      <w:pBdr>
        <w:top w:val="single" w:sz="4" w:space="10" w:color="0F4761" w:themeColor="accent1" w:themeShade="BF"/>
        <w:bottom w:val="single" w:sz="4" w:space="10" w:color="0F4761" w:themeColor="accent1" w:themeShade="BF"/>
      </w:pBdr>
      <w:spacing w:before="360" w:after="360"/>
      <w:ind w:left="864" w:right="864"/>
    </w:pPr>
    <w:rPr>
      <w:i/>
      <w:iCs/>
      <w:color w:val="0F4761" w:themeColor="accent1" w:themeShade="BF"/>
    </w:rPr>
  </w:style>
  <w:style w:type="character" w:customStyle="1" w:styleId="IntenseQuoteChar">
    <w:name w:val="Intense Quote Char"/>
    <w:basedOn w:val="DefaultParagraphFont"/>
    <w:link w:val="IntenseQuote"/>
    <w:uiPriority w:val="30"/>
    <w:rsid w:val="00BD3696"/>
    <w:rPr>
      <w:i/>
      <w:iCs/>
      <w:color w:val="0F4761" w:themeColor="accent1" w:themeShade="BF"/>
    </w:rPr>
  </w:style>
  <w:style w:type="character" w:styleId="IntenseReference">
    <w:name w:val="Intense Reference"/>
    <w:basedOn w:val="DefaultParagraphFont"/>
    <w:uiPriority w:val="32"/>
    <w:qFormat/>
    <w:rsid w:val="00BD3696"/>
    <w:rPr>
      <w:b/>
      <w:bCs/>
      <w:smallCaps/>
      <w:color w:val="0F4761" w:themeColor="accent1" w:themeShade="BF"/>
      <w:spacing w:val="5"/>
    </w:rPr>
  </w:style>
  <w:style w:type="paragraph" w:styleId="NormalWeb">
    <w:name w:val="Normal (Web)"/>
    <w:basedOn w:val="Normal"/>
    <w:uiPriority w:val="99"/>
    <w:unhideWhenUsed/>
    <w:rsid w:val="00BD3696"/>
    <w:pPr>
      <w:spacing w:line="240" w:lineRule="auto"/>
    </w:pPr>
    <w:rPr>
      <w:rFonts w:ascii="Times New Roman" w:eastAsia="Times New Roman" w:hAnsi="Times New Roman" w:cs="Times New Roman"/>
      <w:kern w:val="0"/>
      <w:lang w:eastAsia="en-GB"/>
      <w14:ligatures w14:val="none"/>
    </w:rPr>
  </w:style>
  <w:style w:type="paragraph" w:customStyle="1" w:styleId="df">
    <w:name w:val="d_f"/>
    <w:basedOn w:val="Normal"/>
    <w:rsid w:val="00585FF3"/>
    <w:pPr>
      <w:spacing w:line="240" w:lineRule="auto"/>
    </w:pPr>
    <w:rPr>
      <w:rFonts w:ascii="Times New Roman" w:eastAsia="Times New Roman" w:hAnsi="Times New Roman" w:cs="Times New Roman"/>
      <w:kern w:val="0"/>
      <w:lang w:eastAsia="en-GB"/>
      <w14:ligatures w14:val="none"/>
    </w:rPr>
  </w:style>
  <w:style w:type="paragraph" w:styleId="Header">
    <w:name w:val="header"/>
    <w:basedOn w:val="Normal"/>
    <w:uiPriority w:val="99"/>
    <w:unhideWhenUsed/>
    <w:rsid w:val="3DF03370"/>
    <w:pPr>
      <w:tabs>
        <w:tab w:val="center" w:pos="4680"/>
        <w:tab w:val="right" w:pos="9360"/>
      </w:tabs>
      <w:spacing w:line="240" w:lineRule="auto"/>
    </w:pPr>
  </w:style>
  <w:style w:type="paragraph" w:styleId="Footer">
    <w:name w:val="footer"/>
    <w:basedOn w:val="Normal"/>
    <w:uiPriority w:val="99"/>
    <w:unhideWhenUsed/>
    <w:rsid w:val="3DF03370"/>
    <w:pPr>
      <w:tabs>
        <w:tab w:val="center" w:pos="4680"/>
        <w:tab w:val="right" w:pos="9360"/>
      </w:tabs>
      <w:spacing w:line="240" w:lineRule="auto"/>
    </w:pPr>
  </w:style>
  <w:style w:type="table" w:styleId="TableGrid">
    <w:name w:val="Table Grid"/>
    <w:basedOn w:val="TableNormal"/>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DDCC1-14A7-4EB6-BDC0-F950F8555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863</TotalTime>
  <Pages>10</Pages>
  <Words>1608</Words>
  <Characters>9169</Characters>
  <Application>Microsoft Office Word</Application>
  <DocSecurity>0</DocSecurity>
  <Lines>76</Lines>
  <Paragraphs>21</Paragraphs>
  <ScaleCrop>false</ScaleCrop>
  <Company/>
  <LinksUpToDate>false</LinksUpToDate>
  <CharactersWithSpaces>10756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Anjumben Virani (2535117)</dc:creator>
  <cp:keywords/>
  <dc:description/>
  <cp:lastModifiedBy>Anjumben Virani (2535117)</cp:lastModifiedBy>
  <cp:revision>98</cp:revision>
  <dcterms:created xsi:type="dcterms:W3CDTF">2026-09-13T11:38:00Z</dcterms:created>
  <dcterms:modified xsi:type="dcterms:W3CDTF">2026-10-09T10:37:00Z</dcterms:modified>
</cp:coreProperties>
</file>