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86048" w14:textId="77777777" w:rsidR="006C3726" w:rsidRDefault="006C3726" w:rsidP="006C3726">
      <w:pPr>
        <w:spacing w:line="360" w:lineRule="auto"/>
        <w:jc w:val="center"/>
        <w:rPr>
          <w:rFonts w:ascii="Times New Roman" w:hAnsi="Times New Roman" w:cs="Times New Roman"/>
          <w:b/>
          <w:bCs/>
          <w:sz w:val="32"/>
          <w:szCs w:val="32"/>
        </w:rPr>
      </w:pPr>
    </w:p>
    <w:p w14:paraId="6A198774" w14:textId="77777777" w:rsidR="006C3726" w:rsidRDefault="006C3726" w:rsidP="006C3726">
      <w:pPr>
        <w:spacing w:line="360" w:lineRule="auto"/>
        <w:jc w:val="center"/>
        <w:rPr>
          <w:rFonts w:ascii="Times New Roman" w:hAnsi="Times New Roman" w:cs="Times New Roman"/>
          <w:b/>
          <w:bCs/>
          <w:sz w:val="32"/>
          <w:szCs w:val="32"/>
        </w:rPr>
      </w:pPr>
    </w:p>
    <w:p w14:paraId="55FE4ACE" w14:textId="77777777" w:rsidR="006C3726" w:rsidRDefault="006C3726" w:rsidP="006C3726">
      <w:pPr>
        <w:spacing w:line="360" w:lineRule="auto"/>
        <w:jc w:val="center"/>
        <w:rPr>
          <w:rFonts w:ascii="Times New Roman" w:hAnsi="Times New Roman" w:cs="Times New Roman"/>
          <w:b/>
          <w:bCs/>
          <w:sz w:val="32"/>
          <w:szCs w:val="32"/>
        </w:rPr>
      </w:pPr>
    </w:p>
    <w:p w14:paraId="7109D4D7" w14:textId="77777777" w:rsidR="006C3726" w:rsidRDefault="006C3726" w:rsidP="006C3726">
      <w:pPr>
        <w:spacing w:line="360" w:lineRule="auto"/>
        <w:jc w:val="center"/>
        <w:rPr>
          <w:rFonts w:ascii="Times New Roman" w:hAnsi="Times New Roman" w:cs="Times New Roman"/>
          <w:b/>
          <w:bCs/>
          <w:sz w:val="32"/>
          <w:szCs w:val="32"/>
        </w:rPr>
      </w:pPr>
    </w:p>
    <w:p w14:paraId="5F117472" w14:textId="77777777" w:rsidR="006C3726" w:rsidRDefault="006C3726" w:rsidP="006C3726">
      <w:pPr>
        <w:spacing w:line="360" w:lineRule="auto"/>
        <w:jc w:val="center"/>
        <w:rPr>
          <w:rFonts w:ascii="Times New Roman" w:hAnsi="Times New Roman" w:cs="Times New Roman"/>
          <w:b/>
          <w:bCs/>
          <w:sz w:val="32"/>
          <w:szCs w:val="32"/>
        </w:rPr>
      </w:pPr>
    </w:p>
    <w:p w14:paraId="7AC28B08" w14:textId="77777777" w:rsidR="006C3726" w:rsidRDefault="006C3726" w:rsidP="006C3726">
      <w:pPr>
        <w:spacing w:line="360" w:lineRule="auto"/>
        <w:jc w:val="center"/>
        <w:rPr>
          <w:rFonts w:ascii="Times New Roman" w:hAnsi="Times New Roman" w:cs="Times New Roman"/>
          <w:b/>
          <w:bCs/>
          <w:sz w:val="32"/>
          <w:szCs w:val="32"/>
        </w:rPr>
      </w:pPr>
    </w:p>
    <w:p w14:paraId="411BA583" w14:textId="77777777" w:rsidR="006C3726" w:rsidRDefault="006C3726" w:rsidP="006C3726">
      <w:pPr>
        <w:spacing w:line="360" w:lineRule="auto"/>
        <w:jc w:val="center"/>
        <w:rPr>
          <w:rFonts w:ascii="Times New Roman" w:hAnsi="Times New Roman" w:cs="Times New Roman"/>
          <w:b/>
          <w:bCs/>
          <w:sz w:val="32"/>
          <w:szCs w:val="32"/>
        </w:rPr>
      </w:pPr>
    </w:p>
    <w:p w14:paraId="68A9410A" w14:textId="77777777" w:rsidR="006C3726" w:rsidRDefault="006C3726" w:rsidP="006C3726">
      <w:pPr>
        <w:spacing w:line="360" w:lineRule="auto"/>
        <w:jc w:val="center"/>
        <w:rPr>
          <w:rFonts w:ascii="Times New Roman" w:hAnsi="Times New Roman" w:cs="Times New Roman"/>
          <w:b/>
          <w:bCs/>
          <w:sz w:val="32"/>
          <w:szCs w:val="32"/>
        </w:rPr>
      </w:pPr>
    </w:p>
    <w:p w14:paraId="15F20D6D" w14:textId="5CA95EDE" w:rsidR="00006811" w:rsidRPr="006C3726" w:rsidRDefault="00000000" w:rsidP="006C3726">
      <w:pPr>
        <w:spacing w:line="360" w:lineRule="auto"/>
        <w:jc w:val="center"/>
        <w:rPr>
          <w:rFonts w:ascii="Times New Roman" w:hAnsi="Times New Roman" w:cs="Times New Roman"/>
          <w:b/>
          <w:bCs/>
          <w:sz w:val="32"/>
          <w:szCs w:val="32"/>
        </w:rPr>
      </w:pPr>
      <w:r w:rsidRPr="006C3726">
        <w:rPr>
          <w:rFonts w:ascii="Times New Roman" w:hAnsi="Times New Roman" w:cs="Times New Roman"/>
          <w:b/>
          <w:bCs/>
          <w:sz w:val="32"/>
          <w:szCs w:val="32"/>
        </w:rPr>
        <w:t>MANAGEMENT ACCOUNTING</w:t>
      </w:r>
    </w:p>
    <w:p w14:paraId="589AE4A5" w14:textId="77777777" w:rsidR="006C3726" w:rsidRDefault="00000000">
      <w:pPr>
        <w:rPr>
          <w:rFonts w:ascii="Times New Roman" w:hAnsi="Times New Roman" w:cs="Times New Roman"/>
          <w:b/>
          <w:bCs/>
          <w:sz w:val="24"/>
          <w:szCs w:val="24"/>
        </w:rPr>
      </w:pPr>
      <w:r>
        <w:rPr>
          <w:rFonts w:ascii="Times New Roman" w:hAnsi="Times New Roman" w:cs="Times New Roman"/>
          <w:b/>
          <w:bCs/>
          <w:sz w:val="24"/>
          <w:szCs w:val="24"/>
        </w:rPr>
        <w:br w:type="page"/>
      </w:r>
    </w:p>
    <w:p w14:paraId="3C5D82CF" w14:textId="4A1667DA" w:rsidR="00252D31" w:rsidRPr="006C3726" w:rsidRDefault="00000000" w:rsidP="006C3726">
      <w:pPr>
        <w:pStyle w:val="Heading1"/>
        <w:jc w:val="center"/>
        <w:rPr>
          <w:b w:val="0"/>
        </w:rPr>
      </w:pPr>
      <w:bookmarkStart w:id="0" w:name="_Toc112961480"/>
      <w:r w:rsidRPr="006C3726">
        <w:lastRenderedPageBreak/>
        <w:t>Executive Summary</w:t>
      </w:r>
      <w:bookmarkEnd w:id="0"/>
    </w:p>
    <w:p w14:paraId="1ACE816D" w14:textId="187CBDC4" w:rsidR="00CA51A1" w:rsidRDefault="00000000" w:rsidP="006C3726">
      <w:pPr>
        <w:spacing w:line="360" w:lineRule="auto"/>
        <w:jc w:val="both"/>
        <w:rPr>
          <w:rFonts w:ascii="Times New Roman" w:hAnsi="Times New Roman" w:cs="Times New Roman"/>
          <w:sz w:val="24"/>
          <w:szCs w:val="24"/>
        </w:rPr>
      </w:pPr>
      <w:r w:rsidRPr="006C3726">
        <w:rPr>
          <w:rFonts w:ascii="Times New Roman" w:hAnsi="Times New Roman" w:cs="Times New Roman"/>
          <w:sz w:val="24"/>
          <w:szCs w:val="24"/>
        </w:rPr>
        <w:t xml:space="preserve">The existing assignment is </w:t>
      </w:r>
      <w:r w:rsidR="0063059C" w:rsidRPr="006C3726">
        <w:rPr>
          <w:rFonts w:ascii="Times New Roman" w:hAnsi="Times New Roman" w:cs="Times New Roman"/>
          <w:sz w:val="24"/>
          <w:szCs w:val="24"/>
        </w:rPr>
        <w:t>developing</w:t>
      </w:r>
      <w:r w:rsidRPr="006C3726">
        <w:rPr>
          <w:rFonts w:ascii="Times New Roman" w:hAnsi="Times New Roman" w:cs="Times New Roman"/>
          <w:sz w:val="24"/>
          <w:szCs w:val="24"/>
        </w:rPr>
        <w:t xml:space="preserve"> to enable the implication of management accounting concerns to the provided case study scenario of Amana Ltd. </w:t>
      </w:r>
      <w:r w:rsidR="0063059C" w:rsidRPr="006C3726">
        <w:rPr>
          <w:rFonts w:ascii="Times New Roman" w:hAnsi="Times New Roman" w:cs="Times New Roman"/>
          <w:sz w:val="24"/>
          <w:szCs w:val="24"/>
        </w:rPr>
        <w:t xml:space="preserve">The report is constituted evolves two diverse parts, Part A and Part B. Part A presents the monthly control report of Amana Ltd highlighting its flexed and original budget and variances also. </w:t>
      </w:r>
      <w:r w:rsidR="00144C95" w:rsidRPr="006C3726">
        <w:rPr>
          <w:rFonts w:ascii="Times New Roman" w:hAnsi="Times New Roman" w:cs="Times New Roman"/>
          <w:sz w:val="24"/>
          <w:szCs w:val="24"/>
        </w:rPr>
        <w:t xml:space="preserve">Generating information from the control report, evaluation of Amana's business performance is also incorporated during the specific year of 2020. </w:t>
      </w:r>
      <w:r w:rsidR="00F66B53" w:rsidRPr="006C3726">
        <w:rPr>
          <w:rFonts w:ascii="Times New Roman" w:hAnsi="Times New Roman" w:cs="Times New Roman"/>
          <w:sz w:val="24"/>
          <w:szCs w:val="24"/>
        </w:rPr>
        <w:t xml:space="preserve">Besides, recommendations are also presented to improve various areas of Amana Ltd its CEO. </w:t>
      </w:r>
      <w:r w:rsidR="00937964" w:rsidRPr="006C3726">
        <w:rPr>
          <w:rFonts w:ascii="Times New Roman" w:hAnsi="Times New Roman" w:cs="Times New Roman"/>
          <w:sz w:val="24"/>
          <w:szCs w:val="24"/>
        </w:rPr>
        <w:t xml:space="preserve">On another side, Part B reflects analysis concern to Mr. Amana's decision to select the option of selling online including providing adequate advice related to the same. </w:t>
      </w:r>
    </w:p>
    <w:p w14:paraId="0488B64A" w14:textId="77777777" w:rsidR="00CA51A1" w:rsidRDefault="00CA51A1">
      <w:pPr>
        <w:rPr>
          <w:rFonts w:ascii="Times New Roman" w:hAnsi="Times New Roman" w:cs="Times New Roman"/>
          <w:sz w:val="24"/>
          <w:szCs w:val="24"/>
        </w:rPr>
      </w:pPr>
      <w:r>
        <w:rPr>
          <w:rFonts w:ascii="Times New Roman" w:hAnsi="Times New Roman" w:cs="Times New Roman"/>
          <w:sz w:val="24"/>
          <w:szCs w:val="24"/>
        </w:rPr>
        <w:br w:type="page"/>
      </w:r>
    </w:p>
    <w:sdt>
      <w:sdtPr>
        <w:id w:val="362794355"/>
        <w:docPartObj>
          <w:docPartGallery w:val="Table of Contents"/>
          <w:docPartUnique/>
        </w:docPartObj>
      </w:sdtPr>
      <w:sdtEndPr>
        <w:rPr>
          <w:rFonts w:ascii="Times New Roman" w:eastAsiaTheme="minorHAnsi" w:hAnsi="Times New Roman" w:cs="Times New Roman"/>
          <w:b/>
          <w:bCs/>
          <w:noProof/>
          <w:color w:val="auto"/>
          <w:sz w:val="24"/>
          <w:szCs w:val="24"/>
          <w:lang w:val="en-IN" w:bidi="hi-IN"/>
        </w:rPr>
      </w:sdtEndPr>
      <w:sdtContent>
        <w:p w14:paraId="2EDF728E" w14:textId="5CDC4F02" w:rsidR="00CA51A1" w:rsidRPr="00CA51A1" w:rsidRDefault="00CA51A1" w:rsidP="00CA51A1">
          <w:pPr>
            <w:pStyle w:val="TOCHeading"/>
            <w:jc w:val="center"/>
            <w:rPr>
              <w:rFonts w:ascii="Times New Roman" w:hAnsi="Times New Roman" w:cs="Times New Roman"/>
              <w:b/>
              <w:bCs/>
              <w:color w:val="auto"/>
              <w:sz w:val="28"/>
              <w:szCs w:val="28"/>
            </w:rPr>
          </w:pPr>
          <w:r w:rsidRPr="00CA51A1">
            <w:rPr>
              <w:rFonts w:ascii="Times New Roman" w:hAnsi="Times New Roman" w:cs="Times New Roman"/>
              <w:b/>
              <w:bCs/>
              <w:color w:val="auto"/>
              <w:sz w:val="28"/>
              <w:szCs w:val="28"/>
            </w:rPr>
            <w:t>Table of Contents</w:t>
          </w:r>
        </w:p>
        <w:p w14:paraId="21F57CE8" w14:textId="031908D0" w:rsidR="00CA51A1" w:rsidRPr="00CA51A1" w:rsidRDefault="00CA51A1" w:rsidP="00CA51A1">
          <w:pPr>
            <w:pStyle w:val="TOC1"/>
            <w:tabs>
              <w:tab w:val="right" w:leader="dot" w:pos="9016"/>
            </w:tabs>
            <w:spacing w:line="360" w:lineRule="auto"/>
            <w:jc w:val="both"/>
            <w:rPr>
              <w:rFonts w:ascii="Times New Roman" w:hAnsi="Times New Roman" w:cs="Times New Roman"/>
              <w:noProof/>
              <w:sz w:val="24"/>
              <w:szCs w:val="24"/>
            </w:rPr>
          </w:pPr>
          <w:r w:rsidRPr="00CA51A1">
            <w:rPr>
              <w:rFonts w:ascii="Times New Roman" w:hAnsi="Times New Roman" w:cs="Times New Roman"/>
              <w:sz w:val="24"/>
              <w:szCs w:val="24"/>
            </w:rPr>
            <w:fldChar w:fldCharType="begin"/>
          </w:r>
          <w:r w:rsidRPr="00CA51A1">
            <w:rPr>
              <w:rFonts w:ascii="Times New Roman" w:hAnsi="Times New Roman" w:cs="Times New Roman"/>
              <w:sz w:val="24"/>
              <w:szCs w:val="24"/>
            </w:rPr>
            <w:instrText xml:space="preserve"> TOC \o "1-3" \h \z \u </w:instrText>
          </w:r>
          <w:r w:rsidRPr="00CA51A1">
            <w:rPr>
              <w:rFonts w:ascii="Times New Roman" w:hAnsi="Times New Roman" w:cs="Times New Roman"/>
              <w:sz w:val="24"/>
              <w:szCs w:val="24"/>
            </w:rPr>
            <w:fldChar w:fldCharType="separate"/>
          </w:r>
          <w:hyperlink w:anchor="_Toc112961480" w:history="1">
            <w:r w:rsidRPr="00CA51A1">
              <w:rPr>
                <w:rStyle w:val="Hyperlink"/>
                <w:rFonts w:ascii="Times New Roman" w:hAnsi="Times New Roman" w:cs="Times New Roman"/>
                <w:noProof/>
                <w:sz w:val="24"/>
                <w:szCs w:val="24"/>
              </w:rPr>
              <w:t>Executive Summary</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_Toc112961480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2</w:t>
            </w:r>
            <w:r w:rsidRPr="00CA51A1">
              <w:rPr>
                <w:rFonts w:ascii="Times New Roman" w:hAnsi="Times New Roman" w:cs="Times New Roman"/>
                <w:noProof/>
                <w:webHidden/>
                <w:sz w:val="24"/>
                <w:szCs w:val="24"/>
              </w:rPr>
              <w:fldChar w:fldCharType="end"/>
            </w:r>
          </w:hyperlink>
        </w:p>
        <w:p w14:paraId="61C5A15A" w14:textId="2FD3E7F0" w:rsidR="00CA51A1" w:rsidRPr="00CA51A1" w:rsidRDefault="00CA51A1" w:rsidP="00CA51A1">
          <w:pPr>
            <w:pStyle w:val="TOC1"/>
            <w:tabs>
              <w:tab w:val="right" w:leader="dot" w:pos="9016"/>
            </w:tabs>
            <w:spacing w:line="360" w:lineRule="auto"/>
            <w:jc w:val="both"/>
            <w:rPr>
              <w:rFonts w:ascii="Times New Roman" w:hAnsi="Times New Roman" w:cs="Times New Roman"/>
              <w:noProof/>
              <w:sz w:val="24"/>
              <w:szCs w:val="24"/>
            </w:rPr>
          </w:pPr>
          <w:hyperlink w:anchor="_Toc112961481" w:history="1">
            <w:r w:rsidRPr="00CA51A1">
              <w:rPr>
                <w:rStyle w:val="Hyperlink"/>
                <w:rFonts w:ascii="Times New Roman" w:hAnsi="Times New Roman" w:cs="Times New Roman"/>
                <w:noProof/>
                <w:sz w:val="24"/>
                <w:szCs w:val="24"/>
              </w:rPr>
              <w:t>Introduction</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_Toc112961481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4</w:t>
            </w:r>
            <w:r w:rsidRPr="00CA51A1">
              <w:rPr>
                <w:rFonts w:ascii="Times New Roman" w:hAnsi="Times New Roman" w:cs="Times New Roman"/>
                <w:noProof/>
                <w:webHidden/>
                <w:sz w:val="24"/>
                <w:szCs w:val="24"/>
              </w:rPr>
              <w:fldChar w:fldCharType="end"/>
            </w:r>
          </w:hyperlink>
        </w:p>
        <w:p w14:paraId="75CBE810" w14:textId="163F3BEA" w:rsidR="00CA51A1" w:rsidRPr="00CA51A1" w:rsidRDefault="00CA51A1" w:rsidP="00CA51A1">
          <w:pPr>
            <w:pStyle w:val="TOC1"/>
            <w:tabs>
              <w:tab w:val="right" w:leader="dot" w:pos="9016"/>
            </w:tabs>
            <w:spacing w:line="360" w:lineRule="auto"/>
            <w:jc w:val="both"/>
            <w:rPr>
              <w:rFonts w:ascii="Times New Roman" w:hAnsi="Times New Roman" w:cs="Times New Roman"/>
              <w:noProof/>
              <w:sz w:val="24"/>
              <w:szCs w:val="24"/>
            </w:rPr>
          </w:pPr>
          <w:hyperlink w:anchor="_Toc112961482" w:history="1">
            <w:r w:rsidRPr="00CA51A1">
              <w:rPr>
                <w:rStyle w:val="Hyperlink"/>
                <w:rFonts w:ascii="Times New Roman" w:hAnsi="Times New Roman" w:cs="Times New Roman"/>
                <w:noProof/>
                <w:sz w:val="24"/>
                <w:szCs w:val="24"/>
              </w:rPr>
              <w:t>Part A</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_Toc112961482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4</w:t>
            </w:r>
            <w:r w:rsidRPr="00CA51A1">
              <w:rPr>
                <w:rFonts w:ascii="Times New Roman" w:hAnsi="Times New Roman" w:cs="Times New Roman"/>
                <w:noProof/>
                <w:webHidden/>
                <w:sz w:val="24"/>
                <w:szCs w:val="24"/>
              </w:rPr>
              <w:fldChar w:fldCharType="end"/>
            </w:r>
          </w:hyperlink>
        </w:p>
        <w:p w14:paraId="2A929D02" w14:textId="7F5FD279" w:rsidR="00CA51A1" w:rsidRPr="00CA51A1" w:rsidRDefault="00CA51A1" w:rsidP="00CA51A1">
          <w:pPr>
            <w:pStyle w:val="TOC2"/>
            <w:tabs>
              <w:tab w:val="right" w:leader="dot" w:pos="9016"/>
            </w:tabs>
            <w:spacing w:line="360" w:lineRule="auto"/>
            <w:jc w:val="both"/>
            <w:rPr>
              <w:rFonts w:ascii="Times New Roman" w:hAnsi="Times New Roman" w:cs="Times New Roman"/>
              <w:noProof/>
              <w:sz w:val="24"/>
              <w:szCs w:val="24"/>
            </w:rPr>
          </w:pPr>
          <w:hyperlink w:anchor="_Toc112961483" w:history="1">
            <w:r w:rsidRPr="00CA51A1">
              <w:rPr>
                <w:rStyle w:val="Hyperlink"/>
                <w:rFonts w:ascii="Times New Roman" w:hAnsi="Times New Roman" w:cs="Times New Roman"/>
                <w:noProof/>
                <w:sz w:val="24"/>
                <w:szCs w:val="24"/>
              </w:rPr>
              <w:t>(i) Monthly control report reflecting flexed budget, original budget, and variances</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_Toc112961483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4</w:t>
            </w:r>
            <w:r w:rsidRPr="00CA51A1">
              <w:rPr>
                <w:rFonts w:ascii="Times New Roman" w:hAnsi="Times New Roman" w:cs="Times New Roman"/>
                <w:noProof/>
                <w:webHidden/>
                <w:sz w:val="24"/>
                <w:szCs w:val="24"/>
              </w:rPr>
              <w:fldChar w:fldCharType="end"/>
            </w:r>
          </w:hyperlink>
        </w:p>
        <w:p w14:paraId="559E1E7B" w14:textId="248A1C6E" w:rsidR="00CA51A1" w:rsidRPr="00CA51A1" w:rsidRDefault="00CA51A1" w:rsidP="00CA51A1">
          <w:pPr>
            <w:pStyle w:val="TOC2"/>
            <w:tabs>
              <w:tab w:val="right" w:leader="dot" w:pos="9016"/>
            </w:tabs>
            <w:spacing w:line="360" w:lineRule="auto"/>
            <w:jc w:val="both"/>
            <w:rPr>
              <w:rFonts w:ascii="Times New Roman" w:hAnsi="Times New Roman" w:cs="Times New Roman"/>
              <w:noProof/>
              <w:sz w:val="24"/>
              <w:szCs w:val="24"/>
            </w:rPr>
          </w:pPr>
          <w:hyperlink w:anchor="_Toc112961484" w:history="1">
            <w:r w:rsidRPr="00CA51A1">
              <w:rPr>
                <w:rStyle w:val="Hyperlink"/>
                <w:rFonts w:ascii="Times New Roman" w:hAnsi="Times New Roman" w:cs="Times New Roman"/>
                <w:noProof/>
                <w:sz w:val="24"/>
                <w:szCs w:val="24"/>
              </w:rPr>
              <w:t>(ii) Report associated with Amana's performance during the period 2020</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_Toc112961484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5</w:t>
            </w:r>
            <w:r w:rsidRPr="00CA51A1">
              <w:rPr>
                <w:rFonts w:ascii="Times New Roman" w:hAnsi="Times New Roman" w:cs="Times New Roman"/>
                <w:noProof/>
                <w:webHidden/>
                <w:sz w:val="24"/>
                <w:szCs w:val="24"/>
              </w:rPr>
              <w:fldChar w:fldCharType="end"/>
            </w:r>
          </w:hyperlink>
        </w:p>
        <w:p w14:paraId="2E043CD6" w14:textId="0AC22309" w:rsidR="00CA51A1" w:rsidRPr="00CA51A1" w:rsidRDefault="00CA51A1" w:rsidP="00CA51A1">
          <w:pPr>
            <w:pStyle w:val="TOC2"/>
            <w:tabs>
              <w:tab w:val="right" w:leader="dot" w:pos="9016"/>
            </w:tabs>
            <w:spacing w:line="360" w:lineRule="auto"/>
            <w:jc w:val="both"/>
            <w:rPr>
              <w:rFonts w:ascii="Times New Roman" w:hAnsi="Times New Roman" w:cs="Times New Roman"/>
              <w:noProof/>
              <w:sz w:val="24"/>
              <w:szCs w:val="24"/>
            </w:rPr>
          </w:pPr>
          <w:hyperlink w:anchor="_Toc112961485" w:history="1">
            <w:r w:rsidRPr="00CA51A1">
              <w:rPr>
                <w:rStyle w:val="Hyperlink"/>
                <w:rFonts w:ascii="Times New Roman" w:hAnsi="Times New Roman" w:cs="Times New Roman"/>
                <w:noProof/>
                <w:sz w:val="24"/>
                <w:szCs w:val="24"/>
              </w:rPr>
              <w:t>(iii) Recommendations on improvement areas to the CEO of Amana</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_Toc112961485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7</w:t>
            </w:r>
            <w:r w:rsidRPr="00CA51A1">
              <w:rPr>
                <w:rFonts w:ascii="Times New Roman" w:hAnsi="Times New Roman" w:cs="Times New Roman"/>
                <w:noProof/>
                <w:webHidden/>
                <w:sz w:val="24"/>
                <w:szCs w:val="24"/>
              </w:rPr>
              <w:fldChar w:fldCharType="end"/>
            </w:r>
          </w:hyperlink>
        </w:p>
        <w:p w14:paraId="739EA3A6" w14:textId="7A1BCEBD" w:rsidR="00CA51A1" w:rsidRPr="00CA51A1" w:rsidRDefault="00CA51A1" w:rsidP="00CA51A1">
          <w:pPr>
            <w:pStyle w:val="TOC1"/>
            <w:tabs>
              <w:tab w:val="right" w:leader="dot" w:pos="9016"/>
            </w:tabs>
            <w:spacing w:line="360" w:lineRule="auto"/>
            <w:jc w:val="both"/>
            <w:rPr>
              <w:rFonts w:ascii="Times New Roman" w:hAnsi="Times New Roman" w:cs="Times New Roman"/>
              <w:noProof/>
              <w:sz w:val="24"/>
              <w:szCs w:val="24"/>
            </w:rPr>
          </w:pPr>
          <w:hyperlink w:anchor="_Toc112961486" w:history="1">
            <w:r w:rsidRPr="00CA51A1">
              <w:rPr>
                <w:rStyle w:val="Hyperlink"/>
                <w:rFonts w:ascii="Times New Roman" w:hAnsi="Times New Roman" w:cs="Times New Roman"/>
                <w:noProof/>
                <w:sz w:val="24"/>
                <w:szCs w:val="24"/>
              </w:rPr>
              <w:t>Part B</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_Toc112961486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8</w:t>
            </w:r>
            <w:r w:rsidRPr="00CA51A1">
              <w:rPr>
                <w:rFonts w:ascii="Times New Roman" w:hAnsi="Times New Roman" w:cs="Times New Roman"/>
                <w:noProof/>
                <w:webHidden/>
                <w:sz w:val="24"/>
                <w:szCs w:val="24"/>
              </w:rPr>
              <w:fldChar w:fldCharType="end"/>
            </w:r>
          </w:hyperlink>
        </w:p>
        <w:p w14:paraId="27F90334" w14:textId="73FC1343" w:rsidR="00CA51A1" w:rsidRPr="00CA51A1" w:rsidRDefault="00CA51A1" w:rsidP="00CA51A1">
          <w:pPr>
            <w:pStyle w:val="TOC2"/>
            <w:tabs>
              <w:tab w:val="right" w:leader="dot" w:pos="9016"/>
            </w:tabs>
            <w:spacing w:line="360" w:lineRule="auto"/>
            <w:jc w:val="both"/>
            <w:rPr>
              <w:rFonts w:ascii="Times New Roman" w:hAnsi="Times New Roman" w:cs="Times New Roman"/>
              <w:noProof/>
              <w:sz w:val="24"/>
              <w:szCs w:val="24"/>
            </w:rPr>
          </w:pPr>
          <w:hyperlink w:anchor="_Toc112961487" w:history="1">
            <w:r w:rsidRPr="00CA51A1">
              <w:rPr>
                <w:rStyle w:val="Hyperlink"/>
                <w:rFonts w:ascii="Times New Roman" w:hAnsi="Times New Roman" w:cs="Times New Roman"/>
                <w:noProof/>
                <w:sz w:val="24"/>
                <w:szCs w:val="24"/>
              </w:rPr>
              <w:t>Evaluation decision of Mr. Amana to go online</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_Toc112961487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8</w:t>
            </w:r>
            <w:r w:rsidRPr="00CA51A1">
              <w:rPr>
                <w:rFonts w:ascii="Times New Roman" w:hAnsi="Times New Roman" w:cs="Times New Roman"/>
                <w:noProof/>
                <w:webHidden/>
                <w:sz w:val="24"/>
                <w:szCs w:val="24"/>
              </w:rPr>
              <w:fldChar w:fldCharType="end"/>
            </w:r>
          </w:hyperlink>
        </w:p>
        <w:p w14:paraId="16FCAAF3" w14:textId="23D2487B" w:rsidR="00CA51A1" w:rsidRPr="00CA51A1" w:rsidRDefault="00CA51A1" w:rsidP="00CA51A1">
          <w:pPr>
            <w:pStyle w:val="TOC2"/>
            <w:tabs>
              <w:tab w:val="right" w:leader="dot" w:pos="9016"/>
            </w:tabs>
            <w:spacing w:line="360" w:lineRule="auto"/>
            <w:jc w:val="both"/>
            <w:rPr>
              <w:rFonts w:ascii="Times New Roman" w:hAnsi="Times New Roman" w:cs="Times New Roman"/>
              <w:noProof/>
              <w:sz w:val="24"/>
              <w:szCs w:val="24"/>
            </w:rPr>
          </w:pPr>
          <w:hyperlink w:anchor="_Toc112961488" w:history="1">
            <w:r w:rsidRPr="00CA51A1">
              <w:rPr>
                <w:rStyle w:val="Hyperlink"/>
                <w:rFonts w:ascii="Times New Roman" w:hAnsi="Times New Roman" w:cs="Times New Roman"/>
                <w:noProof/>
                <w:sz w:val="24"/>
                <w:szCs w:val="24"/>
              </w:rPr>
              <w:t>Advice whether to sell on Amazon or set up their online shop</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_Toc112961488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9</w:t>
            </w:r>
            <w:r w:rsidRPr="00CA51A1">
              <w:rPr>
                <w:rFonts w:ascii="Times New Roman" w:hAnsi="Times New Roman" w:cs="Times New Roman"/>
                <w:noProof/>
                <w:webHidden/>
                <w:sz w:val="24"/>
                <w:szCs w:val="24"/>
              </w:rPr>
              <w:fldChar w:fldCharType="end"/>
            </w:r>
          </w:hyperlink>
        </w:p>
        <w:p w14:paraId="7636E392" w14:textId="60E6EBBD" w:rsidR="00CA51A1" w:rsidRPr="00CA51A1" w:rsidRDefault="00CA51A1" w:rsidP="00CA51A1">
          <w:pPr>
            <w:pStyle w:val="TOC1"/>
            <w:tabs>
              <w:tab w:val="right" w:leader="dot" w:pos="9016"/>
            </w:tabs>
            <w:spacing w:line="360" w:lineRule="auto"/>
            <w:jc w:val="both"/>
            <w:rPr>
              <w:rFonts w:ascii="Times New Roman" w:hAnsi="Times New Roman" w:cs="Times New Roman"/>
              <w:noProof/>
              <w:sz w:val="24"/>
              <w:szCs w:val="24"/>
            </w:rPr>
          </w:pPr>
          <w:hyperlink w:anchor="_Toc112961489" w:history="1">
            <w:r w:rsidRPr="00CA51A1">
              <w:rPr>
                <w:rStyle w:val="Hyperlink"/>
                <w:rFonts w:ascii="Times New Roman" w:hAnsi="Times New Roman" w:cs="Times New Roman"/>
                <w:noProof/>
                <w:sz w:val="24"/>
                <w:szCs w:val="24"/>
              </w:rPr>
              <w:t>Conclusion</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_Toc112961489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10</w:t>
            </w:r>
            <w:r w:rsidRPr="00CA51A1">
              <w:rPr>
                <w:rFonts w:ascii="Times New Roman" w:hAnsi="Times New Roman" w:cs="Times New Roman"/>
                <w:noProof/>
                <w:webHidden/>
                <w:sz w:val="24"/>
                <w:szCs w:val="24"/>
              </w:rPr>
              <w:fldChar w:fldCharType="end"/>
            </w:r>
          </w:hyperlink>
        </w:p>
        <w:p w14:paraId="32C55A31" w14:textId="41866500" w:rsidR="00CA51A1" w:rsidRPr="00CA51A1" w:rsidRDefault="00CA51A1" w:rsidP="00CA51A1">
          <w:pPr>
            <w:pStyle w:val="TOC1"/>
            <w:tabs>
              <w:tab w:val="right" w:leader="dot" w:pos="9016"/>
            </w:tabs>
            <w:spacing w:line="360" w:lineRule="auto"/>
            <w:jc w:val="both"/>
            <w:rPr>
              <w:rFonts w:ascii="Times New Roman" w:hAnsi="Times New Roman" w:cs="Times New Roman"/>
              <w:noProof/>
              <w:sz w:val="24"/>
              <w:szCs w:val="24"/>
            </w:rPr>
          </w:pPr>
          <w:hyperlink w:anchor="_Toc112961490" w:history="1">
            <w:r w:rsidRPr="00CA51A1">
              <w:rPr>
                <w:rStyle w:val="Hyperlink"/>
                <w:rFonts w:ascii="Times New Roman" w:hAnsi="Times New Roman" w:cs="Times New Roman"/>
                <w:noProof/>
                <w:sz w:val="24"/>
                <w:szCs w:val="24"/>
              </w:rPr>
              <w:t>Reference List</w:t>
            </w:r>
            <w:r w:rsidRPr="00CA51A1">
              <w:rPr>
                <w:rFonts w:ascii="Times New Roman" w:hAnsi="Times New Roman" w:cs="Times New Roman"/>
                <w:noProof/>
                <w:webHidden/>
                <w:sz w:val="24"/>
                <w:szCs w:val="24"/>
              </w:rPr>
              <w:tab/>
            </w:r>
            <w:r w:rsidRPr="00CA51A1">
              <w:rPr>
                <w:rFonts w:ascii="Times New Roman" w:hAnsi="Times New Roman" w:cs="Times New Roman"/>
                <w:noProof/>
                <w:webHidden/>
                <w:sz w:val="24"/>
                <w:szCs w:val="24"/>
              </w:rPr>
              <w:fldChar w:fldCharType="begin"/>
            </w:r>
            <w:r w:rsidRPr="00CA51A1">
              <w:rPr>
                <w:rFonts w:ascii="Times New Roman" w:hAnsi="Times New Roman" w:cs="Times New Roman"/>
                <w:noProof/>
                <w:webHidden/>
                <w:sz w:val="24"/>
                <w:szCs w:val="24"/>
              </w:rPr>
              <w:instrText xml:space="preserve"> PAGEREF _Toc112961490 \h </w:instrText>
            </w:r>
            <w:r w:rsidRPr="00CA51A1">
              <w:rPr>
                <w:rFonts w:ascii="Times New Roman" w:hAnsi="Times New Roman" w:cs="Times New Roman"/>
                <w:noProof/>
                <w:webHidden/>
                <w:sz w:val="24"/>
                <w:szCs w:val="24"/>
              </w:rPr>
            </w:r>
            <w:r w:rsidRPr="00CA51A1">
              <w:rPr>
                <w:rFonts w:ascii="Times New Roman" w:hAnsi="Times New Roman" w:cs="Times New Roman"/>
                <w:noProof/>
                <w:webHidden/>
                <w:sz w:val="24"/>
                <w:szCs w:val="24"/>
              </w:rPr>
              <w:fldChar w:fldCharType="separate"/>
            </w:r>
            <w:r w:rsidRPr="00CA51A1">
              <w:rPr>
                <w:rFonts w:ascii="Times New Roman" w:hAnsi="Times New Roman" w:cs="Times New Roman"/>
                <w:noProof/>
                <w:webHidden/>
                <w:sz w:val="24"/>
                <w:szCs w:val="24"/>
              </w:rPr>
              <w:t>11</w:t>
            </w:r>
            <w:r w:rsidRPr="00CA51A1">
              <w:rPr>
                <w:rFonts w:ascii="Times New Roman" w:hAnsi="Times New Roman" w:cs="Times New Roman"/>
                <w:noProof/>
                <w:webHidden/>
                <w:sz w:val="24"/>
                <w:szCs w:val="24"/>
              </w:rPr>
              <w:fldChar w:fldCharType="end"/>
            </w:r>
          </w:hyperlink>
        </w:p>
        <w:p w14:paraId="4D3A7146" w14:textId="5BDD88F7" w:rsidR="00CA51A1" w:rsidRPr="00CA51A1" w:rsidRDefault="00CA51A1" w:rsidP="00CA51A1">
          <w:pPr>
            <w:spacing w:line="360" w:lineRule="auto"/>
            <w:jc w:val="both"/>
            <w:rPr>
              <w:rFonts w:ascii="Times New Roman" w:hAnsi="Times New Roman" w:cs="Times New Roman"/>
              <w:sz w:val="24"/>
              <w:szCs w:val="24"/>
            </w:rPr>
          </w:pPr>
          <w:r w:rsidRPr="00CA51A1">
            <w:rPr>
              <w:rFonts w:ascii="Times New Roman" w:hAnsi="Times New Roman" w:cs="Times New Roman"/>
              <w:b/>
              <w:bCs/>
              <w:noProof/>
              <w:sz w:val="24"/>
              <w:szCs w:val="24"/>
            </w:rPr>
            <w:fldChar w:fldCharType="end"/>
          </w:r>
        </w:p>
      </w:sdtContent>
    </w:sdt>
    <w:p w14:paraId="0F53AF67" w14:textId="77777777" w:rsidR="009D2FE8" w:rsidRPr="006C3726" w:rsidRDefault="009D2FE8" w:rsidP="006C3726">
      <w:pPr>
        <w:spacing w:line="360" w:lineRule="auto"/>
        <w:jc w:val="both"/>
        <w:rPr>
          <w:rFonts w:ascii="Times New Roman" w:hAnsi="Times New Roman" w:cs="Times New Roman"/>
          <w:sz w:val="24"/>
          <w:szCs w:val="24"/>
        </w:rPr>
      </w:pPr>
    </w:p>
    <w:p w14:paraId="3CEB7A51" w14:textId="77777777" w:rsidR="006C3726" w:rsidRDefault="00000000">
      <w:pPr>
        <w:rPr>
          <w:rFonts w:ascii="Times New Roman" w:hAnsi="Times New Roman" w:cs="Times New Roman"/>
          <w:b/>
          <w:bCs/>
          <w:sz w:val="24"/>
          <w:szCs w:val="24"/>
        </w:rPr>
      </w:pPr>
      <w:r>
        <w:rPr>
          <w:rFonts w:ascii="Times New Roman" w:hAnsi="Times New Roman" w:cs="Times New Roman"/>
          <w:b/>
          <w:bCs/>
          <w:sz w:val="24"/>
          <w:szCs w:val="24"/>
        </w:rPr>
        <w:br w:type="page"/>
      </w:r>
    </w:p>
    <w:p w14:paraId="19409A6B" w14:textId="665A9AA4" w:rsidR="00252D31" w:rsidRPr="006C3726" w:rsidRDefault="00000000" w:rsidP="006C3726">
      <w:pPr>
        <w:pStyle w:val="Heading1"/>
      </w:pPr>
      <w:bookmarkStart w:id="1" w:name="_Toc112961481"/>
      <w:r w:rsidRPr="006C3726">
        <w:t>Introduction</w:t>
      </w:r>
      <w:bookmarkEnd w:id="1"/>
      <w:r w:rsidR="00E954DE" w:rsidRPr="006C3726">
        <w:t xml:space="preserve"> </w:t>
      </w:r>
    </w:p>
    <w:p w14:paraId="6D9C7275" w14:textId="77777777" w:rsidR="00661F2A" w:rsidRPr="006C3726" w:rsidRDefault="00000000" w:rsidP="006C3726">
      <w:pPr>
        <w:pStyle w:val="NormalWeb"/>
        <w:spacing w:before="240" w:beforeAutospacing="0" w:after="240" w:afterAutospacing="0" w:line="360" w:lineRule="auto"/>
        <w:jc w:val="both"/>
      </w:pPr>
      <w:r w:rsidRPr="006C3726">
        <w:rPr>
          <w:color w:val="000000"/>
        </w:rPr>
        <w:t>The concept of "management accounting" signifies the process of observing, evaluating, measuring, and interpreting accounting knowledge to ensure sound financial decisions by business leaders. The assignment is developing to implement the implication of management accounting concern to the provided case study scenario of Amana Ltd.</w:t>
      </w:r>
    </w:p>
    <w:p w14:paraId="6CE9ED18" w14:textId="3112A3D6" w:rsidR="00252D31" w:rsidRPr="006C3726" w:rsidRDefault="00000000" w:rsidP="006C3726">
      <w:pPr>
        <w:pStyle w:val="Heading1"/>
      </w:pPr>
      <w:bookmarkStart w:id="2" w:name="_Toc112961482"/>
      <w:r w:rsidRPr="006C3726">
        <w:t>Part A</w:t>
      </w:r>
      <w:bookmarkEnd w:id="2"/>
      <w:r w:rsidR="00E954DE" w:rsidRPr="006C3726">
        <w:t xml:space="preserve"> </w:t>
      </w:r>
    </w:p>
    <w:p w14:paraId="41B4ED92" w14:textId="51451432" w:rsidR="00252D31" w:rsidRPr="006C3726" w:rsidRDefault="00000000" w:rsidP="006C3726">
      <w:pPr>
        <w:pStyle w:val="Heading2"/>
      </w:pPr>
      <w:bookmarkStart w:id="3" w:name="_Toc112961483"/>
      <w:r w:rsidRPr="006C3726">
        <w:t xml:space="preserve">(i) </w:t>
      </w:r>
      <w:r w:rsidR="00664CB5" w:rsidRPr="006C3726">
        <w:t>Monthly control report reflecting flexed budget, original budget, and variances</w:t>
      </w:r>
      <w:bookmarkEnd w:id="3"/>
    </w:p>
    <w:p w14:paraId="6224A345" w14:textId="4B8D9CCA" w:rsidR="003B7017" w:rsidRPr="006C3726" w:rsidRDefault="00000000" w:rsidP="006C3726">
      <w:pPr>
        <w:pStyle w:val="NormalWeb"/>
        <w:spacing w:before="240" w:beforeAutospacing="0" w:after="240" w:afterAutospacing="0" w:line="360" w:lineRule="auto"/>
        <w:jc w:val="both"/>
      </w:pPr>
      <w:r w:rsidRPr="006C3726">
        <w:rPr>
          <w:color w:val="000000"/>
        </w:rPr>
        <w:t>The control report is recognised as the management's report that contributes to reflecting the management's evaluation of the internal control's effectiveness of an issuer over the financial reporting. Referring to the provided case study scenario of Amana Ltd, the monthly control report is developing in the form of a report that contributes to accessing and reviewing the corporation's operational and financial performance on a month-to-month basis</w:t>
      </w:r>
      <w:r w:rsidR="00F76078">
        <w:rPr>
          <w:color w:val="000000"/>
        </w:rPr>
        <w:t xml:space="preserve"> (</w:t>
      </w:r>
      <w:proofErr w:type="spellStart"/>
      <w:r w:rsidR="00F76078" w:rsidRPr="001E58E3">
        <w:rPr>
          <w:color w:val="222222"/>
          <w:shd w:val="clear" w:color="auto" w:fill="FFFFFF"/>
        </w:rPr>
        <w:t>Alsharari</w:t>
      </w:r>
      <w:proofErr w:type="spellEnd"/>
      <w:r w:rsidR="00F76078" w:rsidRPr="001E58E3">
        <w:rPr>
          <w:color w:val="222222"/>
          <w:shd w:val="clear" w:color="auto" w:fill="FFFFFF"/>
        </w:rPr>
        <w:t>,</w:t>
      </w:r>
      <w:r w:rsidR="00F76078">
        <w:rPr>
          <w:color w:val="222222"/>
          <w:shd w:val="clear" w:color="auto" w:fill="FFFFFF"/>
        </w:rPr>
        <w:t xml:space="preserve"> </w:t>
      </w:r>
      <w:r w:rsidR="00F76078" w:rsidRPr="001E58E3">
        <w:rPr>
          <w:color w:val="222222"/>
          <w:shd w:val="clear" w:color="auto" w:fill="FFFFFF"/>
        </w:rPr>
        <w:t>2019</w:t>
      </w:r>
      <w:r w:rsidR="00F76078">
        <w:rPr>
          <w:color w:val="222222"/>
          <w:shd w:val="clear" w:color="auto" w:fill="FFFFFF"/>
        </w:rPr>
        <w:t>)</w:t>
      </w:r>
      <w:r w:rsidRPr="006C3726">
        <w:rPr>
          <w:color w:val="000000"/>
        </w:rPr>
        <w:t>. Concerning the generated budgeted information of Amana Ltd for the specific operational or financial period, the control report reflects the corporation's original budget, actual or flexed budget, and subsequent variances for each of the presented items. However, figures to develop the monthly control report of Amana Ltd are determined to remain based on average predictions specifically incurred in manufacturing a mix of souvenirs. Hence, the control report of Amana Ltd for the specific period relative to the provided financial information is illustrated below.</w:t>
      </w:r>
    </w:p>
    <w:tbl>
      <w:tblPr>
        <w:tblW w:w="10346" w:type="dxa"/>
        <w:tblInd w:w="-622" w:type="dxa"/>
        <w:tblLook w:val="04A0" w:firstRow="1" w:lastRow="0" w:firstColumn="1" w:lastColumn="0" w:noHBand="0" w:noVBand="1"/>
      </w:tblPr>
      <w:tblGrid>
        <w:gridCol w:w="3169"/>
        <w:gridCol w:w="2410"/>
        <w:gridCol w:w="2134"/>
        <w:gridCol w:w="1243"/>
        <w:gridCol w:w="1390"/>
      </w:tblGrid>
      <w:tr w:rsidR="00ED2713" w14:paraId="2CF43E09" w14:textId="77777777" w:rsidTr="00F426D0">
        <w:trPr>
          <w:trHeight w:val="312"/>
        </w:trPr>
        <w:tc>
          <w:tcPr>
            <w:tcW w:w="10346"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968835" w14:textId="0AAD08BF"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Monthly Control Report</w:t>
            </w:r>
          </w:p>
        </w:tc>
      </w:tr>
      <w:tr w:rsidR="00ED2713" w14:paraId="567D1C24"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30FC9E83" w14:textId="77777777" w:rsidR="0003227F" w:rsidRPr="006C3726" w:rsidRDefault="00000000" w:rsidP="006C3726">
            <w:pPr>
              <w:spacing w:after="0" w:line="360" w:lineRule="auto"/>
              <w:jc w:val="both"/>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 xml:space="preserve">Particulars </w:t>
            </w:r>
          </w:p>
        </w:tc>
        <w:tc>
          <w:tcPr>
            <w:tcW w:w="2410" w:type="dxa"/>
            <w:tcBorders>
              <w:top w:val="nil"/>
              <w:left w:val="nil"/>
              <w:bottom w:val="single" w:sz="4" w:space="0" w:color="auto"/>
              <w:right w:val="single" w:sz="4" w:space="0" w:color="auto"/>
            </w:tcBorders>
            <w:shd w:val="clear" w:color="auto" w:fill="auto"/>
            <w:noWrap/>
            <w:vAlign w:val="bottom"/>
            <w:hideMark/>
          </w:tcPr>
          <w:p w14:paraId="6659C6C1"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Original Budget (£)</w:t>
            </w:r>
          </w:p>
        </w:tc>
        <w:tc>
          <w:tcPr>
            <w:tcW w:w="2134" w:type="dxa"/>
            <w:tcBorders>
              <w:top w:val="nil"/>
              <w:left w:val="nil"/>
              <w:bottom w:val="single" w:sz="4" w:space="0" w:color="auto"/>
              <w:right w:val="single" w:sz="4" w:space="0" w:color="auto"/>
            </w:tcBorders>
            <w:shd w:val="clear" w:color="auto" w:fill="auto"/>
            <w:noWrap/>
            <w:vAlign w:val="bottom"/>
            <w:hideMark/>
          </w:tcPr>
          <w:p w14:paraId="1D2AB8AD"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Flexed Budget (£)</w:t>
            </w:r>
          </w:p>
        </w:tc>
        <w:tc>
          <w:tcPr>
            <w:tcW w:w="1243" w:type="dxa"/>
            <w:tcBorders>
              <w:top w:val="nil"/>
              <w:left w:val="nil"/>
              <w:bottom w:val="single" w:sz="4" w:space="0" w:color="auto"/>
              <w:right w:val="single" w:sz="4" w:space="0" w:color="auto"/>
            </w:tcBorders>
            <w:shd w:val="clear" w:color="auto" w:fill="auto"/>
            <w:noWrap/>
            <w:vAlign w:val="bottom"/>
            <w:hideMark/>
          </w:tcPr>
          <w:p w14:paraId="0AFB812B" w14:textId="2B354D72"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Variances</w:t>
            </w:r>
          </w:p>
        </w:tc>
        <w:tc>
          <w:tcPr>
            <w:tcW w:w="1390" w:type="dxa"/>
            <w:tcBorders>
              <w:top w:val="nil"/>
              <w:left w:val="nil"/>
              <w:bottom w:val="single" w:sz="4" w:space="0" w:color="auto"/>
              <w:right w:val="single" w:sz="4" w:space="0" w:color="auto"/>
            </w:tcBorders>
            <w:shd w:val="clear" w:color="auto" w:fill="auto"/>
            <w:noWrap/>
            <w:vAlign w:val="bottom"/>
            <w:hideMark/>
          </w:tcPr>
          <w:p w14:paraId="6D970A90" w14:textId="36E8E1E3"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Comment</w:t>
            </w:r>
          </w:p>
        </w:tc>
      </w:tr>
      <w:tr w:rsidR="00ED2713" w14:paraId="68CAA7BF"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18AD653A" w14:textId="77777777" w:rsidR="0003227F" w:rsidRPr="006C3726" w:rsidRDefault="00000000" w:rsidP="006C3726">
            <w:pPr>
              <w:spacing w:after="0" w:line="360" w:lineRule="auto"/>
              <w:jc w:val="both"/>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 xml:space="preserve">Selling price </w:t>
            </w:r>
          </w:p>
        </w:tc>
        <w:tc>
          <w:tcPr>
            <w:tcW w:w="2410" w:type="dxa"/>
            <w:tcBorders>
              <w:top w:val="nil"/>
              <w:left w:val="nil"/>
              <w:bottom w:val="single" w:sz="4" w:space="0" w:color="auto"/>
              <w:right w:val="single" w:sz="4" w:space="0" w:color="auto"/>
            </w:tcBorders>
            <w:shd w:val="clear" w:color="auto" w:fill="auto"/>
            <w:noWrap/>
            <w:vAlign w:val="bottom"/>
            <w:hideMark/>
          </w:tcPr>
          <w:p w14:paraId="4F1114DF"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25</w:t>
            </w:r>
          </w:p>
        </w:tc>
        <w:tc>
          <w:tcPr>
            <w:tcW w:w="2134" w:type="dxa"/>
            <w:tcBorders>
              <w:top w:val="nil"/>
              <w:left w:val="nil"/>
              <w:bottom w:val="single" w:sz="4" w:space="0" w:color="auto"/>
              <w:right w:val="single" w:sz="4" w:space="0" w:color="auto"/>
            </w:tcBorders>
            <w:shd w:val="clear" w:color="auto" w:fill="auto"/>
            <w:noWrap/>
            <w:vAlign w:val="bottom"/>
            <w:hideMark/>
          </w:tcPr>
          <w:p w14:paraId="5D5A8EB2"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20</w:t>
            </w:r>
          </w:p>
        </w:tc>
        <w:tc>
          <w:tcPr>
            <w:tcW w:w="1243" w:type="dxa"/>
            <w:tcBorders>
              <w:top w:val="nil"/>
              <w:left w:val="nil"/>
              <w:bottom w:val="single" w:sz="4" w:space="0" w:color="auto"/>
              <w:right w:val="single" w:sz="4" w:space="0" w:color="auto"/>
            </w:tcBorders>
            <w:shd w:val="clear" w:color="auto" w:fill="auto"/>
            <w:noWrap/>
            <w:vAlign w:val="bottom"/>
            <w:hideMark/>
          </w:tcPr>
          <w:p w14:paraId="76211AC7"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5</w:t>
            </w:r>
          </w:p>
        </w:tc>
        <w:tc>
          <w:tcPr>
            <w:tcW w:w="1390" w:type="dxa"/>
            <w:tcBorders>
              <w:top w:val="nil"/>
              <w:left w:val="nil"/>
              <w:bottom w:val="single" w:sz="4" w:space="0" w:color="auto"/>
              <w:right w:val="single" w:sz="4" w:space="0" w:color="auto"/>
            </w:tcBorders>
            <w:shd w:val="clear" w:color="auto" w:fill="auto"/>
            <w:noWrap/>
            <w:vAlign w:val="bottom"/>
            <w:hideMark/>
          </w:tcPr>
          <w:p w14:paraId="6F0D3582" w14:textId="1F2E8248"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Adverse</w:t>
            </w:r>
          </w:p>
        </w:tc>
      </w:tr>
      <w:tr w:rsidR="00ED2713" w14:paraId="43E5E744"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41923D67" w14:textId="77777777" w:rsidR="0003227F" w:rsidRPr="006C3726" w:rsidRDefault="00000000" w:rsidP="006C3726">
            <w:pPr>
              <w:spacing w:after="0" w:line="360" w:lineRule="auto"/>
              <w:jc w:val="both"/>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 xml:space="preserve">Units </w:t>
            </w:r>
          </w:p>
        </w:tc>
        <w:tc>
          <w:tcPr>
            <w:tcW w:w="2410" w:type="dxa"/>
            <w:tcBorders>
              <w:top w:val="nil"/>
              <w:left w:val="nil"/>
              <w:bottom w:val="single" w:sz="4" w:space="0" w:color="auto"/>
              <w:right w:val="single" w:sz="4" w:space="0" w:color="auto"/>
            </w:tcBorders>
            <w:shd w:val="clear" w:color="auto" w:fill="auto"/>
            <w:noWrap/>
            <w:vAlign w:val="bottom"/>
            <w:hideMark/>
          </w:tcPr>
          <w:p w14:paraId="224A6B4A"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100000</w:t>
            </w:r>
          </w:p>
        </w:tc>
        <w:tc>
          <w:tcPr>
            <w:tcW w:w="2134" w:type="dxa"/>
            <w:tcBorders>
              <w:top w:val="nil"/>
              <w:left w:val="nil"/>
              <w:bottom w:val="single" w:sz="4" w:space="0" w:color="auto"/>
              <w:right w:val="single" w:sz="4" w:space="0" w:color="auto"/>
            </w:tcBorders>
            <w:shd w:val="clear" w:color="auto" w:fill="auto"/>
            <w:noWrap/>
            <w:vAlign w:val="bottom"/>
            <w:hideMark/>
          </w:tcPr>
          <w:p w14:paraId="1C02CBAE"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80000</w:t>
            </w:r>
          </w:p>
        </w:tc>
        <w:tc>
          <w:tcPr>
            <w:tcW w:w="1243" w:type="dxa"/>
            <w:tcBorders>
              <w:top w:val="nil"/>
              <w:left w:val="nil"/>
              <w:bottom w:val="single" w:sz="4" w:space="0" w:color="auto"/>
              <w:right w:val="single" w:sz="4" w:space="0" w:color="auto"/>
            </w:tcBorders>
            <w:shd w:val="clear" w:color="auto" w:fill="auto"/>
            <w:noWrap/>
            <w:vAlign w:val="bottom"/>
            <w:hideMark/>
          </w:tcPr>
          <w:p w14:paraId="324C84DD"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20000</w:t>
            </w:r>
          </w:p>
        </w:tc>
        <w:tc>
          <w:tcPr>
            <w:tcW w:w="1390" w:type="dxa"/>
            <w:tcBorders>
              <w:top w:val="nil"/>
              <w:left w:val="nil"/>
              <w:bottom w:val="single" w:sz="4" w:space="0" w:color="auto"/>
              <w:right w:val="single" w:sz="4" w:space="0" w:color="auto"/>
            </w:tcBorders>
            <w:shd w:val="clear" w:color="auto" w:fill="auto"/>
            <w:noWrap/>
            <w:vAlign w:val="bottom"/>
            <w:hideMark/>
          </w:tcPr>
          <w:p w14:paraId="3C91E408" w14:textId="5648BC34"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Adverse</w:t>
            </w:r>
          </w:p>
        </w:tc>
      </w:tr>
      <w:tr w:rsidR="00ED2713" w14:paraId="5F297856"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65E5E5CE" w14:textId="77777777" w:rsidR="0003227F" w:rsidRPr="006C3726" w:rsidRDefault="00000000" w:rsidP="006C3726">
            <w:pPr>
              <w:spacing w:after="0" w:line="360" w:lineRule="auto"/>
              <w:jc w:val="both"/>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 xml:space="preserve">Sales </w:t>
            </w:r>
          </w:p>
        </w:tc>
        <w:tc>
          <w:tcPr>
            <w:tcW w:w="2410" w:type="dxa"/>
            <w:tcBorders>
              <w:top w:val="nil"/>
              <w:left w:val="nil"/>
              <w:bottom w:val="single" w:sz="4" w:space="0" w:color="auto"/>
              <w:right w:val="single" w:sz="4" w:space="0" w:color="auto"/>
            </w:tcBorders>
            <w:shd w:val="clear" w:color="auto" w:fill="auto"/>
            <w:noWrap/>
            <w:vAlign w:val="bottom"/>
            <w:hideMark/>
          </w:tcPr>
          <w:p w14:paraId="3FAE0254"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2500000</w:t>
            </w:r>
          </w:p>
        </w:tc>
        <w:tc>
          <w:tcPr>
            <w:tcW w:w="2134" w:type="dxa"/>
            <w:tcBorders>
              <w:top w:val="nil"/>
              <w:left w:val="nil"/>
              <w:bottom w:val="single" w:sz="4" w:space="0" w:color="auto"/>
              <w:right w:val="single" w:sz="4" w:space="0" w:color="auto"/>
            </w:tcBorders>
            <w:shd w:val="clear" w:color="auto" w:fill="auto"/>
            <w:noWrap/>
            <w:vAlign w:val="bottom"/>
            <w:hideMark/>
          </w:tcPr>
          <w:p w14:paraId="119C18F9"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1600000</w:t>
            </w:r>
          </w:p>
        </w:tc>
        <w:tc>
          <w:tcPr>
            <w:tcW w:w="1243" w:type="dxa"/>
            <w:tcBorders>
              <w:top w:val="nil"/>
              <w:left w:val="nil"/>
              <w:bottom w:val="single" w:sz="4" w:space="0" w:color="auto"/>
              <w:right w:val="single" w:sz="4" w:space="0" w:color="auto"/>
            </w:tcBorders>
            <w:shd w:val="clear" w:color="auto" w:fill="auto"/>
            <w:noWrap/>
            <w:vAlign w:val="bottom"/>
            <w:hideMark/>
          </w:tcPr>
          <w:p w14:paraId="2C76D4BC"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900000</w:t>
            </w:r>
          </w:p>
        </w:tc>
        <w:tc>
          <w:tcPr>
            <w:tcW w:w="1390" w:type="dxa"/>
            <w:tcBorders>
              <w:top w:val="nil"/>
              <w:left w:val="nil"/>
              <w:bottom w:val="single" w:sz="4" w:space="0" w:color="auto"/>
              <w:right w:val="single" w:sz="4" w:space="0" w:color="auto"/>
            </w:tcBorders>
            <w:shd w:val="clear" w:color="auto" w:fill="auto"/>
            <w:noWrap/>
            <w:vAlign w:val="bottom"/>
            <w:hideMark/>
          </w:tcPr>
          <w:p w14:paraId="65CC06B0" w14:textId="3F68EBA3"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Adverse</w:t>
            </w:r>
          </w:p>
        </w:tc>
      </w:tr>
      <w:tr w:rsidR="00ED2713" w14:paraId="5A7CBCD0" w14:textId="77777777" w:rsidTr="00F426D0">
        <w:trPr>
          <w:trHeight w:val="324"/>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54FA5262" w14:textId="77777777" w:rsidR="0003227F" w:rsidRPr="006C3726" w:rsidRDefault="00000000" w:rsidP="006C3726">
            <w:pPr>
              <w:spacing w:after="0" w:line="360" w:lineRule="auto"/>
              <w:jc w:val="both"/>
              <w:rPr>
                <w:rFonts w:ascii="Times New Roman" w:eastAsia="Times New Roman" w:hAnsi="Times New Roman" w:cs="Times New Roman"/>
                <w:b/>
                <w:bCs/>
                <w:i/>
                <w:iCs/>
                <w:color w:val="000000"/>
                <w:sz w:val="24"/>
                <w:szCs w:val="24"/>
                <w:lang w:eastAsia="en-IN"/>
              </w:rPr>
            </w:pPr>
            <w:r w:rsidRPr="006C3726">
              <w:rPr>
                <w:rFonts w:ascii="Times New Roman" w:eastAsia="Times New Roman" w:hAnsi="Times New Roman" w:cs="Times New Roman"/>
                <w:b/>
                <w:bCs/>
                <w:i/>
                <w:iCs/>
                <w:color w:val="000000"/>
                <w:sz w:val="24"/>
                <w:szCs w:val="24"/>
                <w:lang w:eastAsia="en-IN"/>
              </w:rPr>
              <w:t xml:space="preserve">Variable costs: </w:t>
            </w:r>
          </w:p>
        </w:tc>
        <w:tc>
          <w:tcPr>
            <w:tcW w:w="2410" w:type="dxa"/>
            <w:tcBorders>
              <w:top w:val="nil"/>
              <w:left w:val="nil"/>
              <w:bottom w:val="single" w:sz="4" w:space="0" w:color="auto"/>
              <w:right w:val="single" w:sz="4" w:space="0" w:color="auto"/>
            </w:tcBorders>
            <w:shd w:val="clear" w:color="auto" w:fill="auto"/>
            <w:noWrap/>
            <w:vAlign w:val="bottom"/>
            <w:hideMark/>
          </w:tcPr>
          <w:p w14:paraId="22375CF5" w14:textId="37249067" w:rsidR="0003227F" w:rsidRPr="006C3726" w:rsidRDefault="0003227F" w:rsidP="006C3726">
            <w:pPr>
              <w:spacing w:after="0" w:line="360" w:lineRule="auto"/>
              <w:jc w:val="center"/>
              <w:rPr>
                <w:rFonts w:ascii="Times New Roman" w:eastAsia="Times New Roman" w:hAnsi="Times New Roman" w:cs="Times New Roman"/>
                <w:color w:val="000000"/>
                <w:sz w:val="24"/>
                <w:szCs w:val="24"/>
                <w:lang w:eastAsia="en-IN"/>
              </w:rPr>
            </w:pPr>
          </w:p>
        </w:tc>
        <w:tc>
          <w:tcPr>
            <w:tcW w:w="2134" w:type="dxa"/>
            <w:tcBorders>
              <w:top w:val="nil"/>
              <w:left w:val="nil"/>
              <w:bottom w:val="single" w:sz="4" w:space="0" w:color="auto"/>
              <w:right w:val="single" w:sz="4" w:space="0" w:color="auto"/>
            </w:tcBorders>
            <w:shd w:val="clear" w:color="auto" w:fill="auto"/>
            <w:noWrap/>
            <w:vAlign w:val="bottom"/>
            <w:hideMark/>
          </w:tcPr>
          <w:p w14:paraId="40F5F74C" w14:textId="10C47E23" w:rsidR="0003227F" w:rsidRPr="006C3726" w:rsidRDefault="0003227F" w:rsidP="006C3726">
            <w:pPr>
              <w:spacing w:after="0" w:line="360" w:lineRule="auto"/>
              <w:jc w:val="center"/>
              <w:rPr>
                <w:rFonts w:ascii="Times New Roman" w:eastAsia="Times New Roman" w:hAnsi="Times New Roman" w:cs="Times New Roman"/>
                <w:color w:val="000000"/>
                <w:sz w:val="24"/>
                <w:szCs w:val="24"/>
                <w:lang w:eastAsia="en-IN"/>
              </w:rPr>
            </w:pPr>
          </w:p>
        </w:tc>
        <w:tc>
          <w:tcPr>
            <w:tcW w:w="1243" w:type="dxa"/>
            <w:tcBorders>
              <w:top w:val="nil"/>
              <w:left w:val="nil"/>
              <w:bottom w:val="single" w:sz="4" w:space="0" w:color="auto"/>
              <w:right w:val="single" w:sz="4" w:space="0" w:color="auto"/>
            </w:tcBorders>
            <w:shd w:val="clear" w:color="auto" w:fill="auto"/>
            <w:noWrap/>
            <w:vAlign w:val="bottom"/>
            <w:hideMark/>
          </w:tcPr>
          <w:p w14:paraId="371D05B6" w14:textId="5D27B977" w:rsidR="0003227F" w:rsidRPr="006C3726" w:rsidRDefault="0003227F" w:rsidP="006C3726">
            <w:pPr>
              <w:spacing w:after="0" w:line="360" w:lineRule="auto"/>
              <w:jc w:val="center"/>
              <w:rPr>
                <w:rFonts w:ascii="Times New Roman" w:eastAsia="Times New Roman" w:hAnsi="Times New Roman" w:cs="Times New Roman"/>
                <w:color w:val="000000"/>
                <w:sz w:val="24"/>
                <w:szCs w:val="24"/>
                <w:lang w:eastAsia="en-IN"/>
              </w:rPr>
            </w:pPr>
          </w:p>
        </w:tc>
        <w:tc>
          <w:tcPr>
            <w:tcW w:w="1390" w:type="dxa"/>
            <w:tcBorders>
              <w:top w:val="nil"/>
              <w:left w:val="nil"/>
              <w:bottom w:val="single" w:sz="4" w:space="0" w:color="auto"/>
              <w:right w:val="single" w:sz="4" w:space="0" w:color="auto"/>
            </w:tcBorders>
            <w:shd w:val="clear" w:color="auto" w:fill="auto"/>
            <w:noWrap/>
            <w:vAlign w:val="bottom"/>
            <w:hideMark/>
          </w:tcPr>
          <w:p w14:paraId="6F70EE8E" w14:textId="5802DF46" w:rsidR="0003227F" w:rsidRPr="006C3726" w:rsidRDefault="0003227F" w:rsidP="006C3726">
            <w:pPr>
              <w:spacing w:after="0" w:line="360" w:lineRule="auto"/>
              <w:jc w:val="center"/>
              <w:rPr>
                <w:rFonts w:ascii="Times New Roman" w:eastAsia="Times New Roman" w:hAnsi="Times New Roman" w:cs="Times New Roman"/>
                <w:color w:val="000000"/>
                <w:sz w:val="24"/>
                <w:szCs w:val="24"/>
                <w:lang w:eastAsia="en-IN"/>
              </w:rPr>
            </w:pPr>
          </w:p>
        </w:tc>
      </w:tr>
      <w:tr w:rsidR="00ED2713" w14:paraId="33C57F39"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7E6461E2" w14:textId="77777777" w:rsidR="0003227F" w:rsidRPr="006C3726" w:rsidRDefault="00000000" w:rsidP="006C3726">
            <w:pPr>
              <w:spacing w:after="0" w:line="360" w:lineRule="auto"/>
              <w:jc w:val="both"/>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 xml:space="preserve">Overhead </w:t>
            </w:r>
          </w:p>
        </w:tc>
        <w:tc>
          <w:tcPr>
            <w:tcW w:w="2410" w:type="dxa"/>
            <w:tcBorders>
              <w:top w:val="nil"/>
              <w:left w:val="nil"/>
              <w:bottom w:val="single" w:sz="4" w:space="0" w:color="auto"/>
              <w:right w:val="single" w:sz="4" w:space="0" w:color="auto"/>
            </w:tcBorders>
            <w:shd w:val="clear" w:color="auto" w:fill="auto"/>
            <w:noWrap/>
            <w:vAlign w:val="bottom"/>
            <w:hideMark/>
          </w:tcPr>
          <w:p w14:paraId="6C0C11A3"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150000</w:t>
            </w:r>
          </w:p>
        </w:tc>
        <w:tc>
          <w:tcPr>
            <w:tcW w:w="2134" w:type="dxa"/>
            <w:tcBorders>
              <w:top w:val="nil"/>
              <w:left w:val="nil"/>
              <w:bottom w:val="single" w:sz="4" w:space="0" w:color="auto"/>
              <w:right w:val="single" w:sz="4" w:space="0" w:color="auto"/>
            </w:tcBorders>
            <w:shd w:val="clear" w:color="auto" w:fill="auto"/>
            <w:noWrap/>
            <w:vAlign w:val="bottom"/>
            <w:hideMark/>
          </w:tcPr>
          <w:p w14:paraId="260D81D8"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120000</w:t>
            </w:r>
          </w:p>
        </w:tc>
        <w:tc>
          <w:tcPr>
            <w:tcW w:w="1243" w:type="dxa"/>
            <w:tcBorders>
              <w:top w:val="nil"/>
              <w:left w:val="nil"/>
              <w:bottom w:val="single" w:sz="4" w:space="0" w:color="auto"/>
              <w:right w:val="single" w:sz="4" w:space="0" w:color="auto"/>
            </w:tcBorders>
            <w:shd w:val="clear" w:color="auto" w:fill="auto"/>
            <w:noWrap/>
            <w:vAlign w:val="bottom"/>
            <w:hideMark/>
          </w:tcPr>
          <w:p w14:paraId="6F3AF709"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30000</w:t>
            </w:r>
          </w:p>
        </w:tc>
        <w:tc>
          <w:tcPr>
            <w:tcW w:w="1390" w:type="dxa"/>
            <w:tcBorders>
              <w:top w:val="nil"/>
              <w:left w:val="nil"/>
              <w:bottom w:val="single" w:sz="4" w:space="0" w:color="auto"/>
              <w:right w:val="single" w:sz="4" w:space="0" w:color="auto"/>
            </w:tcBorders>
            <w:shd w:val="clear" w:color="auto" w:fill="auto"/>
            <w:noWrap/>
            <w:vAlign w:val="bottom"/>
            <w:hideMark/>
          </w:tcPr>
          <w:p w14:paraId="4423FD9E" w14:textId="013C607E"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Favourable</w:t>
            </w:r>
          </w:p>
        </w:tc>
      </w:tr>
      <w:tr w:rsidR="00ED2713" w14:paraId="3933AD18"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3AAE8BF8" w14:textId="77777777" w:rsidR="0003227F" w:rsidRPr="006C3726" w:rsidRDefault="00000000" w:rsidP="006C3726">
            <w:pPr>
              <w:spacing w:after="0" w:line="360" w:lineRule="auto"/>
              <w:jc w:val="both"/>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 xml:space="preserve">Labour </w:t>
            </w:r>
          </w:p>
        </w:tc>
        <w:tc>
          <w:tcPr>
            <w:tcW w:w="2410" w:type="dxa"/>
            <w:tcBorders>
              <w:top w:val="nil"/>
              <w:left w:val="nil"/>
              <w:bottom w:val="single" w:sz="4" w:space="0" w:color="auto"/>
              <w:right w:val="single" w:sz="4" w:space="0" w:color="auto"/>
            </w:tcBorders>
            <w:shd w:val="clear" w:color="auto" w:fill="auto"/>
            <w:noWrap/>
            <w:vAlign w:val="bottom"/>
            <w:hideMark/>
          </w:tcPr>
          <w:p w14:paraId="553C6FE6"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400000</w:t>
            </w:r>
          </w:p>
        </w:tc>
        <w:tc>
          <w:tcPr>
            <w:tcW w:w="2134" w:type="dxa"/>
            <w:tcBorders>
              <w:top w:val="nil"/>
              <w:left w:val="nil"/>
              <w:bottom w:val="single" w:sz="4" w:space="0" w:color="auto"/>
              <w:right w:val="single" w:sz="4" w:space="0" w:color="auto"/>
            </w:tcBorders>
            <w:shd w:val="clear" w:color="auto" w:fill="auto"/>
            <w:noWrap/>
            <w:vAlign w:val="bottom"/>
            <w:hideMark/>
          </w:tcPr>
          <w:p w14:paraId="0A9DBD59"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440000</w:t>
            </w:r>
          </w:p>
        </w:tc>
        <w:tc>
          <w:tcPr>
            <w:tcW w:w="1243" w:type="dxa"/>
            <w:tcBorders>
              <w:top w:val="nil"/>
              <w:left w:val="nil"/>
              <w:bottom w:val="single" w:sz="4" w:space="0" w:color="auto"/>
              <w:right w:val="single" w:sz="4" w:space="0" w:color="auto"/>
            </w:tcBorders>
            <w:shd w:val="clear" w:color="auto" w:fill="auto"/>
            <w:noWrap/>
            <w:vAlign w:val="bottom"/>
            <w:hideMark/>
          </w:tcPr>
          <w:p w14:paraId="6075BD4C"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-40000</w:t>
            </w:r>
          </w:p>
        </w:tc>
        <w:tc>
          <w:tcPr>
            <w:tcW w:w="1390" w:type="dxa"/>
            <w:tcBorders>
              <w:top w:val="nil"/>
              <w:left w:val="nil"/>
              <w:bottom w:val="single" w:sz="4" w:space="0" w:color="auto"/>
              <w:right w:val="single" w:sz="4" w:space="0" w:color="auto"/>
            </w:tcBorders>
            <w:shd w:val="clear" w:color="auto" w:fill="auto"/>
            <w:noWrap/>
            <w:vAlign w:val="bottom"/>
            <w:hideMark/>
          </w:tcPr>
          <w:p w14:paraId="1FEBEEC5" w14:textId="044E7002"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Adverse</w:t>
            </w:r>
          </w:p>
        </w:tc>
      </w:tr>
      <w:tr w:rsidR="00ED2713" w14:paraId="74B38C4D"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0E844E09" w14:textId="77777777" w:rsidR="0003227F" w:rsidRPr="006C3726" w:rsidRDefault="00000000" w:rsidP="006C3726">
            <w:pPr>
              <w:spacing w:after="0" w:line="360" w:lineRule="auto"/>
              <w:jc w:val="both"/>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 xml:space="preserve">Materials </w:t>
            </w:r>
          </w:p>
        </w:tc>
        <w:tc>
          <w:tcPr>
            <w:tcW w:w="2410" w:type="dxa"/>
            <w:tcBorders>
              <w:top w:val="nil"/>
              <w:left w:val="nil"/>
              <w:bottom w:val="single" w:sz="4" w:space="0" w:color="auto"/>
              <w:right w:val="single" w:sz="4" w:space="0" w:color="auto"/>
            </w:tcBorders>
            <w:shd w:val="clear" w:color="auto" w:fill="auto"/>
            <w:noWrap/>
            <w:vAlign w:val="bottom"/>
            <w:hideMark/>
          </w:tcPr>
          <w:p w14:paraId="04B25A5B"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250000</w:t>
            </w:r>
          </w:p>
        </w:tc>
        <w:tc>
          <w:tcPr>
            <w:tcW w:w="2134" w:type="dxa"/>
            <w:tcBorders>
              <w:top w:val="nil"/>
              <w:left w:val="nil"/>
              <w:bottom w:val="single" w:sz="4" w:space="0" w:color="auto"/>
              <w:right w:val="single" w:sz="4" w:space="0" w:color="auto"/>
            </w:tcBorders>
            <w:shd w:val="clear" w:color="auto" w:fill="auto"/>
            <w:noWrap/>
            <w:vAlign w:val="bottom"/>
            <w:hideMark/>
          </w:tcPr>
          <w:p w14:paraId="4941198B"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280000</w:t>
            </w:r>
          </w:p>
        </w:tc>
        <w:tc>
          <w:tcPr>
            <w:tcW w:w="1243" w:type="dxa"/>
            <w:tcBorders>
              <w:top w:val="nil"/>
              <w:left w:val="nil"/>
              <w:bottom w:val="single" w:sz="4" w:space="0" w:color="auto"/>
              <w:right w:val="single" w:sz="4" w:space="0" w:color="auto"/>
            </w:tcBorders>
            <w:shd w:val="clear" w:color="auto" w:fill="auto"/>
            <w:noWrap/>
            <w:vAlign w:val="bottom"/>
            <w:hideMark/>
          </w:tcPr>
          <w:p w14:paraId="617DC415"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-30000</w:t>
            </w:r>
          </w:p>
        </w:tc>
        <w:tc>
          <w:tcPr>
            <w:tcW w:w="1390" w:type="dxa"/>
            <w:tcBorders>
              <w:top w:val="nil"/>
              <w:left w:val="nil"/>
              <w:bottom w:val="single" w:sz="4" w:space="0" w:color="auto"/>
              <w:right w:val="single" w:sz="4" w:space="0" w:color="auto"/>
            </w:tcBorders>
            <w:shd w:val="clear" w:color="auto" w:fill="auto"/>
            <w:noWrap/>
            <w:vAlign w:val="bottom"/>
            <w:hideMark/>
          </w:tcPr>
          <w:p w14:paraId="30D84A9F" w14:textId="502BB2FA"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Adverse</w:t>
            </w:r>
          </w:p>
        </w:tc>
      </w:tr>
      <w:tr w:rsidR="00ED2713" w14:paraId="2EBBD63A"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271A5E4F" w14:textId="77777777" w:rsidR="0003227F" w:rsidRPr="006C3726" w:rsidRDefault="00000000" w:rsidP="006C3726">
            <w:pPr>
              <w:spacing w:after="0" w:line="360" w:lineRule="auto"/>
              <w:jc w:val="both"/>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 xml:space="preserve">Total variable costs </w:t>
            </w:r>
          </w:p>
        </w:tc>
        <w:tc>
          <w:tcPr>
            <w:tcW w:w="2410" w:type="dxa"/>
            <w:tcBorders>
              <w:top w:val="nil"/>
              <w:left w:val="nil"/>
              <w:bottom w:val="single" w:sz="4" w:space="0" w:color="auto"/>
              <w:right w:val="single" w:sz="4" w:space="0" w:color="auto"/>
            </w:tcBorders>
            <w:shd w:val="clear" w:color="auto" w:fill="auto"/>
            <w:noWrap/>
            <w:vAlign w:val="bottom"/>
            <w:hideMark/>
          </w:tcPr>
          <w:p w14:paraId="39A0CBC0"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800000</w:t>
            </w:r>
          </w:p>
        </w:tc>
        <w:tc>
          <w:tcPr>
            <w:tcW w:w="2134" w:type="dxa"/>
            <w:tcBorders>
              <w:top w:val="nil"/>
              <w:left w:val="nil"/>
              <w:bottom w:val="single" w:sz="4" w:space="0" w:color="auto"/>
              <w:right w:val="single" w:sz="4" w:space="0" w:color="auto"/>
            </w:tcBorders>
            <w:shd w:val="clear" w:color="auto" w:fill="auto"/>
            <w:noWrap/>
            <w:vAlign w:val="bottom"/>
            <w:hideMark/>
          </w:tcPr>
          <w:p w14:paraId="68B5506D"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840000</w:t>
            </w:r>
          </w:p>
        </w:tc>
        <w:tc>
          <w:tcPr>
            <w:tcW w:w="1243" w:type="dxa"/>
            <w:tcBorders>
              <w:top w:val="nil"/>
              <w:left w:val="nil"/>
              <w:bottom w:val="single" w:sz="4" w:space="0" w:color="auto"/>
              <w:right w:val="single" w:sz="4" w:space="0" w:color="auto"/>
            </w:tcBorders>
            <w:shd w:val="clear" w:color="auto" w:fill="auto"/>
            <w:noWrap/>
            <w:vAlign w:val="bottom"/>
            <w:hideMark/>
          </w:tcPr>
          <w:p w14:paraId="0EDB50F9"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-40000</w:t>
            </w:r>
          </w:p>
        </w:tc>
        <w:tc>
          <w:tcPr>
            <w:tcW w:w="1390" w:type="dxa"/>
            <w:tcBorders>
              <w:top w:val="nil"/>
              <w:left w:val="nil"/>
              <w:bottom w:val="single" w:sz="4" w:space="0" w:color="auto"/>
              <w:right w:val="single" w:sz="4" w:space="0" w:color="auto"/>
            </w:tcBorders>
            <w:shd w:val="clear" w:color="auto" w:fill="auto"/>
            <w:noWrap/>
            <w:vAlign w:val="bottom"/>
            <w:hideMark/>
          </w:tcPr>
          <w:p w14:paraId="0EBE1F1A" w14:textId="377DF346"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Adverse</w:t>
            </w:r>
          </w:p>
        </w:tc>
      </w:tr>
      <w:tr w:rsidR="00ED2713" w14:paraId="299A86D5"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7716483B" w14:textId="77777777" w:rsidR="0003227F" w:rsidRPr="006C3726" w:rsidRDefault="00000000" w:rsidP="006C3726">
            <w:pPr>
              <w:spacing w:after="0" w:line="360" w:lineRule="auto"/>
              <w:jc w:val="both"/>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 xml:space="preserve">Contribution </w:t>
            </w:r>
          </w:p>
        </w:tc>
        <w:tc>
          <w:tcPr>
            <w:tcW w:w="2410" w:type="dxa"/>
            <w:tcBorders>
              <w:top w:val="nil"/>
              <w:left w:val="nil"/>
              <w:bottom w:val="single" w:sz="4" w:space="0" w:color="auto"/>
              <w:right w:val="single" w:sz="4" w:space="0" w:color="auto"/>
            </w:tcBorders>
            <w:shd w:val="clear" w:color="auto" w:fill="auto"/>
            <w:noWrap/>
            <w:vAlign w:val="bottom"/>
            <w:hideMark/>
          </w:tcPr>
          <w:p w14:paraId="2CDE057B"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1700000</w:t>
            </w:r>
          </w:p>
        </w:tc>
        <w:tc>
          <w:tcPr>
            <w:tcW w:w="2134" w:type="dxa"/>
            <w:tcBorders>
              <w:top w:val="nil"/>
              <w:left w:val="nil"/>
              <w:bottom w:val="single" w:sz="4" w:space="0" w:color="auto"/>
              <w:right w:val="single" w:sz="4" w:space="0" w:color="auto"/>
            </w:tcBorders>
            <w:shd w:val="clear" w:color="auto" w:fill="auto"/>
            <w:noWrap/>
            <w:vAlign w:val="bottom"/>
            <w:hideMark/>
          </w:tcPr>
          <w:p w14:paraId="5C8517DF"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760000</w:t>
            </w:r>
          </w:p>
        </w:tc>
        <w:tc>
          <w:tcPr>
            <w:tcW w:w="1243" w:type="dxa"/>
            <w:tcBorders>
              <w:top w:val="nil"/>
              <w:left w:val="nil"/>
              <w:bottom w:val="single" w:sz="4" w:space="0" w:color="auto"/>
              <w:right w:val="single" w:sz="4" w:space="0" w:color="auto"/>
            </w:tcBorders>
            <w:shd w:val="clear" w:color="auto" w:fill="auto"/>
            <w:noWrap/>
            <w:vAlign w:val="bottom"/>
            <w:hideMark/>
          </w:tcPr>
          <w:p w14:paraId="78F1BE32"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940000</w:t>
            </w:r>
          </w:p>
        </w:tc>
        <w:tc>
          <w:tcPr>
            <w:tcW w:w="1390" w:type="dxa"/>
            <w:tcBorders>
              <w:top w:val="nil"/>
              <w:left w:val="nil"/>
              <w:bottom w:val="single" w:sz="4" w:space="0" w:color="auto"/>
              <w:right w:val="single" w:sz="4" w:space="0" w:color="auto"/>
            </w:tcBorders>
            <w:shd w:val="clear" w:color="auto" w:fill="auto"/>
            <w:noWrap/>
            <w:vAlign w:val="bottom"/>
            <w:hideMark/>
          </w:tcPr>
          <w:p w14:paraId="6D1A6B7D" w14:textId="75EAA5D5"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Adverse</w:t>
            </w:r>
          </w:p>
        </w:tc>
      </w:tr>
      <w:tr w:rsidR="00ED2713" w14:paraId="241CCBB6" w14:textId="77777777" w:rsidTr="00F426D0">
        <w:trPr>
          <w:trHeight w:val="324"/>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28336CED" w14:textId="77777777" w:rsidR="0003227F" w:rsidRPr="006C3726" w:rsidRDefault="00000000" w:rsidP="006C3726">
            <w:pPr>
              <w:spacing w:after="0" w:line="360" w:lineRule="auto"/>
              <w:jc w:val="both"/>
              <w:rPr>
                <w:rFonts w:ascii="Times New Roman" w:eastAsia="Times New Roman" w:hAnsi="Times New Roman" w:cs="Times New Roman"/>
                <w:b/>
                <w:bCs/>
                <w:i/>
                <w:iCs/>
                <w:color w:val="000000"/>
                <w:sz w:val="24"/>
                <w:szCs w:val="24"/>
                <w:lang w:eastAsia="en-IN"/>
              </w:rPr>
            </w:pPr>
            <w:r w:rsidRPr="006C3726">
              <w:rPr>
                <w:rFonts w:ascii="Times New Roman" w:eastAsia="Times New Roman" w:hAnsi="Times New Roman" w:cs="Times New Roman"/>
                <w:b/>
                <w:bCs/>
                <w:i/>
                <w:iCs/>
                <w:color w:val="000000"/>
                <w:sz w:val="24"/>
                <w:szCs w:val="24"/>
                <w:lang w:eastAsia="en-IN"/>
              </w:rPr>
              <w:t xml:space="preserve">Fixed Overheads: </w:t>
            </w:r>
          </w:p>
        </w:tc>
        <w:tc>
          <w:tcPr>
            <w:tcW w:w="2410" w:type="dxa"/>
            <w:tcBorders>
              <w:top w:val="nil"/>
              <w:left w:val="nil"/>
              <w:bottom w:val="single" w:sz="4" w:space="0" w:color="auto"/>
              <w:right w:val="single" w:sz="4" w:space="0" w:color="auto"/>
            </w:tcBorders>
            <w:shd w:val="clear" w:color="auto" w:fill="auto"/>
            <w:noWrap/>
            <w:vAlign w:val="bottom"/>
            <w:hideMark/>
          </w:tcPr>
          <w:p w14:paraId="57E687E1" w14:textId="45E8E1AD" w:rsidR="0003227F" w:rsidRPr="006C3726" w:rsidRDefault="0003227F" w:rsidP="006C3726">
            <w:pPr>
              <w:spacing w:after="0" w:line="360" w:lineRule="auto"/>
              <w:jc w:val="center"/>
              <w:rPr>
                <w:rFonts w:ascii="Times New Roman" w:eastAsia="Times New Roman" w:hAnsi="Times New Roman" w:cs="Times New Roman"/>
                <w:color w:val="000000"/>
                <w:sz w:val="24"/>
                <w:szCs w:val="24"/>
                <w:lang w:eastAsia="en-IN"/>
              </w:rPr>
            </w:pPr>
          </w:p>
        </w:tc>
        <w:tc>
          <w:tcPr>
            <w:tcW w:w="2134" w:type="dxa"/>
            <w:tcBorders>
              <w:top w:val="nil"/>
              <w:left w:val="nil"/>
              <w:bottom w:val="single" w:sz="4" w:space="0" w:color="auto"/>
              <w:right w:val="single" w:sz="4" w:space="0" w:color="auto"/>
            </w:tcBorders>
            <w:shd w:val="clear" w:color="auto" w:fill="auto"/>
            <w:noWrap/>
            <w:vAlign w:val="bottom"/>
            <w:hideMark/>
          </w:tcPr>
          <w:p w14:paraId="41F79D07" w14:textId="12268916" w:rsidR="0003227F" w:rsidRPr="006C3726" w:rsidRDefault="0003227F" w:rsidP="006C3726">
            <w:pPr>
              <w:spacing w:after="0" w:line="360" w:lineRule="auto"/>
              <w:jc w:val="center"/>
              <w:rPr>
                <w:rFonts w:ascii="Times New Roman" w:eastAsia="Times New Roman" w:hAnsi="Times New Roman" w:cs="Times New Roman"/>
                <w:color w:val="000000"/>
                <w:sz w:val="24"/>
                <w:szCs w:val="24"/>
                <w:lang w:eastAsia="en-IN"/>
              </w:rPr>
            </w:pPr>
          </w:p>
        </w:tc>
        <w:tc>
          <w:tcPr>
            <w:tcW w:w="1243" w:type="dxa"/>
            <w:tcBorders>
              <w:top w:val="nil"/>
              <w:left w:val="nil"/>
              <w:bottom w:val="single" w:sz="4" w:space="0" w:color="auto"/>
              <w:right w:val="single" w:sz="4" w:space="0" w:color="auto"/>
            </w:tcBorders>
            <w:shd w:val="clear" w:color="auto" w:fill="auto"/>
            <w:noWrap/>
            <w:vAlign w:val="bottom"/>
            <w:hideMark/>
          </w:tcPr>
          <w:p w14:paraId="534FEAA9" w14:textId="6B65BF4C" w:rsidR="0003227F" w:rsidRPr="006C3726" w:rsidRDefault="0003227F" w:rsidP="006C3726">
            <w:pPr>
              <w:spacing w:after="0" w:line="360" w:lineRule="auto"/>
              <w:jc w:val="center"/>
              <w:rPr>
                <w:rFonts w:ascii="Times New Roman" w:eastAsia="Times New Roman" w:hAnsi="Times New Roman" w:cs="Times New Roman"/>
                <w:color w:val="000000"/>
                <w:sz w:val="24"/>
                <w:szCs w:val="24"/>
                <w:lang w:eastAsia="en-IN"/>
              </w:rPr>
            </w:pPr>
          </w:p>
        </w:tc>
        <w:tc>
          <w:tcPr>
            <w:tcW w:w="1390" w:type="dxa"/>
            <w:tcBorders>
              <w:top w:val="nil"/>
              <w:left w:val="nil"/>
              <w:bottom w:val="single" w:sz="4" w:space="0" w:color="auto"/>
              <w:right w:val="single" w:sz="4" w:space="0" w:color="auto"/>
            </w:tcBorders>
            <w:shd w:val="clear" w:color="auto" w:fill="auto"/>
            <w:noWrap/>
            <w:vAlign w:val="bottom"/>
            <w:hideMark/>
          </w:tcPr>
          <w:p w14:paraId="3BEA3C6C" w14:textId="3968AA31" w:rsidR="0003227F" w:rsidRPr="006C3726" w:rsidRDefault="0003227F" w:rsidP="006C3726">
            <w:pPr>
              <w:spacing w:after="0" w:line="360" w:lineRule="auto"/>
              <w:jc w:val="center"/>
              <w:rPr>
                <w:rFonts w:ascii="Times New Roman" w:eastAsia="Times New Roman" w:hAnsi="Times New Roman" w:cs="Times New Roman"/>
                <w:color w:val="000000"/>
                <w:sz w:val="24"/>
                <w:szCs w:val="24"/>
                <w:lang w:eastAsia="en-IN"/>
              </w:rPr>
            </w:pPr>
          </w:p>
        </w:tc>
      </w:tr>
      <w:tr w:rsidR="00ED2713" w14:paraId="4BC9BDA1"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7FBFBBBD" w14:textId="77777777" w:rsidR="0003227F" w:rsidRPr="006C3726" w:rsidRDefault="00000000" w:rsidP="006C3726">
            <w:pPr>
              <w:spacing w:after="0" w:line="360" w:lineRule="auto"/>
              <w:jc w:val="both"/>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 xml:space="preserve">Insurance </w:t>
            </w:r>
          </w:p>
        </w:tc>
        <w:tc>
          <w:tcPr>
            <w:tcW w:w="2410" w:type="dxa"/>
            <w:tcBorders>
              <w:top w:val="nil"/>
              <w:left w:val="nil"/>
              <w:bottom w:val="single" w:sz="4" w:space="0" w:color="auto"/>
              <w:right w:val="single" w:sz="4" w:space="0" w:color="auto"/>
            </w:tcBorders>
            <w:shd w:val="clear" w:color="auto" w:fill="auto"/>
            <w:noWrap/>
            <w:vAlign w:val="bottom"/>
            <w:hideMark/>
          </w:tcPr>
          <w:p w14:paraId="79922B75"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100000</w:t>
            </w:r>
          </w:p>
        </w:tc>
        <w:tc>
          <w:tcPr>
            <w:tcW w:w="2134" w:type="dxa"/>
            <w:tcBorders>
              <w:top w:val="nil"/>
              <w:left w:val="nil"/>
              <w:bottom w:val="single" w:sz="4" w:space="0" w:color="auto"/>
              <w:right w:val="single" w:sz="4" w:space="0" w:color="auto"/>
            </w:tcBorders>
            <w:shd w:val="clear" w:color="auto" w:fill="auto"/>
            <w:noWrap/>
            <w:vAlign w:val="bottom"/>
            <w:hideMark/>
          </w:tcPr>
          <w:p w14:paraId="779A139F"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100000</w:t>
            </w:r>
          </w:p>
        </w:tc>
        <w:tc>
          <w:tcPr>
            <w:tcW w:w="1243" w:type="dxa"/>
            <w:tcBorders>
              <w:top w:val="nil"/>
              <w:left w:val="nil"/>
              <w:bottom w:val="single" w:sz="4" w:space="0" w:color="auto"/>
              <w:right w:val="single" w:sz="4" w:space="0" w:color="auto"/>
            </w:tcBorders>
            <w:shd w:val="clear" w:color="auto" w:fill="auto"/>
            <w:noWrap/>
            <w:vAlign w:val="bottom"/>
            <w:hideMark/>
          </w:tcPr>
          <w:p w14:paraId="6CEFBF28"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0</w:t>
            </w:r>
          </w:p>
        </w:tc>
        <w:tc>
          <w:tcPr>
            <w:tcW w:w="1390" w:type="dxa"/>
            <w:tcBorders>
              <w:top w:val="nil"/>
              <w:left w:val="nil"/>
              <w:bottom w:val="single" w:sz="4" w:space="0" w:color="auto"/>
              <w:right w:val="single" w:sz="4" w:space="0" w:color="auto"/>
            </w:tcBorders>
            <w:shd w:val="clear" w:color="auto" w:fill="auto"/>
            <w:noWrap/>
            <w:vAlign w:val="bottom"/>
            <w:hideMark/>
          </w:tcPr>
          <w:p w14:paraId="4485603C"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Nil</w:t>
            </w:r>
          </w:p>
        </w:tc>
      </w:tr>
      <w:tr w:rsidR="00ED2713" w14:paraId="39E85364"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157CAF8B" w14:textId="77777777" w:rsidR="0003227F" w:rsidRPr="006C3726" w:rsidRDefault="00000000" w:rsidP="006C3726">
            <w:pPr>
              <w:spacing w:after="0" w:line="360" w:lineRule="auto"/>
              <w:jc w:val="both"/>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 xml:space="preserve">Warehouse rental </w:t>
            </w:r>
          </w:p>
        </w:tc>
        <w:tc>
          <w:tcPr>
            <w:tcW w:w="2410" w:type="dxa"/>
            <w:tcBorders>
              <w:top w:val="nil"/>
              <w:left w:val="nil"/>
              <w:bottom w:val="single" w:sz="4" w:space="0" w:color="auto"/>
              <w:right w:val="single" w:sz="4" w:space="0" w:color="auto"/>
            </w:tcBorders>
            <w:shd w:val="clear" w:color="auto" w:fill="auto"/>
            <w:noWrap/>
            <w:vAlign w:val="bottom"/>
            <w:hideMark/>
          </w:tcPr>
          <w:p w14:paraId="6B672A1B"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200000</w:t>
            </w:r>
          </w:p>
        </w:tc>
        <w:tc>
          <w:tcPr>
            <w:tcW w:w="2134" w:type="dxa"/>
            <w:tcBorders>
              <w:top w:val="nil"/>
              <w:left w:val="nil"/>
              <w:bottom w:val="single" w:sz="4" w:space="0" w:color="auto"/>
              <w:right w:val="single" w:sz="4" w:space="0" w:color="auto"/>
            </w:tcBorders>
            <w:shd w:val="clear" w:color="auto" w:fill="auto"/>
            <w:noWrap/>
            <w:vAlign w:val="bottom"/>
            <w:hideMark/>
          </w:tcPr>
          <w:p w14:paraId="6FC73A01"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170000</w:t>
            </w:r>
          </w:p>
        </w:tc>
        <w:tc>
          <w:tcPr>
            <w:tcW w:w="1243" w:type="dxa"/>
            <w:tcBorders>
              <w:top w:val="nil"/>
              <w:left w:val="nil"/>
              <w:bottom w:val="single" w:sz="4" w:space="0" w:color="auto"/>
              <w:right w:val="single" w:sz="4" w:space="0" w:color="auto"/>
            </w:tcBorders>
            <w:shd w:val="clear" w:color="auto" w:fill="auto"/>
            <w:noWrap/>
            <w:vAlign w:val="bottom"/>
            <w:hideMark/>
          </w:tcPr>
          <w:p w14:paraId="49091D4B"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30000</w:t>
            </w:r>
          </w:p>
        </w:tc>
        <w:tc>
          <w:tcPr>
            <w:tcW w:w="1390" w:type="dxa"/>
            <w:tcBorders>
              <w:top w:val="nil"/>
              <w:left w:val="nil"/>
              <w:bottom w:val="single" w:sz="4" w:space="0" w:color="auto"/>
              <w:right w:val="single" w:sz="4" w:space="0" w:color="auto"/>
            </w:tcBorders>
            <w:shd w:val="clear" w:color="auto" w:fill="auto"/>
            <w:noWrap/>
            <w:vAlign w:val="bottom"/>
            <w:hideMark/>
          </w:tcPr>
          <w:p w14:paraId="7DB5937E" w14:textId="7F55DCB5"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Favourable</w:t>
            </w:r>
          </w:p>
        </w:tc>
      </w:tr>
      <w:tr w:rsidR="00ED2713" w14:paraId="04096DB5"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20D3FEAB" w14:textId="77777777" w:rsidR="0003227F" w:rsidRPr="006C3726" w:rsidRDefault="00000000" w:rsidP="006C3726">
            <w:pPr>
              <w:spacing w:after="0" w:line="360" w:lineRule="auto"/>
              <w:jc w:val="both"/>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 xml:space="preserve">Fulltime warehouse supervisor salary </w:t>
            </w:r>
          </w:p>
        </w:tc>
        <w:tc>
          <w:tcPr>
            <w:tcW w:w="2410" w:type="dxa"/>
            <w:tcBorders>
              <w:top w:val="nil"/>
              <w:left w:val="nil"/>
              <w:bottom w:val="single" w:sz="4" w:space="0" w:color="auto"/>
              <w:right w:val="single" w:sz="4" w:space="0" w:color="auto"/>
            </w:tcBorders>
            <w:shd w:val="clear" w:color="auto" w:fill="auto"/>
            <w:noWrap/>
            <w:vAlign w:val="bottom"/>
            <w:hideMark/>
          </w:tcPr>
          <w:p w14:paraId="7FDDA9B4"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50000</w:t>
            </w:r>
          </w:p>
        </w:tc>
        <w:tc>
          <w:tcPr>
            <w:tcW w:w="2134" w:type="dxa"/>
            <w:tcBorders>
              <w:top w:val="nil"/>
              <w:left w:val="nil"/>
              <w:bottom w:val="single" w:sz="4" w:space="0" w:color="auto"/>
              <w:right w:val="single" w:sz="4" w:space="0" w:color="auto"/>
            </w:tcBorders>
            <w:shd w:val="clear" w:color="auto" w:fill="auto"/>
            <w:noWrap/>
            <w:vAlign w:val="bottom"/>
            <w:hideMark/>
          </w:tcPr>
          <w:p w14:paraId="75C45872"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35000</w:t>
            </w:r>
          </w:p>
        </w:tc>
        <w:tc>
          <w:tcPr>
            <w:tcW w:w="1243" w:type="dxa"/>
            <w:tcBorders>
              <w:top w:val="nil"/>
              <w:left w:val="nil"/>
              <w:bottom w:val="single" w:sz="4" w:space="0" w:color="auto"/>
              <w:right w:val="single" w:sz="4" w:space="0" w:color="auto"/>
            </w:tcBorders>
            <w:shd w:val="clear" w:color="auto" w:fill="auto"/>
            <w:noWrap/>
            <w:vAlign w:val="bottom"/>
            <w:hideMark/>
          </w:tcPr>
          <w:p w14:paraId="08820993" w14:textId="77777777"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15000</w:t>
            </w:r>
          </w:p>
        </w:tc>
        <w:tc>
          <w:tcPr>
            <w:tcW w:w="1390" w:type="dxa"/>
            <w:tcBorders>
              <w:top w:val="nil"/>
              <w:left w:val="nil"/>
              <w:bottom w:val="single" w:sz="4" w:space="0" w:color="auto"/>
              <w:right w:val="single" w:sz="4" w:space="0" w:color="auto"/>
            </w:tcBorders>
            <w:shd w:val="clear" w:color="auto" w:fill="auto"/>
            <w:noWrap/>
            <w:vAlign w:val="bottom"/>
            <w:hideMark/>
          </w:tcPr>
          <w:p w14:paraId="7FB5FF20" w14:textId="1C0113D4" w:rsidR="0003227F" w:rsidRPr="006C3726" w:rsidRDefault="00000000" w:rsidP="006C3726">
            <w:pPr>
              <w:spacing w:after="0" w:line="360" w:lineRule="auto"/>
              <w:jc w:val="center"/>
              <w:rPr>
                <w:rFonts w:ascii="Times New Roman" w:eastAsia="Times New Roman" w:hAnsi="Times New Roman" w:cs="Times New Roman"/>
                <w:color w:val="000000"/>
                <w:sz w:val="24"/>
                <w:szCs w:val="24"/>
                <w:lang w:eastAsia="en-IN"/>
              </w:rPr>
            </w:pPr>
            <w:r w:rsidRPr="006C3726">
              <w:rPr>
                <w:rFonts w:ascii="Times New Roman" w:eastAsia="Times New Roman" w:hAnsi="Times New Roman" w:cs="Times New Roman"/>
                <w:color w:val="000000"/>
                <w:sz w:val="24"/>
                <w:szCs w:val="24"/>
                <w:lang w:eastAsia="en-IN"/>
              </w:rPr>
              <w:t>Favourable</w:t>
            </w:r>
          </w:p>
        </w:tc>
      </w:tr>
      <w:tr w:rsidR="00ED2713" w14:paraId="0F50791E"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78C26EA0" w14:textId="77777777" w:rsidR="0003227F" w:rsidRPr="006C3726" w:rsidRDefault="00000000" w:rsidP="006C3726">
            <w:pPr>
              <w:spacing w:after="0" w:line="360" w:lineRule="auto"/>
              <w:jc w:val="both"/>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 xml:space="preserve">Total fixed overheads </w:t>
            </w:r>
          </w:p>
        </w:tc>
        <w:tc>
          <w:tcPr>
            <w:tcW w:w="2410" w:type="dxa"/>
            <w:tcBorders>
              <w:top w:val="nil"/>
              <w:left w:val="nil"/>
              <w:bottom w:val="single" w:sz="4" w:space="0" w:color="auto"/>
              <w:right w:val="single" w:sz="4" w:space="0" w:color="auto"/>
            </w:tcBorders>
            <w:shd w:val="clear" w:color="auto" w:fill="auto"/>
            <w:noWrap/>
            <w:vAlign w:val="bottom"/>
            <w:hideMark/>
          </w:tcPr>
          <w:p w14:paraId="561AE0F7"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350000</w:t>
            </w:r>
          </w:p>
        </w:tc>
        <w:tc>
          <w:tcPr>
            <w:tcW w:w="2134" w:type="dxa"/>
            <w:tcBorders>
              <w:top w:val="nil"/>
              <w:left w:val="nil"/>
              <w:bottom w:val="single" w:sz="4" w:space="0" w:color="auto"/>
              <w:right w:val="single" w:sz="4" w:space="0" w:color="auto"/>
            </w:tcBorders>
            <w:shd w:val="clear" w:color="auto" w:fill="auto"/>
            <w:noWrap/>
            <w:vAlign w:val="bottom"/>
            <w:hideMark/>
          </w:tcPr>
          <w:p w14:paraId="603552D9"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305000</w:t>
            </w:r>
          </w:p>
        </w:tc>
        <w:tc>
          <w:tcPr>
            <w:tcW w:w="1243" w:type="dxa"/>
            <w:tcBorders>
              <w:top w:val="nil"/>
              <w:left w:val="nil"/>
              <w:bottom w:val="single" w:sz="4" w:space="0" w:color="auto"/>
              <w:right w:val="single" w:sz="4" w:space="0" w:color="auto"/>
            </w:tcBorders>
            <w:shd w:val="clear" w:color="auto" w:fill="auto"/>
            <w:noWrap/>
            <w:vAlign w:val="bottom"/>
            <w:hideMark/>
          </w:tcPr>
          <w:p w14:paraId="78B836FB"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45000</w:t>
            </w:r>
          </w:p>
        </w:tc>
        <w:tc>
          <w:tcPr>
            <w:tcW w:w="1390" w:type="dxa"/>
            <w:tcBorders>
              <w:top w:val="nil"/>
              <w:left w:val="nil"/>
              <w:bottom w:val="single" w:sz="4" w:space="0" w:color="auto"/>
              <w:right w:val="single" w:sz="4" w:space="0" w:color="auto"/>
            </w:tcBorders>
            <w:shd w:val="clear" w:color="auto" w:fill="auto"/>
            <w:noWrap/>
            <w:vAlign w:val="bottom"/>
            <w:hideMark/>
          </w:tcPr>
          <w:p w14:paraId="4E222774" w14:textId="70625A18"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Favourable</w:t>
            </w:r>
          </w:p>
        </w:tc>
      </w:tr>
      <w:tr w:rsidR="00ED2713" w14:paraId="5C5DAC22" w14:textId="77777777" w:rsidTr="00F426D0">
        <w:trPr>
          <w:trHeight w:val="312"/>
        </w:trPr>
        <w:tc>
          <w:tcPr>
            <w:tcW w:w="3169" w:type="dxa"/>
            <w:tcBorders>
              <w:top w:val="nil"/>
              <w:left w:val="single" w:sz="4" w:space="0" w:color="auto"/>
              <w:bottom w:val="single" w:sz="4" w:space="0" w:color="auto"/>
              <w:right w:val="single" w:sz="4" w:space="0" w:color="auto"/>
            </w:tcBorders>
            <w:shd w:val="clear" w:color="auto" w:fill="auto"/>
            <w:noWrap/>
            <w:vAlign w:val="bottom"/>
            <w:hideMark/>
          </w:tcPr>
          <w:p w14:paraId="1D431D90" w14:textId="77777777" w:rsidR="0003227F" w:rsidRPr="006C3726" w:rsidRDefault="00000000" w:rsidP="006C3726">
            <w:pPr>
              <w:spacing w:after="0" w:line="360" w:lineRule="auto"/>
              <w:jc w:val="both"/>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 xml:space="preserve">Profit </w:t>
            </w:r>
          </w:p>
        </w:tc>
        <w:tc>
          <w:tcPr>
            <w:tcW w:w="2410" w:type="dxa"/>
            <w:tcBorders>
              <w:top w:val="nil"/>
              <w:left w:val="nil"/>
              <w:bottom w:val="single" w:sz="4" w:space="0" w:color="auto"/>
              <w:right w:val="single" w:sz="4" w:space="0" w:color="auto"/>
            </w:tcBorders>
            <w:shd w:val="clear" w:color="auto" w:fill="auto"/>
            <w:noWrap/>
            <w:vAlign w:val="bottom"/>
            <w:hideMark/>
          </w:tcPr>
          <w:p w14:paraId="32D1D07D"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1350000</w:t>
            </w:r>
          </w:p>
        </w:tc>
        <w:tc>
          <w:tcPr>
            <w:tcW w:w="2134" w:type="dxa"/>
            <w:tcBorders>
              <w:top w:val="nil"/>
              <w:left w:val="nil"/>
              <w:bottom w:val="single" w:sz="4" w:space="0" w:color="auto"/>
              <w:right w:val="single" w:sz="4" w:space="0" w:color="auto"/>
            </w:tcBorders>
            <w:shd w:val="clear" w:color="auto" w:fill="auto"/>
            <w:noWrap/>
            <w:vAlign w:val="bottom"/>
            <w:hideMark/>
          </w:tcPr>
          <w:p w14:paraId="36382793"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455000</w:t>
            </w:r>
          </w:p>
        </w:tc>
        <w:tc>
          <w:tcPr>
            <w:tcW w:w="1243" w:type="dxa"/>
            <w:tcBorders>
              <w:top w:val="nil"/>
              <w:left w:val="nil"/>
              <w:bottom w:val="single" w:sz="4" w:space="0" w:color="auto"/>
              <w:right w:val="single" w:sz="4" w:space="0" w:color="auto"/>
            </w:tcBorders>
            <w:shd w:val="clear" w:color="auto" w:fill="auto"/>
            <w:noWrap/>
            <w:vAlign w:val="bottom"/>
            <w:hideMark/>
          </w:tcPr>
          <w:p w14:paraId="2352F5EA" w14:textId="77777777"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895000</w:t>
            </w:r>
          </w:p>
        </w:tc>
        <w:tc>
          <w:tcPr>
            <w:tcW w:w="1390" w:type="dxa"/>
            <w:tcBorders>
              <w:top w:val="nil"/>
              <w:left w:val="nil"/>
              <w:bottom w:val="single" w:sz="4" w:space="0" w:color="auto"/>
              <w:right w:val="single" w:sz="4" w:space="0" w:color="auto"/>
            </w:tcBorders>
            <w:shd w:val="clear" w:color="auto" w:fill="auto"/>
            <w:noWrap/>
            <w:vAlign w:val="bottom"/>
            <w:hideMark/>
          </w:tcPr>
          <w:p w14:paraId="40B0DEBC" w14:textId="08273FC3" w:rsidR="0003227F" w:rsidRPr="006C3726" w:rsidRDefault="00000000" w:rsidP="006C3726">
            <w:pPr>
              <w:spacing w:after="0" w:line="360" w:lineRule="auto"/>
              <w:jc w:val="center"/>
              <w:rPr>
                <w:rFonts w:ascii="Times New Roman" w:eastAsia="Times New Roman" w:hAnsi="Times New Roman" w:cs="Times New Roman"/>
                <w:b/>
                <w:bCs/>
                <w:color w:val="000000"/>
                <w:sz w:val="24"/>
                <w:szCs w:val="24"/>
                <w:lang w:eastAsia="en-IN"/>
              </w:rPr>
            </w:pPr>
            <w:r w:rsidRPr="006C3726">
              <w:rPr>
                <w:rFonts w:ascii="Times New Roman" w:eastAsia="Times New Roman" w:hAnsi="Times New Roman" w:cs="Times New Roman"/>
                <w:b/>
                <w:bCs/>
                <w:color w:val="000000"/>
                <w:sz w:val="24"/>
                <w:szCs w:val="24"/>
                <w:lang w:eastAsia="en-IN"/>
              </w:rPr>
              <w:t>Adverse</w:t>
            </w:r>
          </w:p>
        </w:tc>
      </w:tr>
    </w:tbl>
    <w:p w14:paraId="29929636" w14:textId="0CC3D491" w:rsidR="0003227F" w:rsidRPr="006C3726" w:rsidRDefault="0003227F" w:rsidP="006C3726">
      <w:pPr>
        <w:spacing w:line="360" w:lineRule="auto"/>
        <w:jc w:val="both"/>
        <w:rPr>
          <w:rFonts w:ascii="Times New Roman" w:hAnsi="Times New Roman" w:cs="Times New Roman"/>
          <w:sz w:val="24"/>
          <w:szCs w:val="24"/>
        </w:rPr>
      </w:pPr>
    </w:p>
    <w:p w14:paraId="740BC591" w14:textId="6C241D44" w:rsidR="00532111" w:rsidRPr="006C3726" w:rsidRDefault="00000000" w:rsidP="006C3726">
      <w:pPr>
        <w:pStyle w:val="NormalWeb"/>
        <w:spacing w:before="240" w:beforeAutospacing="0" w:after="240" w:afterAutospacing="0" w:line="360" w:lineRule="auto"/>
        <w:jc w:val="both"/>
      </w:pPr>
      <w:r w:rsidRPr="006C3726">
        <w:rPr>
          <w:b/>
          <w:bCs/>
          <w:i/>
          <w:iCs/>
          <w:color w:val="000000"/>
        </w:rPr>
        <w:t xml:space="preserve">Analysis: </w:t>
      </w:r>
      <w:r w:rsidRPr="006C3726">
        <w:rPr>
          <w:color w:val="000000"/>
        </w:rPr>
        <w:t>Considering the above-provided control report, adequate information related to the original budget and flexed budget of Amana Ltd can be generated. The original budget signifies the primary estimation associated with the corporation's expenses and revenue structure over the particular future period. Besides, a flexed budget recognises the budget structure that is entitled to adjust to that of the volume or activity levels of the corporation</w:t>
      </w:r>
      <w:r w:rsidR="00AF32BC">
        <w:rPr>
          <w:color w:val="000000"/>
        </w:rPr>
        <w:t xml:space="preserve"> (</w:t>
      </w:r>
      <w:proofErr w:type="spellStart"/>
      <w:r w:rsidR="00AF32BC" w:rsidRPr="001E58E3">
        <w:rPr>
          <w:color w:val="222222"/>
          <w:shd w:val="clear" w:color="auto" w:fill="FFFFFF"/>
        </w:rPr>
        <w:t>Alabdullah</w:t>
      </w:r>
      <w:proofErr w:type="spellEnd"/>
      <w:r w:rsidR="00AF32BC" w:rsidRPr="001E58E3">
        <w:rPr>
          <w:color w:val="222222"/>
          <w:shd w:val="clear" w:color="auto" w:fill="FFFFFF"/>
        </w:rPr>
        <w:t>,</w:t>
      </w:r>
      <w:r w:rsidR="00AF32BC">
        <w:rPr>
          <w:color w:val="222222"/>
          <w:shd w:val="clear" w:color="auto" w:fill="FFFFFF"/>
        </w:rPr>
        <w:t xml:space="preserve"> </w:t>
      </w:r>
      <w:r w:rsidR="00AF32BC" w:rsidRPr="001E58E3">
        <w:rPr>
          <w:color w:val="222222"/>
          <w:shd w:val="clear" w:color="auto" w:fill="FFFFFF"/>
        </w:rPr>
        <w:t>2019</w:t>
      </w:r>
      <w:r w:rsidR="00AF32BC">
        <w:rPr>
          <w:color w:val="222222"/>
          <w:shd w:val="clear" w:color="auto" w:fill="FFFFFF"/>
        </w:rPr>
        <w:t>)</w:t>
      </w:r>
      <w:r w:rsidRPr="006C3726">
        <w:rPr>
          <w:color w:val="000000"/>
        </w:rPr>
        <w:t xml:space="preserve">. In context to this, both the original and flexed budget prepares to include information associated with Amana Ltd’s forecasted and actual sales, variable costs, and fixed overheads. However, sales are determined considering the budgeted selling price and units' structure. Additionally, the variable costs of Amana Ltd include </w:t>
      </w:r>
      <w:r w:rsidR="00EF34EB" w:rsidRPr="006C3726">
        <w:rPr>
          <w:color w:val="000000"/>
        </w:rPr>
        <w:t>labor</w:t>
      </w:r>
      <w:r w:rsidRPr="006C3726">
        <w:rPr>
          <w:color w:val="000000"/>
        </w:rPr>
        <w:t xml:space="preserve">, materials, and overhead and its fixed overheads comprise insurance, warehouse rental, and </w:t>
      </w:r>
      <w:r w:rsidR="00EF34EB" w:rsidRPr="006C3726">
        <w:rPr>
          <w:color w:val="000000"/>
        </w:rPr>
        <w:t>full-time</w:t>
      </w:r>
      <w:r w:rsidRPr="006C3726">
        <w:rPr>
          <w:color w:val="000000"/>
        </w:rPr>
        <w:t xml:space="preserve"> warehouse supervisor salary. Contribution relative to both the original and flexed budget is calculated by subtracting that of an aggregate variable costs structure from the total sales amount.</w:t>
      </w:r>
      <w:r w:rsidR="00AE1B37">
        <w:rPr>
          <w:color w:val="000000"/>
        </w:rPr>
        <w:t xml:space="preserve"> (</w:t>
      </w:r>
      <w:proofErr w:type="spellStart"/>
      <w:r w:rsidR="00AE1B37" w:rsidRPr="001E58E3">
        <w:rPr>
          <w:color w:val="222222"/>
          <w:shd w:val="clear" w:color="auto" w:fill="FFFFFF"/>
        </w:rPr>
        <w:t>Abdusalomova</w:t>
      </w:r>
      <w:proofErr w:type="spellEnd"/>
      <w:r w:rsidR="00AE1B37" w:rsidRPr="001E58E3">
        <w:rPr>
          <w:color w:val="222222"/>
          <w:shd w:val="clear" w:color="auto" w:fill="FFFFFF"/>
        </w:rPr>
        <w:t>,</w:t>
      </w:r>
      <w:r w:rsidR="00AE1B37">
        <w:rPr>
          <w:color w:val="222222"/>
          <w:shd w:val="clear" w:color="auto" w:fill="FFFFFF"/>
        </w:rPr>
        <w:t xml:space="preserve"> </w:t>
      </w:r>
      <w:r w:rsidR="00AE1B37" w:rsidRPr="001E58E3">
        <w:rPr>
          <w:color w:val="222222"/>
          <w:shd w:val="clear" w:color="auto" w:fill="FFFFFF"/>
        </w:rPr>
        <w:t>2019</w:t>
      </w:r>
      <w:r w:rsidR="00AE1B37">
        <w:rPr>
          <w:color w:val="222222"/>
          <w:shd w:val="clear" w:color="auto" w:fill="FFFFFF"/>
        </w:rPr>
        <w:t>)</w:t>
      </w:r>
      <w:r w:rsidR="00AE1B37" w:rsidRPr="001E58E3">
        <w:rPr>
          <w:color w:val="222222"/>
          <w:shd w:val="clear" w:color="auto" w:fill="FFFFFF"/>
        </w:rPr>
        <w:t>.</w:t>
      </w:r>
      <w:r w:rsidRPr="006C3726">
        <w:rPr>
          <w:color w:val="000000"/>
        </w:rPr>
        <w:t xml:space="preserve"> Finally, the profit of the company is determined by subtracting aggregate fixed overheads from that of the contribution amounts. Irrespective of this, budget variance is also indicated concern to the presented control report of Amana Ltd. As identified, budget variance serves as the accounting concept with the help of which information related to the lower or higher valuation of the company's actual costs can be generated from that of its projected or standard cost structure. Evaluating each of the items' budget variances, it can be appropriate to exclaim that Amana Ltd generates adverse financial performance or profitability during the period in concern of having lower flexed budgeted profit in comparison to that of the original budget one</w:t>
      </w:r>
      <w:r w:rsidR="00342A9C">
        <w:rPr>
          <w:color w:val="000000"/>
        </w:rPr>
        <w:t xml:space="preserve"> (</w:t>
      </w:r>
      <w:r w:rsidR="00342A9C" w:rsidRPr="001E58E3">
        <w:rPr>
          <w:color w:val="222222"/>
          <w:shd w:val="clear" w:color="auto" w:fill="FFFFFF"/>
        </w:rPr>
        <w:t>Pedroso</w:t>
      </w:r>
      <w:r w:rsidR="00342A9C">
        <w:rPr>
          <w:color w:val="222222"/>
          <w:shd w:val="clear" w:color="auto" w:fill="FFFFFF"/>
        </w:rPr>
        <w:t xml:space="preserve"> </w:t>
      </w:r>
      <w:r w:rsidR="00342A9C" w:rsidRPr="00A77FA1">
        <w:rPr>
          <w:i/>
          <w:iCs/>
          <w:color w:val="222222"/>
          <w:shd w:val="clear" w:color="auto" w:fill="FFFFFF"/>
        </w:rPr>
        <w:t>et al.</w:t>
      </w:r>
      <w:r w:rsidR="00342A9C">
        <w:rPr>
          <w:color w:val="222222"/>
          <w:shd w:val="clear" w:color="auto" w:fill="FFFFFF"/>
        </w:rPr>
        <w:t xml:space="preserve"> </w:t>
      </w:r>
      <w:r w:rsidR="00342A9C" w:rsidRPr="001E58E3">
        <w:rPr>
          <w:color w:val="222222"/>
          <w:shd w:val="clear" w:color="auto" w:fill="FFFFFF"/>
        </w:rPr>
        <w:t>2020</w:t>
      </w:r>
      <w:r w:rsidR="00342A9C">
        <w:rPr>
          <w:color w:val="222222"/>
          <w:shd w:val="clear" w:color="auto" w:fill="FFFFFF"/>
        </w:rPr>
        <w:t>)</w:t>
      </w:r>
      <w:r w:rsidRPr="006C3726">
        <w:rPr>
          <w:color w:val="000000"/>
        </w:rPr>
        <w:t xml:space="preserve">. </w:t>
      </w:r>
    </w:p>
    <w:p w14:paraId="645C188B" w14:textId="02945233" w:rsidR="00664CB5" w:rsidRPr="006C3726" w:rsidRDefault="00000000" w:rsidP="006C3726">
      <w:pPr>
        <w:pStyle w:val="Heading2"/>
      </w:pPr>
      <w:bookmarkStart w:id="4" w:name="_Toc112961484"/>
      <w:r w:rsidRPr="006C3726">
        <w:t>(ii) Report associated with Amana's performance during the period 2020</w:t>
      </w:r>
      <w:bookmarkEnd w:id="4"/>
      <w:r w:rsidR="00EF34EB" w:rsidRPr="006C3726">
        <w:t xml:space="preserve"> </w:t>
      </w:r>
    </w:p>
    <w:p w14:paraId="48AE580F" w14:textId="6D17D8B5" w:rsidR="004B53F7" w:rsidRPr="006C3726" w:rsidRDefault="00000000" w:rsidP="006C3726">
      <w:pPr>
        <w:pStyle w:val="NormalWeb"/>
        <w:spacing w:before="240" w:beforeAutospacing="0" w:after="240" w:afterAutospacing="0" w:line="360" w:lineRule="auto"/>
        <w:jc w:val="both"/>
      </w:pPr>
      <w:r w:rsidRPr="006C3726">
        <w:rPr>
          <w:color w:val="000000"/>
        </w:rPr>
        <w:t>Concern to the presented control report in (i), it can be appropriately identified that Amana Ltd is not able to perform well as per the drawn expectation of the original budget during the year 2020. However, it is said based on generating adverse profitability during the period due to posing a lower flexed budget in comparison to that of the provided original budget structure</w:t>
      </w:r>
      <w:r w:rsidR="004B2985">
        <w:rPr>
          <w:color w:val="000000"/>
        </w:rPr>
        <w:t xml:space="preserve"> (</w:t>
      </w:r>
      <w:proofErr w:type="spellStart"/>
      <w:r w:rsidR="004B2985" w:rsidRPr="001E58E3">
        <w:rPr>
          <w:color w:val="222222"/>
          <w:shd w:val="clear" w:color="auto" w:fill="FFFFFF"/>
        </w:rPr>
        <w:t>Pavlatos</w:t>
      </w:r>
      <w:proofErr w:type="spellEnd"/>
      <w:r w:rsidR="004B2985">
        <w:rPr>
          <w:color w:val="222222"/>
          <w:shd w:val="clear" w:color="auto" w:fill="FFFFFF"/>
        </w:rPr>
        <w:t xml:space="preserve"> </w:t>
      </w:r>
      <w:r w:rsidR="004B2985" w:rsidRPr="001E58E3">
        <w:rPr>
          <w:color w:val="222222"/>
          <w:shd w:val="clear" w:color="auto" w:fill="FFFFFF"/>
        </w:rPr>
        <w:t xml:space="preserve">and </w:t>
      </w:r>
      <w:proofErr w:type="spellStart"/>
      <w:r w:rsidR="004B2985" w:rsidRPr="001E58E3">
        <w:rPr>
          <w:color w:val="222222"/>
          <w:shd w:val="clear" w:color="auto" w:fill="FFFFFF"/>
        </w:rPr>
        <w:t>Kostakis</w:t>
      </w:r>
      <w:proofErr w:type="spellEnd"/>
      <w:r w:rsidR="004B2985" w:rsidRPr="001E58E3">
        <w:rPr>
          <w:color w:val="222222"/>
          <w:shd w:val="clear" w:color="auto" w:fill="FFFFFF"/>
        </w:rPr>
        <w:t>,</w:t>
      </w:r>
      <w:r w:rsidR="004B2985">
        <w:rPr>
          <w:color w:val="222222"/>
          <w:shd w:val="clear" w:color="auto" w:fill="FFFFFF"/>
        </w:rPr>
        <w:t xml:space="preserve"> </w:t>
      </w:r>
      <w:r w:rsidR="004B2985" w:rsidRPr="001E58E3">
        <w:rPr>
          <w:color w:val="222222"/>
          <w:shd w:val="clear" w:color="auto" w:fill="FFFFFF"/>
        </w:rPr>
        <w:t>2018</w:t>
      </w:r>
      <w:r w:rsidR="004B2985">
        <w:rPr>
          <w:color w:val="222222"/>
          <w:shd w:val="clear" w:color="auto" w:fill="FFFFFF"/>
        </w:rPr>
        <w:t>)</w:t>
      </w:r>
      <w:r w:rsidRPr="006C3726">
        <w:rPr>
          <w:color w:val="000000"/>
        </w:rPr>
        <w:t xml:space="preserve">. Amana Ltd recognised as one of the most prominent family-owned tourist businesses engaged in selling souvenirs to their tourists having been located within the premises in England. Amana Ltd is determined to remain a successful business operation for the past 40 years and likely because of being appropriately able to generate sufficient knowledge about the dynamic nature of the tourism industry. Besides, the tourist business of Amana Ltd remains located in various hotspots regions all across England namely Manchester city center, Westminster bridge, Birmingham city center, Brighton, Buckingham Palace, London Bridge, and Brighton. Furthermore, the revenue structure of Amana Ltd records took a big hit during the period 2020 due to the severe existence of the Covid-19 pandemic scenario. The adverse consequence of the pandemic situation follows by imposing movement and travel restrictions by the government within the premises of England, severely impacting its tourism industry and Amana Ltd. Besides, the prolonged imposed lockdown measure worked fuel to the fire by causing depletion of the company's additional revenue structure during the financial year of 2020. </w:t>
      </w:r>
    </w:p>
    <w:p w14:paraId="637509F2" w14:textId="213520E4" w:rsidR="004B53F7" w:rsidRPr="006C3726" w:rsidRDefault="00000000" w:rsidP="006C3726">
      <w:pPr>
        <w:pStyle w:val="NormalWeb"/>
        <w:spacing w:before="240" w:beforeAutospacing="0" w:after="240" w:afterAutospacing="0" w:line="360" w:lineRule="auto"/>
        <w:jc w:val="both"/>
      </w:pPr>
      <w:r w:rsidRPr="006C3726">
        <w:rPr>
          <w:color w:val="000000"/>
        </w:rPr>
        <w:t xml:space="preserve">Referring to the provided control report, it can be exclaimed that Amana Ltd poses a sales or revenue valuation worth amount to £ 1,600,000 which is lower than that of its original budget amount and hence adverse variance worth amount to £ 900,000 exists. Besides, the company incurs aggregate variable cost structure with the amount to £ 840,000 during the period 2020, which signifies higher than that of its original budgeted valuation amount to £ 800,000, resulting in an adverse variance of the amount to £ 40,000. Irrespective of this, Amana Ltd incurs total fixed overheads flexed budget amount of £ 305,000 during the year 2020 which identifies as lower than that of its original budget amount of £ 350,000 and hereby remains </w:t>
      </w:r>
      <w:r w:rsidR="005466E9" w:rsidRPr="006C3726">
        <w:rPr>
          <w:color w:val="000000"/>
        </w:rPr>
        <w:t>favourable</w:t>
      </w:r>
      <w:r w:rsidRPr="006C3726">
        <w:rPr>
          <w:color w:val="000000"/>
        </w:rPr>
        <w:t xml:space="preserve"> for the company</w:t>
      </w:r>
      <w:r w:rsidR="00F87D4D">
        <w:rPr>
          <w:color w:val="000000"/>
        </w:rPr>
        <w:t xml:space="preserve"> (</w:t>
      </w:r>
      <w:proofErr w:type="spellStart"/>
      <w:r w:rsidR="00F87D4D" w:rsidRPr="001E58E3">
        <w:rPr>
          <w:color w:val="222222"/>
          <w:shd w:val="clear" w:color="auto" w:fill="FFFFFF"/>
        </w:rPr>
        <w:t>Agustia</w:t>
      </w:r>
      <w:proofErr w:type="spellEnd"/>
      <w:r w:rsidR="00F87D4D">
        <w:rPr>
          <w:color w:val="222222"/>
          <w:shd w:val="clear" w:color="auto" w:fill="FFFFFF"/>
        </w:rPr>
        <w:t xml:space="preserve"> </w:t>
      </w:r>
      <w:r w:rsidR="00F87D4D" w:rsidRPr="005466E9">
        <w:rPr>
          <w:i/>
          <w:iCs/>
          <w:color w:val="222222"/>
          <w:shd w:val="clear" w:color="auto" w:fill="FFFFFF"/>
        </w:rPr>
        <w:t>et al.</w:t>
      </w:r>
      <w:r w:rsidR="00F87D4D">
        <w:rPr>
          <w:color w:val="222222"/>
          <w:shd w:val="clear" w:color="auto" w:fill="FFFFFF"/>
        </w:rPr>
        <w:t xml:space="preserve"> </w:t>
      </w:r>
      <w:r w:rsidR="00F87D4D" w:rsidRPr="001E58E3">
        <w:rPr>
          <w:color w:val="222222"/>
          <w:shd w:val="clear" w:color="auto" w:fill="FFFFFF"/>
        </w:rPr>
        <w:t>2019</w:t>
      </w:r>
      <w:r w:rsidR="00F87D4D">
        <w:rPr>
          <w:color w:val="222222"/>
          <w:shd w:val="clear" w:color="auto" w:fill="FFFFFF"/>
        </w:rPr>
        <w:t>)</w:t>
      </w:r>
      <w:r w:rsidRPr="006C3726">
        <w:rPr>
          <w:color w:val="000000"/>
        </w:rPr>
        <w:t xml:space="preserve">. On another side, an adverse variance amounting to £ 940,000 also emerges concerned with the contribution structure of Amana Ltd during the period 2020 due to generating a lower flexed budget amount to £ 760,000 in comparison to its original budget value of £ 1,700,000. It is because a higher contribution valuation is mainly preferred to ensure more availability of money for covering the overhead or fixed expenses of the business. Overall, Amana Ltd poses an adverse variance of net profit or income amounting to £ 896,000 due to incurring a lower flexed budget of £ 455,000 than that of its original budget structure amounting to £ 1,350,000. Hence, it can be finally exclaimed that Amana Ltd poses an adverse financial position or performance during the period 2020 largely due to decreasing in its revenue structure and increasing its overheads or </w:t>
      </w:r>
      <w:r w:rsidR="005C14FA" w:rsidRPr="006C3726">
        <w:rPr>
          <w:color w:val="000000"/>
        </w:rPr>
        <w:t>cost</w:t>
      </w:r>
      <w:r w:rsidRPr="006C3726">
        <w:rPr>
          <w:color w:val="000000"/>
        </w:rPr>
        <w:t xml:space="preserve"> structure due to the severe existence of the Covid-19 pandemic situation</w:t>
      </w:r>
      <w:r w:rsidR="00C50DC6">
        <w:rPr>
          <w:color w:val="000000"/>
        </w:rPr>
        <w:t xml:space="preserve"> (</w:t>
      </w:r>
      <w:r w:rsidR="00C50DC6" w:rsidRPr="001E58E3">
        <w:rPr>
          <w:color w:val="222222"/>
          <w:shd w:val="clear" w:color="auto" w:fill="FFFFFF"/>
        </w:rPr>
        <w:t>Bento</w:t>
      </w:r>
      <w:r w:rsidR="00C50DC6">
        <w:rPr>
          <w:color w:val="222222"/>
          <w:shd w:val="clear" w:color="auto" w:fill="FFFFFF"/>
        </w:rPr>
        <w:t xml:space="preserve"> </w:t>
      </w:r>
      <w:r w:rsidR="00C50DC6" w:rsidRPr="00C912AC">
        <w:rPr>
          <w:i/>
          <w:iCs/>
          <w:color w:val="222222"/>
          <w:shd w:val="clear" w:color="auto" w:fill="FFFFFF"/>
        </w:rPr>
        <w:t>et al.</w:t>
      </w:r>
      <w:r w:rsidR="00C50DC6">
        <w:rPr>
          <w:color w:val="222222"/>
          <w:shd w:val="clear" w:color="auto" w:fill="FFFFFF"/>
        </w:rPr>
        <w:t xml:space="preserve"> </w:t>
      </w:r>
      <w:r w:rsidR="00C50DC6" w:rsidRPr="001E58E3">
        <w:rPr>
          <w:color w:val="222222"/>
          <w:shd w:val="clear" w:color="auto" w:fill="FFFFFF"/>
        </w:rPr>
        <w:t>2018</w:t>
      </w:r>
      <w:r w:rsidR="00C50DC6">
        <w:rPr>
          <w:color w:val="222222"/>
          <w:shd w:val="clear" w:color="auto" w:fill="FFFFFF"/>
        </w:rPr>
        <w:t>)</w:t>
      </w:r>
      <w:r w:rsidRPr="006C3726">
        <w:rPr>
          <w:color w:val="000000"/>
        </w:rPr>
        <w:t xml:space="preserve">. </w:t>
      </w:r>
    </w:p>
    <w:p w14:paraId="0D15FE04" w14:textId="42BCFAEF" w:rsidR="00502785" w:rsidRPr="006C3726" w:rsidRDefault="00000000" w:rsidP="006C3726">
      <w:pPr>
        <w:pStyle w:val="Heading2"/>
      </w:pPr>
      <w:bookmarkStart w:id="5" w:name="_Toc112961485"/>
      <w:r w:rsidRPr="006C3726">
        <w:t>(iii) Recommendations on improvement areas to the CEO of Amana</w:t>
      </w:r>
      <w:bookmarkEnd w:id="5"/>
    </w:p>
    <w:p w14:paraId="38E566E0" w14:textId="77777777" w:rsidR="008F76E4" w:rsidRPr="006C3726" w:rsidRDefault="00000000" w:rsidP="006C3726">
      <w:pPr>
        <w:pStyle w:val="NormalWeb"/>
        <w:spacing w:before="240" w:beforeAutospacing="0" w:after="240" w:afterAutospacing="0" w:line="360" w:lineRule="auto"/>
        <w:jc w:val="both"/>
      </w:pPr>
      <w:r w:rsidRPr="006C3726">
        <w:rPr>
          <w:color w:val="000000"/>
        </w:rPr>
        <w:t>An adverse financial position of Amana Ltd can be improved by considering the following provided recommendations.</w:t>
      </w:r>
    </w:p>
    <w:p w14:paraId="53A867C1" w14:textId="1DDF4DB6" w:rsidR="008F76E4" w:rsidRPr="006C3726" w:rsidRDefault="00000000" w:rsidP="006C3726">
      <w:pPr>
        <w:pStyle w:val="NormalWeb"/>
        <w:spacing w:before="240" w:beforeAutospacing="0" w:after="240" w:afterAutospacing="0" w:line="360" w:lineRule="auto"/>
        <w:jc w:val="both"/>
      </w:pPr>
      <w:r w:rsidRPr="006C3726">
        <w:rPr>
          <w:b/>
          <w:bCs/>
          <w:i/>
          <w:iCs/>
          <w:color w:val="000000"/>
        </w:rPr>
        <w:t>By lowering the business' expense structure:</w:t>
      </w:r>
      <w:r w:rsidRPr="006C3726">
        <w:rPr>
          <w:color w:val="000000"/>
        </w:rPr>
        <w:t xml:space="preserve"> One of the best practices to enhance the financial performance of Amana Ltd includes reducing its expense structure. Referring to this, Amana Ltd can engage with alternative or cheaper measures for services, equipment, and supplies and also can evolve with better terms for insurance policies and bank accounts</w:t>
      </w:r>
      <w:r w:rsidR="004B6F9D">
        <w:rPr>
          <w:color w:val="000000"/>
        </w:rPr>
        <w:t xml:space="preserve"> </w:t>
      </w:r>
      <w:r w:rsidR="004B6F9D">
        <w:rPr>
          <w:color w:val="000000"/>
        </w:rPr>
        <w:t>(</w:t>
      </w:r>
      <w:proofErr w:type="spellStart"/>
      <w:r w:rsidR="004B6F9D" w:rsidRPr="001E58E3">
        <w:rPr>
          <w:color w:val="222222"/>
          <w:shd w:val="clear" w:color="auto" w:fill="FFFFFF"/>
        </w:rPr>
        <w:t>Alamri</w:t>
      </w:r>
      <w:proofErr w:type="spellEnd"/>
      <w:r w:rsidR="004B6F9D" w:rsidRPr="001E58E3">
        <w:rPr>
          <w:color w:val="222222"/>
          <w:shd w:val="clear" w:color="auto" w:fill="FFFFFF"/>
        </w:rPr>
        <w:t>,</w:t>
      </w:r>
      <w:r w:rsidR="004B6F9D">
        <w:rPr>
          <w:color w:val="222222"/>
          <w:shd w:val="clear" w:color="auto" w:fill="FFFFFF"/>
        </w:rPr>
        <w:t xml:space="preserve"> </w:t>
      </w:r>
      <w:r w:rsidR="004B6F9D" w:rsidRPr="001E58E3">
        <w:rPr>
          <w:color w:val="222222"/>
          <w:shd w:val="clear" w:color="auto" w:fill="FFFFFF"/>
        </w:rPr>
        <w:t>2018</w:t>
      </w:r>
      <w:r w:rsidR="004B6F9D">
        <w:rPr>
          <w:color w:val="222222"/>
          <w:shd w:val="clear" w:color="auto" w:fill="FFFFFF"/>
        </w:rPr>
        <w:t>)</w:t>
      </w:r>
      <w:r w:rsidRPr="006C3726">
        <w:rPr>
          <w:color w:val="000000"/>
        </w:rPr>
        <w:t>. Besides, the company can arrange deferred or periodic payment options relative to its larger expenses structure to keep more availability of its cash structure and subsequently improve its income value.</w:t>
      </w:r>
    </w:p>
    <w:p w14:paraId="7EA142C8" w14:textId="3A08E93A" w:rsidR="008F76E4" w:rsidRPr="006C3726" w:rsidRDefault="00000000" w:rsidP="006C3726">
      <w:pPr>
        <w:pStyle w:val="NormalWeb"/>
        <w:spacing w:before="240" w:beforeAutospacing="0" w:after="240" w:afterAutospacing="0" w:line="360" w:lineRule="auto"/>
        <w:jc w:val="both"/>
      </w:pPr>
      <w:r w:rsidRPr="006C3726">
        <w:rPr>
          <w:b/>
          <w:bCs/>
          <w:i/>
          <w:iCs/>
          <w:color w:val="000000"/>
        </w:rPr>
        <w:t>Selling off unwanted or unused assets:</w:t>
      </w:r>
      <w:r w:rsidRPr="006C3726">
        <w:rPr>
          <w:color w:val="000000"/>
        </w:rPr>
        <w:t xml:space="preserve"> Selling out unwanted or unused assets can help Amana Ltd to generate immediate cash and also contribute to saving a lot of money which incurs concern about storing the same</w:t>
      </w:r>
      <w:r w:rsidR="004B6F9D">
        <w:rPr>
          <w:color w:val="000000"/>
        </w:rPr>
        <w:t xml:space="preserve"> </w:t>
      </w:r>
      <w:r w:rsidR="004B6F9D">
        <w:rPr>
          <w:color w:val="000000"/>
        </w:rPr>
        <w:t>(</w:t>
      </w:r>
      <w:proofErr w:type="spellStart"/>
      <w:r w:rsidR="004B6F9D" w:rsidRPr="001E58E3">
        <w:rPr>
          <w:color w:val="222222"/>
          <w:shd w:val="clear" w:color="auto" w:fill="FFFFFF"/>
        </w:rPr>
        <w:t>Alamri</w:t>
      </w:r>
      <w:proofErr w:type="spellEnd"/>
      <w:r w:rsidR="004B6F9D" w:rsidRPr="001E58E3">
        <w:rPr>
          <w:color w:val="222222"/>
          <w:shd w:val="clear" w:color="auto" w:fill="FFFFFF"/>
        </w:rPr>
        <w:t>,</w:t>
      </w:r>
      <w:r w:rsidR="004B6F9D">
        <w:rPr>
          <w:color w:val="222222"/>
          <w:shd w:val="clear" w:color="auto" w:fill="FFFFFF"/>
        </w:rPr>
        <w:t xml:space="preserve"> </w:t>
      </w:r>
      <w:r w:rsidR="004B6F9D" w:rsidRPr="001E58E3">
        <w:rPr>
          <w:color w:val="222222"/>
          <w:shd w:val="clear" w:color="auto" w:fill="FFFFFF"/>
        </w:rPr>
        <w:t>2018</w:t>
      </w:r>
      <w:r w:rsidR="004B6F9D">
        <w:rPr>
          <w:color w:val="222222"/>
          <w:shd w:val="clear" w:color="auto" w:fill="FFFFFF"/>
        </w:rPr>
        <w:t>)</w:t>
      </w:r>
      <w:r w:rsidRPr="006C3726">
        <w:rPr>
          <w:color w:val="000000"/>
        </w:rPr>
        <w:t>.</w:t>
      </w:r>
    </w:p>
    <w:p w14:paraId="0B8BF389" w14:textId="73E49E19" w:rsidR="008F76E4" w:rsidRPr="006C3726" w:rsidRDefault="00000000" w:rsidP="006C3726">
      <w:pPr>
        <w:pStyle w:val="NormalWeb"/>
        <w:spacing w:before="240" w:beforeAutospacing="0" w:after="240" w:afterAutospacing="0" w:line="360" w:lineRule="auto"/>
        <w:jc w:val="both"/>
      </w:pPr>
      <w:r w:rsidRPr="006C3726">
        <w:rPr>
          <w:b/>
          <w:bCs/>
          <w:i/>
          <w:iCs/>
          <w:color w:val="000000"/>
        </w:rPr>
        <w:t>Offerings customers various payment options:</w:t>
      </w:r>
      <w:r w:rsidRPr="006C3726">
        <w:rPr>
          <w:color w:val="000000"/>
        </w:rPr>
        <w:t xml:space="preserve"> By providing more options to customers regarding payment, Amana Ltd can pose more chances to make effective sales progress. Concern with the severe Covid-19 pandemic restriction, people are likely to prefer various payment options via digital or online mode and hereby contribute to the company to ensure an adequate level of sales structure over this severe situation</w:t>
      </w:r>
      <w:r w:rsidR="00C912AC">
        <w:rPr>
          <w:color w:val="000000"/>
        </w:rPr>
        <w:t xml:space="preserve"> (</w:t>
      </w:r>
      <w:proofErr w:type="spellStart"/>
      <w:r w:rsidR="00C912AC" w:rsidRPr="001E58E3">
        <w:rPr>
          <w:color w:val="222222"/>
          <w:shd w:val="clear" w:color="auto" w:fill="FFFFFF"/>
        </w:rPr>
        <w:t>Pilipczuk</w:t>
      </w:r>
      <w:proofErr w:type="spellEnd"/>
      <w:r w:rsidR="00C912AC" w:rsidRPr="001E58E3">
        <w:rPr>
          <w:color w:val="222222"/>
          <w:shd w:val="clear" w:color="auto" w:fill="FFFFFF"/>
        </w:rPr>
        <w:t>,</w:t>
      </w:r>
      <w:r w:rsidR="00C912AC">
        <w:rPr>
          <w:color w:val="222222"/>
          <w:shd w:val="clear" w:color="auto" w:fill="FFFFFF"/>
        </w:rPr>
        <w:t xml:space="preserve"> </w:t>
      </w:r>
      <w:r w:rsidR="00C912AC" w:rsidRPr="001E58E3">
        <w:rPr>
          <w:color w:val="222222"/>
          <w:shd w:val="clear" w:color="auto" w:fill="FFFFFF"/>
        </w:rPr>
        <w:t>2020</w:t>
      </w:r>
      <w:r w:rsidR="00C912AC">
        <w:rPr>
          <w:color w:val="222222"/>
          <w:shd w:val="clear" w:color="auto" w:fill="FFFFFF"/>
        </w:rPr>
        <w:t>)</w:t>
      </w:r>
      <w:r w:rsidRPr="006C3726">
        <w:rPr>
          <w:color w:val="000000"/>
        </w:rPr>
        <w:t>.</w:t>
      </w:r>
    </w:p>
    <w:p w14:paraId="130A926F" w14:textId="051C5E84" w:rsidR="008F76E4" w:rsidRPr="006C3726" w:rsidRDefault="00000000" w:rsidP="006C3726">
      <w:pPr>
        <w:pStyle w:val="NormalWeb"/>
        <w:spacing w:before="240" w:beforeAutospacing="0" w:after="240" w:afterAutospacing="0" w:line="360" w:lineRule="auto"/>
        <w:jc w:val="both"/>
      </w:pPr>
      <w:r w:rsidRPr="006C3726">
        <w:rPr>
          <w:b/>
          <w:bCs/>
          <w:i/>
          <w:iCs/>
          <w:color w:val="000000"/>
        </w:rPr>
        <w:t>Raising money through crowdfunding or grants:</w:t>
      </w:r>
      <w:r w:rsidRPr="006C3726">
        <w:rPr>
          <w:color w:val="000000"/>
        </w:rPr>
        <w:t xml:space="preserve"> Amana Ltd can evolve with an option of crowdfunding or grants to raise money. The company can utilise this amount to pose new and innovative services or products on the horizon</w:t>
      </w:r>
      <w:r w:rsidR="002064AD">
        <w:rPr>
          <w:color w:val="000000"/>
        </w:rPr>
        <w:t xml:space="preserve"> (</w:t>
      </w:r>
      <w:r w:rsidR="002064AD" w:rsidRPr="001E58E3">
        <w:rPr>
          <w:color w:val="222222"/>
          <w:shd w:val="clear" w:color="auto" w:fill="FFFFFF"/>
        </w:rPr>
        <w:t>Drury,</w:t>
      </w:r>
      <w:r w:rsidR="002064AD">
        <w:rPr>
          <w:color w:val="222222"/>
          <w:shd w:val="clear" w:color="auto" w:fill="FFFFFF"/>
        </w:rPr>
        <w:t xml:space="preserve"> </w:t>
      </w:r>
      <w:r w:rsidR="002064AD" w:rsidRPr="001E58E3">
        <w:rPr>
          <w:color w:val="222222"/>
          <w:shd w:val="clear" w:color="auto" w:fill="FFFFFF"/>
        </w:rPr>
        <w:t>2018</w:t>
      </w:r>
      <w:r w:rsidR="002064AD">
        <w:rPr>
          <w:color w:val="222222"/>
          <w:shd w:val="clear" w:color="auto" w:fill="FFFFFF"/>
        </w:rPr>
        <w:t>)</w:t>
      </w:r>
      <w:r w:rsidRPr="006C3726">
        <w:rPr>
          <w:color w:val="000000"/>
        </w:rPr>
        <w:t>.</w:t>
      </w:r>
    </w:p>
    <w:p w14:paraId="17A060A1" w14:textId="241E8818" w:rsidR="008F76E4" w:rsidRPr="006C3726" w:rsidRDefault="00000000" w:rsidP="006C3726">
      <w:pPr>
        <w:pStyle w:val="NormalWeb"/>
        <w:spacing w:before="240" w:beforeAutospacing="0" w:after="240" w:afterAutospacing="0" w:line="360" w:lineRule="auto"/>
        <w:jc w:val="both"/>
      </w:pPr>
      <w:r w:rsidRPr="006C3726">
        <w:rPr>
          <w:b/>
          <w:bCs/>
          <w:i/>
          <w:iCs/>
          <w:color w:val="000000"/>
        </w:rPr>
        <w:t>Enhancing marketing initiative:</w:t>
      </w:r>
      <w:r w:rsidRPr="006C3726">
        <w:rPr>
          <w:color w:val="000000"/>
        </w:rPr>
        <w:t xml:space="preserve"> Amana Ltd can subsequently improve its business performance by contributing to influence its marketing initiative considering the latest digital advancement</w:t>
      </w:r>
      <w:r w:rsidR="00C912AC">
        <w:rPr>
          <w:color w:val="000000"/>
        </w:rPr>
        <w:t xml:space="preserve"> </w:t>
      </w:r>
      <w:r w:rsidR="00C912AC">
        <w:rPr>
          <w:color w:val="000000"/>
        </w:rPr>
        <w:t>(</w:t>
      </w:r>
      <w:proofErr w:type="spellStart"/>
      <w:r w:rsidR="00C912AC" w:rsidRPr="001E58E3">
        <w:rPr>
          <w:color w:val="222222"/>
          <w:shd w:val="clear" w:color="auto" w:fill="FFFFFF"/>
        </w:rPr>
        <w:t>Pilipczuk</w:t>
      </w:r>
      <w:proofErr w:type="spellEnd"/>
      <w:r w:rsidR="00C912AC" w:rsidRPr="001E58E3">
        <w:rPr>
          <w:color w:val="222222"/>
          <w:shd w:val="clear" w:color="auto" w:fill="FFFFFF"/>
        </w:rPr>
        <w:t>,</w:t>
      </w:r>
      <w:r w:rsidR="00C912AC">
        <w:rPr>
          <w:color w:val="222222"/>
          <w:shd w:val="clear" w:color="auto" w:fill="FFFFFF"/>
        </w:rPr>
        <w:t xml:space="preserve"> </w:t>
      </w:r>
      <w:r w:rsidR="00C912AC" w:rsidRPr="001E58E3">
        <w:rPr>
          <w:color w:val="222222"/>
          <w:shd w:val="clear" w:color="auto" w:fill="FFFFFF"/>
        </w:rPr>
        <w:t>2020</w:t>
      </w:r>
      <w:r w:rsidR="00C912AC">
        <w:rPr>
          <w:color w:val="222222"/>
          <w:shd w:val="clear" w:color="auto" w:fill="FFFFFF"/>
        </w:rPr>
        <w:t>)</w:t>
      </w:r>
      <w:r w:rsidRPr="006C3726">
        <w:rPr>
          <w:color w:val="000000"/>
        </w:rPr>
        <w:t>. Various marketing platforms and options such as social media, retargeted advertising, video, and email can prove beneficial to companies to achieve this initiative. Besides, Amana Ltd must surely test all of its active ad campaigns to remain sure regarding acquiring a solid rate of investment (ROI) during the period.</w:t>
      </w:r>
    </w:p>
    <w:p w14:paraId="7EA7ABB8" w14:textId="5A19383F" w:rsidR="008F76E4" w:rsidRPr="006C3726" w:rsidRDefault="00000000" w:rsidP="006C3726">
      <w:pPr>
        <w:pStyle w:val="NormalWeb"/>
        <w:spacing w:before="240" w:beforeAutospacing="0" w:after="240" w:afterAutospacing="0" w:line="360" w:lineRule="auto"/>
        <w:jc w:val="both"/>
      </w:pPr>
      <w:r w:rsidRPr="006C3726">
        <w:rPr>
          <w:b/>
          <w:bCs/>
          <w:i/>
          <w:iCs/>
          <w:color w:val="000000"/>
        </w:rPr>
        <w:t>Consolidation of debt structure:</w:t>
      </w:r>
      <w:r w:rsidRPr="006C3726">
        <w:rPr>
          <w:color w:val="000000"/>
        </w:rPr>
        <w:t xml:space="preserve"> It is vital to look at the existing business debt structure of the company to evolve in a significant way to enhance the business finance valuation of Amana Ltd. However, consolidation of debt can prove advantageous to the company as it serves one of the simplest economic implications to refinance Amana Ltd's existing debt into a single payment option</w:t>
      </w:r>
      <w:r w:rsidR="002064AD">
        <w:rPr>
          <w:color w:val="000000"/>
        </w:rPr>
        <w:t xml:space="preserve"> (</w:t>
      </w:r>
      <w:proofErr w:type="spellStart"/>
      <w:r w:rsidR="002064AD" w:rsidRPr="001E58E3">
        <w:rPr>
          <w:color w:val="222222"/>
          <w:shd w:val="clear" w:color="auto" w:fill="FFFFFF"/>
        </w:rPr>
        <w:t>Alamri</w:t>
      </w:r>
      <w:proofErr w:type="spellEnd"/>
      <w:r w:rsidR="002064AD" w:rsidRPr="001E58E3">
        <w:rPr>
          <w:color w:val="222222"/>
          <w:shd w:val="clear" w:color="auto" w:fill="FFFFFF"/>
        </w:rPr>
        <w:t>,</w:t>
      </w:r>
      <w:r w:rsidR="002064AD">
        <w:rPr>
          <w:color w:val="222222"/>
          <w:shd w:val="clear" w:color="auto" w:fill="FFFFFF"/>
        </w:rPr>
        <w:t xml:space="preserve"> </w:t>
      </w:r>
      <w:r w:rsidR="002064AD" w:rsidRPr="001E58E3">
        <w:rPr>
          <w:color w:val="222222"/>
          <w:shd w:val="clear" w:color="auto" w:fill="FFFFFF"/>
        </w:rPr>
        <w:t>2018</w:t>
      </w:r>
      <w:r w:rsidR="002064AD">
        <w:rPr>
          <w:color w:val="222222"/>
          <w:shd w:val="clear" w:color="auto" w:fill="FFFFFF"/>
        </w:rPr>
        <w:t>)</w:t>
      </w:r>
      <w:r w:rsidRPr="006C3726">
        <w:rPr>
          <w:color w:val="000000"/>
        </w:rPr>
        <w:t xml:space="preserve">. </w:t>
      </w:r>
    </w:p>
    <w:p w14:paraId="2A9E7920" w14:textId="020DF2B3" w:rsidR="00502785" w:rsidRPr="006C3726" w:rsidRDefault="00000000" w:rsidP="006C3726">
      <w:pPr>
        <w:pStyle w:val="Heading1"/>
      </w:pPr>
      <w:bookmarkStart w:id="6" w:name="_Toc112961486"/>
      <w:r w:rsidRPr="006C3726">
        <w:t>Part B</w:t>
      </w:r>
      <w:bookmarkEnd w:id="6"/>
      <w:r w:rsidR="00E954DE" w:rsidRPr="006C3726">
        <w:t xml:space="preserve"> </w:t>
      </w:r>
    </w:p>
    <w:p w14:paraId="20D67571" w14:textId="2E8D666F" w:rsidR="00502785" w:rsidRPr="006C3726" w:rsidRDefault="00000000" w:rsidP="006C3726">
      <w:pPr>
        <w:pStyle w:val="Heading2"/>
      </w:pPr>
      <w:bookmarkStart w:id="7" w:name="_Toc112961487"/>
      <w:r w:rsidRPr="006C3726">
        <w:t>Evaluation decision of Mr. Amana to go online</w:t>
      </w:r>
      <w:bookmarkEnd w:id="7"/>
    </w:p>
    <w:p w14:paraId="24DD615A" w14:textId="4ADF3B66" w:rsidR="00150799" w:rsidRPr="006C3726" w:rsidRDefault="00000000" w:rsidP="006C3726">
      <w:pPr>
        <w:pStyle w:val="NormalWeb"/>
        <w:spacing w:before="240" w:beforeAutospacing="0" w:after="240" w:afterAutospacing="0" w:line="360" w:lineRule="auto"/>
        <w:jc w:val="both"/>
      </w:pPr>
      <w:r w:rsidRPr="006C3726">
        <w:rPr>
          <w:color w:val="000000"/>
        </w:rPr>
        <w:t>Referring to the provided case scenario, Amana Ltd’s CEO Mr. Amana evolves with the decision to sell its products or services to its potential customers considering the online mode within the premises of the United Kingdom (UK). Concerning the severe scenario of the Covid-19 pandemic, considering the option of selling online is recognised as one of the effective decisions of Mr. Amana to address the challenges concerning the existing pandemic situation, including imposed restrictions and lockdown measures</w:t>
      </w:r>
      <w:r w:rsidR="00460BF5">
        <w:rPr>
          <w:color w:val="000000"/>
        </w:rPr>
        <w:t xml:space="preserve"> (</w:t>
      </w:r>
      <w:r w:rsidR="00460BF5" w:rsidRPr="001E58E3">
        <w:rPr>
          <w:color w:val="222222"/>
          <w:shd w:val="clear" w:color="auto" w:fill="FFFFFF"/>
        </w:rPr>
        <w:t>Zhang,</w:t>
      </w:r>
      <w:r w:rsidR="00460BF5">
        <w:rPr>
          <w:color w:val="222222"/>
          <w:shd w:val="clear" w:color="auto" w:fill="FFFFFF"/>
        </w:rPr>
        <w:t xml:space="preserve"> </w:t>
      </w:r>
      <w:r w:rsidR="00460BF5" w:rsidRPr="001E58E3">
        <w:rPr>
          <w:color w:val="222222"/>
          <w:shd w:val="clear" w:color="auto" w:fill="FFFFFF"/>
        </w:rPr>
        <w:t>2021</w:t>
      </w:r>
      <w:r w:rsidR="00460BF5">
        <w:rPr>
          <w:color w:val="222222"/>
          <w:shd w:val="clear" w:color="auto" w:fill="FFFFFF"/>
        </w:rPr>
        <w:t>)</w:t>
      </w:r>
      <w:r w:rsidRPr="006C3726">
        <w:rPr>
          <w:color w:val="000000"/>
        </w:rPr>
        <w:t xml:space="preserve">. Besides, Mr. Amana also observes that most of its potential competitors are also engaging themselves to impose online selling implications to its </w:t>
      </w:r>
      <w:r w:rsidR="005F5A2F" w:rsidRPr="006C3726">
        <w:rPr>
          <w:color w:val="000000"/>
        </w:rPr>
        <w:t>customers’</w:t>
      </w:r>
      <w:r w:rsidRPr="006C3726">
        <w:rPr>
          <w:color w:val="000000"/>
        </w:rPr>
        <w:t xml:space="preserve"> existing within the regions of the US, UK, and Europe.</w:t>
      </w:r>
    </w:p>
    <w:p w14:paraId="5BEC7CAE" w14:textId="1303EA28" w:rsidR="00150799" w:rsidRPr="006C3726" w:rsidRDefault="00000000" w:rsidP="006C3726">
      <w:pPr>
        <w:pStyle w:val="NormalWeb"/>
        <w:spacing w:before="240" w:beforeAutospacing="0" w:after="240" w:afterAutospacing="0" w:line="360" w:lineRule="auto"/>
        <w:jc w:val="both"/>
      </w:pPr>
      <w:r w:rsidRPr="006C3726">
        <w:rPr>
          <w:color w:val="000000"/>
        </w:rPr>
        <w:t>In context to this, selecting the decision to ensure online term of business operations can contribute Amana Ltd to providing active and stiff competitors to its rivalries</w:t>
      </w:r>
      <w:r w:rsidR="003D6312">
        <w:rPr>
          <w:color w:val="000000"/>
        </w:rPr>
        <w:t xml:space="preserve"> </w:t>
      </w:r>
      <w:r w:rsidR="003D6312">
        <w:rPr>
          <w:color w:val="000000"/>
        </w:rPr>
        <w:t>(</w:t>
      </w:r>
      <w:proofErr w:type="spellStart"/>
      <w:r w:rsidR="003D6312" w:rsidRPr="001E58E3">
        <w:rPr>
          <w:color w:val="222222"/>
          <w:shd w:val="clear" w:color="auto" w:fill="FFFFFF"/>
        </w:rPr>
        <w:t>Krizanova</w:t>
      </w:r>
      <w:proofErr w:type="spellEnd"/>
      <w:r w:rsidR="003D6312">
        <w:rPr>
          <w:color w:val="222222"/>
          <w:shd w:val="clear" w:color="auto" w:fill="FFFFFF"/>
        </w:rPr>
        <w:t xml:space="preserve"> </w:t>
      </w:r>
      <w:r w:rsidR="003D6312" w:rsidRPr="003D6312">
        <w:rPr>
          <w:i/>
          <w:iCs/>
          <w:color w:val="222222"/>
          <w:shd w:val="clear" w:color="auto" w:fill="FFFFFF"/>
        </w:rPr>
        <w:t>et al.</w:t>
      </w:r>
      <w:r w:rsidR="003D6312">
        <w:rPr>
          <w:color w:val="222222"/>
          <w:shd w:val="clear" w:color="auto" w:fill="FFFFFF"/>
        </w:rPr>
        <w:t xml:space="preserve"> </w:t>
      </w:r>
      <w:r w:rsidR="003D6312" w:rsidRPr="001E58E3">
        <w:rPr>
          <w:color w:val="222222"/>
          <w:shd w:val="clear" w:color="auto" w:fill="FFFFFF"/>
        </w:rPr>
        <w:t>2019</w:t>
      </w:r>
      <w:r w:rsidR="003D6312">
        <w:rPr>
          <w:color w:val="222222"/>
          <w:shd w:val="clear" w:color="auto" w:fill="FFFFFF"/>
        </w:rPr>
        <w:t>)</w:t>
      </w:r>
      <w:r w:rsidRPr="006C3726">
        <w:rPr>
          <w:color w:val="000000"/>
        </w:rPr>
        <w:t>. Irrespective of this, there exist various advantages for Amana Ltd in concern of evolving with the decision to go online by its CEO, Mr. Amana. For such, going online can help Amana Ltd to reach a large number of audiences across various regions of the globe and thereby contribute to enhancing its sales opportunities. Besides, it can also help companies to subsequently compete with larger existing businesses by remaining able to open seven days a week and 24 hours a day</w:t>
      </w:r>
      <w:r w:rsidR="00AA5AB9">
        <w:rPr>
          <w:color w:val="000000"/>
        </w:rPr>
        <w:t xml:space="preserve"> (</w:t>
      </w:r>
      <w:r w:rsidR="00AA5AB9" w:rsidRPr="001E58E3">
        <w:rPr>
          <w:color w:val="222222"/>
          <w:shd w:val="clear" w:color="auto" w:fill="FFFFFF"/>
        </w:rPr>
        <w:t>Liu,</w:t>
      </w:r>
      <w:r w:rsidR="00AA5AB9">
        <w:rPr>
          <w:color w:val="222222"/>
          <w:shd w:val="clear" w:color="auto" w:fill="FFFFFF"/>
        </w:rPr>
        <w:t xml:space="preserve"> </w:t>
      </w:r>
      <w:r w:rsidR="00AA5AB9" w:rsidRPr="001E58E3">
        <w:rPr>
          <w:color w:val="222222"/>
          <w:shd w:val="clear" w:color="auto" w:fill="FFFFFF"/>
        </w:rPr>
        <w:t>2018</w:t>
      </w:r>
      <w:r w:rsidR="00AA5AB9">
        <w:rPr>
          <w:color w:val="222222"/>
          <w:shd w:val="clear" w:color="auto" w:fill="FFFFFF"/>
        </w:rPr>
        <w:t>)</w:t>
      </w:r>
      <w:r w:rsidRPr="006C3726">
        <w:rPr>
          <w:color w:val="000000"/>
        </w:rPr>
        <w:t>. Additionally, Amana Ltd is also able to save money concerning operational and set-up costs and thereby reducing expenses associated with order processing. Also, the online initiative can ensure Amana Ltd showcases its existing services or products to its potential customers considering the online shop option. Furthermore, enhancement of the company's offerings can also emerge considering the gathered data by monitoring customer purchases implication and subsequently by receiving more quickly payment from the online transactions</w:t>
      </w:r>
      <w:r w:rsidR="00A64BFC">
        <w:rPr>
          <w:color w:val="000000"/>
        </w:rPr>
        <w:t xml:space="preserve"> </w:t>
      </w:r>
      <w:r w:rsidR="00A64BFC">
        <w:rPr>
          <w:color w:val="000000"/>
        </w:rPr>
        <w:t>(</w:t>
      </w:r>
      <w:r w:rsidR="00A64BFC" w:rsidRPr="001E58E3">
        <w:rPr>
          <w:color w:val="222222"/>
          <w:shd w:val="clear" w:color="auto" w:fill="FFFFFF"/>
        </w:rPr>
        <w:t>Liu,</w:t>
      </w:r>
      <w:r w:rsidR="00A64BFC">
        <w:rPr>
          <w:color w:val="222222"/>
          <w:shd w:val="clear" w:color="auto" w:fill="FFFFFF"/>
        </w:rPr>
        <w:t xml:space="preserve"> </w:t>
      </w:r>
      <w:r w:rsidR="00A64BFC" w:rsidRPr="001E58E3">
        <w:rPr>
          <w:color w:val="222222"/>
          <w:shd w:val="clear" w:color="auto" w:fill="FFFFFF"/>
        </w:rPr>
        <w:t>2018</w:t>
      </w:r>
      <w:r w:rsidR="00A64BFC">
        <w:rPr>
          <w:color w:val="222222"/>
          <w:shd w:val="clear" w:color="auto" w:fill="FFFFFF"/>
        </w:rPr>
        <w:t>)</w:t>
      </w:r>
      <w:r w:rsidRPr="006C3726">
        <w:rPr>
          <w:color w:val="000000"/>
        </w:rPr>
        <w:t>. Evolving with this perception, Mr. Amana decided to consider closing its existing branches at Manchester city center, Birmingham city center, and Brighton to ensure moving their 50% to online selling option to streamline its continuous business activities. Various other factors have been also considered by Mr. Amana concerning making this decision of going online including setting up the delivery network, upgrading its existing website to enable handling the company's large sales volume, and offering sufficient full-time salary structure to IT programmers. Hence, the decision to go online is likely to prove beneficial for Amana Ltd to mitigate the challenging scenario of the Covid-19 pandemic</w:t>
      </w:r>
      <w:r w:rsidR="00460BF5">
        <w:rPr>
          <w:color w:val="000000"/>
        </w:rPr>
        <w:t xml:space="preserve"> </w:t>
      </w:r>
      <w:r w:rsidR="00460BF5">
        <w:rPr>
          <w:color w:val="000000"/>
        </w:rPr>
        <w:t>(</w:t>
      </w:r>
      <w:r w:rsidR="00460BF5" w:rsidRPr="001E58E3">
        <w:rPr>
          <w:color w:val="222222"/>
          <w:shd w:val="clear" w:color="auto" w:fill="FFFFFF"/>
        </w:rPr>
        <w:t>Zhang,</w:t>
      </w:r>
      <w:r w:rsidR="00460BF5">
        <w:rPr>
          <w:color w:val="222222"/>
          <w:shd w:val="clear" w:color="auto" w:fill="FFFFFF"/>
        </w:rPr>
        <w:t xml:space="preserve"> </w:t>
      </w:r>
      <w:r w:rsidR="00460BF5" w:rsidRPr="001E58E3">
        <w:rPr>
          <w:color w:val="222222"/>
          <w:shd w:val="clear" w:color="auto" w:fill="FFFFFF"/>
        </w:rPr>
        <w:t>2021</w:t>
      </w:r>
      <w:r w:rsidR="00460BF5">
        <w:rPr>
          <w:color w:val="222222"/>
          <w:shd w:val="clear" w:color="auto" w:fill="FFFFFF"/>
        </w:rPr>
        <w:t>)</w:t>
      </w:r>
      <w:r w:rsidRPr="006C3726">
        <w:rPr>
          <w:color w:val="000000"/>
        </w:rPr>
        <w:t xml:space="preserve">. </w:t>
      </w:r>
    </w:p>
    <w:p w14:paraId="5A21F258" w14:textId="6516F180" w:rsidR="00502785" w:rsidRPr="006C3726" w:rsidRDefault="00000000" w:rsidP="006C3726">
      <w:pPr>
        <w:pStyle w:val="Heading2"/>
      </w:pPr>
      <w:bookmarkStart w:id="8" w:name="_Toc112961488"/>
      <w:r w:rsidRPr="006C3726">
        <w:t>Advice whether to sell on Amazon or set up their online shop</w:t>
      </w:r>
      <w:bookmarkEnd w:id="8"/>
    </w:p>
    <w:p w14:paraId="7E80C9BD" w14:textId="79E900DA" w:rsidR="00CD4B38" w:rsidRPr="006C3726" w:rsidRDefault="00000000" w:rsidP="006C3726">
      <w:pPr>
        <w:pStyle w:val="NormalWeb"/>
        <w:spacing w:before="240" w:beforeAutospacing="0" w:after="240" w:afterAutospacing="0" w:line="360" w:lineRule="auto"/>
        <w:jc w:val="both"/>
        <w:rPr>
          <w:color w:val="000000"/>
        </w:rPr>
      </w:pPr>
      <w:r w:rsidRPr="006C3726">
        <w:rPr>
          <w:color w:val="000000"/>
        </w:rPr>
        <w:t>From the mentioned case study scenario, it has been identified that Mr. Amana evolved with the decision to ensure online selling options to address the emerging scenario of the Covid-19 pandemic circumstance and also to provide stiff competitors to its potential rivalries</w:t>
      </w:r>
      <w:r w:rsidR="000B3887">
        <w:rPr>
          <w:color w:val="000000"/>
        </w:rPr>
        <w:t xml:space="preserve"> </w:t>
      </w:r>
      <w:r w:rsidR="000B3887">
        <w:rPr>
          <w:color w:val="000000"/>
        </w:rPr>
        <w:t>(</w:t>
      </w:r>
      <w:proofErr w:type="spellStart"/>
      <w:r w:rsidR="000B3887" w:rsidRPr="001E58E3">
        <w:rPr>
          <w:color w:val="222222"/>
          <w:shd w:val="clear" w:color="auto" w:fill="FFFFFF"/>
        </w:rPr>
        <w:t>Ansong</w:t>
      </w:r>
      <w:proofErr w:type="spellEnd"/>
      <w:r w:rsidR="000B3887">
        <w:rPr>
          <w:color w:val="222222"/>
          <w:shd w:val="clear" w:color="auto" w:fill="FFFFFF"/>
        </w:rPr>
        <w:t xml:space="preserve"> </w:t>
      </w:r>
      <w:r w:rsidR="000B3887" w:rsidRPr="001E58E3">
        <w:rPr>
          <w:color w:val="222222"/>
          <w:shd w:val="clear" w:color="auto" w:fill="FFFFFF"/>
        </w:rPr>
        <w:t>and Boateng,</w:t>
      </w:r>
      <w:r w:rsidR="000B3887">
        <w:rPr>
          <w:color w:val="222222"/>
          <w:shd w:val="clear" w:color="auto" w:fill="FFFFFF"/>
        </w:rPr>
        <w:t xml:space="preserve"> </w:t>
      </w:r>
      <w:r w:rsidR="000B3887" w:rsidRPr="001E58E3">
        <w:rPr>
          <w:color w:val="222222"/>
          <w:shd w:val="clear" w:color="auto" w:fill="FFFFFF"/>
        </w:rPr>
        <w:t>2019</w:t>
      </w:r>
      <w:r w:rsidR="000B3887">
        <w:rPr>
          <w:color w:val="222222"/>
          <w:shd w:val="clear" w:color="auto" w:fill="FFFFFF"/>
        </w:rPr>
        <w:t>)</w:t>
      </w:r>
      <w:r w:rsidRPr="006C3726">
        <w:rPr>
          <w:color w:val="000000"/>
        </w:rPr>
        <w:t>. However, Mr. Amana subjects to remain confused relative to enable considering an online initiative whether to sell on the Amazon platform or to evolve setting up their respective online shop. Referring to the provided information associated with the implementation of both options, it can be identified that though Amana Ltd is likely to incur a higher expenses structure concerning developing its online shop in comparison to evolving with the option of selling on Amazon, yet it is likely to hold various benefits of its own</w:t>
      </w:r>
      <w:r w:rsidR="00F72F05">
        <w:rPr>
          <w:color w:val="000000"/>
        </w:rPr>
        <w:t xml:space="preserve"> (</w:t>
      </w:r>
      <w:proofErr w:type="spellStart"/>
      <w:r w:rsidR="00F72F05" w:rsidRPr="001E58E3">
        <w:rPr>
          <w:color w:val="222222"/>
          <w:shd w:val="clear" w:color="auto" w:fill="FFFFFF"/>
        </w:rPr>
        <w:t>Almtiri</w:t>
      </w:r>
      <w:proofErr w:type="spellEnd"/>
      <w:r w:rsidR="00F72F05">
        <w:rPr>
          <w:color w:val="222222"/>
          <w:shd w:val="clear" w:color="auto" w:fill="FFFFFF"/>
        </w:rPr>
        <w:t xml:space="preserve"> </w:t>
      </w:r>
      <w:r w:rsidR="00F72F05" w:rsidRPr="00BE2AA4">
        <w:rPr>
          <w:i/>
          <w:iCs/>
          <w:color w:val="222222"/>
          <w:shd w:val="clear" w:color="auto" w:fill="FFFFFF"/>
        </w:rPr>
        <w:t>et al.</w:t>
      </w:r>
      <w:r w:rsidR="00F72F05">
        <w:rPr>
          <w:color w:val="222222"/>
          <w:shd w:val="clear" w:color="auto" w:fill="FFFFFF"/>
        </w:rPr>
        <w:t xml:space="preserve"> </w:t>
      </w:r>
      <w:r w:rsidR="00F72F05" w:rsidRPr="001E58E3">
        <w:rPr>
          <w:color w:val="222222"/>
          <w:shd w:val="clear" w:color="auto" w:fill="FFFFFF"/>
        </w:rPr>
        <w:t>2023</w:t>
      </w:r>
      <w:r w:rsidR="00F72F05">
        <w:rPr>
          <w:color w:val="222222"/>
          <w:shd w:val="clear" w:color="auto" w:fill="FFFFFF"/>
        </w:rPr>
        <w:t>)</w:t>
      </w:r>
      <w:r w:rsidRPr="006C3726">
        <w:rPr>
          <w:color w:val="000000"/>
        </w:rPr>
        <w:t>. It can be appropriately to exclaim that there subsequently remains more costs structure for Amana Ltd relative to setting up their online shop including the cost of upgrading the existing website amounting to £ 50,000 to enable handling their large volume of sales and cost of £ 150,000 to setting up of an effective delivery network system. Besides, the company is entitled to provide an annual amount of £ 35,000 for its full time IT programmer. Irrespective of this, the option can contribute to the company generating a guaranteed sales structure of nearly 100,000 units annually</w:t>
      </w:r>
      <w:r w:rsidR="008C52CE">
        <w:rPr>
          <w:color w:val="000000"/>
        </w:rPr>
        <w:t xml:space="preserve"> (</w:t>
      </w:r>
      <w:proofErr w:type="spellStart"/>
      <w:r w:rsidR="008C52CE" w:rsidRPr="001E58E3">
        <w:rPr>
          <w:color w:val="222222"/>
          <w:shd w:val="clear" w:color="auto" w:fill="FFFFFF"/>
        </w:rPr>
        <w:t>Ansong</w:t>
      </w:r>
      <w:proofErr w:type="spellEnd"/>
      <w:r w:rsidR="008C52CE">
        <w:rPr>
          <w:color w:val="222222"/>
          <w:shd w:val="clear" w:color="auto" w:fill="FFFFFF"/>
        </w:rPr>
        <w:t xml:space="preserve"> </w:t>
      </w:r>
      <w:r w:rsidR="008C52CE" w:rsidRPr="001E58E3">
        <w:rPr>
          <w:color w:val="222222"/>
          <w:shd w:val="clear" w:color="auto" w:fill="FFFFFF"/>
        </w:rPr>
        <w:t>and Boateng,</w:t>
      </w:r>
      <w:r w:rsidR="008C52CE">
        <w:rPr>
          <w:color w:val="222222"/>
          <w:shd w:val="clear" w:color="auto" w:fill="FFFFFF"/>
        </w:rPr>
        <w:t xml:space="preserve"> </w:t>
      </w:r>
      <w:r w:rsidR="008C52CE" w:rsidRPr="001E58E3">
        <w:rPr>
          <w:color w:val="222222"/>
          <w:shd w:val="clear" w:color="auto" w:fill="FFFFFF"/>
        </w:rPr>
        <w:t>2019</w:t>
      </w:r>
      <w:r w:rsidR="008C52CE">
        <w:rPr>
          <w:color w:val="222222"/>
          <w:shd w:val="clear" w:color="auto" w:fill="FFFFFF"/>
        </w:rPr>
        <w:t>)</w:t>
      </w:r>
      <w:r w:rsidRPr="006C3726">
        <w:rPr>
          <w:color w:val="000000"/>
        </w:rPr>
        <w:t>. On the other hand, the decision to directly sell the products of Amana Ltd on Amazon is likely to impose less cost structure in comparison to another prevailing option including fulfillment fees of up to £ 50,000 but evolves with various disadvantages also. As such, there is likely to emerge high competition levels between Amana's souvenirs and that other prevailing selling on this specific platform. Besides, there also remains a lack of control concern to return policy and pricing implications relative to this platform. By directly engaging, selling on Amazon can contribute to Amana Ltd with a smaller number of guaranteed sales structures of 65,00 units annually based on the product demand in comparison to another option</w:t>
      </w:r>
      <w:r w:rsidR="009A47F0">
        <w:rPr>
          <w:color w:val="000000"/>
        </w:rPr>
        <w:t xml:space="preserve"> (</w:t>
      </w:r>
      <w:proofErr w:type="spellStart"/>
      <w:r w:rsidR="009A47F0" w:rsidRPr="001E58E3">
        <w:rPr>
          <w:color w:val="222222"/>
          <w:shd w:val="clear" w:color="auto" w:fill="FFFFFF"/>
        </w:rPr>
        <w:t>Tomczyk</w:t>
      </w:r>
      <w:proofErr w:type="spellEnd"/>
      <w:r w:rsidR="009A47F0" w:rsidRPr="001E58E3">
        <w:rPr>
          <w:color w:val="222222"/>
          <w:shd w:val="clear" w:color="auto" w:fill="FFFFFF"/>
        </w:rPr>
        <w:t>,</w:t>
      </w:r>
      <w:r w:rsidR="009A47F0">
        <w:rPr>
          <w:color w:val="222222"/>
          <w:shd w:val="clear" w:color="auto" w:fill="FFFFFF"/>
        </w:rPr>
        <w:t xml:space="preserve"> </w:t>
      </w:r>
      <w:r w:rsidR="009A47F0" w:rsidRPr="001E58E3">
        <w:rPr>
          <w:color w:val="222222"/>
          <w:shd w:val="clear" w:color="auto" w:fill="FFFFFF"/>
        </w:rPr>
        <w:t>2018</w:t>
      </w:r>
      <w:r w:rsidR="009A47F0">
        <w:rPr>
          <w:color w:val="222222"/>
          <w:shd w:val="clear" w:color="auto" w:fill="FFFFFF"/>
        </w:rPr>
        <w:t>)</w:t>
      </w:r>
      <w:r w:rsidRPr="006C3726">
        <w:rPr>
          <w:color w:val="000000"/>
        </w:rPr>
        <w:t>. </w:t>
      </w:r>
    </w:p>
    <w:p w14:paraId="6E764825" w14:textId="427F9525" w:rsidR="004E4B69" w:rsidRPr="006C3726" w:rsidRDefault="00000000" w:rsidP="006C3726">
      <w:pPr>
        <w:pStyle w:val="NormalWeb"/>
        <w:spacing w:before="240" w:beforeAutospacing="0" w:after="240" w:afterAutospacing="0" w:line="360" w:lineRule="auto"/>
        <w:jc w:val="both"/>
      </w:pPr>
      <w:r w:rsidRPr="006C3726">
        <w:rPr>
          <w:color w:val="000000"/>
        </w:rPr>
        <w:t>From the above discussion, it can be appropriate to exclaim that Mr. Amana should set up their specific online shop to influence the financial performance of Amana Ltd irrespective of selling directly on the platform of Amazon. It is because selling on its online shop can enable Amana Ltd to pose full control over its ability to scale, products or services, and subsequently their respective business strategies</w:t>
      </w:r>
      <w:r w:rsidR="00AC03D2">
        <w:rPr>
          <w:color w:val="000000"/>
        </w:rPr>
        <w:t xml:space="preserve"> (</w:t>
      </w:r>
      <w:proofErr w:type="spellStart"/>
      <w:r w:rsidR="00AC03D2" w:rsidRPr="001E58E3">
        <w:rPr>
          <w:color w:val="222222"/>
          <w:shd w:val="clear" w:color="auto" w:fill="FFFFFF"/>
        </w:rPr>
        <w:t>Krizanova</w:t>
      </w:r>
      <w:proofErr w:type="spellEnd"/>
      <w:r w:rsidR="00AC03D2">
        <w:rPr>
          <w:color w:val="222222"/>
          <w:shd w:val="clear" w:color="auto" w:fill="FFFFFF"/>
        </w:rPr>
        <w:t xml:space="preserve"> </w:t>
      </w:r>
      <w:r w:rsidR="00AC03D2" w:rsidRPr="003D6312">
        <w:rPr>
          <w:i/>
          <w:iCs/>
          <w:color w:val="222222"/>
          <w:shd w:val="clear" w:color="auto" w:fill="FFFFFF"/>
        </w:rPr>
        <w:t>et al.</w:t>
      </w:r>
      <w:r w:rsidR="00AC03D2">
        <w:rPr>
          <w:color w:val="222222"/>
          <w:shd w:val="clear" w:color="auto" w:fill="FFFFFF"/>
        </w:rPr>
        <w:t xml:space="preserve"> </w:t>
      </w:r>
      <w:r w:rsidR="00AC03D2" w:rsidRPr="001E58E3">
        <w:rPr>
          <w:color w:val="222222"/>
          <w:shd w:val="clear" w:color="auto" w:fill="FFFFFF"/>
        </w:rPr>
        <w:t>2019</w:t>
      </w:r>
      <w:r w:rsidR="00AC03D2">
        <w:rPr>
          <w:color w:val="222222"/>
          <w:shd w:val="clear" w:color="auto" w:fill="FFFFFF"/>
        </w:rPr>
        <w:t>)</w:t>
      </w:r>
      <w:r w:rsidRPr="006C3726">
        <w:rPr>
          <w:color w:val="000000"/>
        </w:rPr>
        <w:t>. Furthermore, Amana Ltd can evolve by conducting adequate market analysis related to their existing competitors, industry, buyer personas, and product space before launching. Besides, companies can develop effective marketing plans that contribute to accounts for all social media platforms, content marketing, selling channels, and email marketing platforms. Furthermore, enabling user-generated content and customer reviews can also help Amana Ltd to build trust, brand recognition, and credibility among its potential customers or participants</w:t>
      </w:r>
      <w:r w:rsidR="00BE2AA4">
        <w:rPr>
          <w:color w:val="000000"/>
        </w:rPr>
        <w:t xml:space="preserve"> </w:t>
      </w:r>
      <w:r w:rsidR="00BE2AA4">
        <w:rPr>
          <w:color w:val="000000"/>
        </w:rPr>
        <w:t>(</w:t>
      </w:r>
      <w:proofErr w:type="spellStart"/>
      <w:r w:rsidR="00BE2AA4" w:rsidRPr="001E58E3">
        <w:rPr>
          <w:color w:val="222222"/>
          <w:shd w:val="clear" w:color="auto" w:fill="FFFFFF"/>
        </w:rPr>
        <w:t>Almtiri</w:t>
      </w:r>
      <w:proofErr w:type="spellEnd"/>
      <w:r w:rsidR="00BE2AA4">
        <w:rPr>
          <w:color w:val="222222"/>
          <w:shd w:val="clear" w:color="auto" w:fill="FFFFFF"/>
        </w:rPr>
        <w:t xml:space="preserve"> </w:t>
      </w:r>
      <w:r w:rsidR="00BE2AA4" w:rsidRPr="00BE2AA4">
        <w:rPr>
          <w:i/>
          <w:iCs/>
          <w:color w:val="222222"/>
          <w:shd w:val="clear" w:color="auto" w:fill="FFFFFF"/>
        </w:rPr>
        <w:t>et al.</w:t>
      </w:r>
      <w:r w:rsidR="00BE2AA4">
        <w:rPr>
          <w:color w:val="222222"/>
          <w:shd w:val="clear" w:color="auto" w:fill="FFFFFF"/>
        </w:rPr>
        <w:t xml:space="preserve"> </w:t>
      </w:r>
      <w:r w:rsidR="00BE2AA4" w:rsidRPr="001E58E3">
        <w:rPr>
          <w:color w:val="222222"/>
          <w:shd w:val="clear" w:color="auto" w:fill="FFFFFF"/>
        </w:rPr>
        <w:t>2023</w:t>
      </w:r>
      <w:r w:rsidR="00BE2AA4">
        <w:rPr>
          <w:color w:val="222222"/>
          <w:shd w:val="clear" w:color="auto" w:fill="FFFFFF"/>
        </w:rPr>
        <w:t>)</w:t>
      </w:r>
      <w:r w:rsidRPr="006C3726">
        <w:rPr>
          <w:color w:val="000000"/>
        </w:rPr>
        <w:t xml:space="preserve">. Hence, setting up his online shop can ensure Mr. Amana enhances its business relative to its various advantages compared to considering the option of direct selling on the Amazon platform. </w:t>
      </w:r>
    </w:p>
    <w:p w14:paraId="5ED06248" w14:textId="32028165" w:rsidR="00502785" w:rsidRPr="006C3726" w:rsidRDefault="00000000" w:rsidP="006C3726">
      <w:pPr>
        <w:pStyle w:val="Heading1"/>
      </w:pPr>
      <w:bookmarkStart w:id="9" w:name="_Toc112961489"/>
      <w:r w:rsidRPr="006C3726">
        <w:t>Conclusion</w:t>
      </w:r>
      <w:bookmarkEnd w:id="9"/>
    </w:p>
    <w:p w14:paraId="23C5E7FB" w14:textId="2C51FEB5" w:rsidR="00240FD7" w:rsidRPr="006C3726" w:rsidRDefault="00000000" w:rsidP="006C3726">
      <w:pPr>
        <w:pStyle w:val="NormalWeb"/>
        <w:spacing w:before="240" w:beforeAutospacing="0" w:after="240" w:afterAutospacing="0" w:line="360" w:lineRule="auto"/>
        <w:jc w:val="both"/>
      </w:pPr>
      <w:r w:rsidRPr="006C3726">
        <w:rPr>
          <w:color w:val="000000"/>
        </w:rPr>
        <w:t xml:space="preserve">Thus, it can be concluded that management accounting emerges as the modern accounting concept in the form of an effective business management tool. However, management accounting ensures an organisation's management efficiently conducts business operations irrespective of various operational extent. The implication of management accounting serves sufficient Amana Ltd to enable the presentation of its core accounting information to smoothly maintain its </w:t>
      </w:r>
      <w:r w:rsidR="006C3726" w:rsidRPr="006C3726">
        <w:rPr>
          <w:color w:val="000000"/>
        </w:rPr>
        <w:t>day-to-day</w:t>
      </w:r>
      <w:r w:rsidRPr="006C3726">
        <w:rPr>
          <w:color w:val="000000"/>
        </w:rPr>
        <w:t xml:space="preserve"> business undertaking operation. </w:t>
      </w:r>
    </w:p>
    <w:p w14:paraId="3C24174F" w14:textId="77777777" w:rsidR="006C3726" w:rsidRDefault="00000000">
      <w:pPr>
        <w:rPr>
          <w:rFonts w:ascii="Times New Roman" w:hAnsi="Times New Roman" w:cs="Times New Roman"/>
          <w:b/>
          <w:bCs/>
          <w:sz w:val="24"/>
          <w:szCs w:val="24"/>
        </w:rPr>
      </w:pPr>
      <w:r>
        <w:rPr>
          <w:rFonts w:ascii="Times New Roman" w:hAnsi="Times New Roman" w:cs="Times New Roman"/>
          <w:b/>
          <w:bCs/>
          <w:sz w:val="24"/>
          <w:szCs w:val="24"/>
        </w:rPr>
        <w:br w:type="page"/>
      </w:r>
    </w:p>
    <w:p w14:paraId="6358D0E7" w14:textId="71A41050" w:rsidR="00502785" w:rsidRDefault="00000000" w:rsidP="006C3726">
      <w:pPr>
        <w:pStyle w:val="Heading1"/>
      </w:pPr>
      <w:bookmarkStart w:id="10" w:name="_Toc112961490"/>
      <w:r w:rsidRPr="006C3726">
        <w:t>Reference List</w:t>
      </w:r>
      <w:bookmarkEnd w:id="10"/>
      <w:r w:rsidRPr="006C3726">
        <w:t xml:space="preserve"> </w:t>
      </w:r>
    </w:p>
    <w:p w14:paraId="23D68885"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Abdusalomova</w:t>
      </w:r>
      <w:proofErr w:type="spellEnd"/>
      <w:r w:rsidRPr="00635510">
        <w:rPr>
          <w:rFonts w:ascii="Times New Roman" w:hAnsi="Times New Roman" w:cs="Times New Roman"/>
          <w:color w:val="222222"/>
          <w:sz w:val="24"/>
          <w:szCs w:val="24"/>
          <w:shd w:val="clear" w:color="auto" w:fill="FFFFFF"/>
        </w:rPr>
        <w:t xml:space="preserve">, N.B.,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2019</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DIRECTIONS FOR DEVELOPMENT AND IMPROVEMENT OF A MANAGEMENT ACCOUNTING SYSTEM. </w:t>
      </w:r>
      <w:r w:rsidRPr="00635510">
        <w:rPr>
          <w:rFonts w:ascii="Times New Roman" w:hAnsi="Times New Roman" w:cs="Times New Roman"/>
          <w:i/>
          <w:iCs/>
          <w:color w:val="222222"/>
          <w:sz w:val="24"/>
          <w:szCs w:val="24"/>
          <w:shd w:val="clear" w:color="auto" w:fill="FFFFFF"/>
        </w:rPr>
        <w:t>Economics and Innovative Technologies</w:t>
      </w:r>
      <w:r w:rsidRPr="00635510">
        <w:rPr>
          <w:rFonts w:ascii="Times New Roman" w:hAnsi="Times New Roman" w:cs="Times New Roman"/>
          <w:color w:val="222222"/>
          <w:sz w:val="24"/>
          <w:szCs w:val="24"/>
          <w:shd w:val="clear" w:color="auto" w:fill="FFFFFF"/>
        </w:rPr>
        <w:t>, </w:t>
      </w:r>
      <w:r w:rsidRPr="00635510">
        <w:rPr>
          <w:rFonts w:ascii="Times New Roman" w:hAnsi="Times New Roman" w:cs="Times New Roman"/>
          <w:i/>
          <w:iCs/>
          <w:color w:val="222222"/>
          <w:sz w:val="24"/>
          <w:szCs w:val="24"/>
          <w:shd w:val="clear" w:color="auto" w:fill="FFFFFF"/>
        </w:rPr>
        <w:t>2019</w:t>
      </w:r>
      <w:r w:rsidRPr="00635510">
        <w:rPr>
          <w:rFonts w:ascii="Times New Roman" w:hAnsi="Times New Roman" w:cs="Times New Roman"/>
          <w:color w:val="222222"/>
          <w:sz w:val="24"/>
          <w:szCs w:val="24"/>
          <w:shd w:val="clear" w:color="auto" w:fill="FFFFFF"/>
        </w:rPr>
        <w:t>(3), p.6.</w:t>
      </w:r>
    </w:p>
    <w:p w14:paraId="784025E3"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Agustia</w:t>
      </w:r>
      <w:proofErr w:type="spellEnd"/>
      <w:r w:rsidRPr="00635510">
        <w:rPr>
          <w:rFonts w:ascii="Times New Roman" w:hAnsi="Times New Roman" w:cs="Times New Roman"/>
          <w:color w:val="222222"/>
          <w:sz w:val="24"/>
          <w:szCs w:val="24"/>
          <w:shd w:val="clear" w:color="auto" w:fill="FFFFFF"/>
        </w:rPr>
        <w:t xml:space="preserve">, D., </w:t>
      </w:r>
      <w:proofErr w:type="spellStart"/>
      <w:r w:rsidRPr="00635510">
        <w:rPr>
          <w:rFonts w:ascii="Times New Roman" w:hAnsi="Times New Roman" w:cs="Times New Roman"/>
          <w:color w:val="222222"/>
          <w:sz w:val="24"/>
          <w:szCs w:val="24"/>
          <w:shd w:val="clear" w:color="auto" w:fill="FFFFFF"/>
        </w:rPr>
        <w:t>Sawarjuwono</w:t>
      </w:r>
      <w:proofErr w:type="spellEnd"/>
      <w:r w:rsidRPr="00635510">
        <w:rPr>
          <w:rFonts w:ascii="Times New Roman" w:hAnsi="Times New Roman" w:cs="Times New Roman"/>
          <w:color w:val="222222"/>
          <w:sz w:val="24"/>
          <w:szCs w:val="24"/>
          <w:shd w:val="clear" w:color="auto" w:fill="FFFFFF"/>
        </w:rPr>
        <w:t xml:space="preserve">, T. and </w:t>
      </w:r>
      <w:proofErr w:type="spellStart"/>
      <w:r w:rsidRPr="00635510">
        <w:rPr>
          <w:rFonts w:ascii="Times New Roman" w:hAnsi="Times New Roman" w:cs="Times New Roman"/>
          <w:color w:val="222222"/>
          <w:sz w:val="24"/>
          <w:szCs w:val="24"/>
          <w:shd w:val="clear" w:color="auto" w:fill="FFFFFF"/>
        </w:rPr>
        <w:t>Dianawati</w:t>
      </w:r>
      <w:proofErr w:type="spellEnd"/>
      <w:r w:rsidRPr="00635510">
        <w:rPr>
          <w:rFonts w:ascii="Times New Roman" w:hAnsi="Times New Roman" w:cs="Times New Roman"/>
          <w:color w:val="222222"/>
          <w:sz w:val="24"/>
          <w:szCs w:val="24"/>
          <w:shd w:val="clear" w:color="auto" w:fill="FFFFFF"/>
        </w:rPr>
        <w:t xml:space="preserve">, W.,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2019</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The mediating effect of environmental management accounting on green innovation-Firm value relationship. </w:t>
      </w:r>
      <w:r w:rsidRPr="00635510">
        <w:rPr>
          <w:rFonts w:ascii="Times New Roman" w:hAnsi="Times New Roman" w:cs="Times New Roman"/>
          <w:i/>
          <w:iCs/>
          <w:color w:val="222222"/>
          <w:sz w:val="24"/>
          <w:szCs w:val="24"/>
          <w:shd w:val="clear" w:color="auto" w:fill="FFFFFF"/>
        </w:rPr>
        <w:t>International Journal of Energy Economics and Policy</w:t>
      </w:r>
      <w:r w:rsidRPr="00635510">
        <w:rPr>
          <w:rFonts w:ascii="Times New Roman" w:hAnsi="Times New Roman" w:cs="Times New Roman"/>
          <w:color w:val="222222"/>
          <w:sz w:val="24"/>
          <w:szCs w:val="24"/>
          <w:shd w:val="clear" w:color="auto" w:fill="FFFFFF"/>
        </w:rPr>
        <w:t>, </w:t>
      </w:r>
      <w:r w:rsidRPr="00635510">
        <w:rPr>
          <w:rFonts w:ascii="Times New Roman" w:hAnsi="Times New Roman" w:cs="Times New Roman"/>
          <w:i/>
          <w:iCs/>
          <w:color w:val="222222"/>
          <w:sz w:val="24"/>
          <w:szCs w:val="24"/>
          <w:shd w:val="clear" w:color="auto" w:fill="FFFFFF"/>
        </w:rPr>
        <w:t>9</w:t>
      </w:r>
      <w:r w:rsidRPr="00635510">
        <w:rPr>
          <w:rFonts w:ascii="Times New Roman" w:hAnsi="Times New Roman" w:cs="Times New Roman"/>
          <w:color w:val="222222"/>
          <w:sz w:val="24"/>
          <w:szCs w:val="24"/>
          <w:shd w:val="clear" w:color="auto" w:fill="FFFFFF"/>
        </w:rPr>
        <w:t>(2), pp.299-306.</w:t>
      </w:r>
    </w:p>
    <w:p w14:paraId="4FFA71EC"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Alabdullah</w:t>
      </w:r>
      <w:proofErr w:type="spellEnd"/>
      <w:r w:rsidRPr="00635510">
        <w:rPr>
          <w:rFonts w:ascii="Times New Roman" w:hAnsi="Times New Roman" w:cs="Times New Roman"/>
          <w:color w:val="222222"/>
          <w:sz w:val="24"/>
          <w:szCs w:val="24"/>
          <w:shd w:val="clear" w:color="auto" w:fill="FFFFFF"/>
        </w:rPr>
        <w:t xml:space="preserve">, T.T.Y.,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2019</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Management accounting and service companies' performance: Research in emerging economies. </w:t>
      </w:r>
      <w:r w:rsidRPr="00635510">
        <w:rPr>
          <w:rFonts w:ascii="Times New Roman" w:hAnsi="Times New Roman" w:cs="Times New Roman"/>
          <w:i/>
          <w:iCs/>
          <w:color w:val="222222"/>
          <w:sz w:val="24"/>
          <w:szCs w:val="24"/>
          <w:shd w:val="clear" w:color="auto" w:fill="FFFFFF"/>
        </w:rPr>
        <w:t>Australasian Accounting, Business and Finance Journal</w:t>
      </w:r>
      <w:r w:rsidRPr="00635510">
        <w:rPr>
          <w:rFonts w:ascii="Times New Roman" w:hAnsi="Times New Roman" w:cs="Times New Roman"/>
          <w:color w:val="222222"/>
          <w:sz w:val="24"/>
          <w:szCs w:val="24"/>
          <w:shd w:val="clear" w:color="auto" w:fill="FFFFFF"/>
        </w:rPr>
        <w:t>, </w:t>
      </w:r>
      <w:r w:rsidRPr="00635510">
        <w:rPr>
          <w:rFonts w:ascii="Times New Roman" w:hAnsi="Times New Roman" w:cs="Times New Roman"/>
          <w:i/>
          <w:iCs/>
          <w:color w:val="222222"/>
          <w:sz w:val="24"/>
          <w:szCs w:val="24"/>
          <w:shd w:val="clear" w:color="auto" w:fill="FFFFFF"/>
        </w:rPr>
        <w:t>13</w:t>
      </w:r>
      <w:r w:rsidRPr="00635510">
        <w:rPr>
          <w:rFonts w:ascii="Times New Roman" w:hAnsi="Times New Roman" w:cs="Times New Roman"/>
          <w:color w:val="222222"/>
          <w:sz w:val="24"/>
          <w:szCs w:val="24"/>
          <w:shd w:val="clear" w:color="auto" w:fill="FFFFFF"/>
        </w:rPr>
        <w:t>(4), pp.100-118.</w:t>
      </w:r>
    </w:p>
    <w:p w14:paraId="55F13955"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Alamri</w:t>
      </w:r>
      <w:proofErr w:type="spellEnd"/>
      <w:r w:rsidRPr="00635510">
        <w:rPr>
          <w:rFonts w:ascii="Times New Roman" w:hAnsi="Times New Roman" w:cs="Times New Roman"/>
          <w:color w:val="222222"/>
          <w:sz w:val="24"/>
          <w:szCs w:val="24"/>
          <w:shd w:val="clear" w:color="auto" w:fill="FFFFFF"/>
        </w:rPr>
        <w:t xml:space="preserve">, A.M.,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2018</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Association between strategic management accounting facets and organizational performance. </w:t>
      </w:r>
      <w:r w:rsidRPr="00635510">
        <w:rPr>
          <w:rFonts w:ascii="Times New Roman" w:hAnsi="Times New Roman" w:cs="Times New Roman"/>
          <w:i/>
          <w:iCs/>
          <w:color w:val="222222"/>
          <w:sz w:val="24"/>
          <w:szCs w:val="24"/>
          <w:shd w:val="clear" w:color="auto" w:fill="FFFFFF"/>
        </w:rPr>
        <w:t>Baltic Journal of Management</w:t>
      </w:r>
      <w:r w:rsidRPr="00635510">
        <w:rPr>
          <w:rFonts w:ascii="Times New Roman" w:hAnsi="Times New Roman" w:cs="Times New Roman"/>
          <w:color w:val="222222"/>
          <w:sz w:val="24"/>
          <w:szCs w:val="24"/>
          <w:shd w:val="clear" w:color="auto" w:fill="FFFFFF"/>
        </w:rPr>
        <w:t>.</w:t>
      </w:r>
    </w:p>
    <w:p w14:paraId="2231607A"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Almtiri</w:t>
      </w:r>
      <w:proofErr w:type="spellEnd"/>
      <w:r w:rsidRPr="00635510">
        <w:rPr>
          <w:rFonts w:ascii="Times New Roman" w:hAnsi="Times New Roman" w:cs="Times New Roman"/>
          <w:color w:val="222222"/>
          <w:sz w:val="24"/>
          <w:szCs w:val="24"/>
          <w:shd w:val="clear" w:color="auto" w:fill="FFFFFF"/>
        </w:rPr>
        <w:t xml:space="preserve">, Z., Miah, S.J. and Noman, N.,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2023</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Application of E-commerce Technologies in Accelerating the Success of SME Operation. In </w:t>
      </w:r>
      <w:r w:rsidRPr="00635510">
        <w:rPr>
          <w:rFonts w:ascii="Times New Roman" w:hAnsi="Times New Roman" w:cs="Times New Roman"/>
          <w:i/>
          <w:iCs/>
          <w:color w:val="222222"/>
          <w:sz w:val="24"/>
          <w:szCs w:val="24"/>
          <w:shd w:val="clear" w:color="auto" w:fill="FFFFFF"/>
        </w:rPr>
        <w:t>Proceedings of Seventh International Congress on Information and Communication Technology</w:t>
      </w:r>
      <w:r w:rsidRPr="00635510">
        <w:rPr>
          <w:rFonts w:ascii="Times New Roman" w:hAnsi="Times New Roman" w:cs="Times New Roman"/>
          <w:color w:val="222222"/>
          <w:sz w:val="24"/>
          <w:szCs w:val="24"/>
          <w:shd w:val="clear" w:color="auto" w:fill="FFFFFF"/>
        </w:rPr>
        <w:t> (pp. 463-470). Springer, Singapore.</w:t>
      </w:r>
    </w:p>
    <w:p w14:paraId="5B4EDFB1"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Alsharari</w:t>
      </w:r>
      <w:proofErr w:type="spellEnd"/>
      <w:r w:rsidRPr="00635510">
        <w:rPr>
          <w:rFonts w:ascii="Times New Roman" w:hAnsi="Times New Roman" w:cs="Times New Roman"/>
          <w:color w:val="222222"/>
          <w:sz w:val="24"/>
          <w:szCs w:val="24"/>
          <w:shd w:val="clear" w:color="auto" w:fill="FFFFFF"/>
        </w:rPr>
        <w:t xml:space="preserve">, N.M.,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2019</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Management accounting and organizational change: alternative perspectives. </w:t>
      </w:r>
      <w:r w:rsidRPr="00635510">
        <w:rPr>
          <w:rFonts w:ascii="Times New Roman" w:hAnsi="Times New Roman" w:cs="Times New Roman"/>
          <w:i/>
          <w:iCs/>
          <w:color w:val="222222"/>
          <w:sz w:val="24"/>
          <w:szCs w:val="24"/>
          <w:shd w:val="clear" w:color="auto" w:fill="FFFFFF"/>
        </w:rPr>
        <w:t>International Journal of Organizational Analysis</w:t>
      </w:r>
      <w:r w:rsidRPr="00635510">
        <w:rPr>
          <w:rFonts w:ascii="Times New Roman" w:hAnsi="Times New Roman" w:cs="Times New Roman"/>
          <w:color w:val="222222"/>
          <w:sz w:val="24"/>
          <w:szCs w:val="24"/>
          <w:shd w:val="clear" w:color="auto" w:fill="FFFFFF"/>
        </w:rPr>
        <w:t>.</w:t>
      </w:r>
    </w:p>
    <w:p w14:paraId="7BE86C0E"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Ansong</w:t>
      </w:r>
      <w:proofErr w:type="spellEnd"/>
      <w:r w:rsidRPr="00635510">
        <w:rPr>
          <w:rFonts w:ascii="Times New Roman" w:hAnsi="Times New Roman" w:cs="Times New Roman"/>
          <w:color w:val="222222"/>
          <w:sz w:val="24"/>
          <w:szCs w:val="24"/>
          <w:shd w:val="clear" w:color="auto" w:fill="FFFFFF"/>
        </w:rPr>
        <w:t xml:space="preserve">, E. and Boateng, R.,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2019</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Surviving in the digital era–business models of digital enterprises in a developing economy. </w:t>
      </w:r>
      <w:r w:rsidRPr="00635510">
        <w:rPr>
          <w:rFonts w:ascii="Times New Roman" w:hAnsi="Times New Roman" w:cs="Times New Roman"/>
          <w:i/>
          <w:iCs/>
          <w:color w:val="222222"/>
          <w:sz w:val="24"/>
          <w:szCs w:val="24"/>
          <w:shd w:val="clear" w:color="auto" w:fill="FFFFFF"/>
        </w:rPr>
        <w:t>Digital Policy, Regulation and Governance</w:t>
      </w:r>
      <w:r w:rsidRPr="00635510">
        <w:rPr>
          <w:rFonts w:ascii="Times New Roman" w:hAnsi="Times New Roman" w:cs="Times New Roman"/>
          <w:color w:val="222222"/>
          <w:sz w:val="24"/>
          <w:szCs w:val="24"/>
          <w:shd w:val="clear" w:color="auto" w:fill="FFFFFF"/>
        </w:rPr>
        <w:t>.</w:t>
      </w:r>
    </w:p>
    <w:p w14:paraId="1E863E5D"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r w:rsidRPr="00635510">
        <w:rPr>
          <w:rFonts w:ascii="Times New Roman" w:hAnsi="Times New Roman" w:cs="Times New Roman"/>
          <w:color w:val="222222"/>
          <w:sz w:val="24"/>
          <w:szCs w:val="24"/>
          <w:shd w:val="clear" w:color="auto" w:fill="FFFFFF"/>
        </w:rPr>
        <w:t xml:space="preserve">Bento, R.F., </w:t>
      </w:r>
      <w:proofErr w:type="spellStart"/>
      <w:r w:rsidRPr="00635510">
        <w:rPr>
          <w:rFonts w:ascii="Times New Roman" w:hAnsi="Times New Roman" w:cs="Times New Roman"/>
          <w:color w:val="222222"/>
          <w:sz w:val="24"/>
          <w:szCs w:val="24"/>
          <w:shd w:val="clear" w:color="auto" w:fill="FFFFFF"/>
        </w:rPr>
        <w:t>Mertins</w:t>
      </w:r>
      <w:proofErr w:type="spellEnd"/>
      <w:r w:rsidRPr="00635510">
        <w:rPr>
          <w:rFonts w:ascii="Times New Roman" w:hAnsi="Times New Roman" w:cs="Times New Roman"/>
          <w:color w:val="222222"/>
          <w:sz w:val="24"/>
          <w:szCs w:val="24"/>
          <w:shd w:val="clear" w:color="auto" w:fill="FFFFFF"/>
        </w:rPr>
        <w:t xml:space="preserve">, L. and White, L.F.,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2018</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Risk management and internal control: A study of management accounting practice. In </w:t>
      </w:r>
      <w:r w:rsidRPr="00635510">
        <w:rPr>
          <w:rFonts w:ascii="Times New Roman" w:hAnsi="Times New Roman" w:cs="Times New Roman"/>
          <w:i/>
          <w:iCs/>
          <w:color w:val="222222"/>
          <w:sz w:val="24"/>
          <w:szCs w:val="24"/>
          <w:shd w:val="clear" w:color="auto" w:fill="FFFFFF"/>
        </w:rPr>
        <w:t>Advances in management accounting</w:t>
      </w:r>
      <w:r w:rsidRPr="00635510">
        <w:rPr>
          <w:rFonts w:ascii="Times New Roman" w:hAnsi="Times New Roman" w:cs="Times New Roman"/>
          <w:color w:val="222222"/>
          <w:sz w:val="24"/>
          <w:szCs w:val="24"/>
          <w:shd w:val="clear" w:color="auto" w:fill="FFFFFF"/>
        </w:rPr>
        <w:t> (Vol. 30, pp. 1-25). Emerald Publishing Limited.</w:t>
      </w:r>
    </w:p>
    <w:p w14:paraId="1F133135"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r w:rsidRPr="00635510">
        <w:rPr>
          <w:rFonts w:ascii="Times New Roman" w:hAnsi="Times New Roman" w:cs="Times New Roman"/>
          <w:color w:val="222222"/>
          <w:sz w:val="24"/>
          <w:szCs w:val="24"/>
          <w:shd w:val="clear" w:color="auto" w:fill="FFFFFF"/>
        </w:rPr>
        <w:t xml:space="preserve">Drury, C.,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2018</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w:t>
      </w:r>
      <w:r w:rsidRPr="00635510">
        <w:rPr>
          <w:rFonts w:ascii="Times New Roman" w:hAnsi="Times New Roman" w:cs="Times New Roman"/>
          <w:i/>
          <w:iCs/>
          <w:color w:val="222222"/>
          <w:sz w:val="24"/>
          <w:szCs w:val="24"/>
          <w:shd w:val="clear" w:color="auto" w:fill="FFFFFF"/>
        </w:rPr>
        <w:t>Cost and management accounting</w:t>
      </w:r>
      <w:r w:rsidRPr="00635510">
        <w:rPr>
          <w:rFonts w:ascii="Times New Roman" w:hAnsi="Times New Roman" w:cs="Times New Roman"/>
          <w:color w:val="222222"/>
          <w:sz w:val="24"/>
          <w:szCs w:val="24"/>
          <w:shd w:val="clear" w:color="auto" w:fill="FFFFFF"/>
        </w:rPr>
        <w:t>. Cengage Learning.</w:t>
      </w:r>
    </w:p>
    <w:p w14:paraId="3E53734E"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Krizanova</w:t>
      </w:r>
      <w:proofErr w:type="spellEnd"/>
      <w:r w:rsidRPr="00635510">
        <w:rPr>
          <w:rFonts w:ascii="Times New Roman" w:hAnsi="Times New Roman" w:cs="Times New Roman"/>
          <w:color w:val="222222"/>
          <w:sz w:val="24"/>
          <w:szCs w:val="24"/>
          <w:shd w:val="clear" w:color="auto" w:fill="FFFFFF"/>
        </w:rPr>
        <w:t xml:space="preserve">, A., </w:t>
      </w:r>
      <w:proofErr w:type="spellStart"/>
      <w:r w:rsidRPr="00635510">
        <w:rPr>
          <w:rFonts w:ascii="Times New Roman" w:hAnsi="Times New Roman" w:cs="Times New Roman"/>
          <w:color w:val="222222"/>
          <w:sz w:val="24"/>
          <w:szCs w:val="24"/>
          <w:shd w:val="clear" w:color="auto" w:fill="FFFFFF"/>
        </w:rPr>
        <w:t>Lăzăroiu</w:t>
      </w:r>
      <w:proofErr w:type="spellEnd"/>
      <w:r w:rsidRPr="00635510">
        <w:rPr>
          <w:rFonts w:ascii="Times New Roman" w:hAnsi="Times New Roman" w:cs="Times New Roman"/>
          <w:color w:val="222222"/>
          <w:sz w:val="24"/>
          <w:szCs w:val="24"/>
          <w:shd w:val="clear" w:color="auto" w:fill="FFFFFF"/>
        </w:rPr>
        <w:t xml:space="preserve">, G., </w:t>
      </w:r>
      <w:proofErr w:type="spellStart"/>
      <w:r w:rsidRPr="00635510">
        <w:rPr>
          <w:rFonts w:ascii="Times New Roman" w:hAnsi="Times New Roman" w:cs="Times New Roman"/>
          <w:color w:val="222222"/>
          <w:sz w:val="24"/>
          <w:szCs w:val="24"/>
          <w:shd w:val="clear" w:color="auto" w:fill="FFFFFF"/>
        </w:rPr>
        <w:t>Gajanova</w:t>
      </w:r>
      <w:proofErr w:type="spellEnd"/>
      <w:r w:rsidRPr="00635510">
        <w:rPr>
          <w:rFonts w:ascii="Times New Roman" w:hAnsi="Times New Roman" w:cs="Times New Roman"/>
          <w:color w:val="222222"/>
          <w:sz w:val="24"/>
          <w:szCs w:val="24"/>
          <w:shd w:val="clear" w:color="auto" w:fill="FFFFFF"/>
        </w:rPr>
        <w:t xml:space="preserve">, L., </w:t>
      </w:r>
      <w:proofErr w:type="spellStart"/>
      <w:r w:rsidRPr="00635510">
        <w:rPr>
          <w:rFonts w:ascii="Times New Roman" w:hAnsi="Times New Roman" w:cs="Times New Roman"/>
          <w:color w:val="222222"/>
          <w:sz w:val="24"/>
          <w:szCs w:val="24"/>
          <w:shd w:val="clear" w:color="auto" w:fill="FFFFFF"/>
        </w:rPr>
        <w:t>Kliestikova</w:t>
      </w:r>
      <w:proofErr w:type="spellEnd"/>
      <w:r w:rsidRPr="00635510">
        <w:rPr>
          <w:rFonts w:ascii="Times New Roman" w:hAnsi="Times New Roman" w:cs="Times New Roman"/>
          <w:color w:val="222222"/>
          <w:sz w:val="24"/>
          <w:szCs w:val="24"/>
          <w:shd w:val="clear" w:color="auto" w:fill="FFFFFF"/>
        </w:rPr>
        <w:t xml:space="preserve">, J., </w:t>
      </w:r>
      <w:proofErr w:type="spellStart"/>
      <w:r w:rsidRPr="00635510">
        <w:rPr>
          <w:rFonts w:ascii="Times New Roman" w:hAnsi="Times New Roman" w:cs="Times New Roman"/>
          <w:color w:val="222222"/>
          <w:sz w:val="24"/>
          <w:szCs w:val="24"/>
          <w:shd w:val="clear" w:color="auto" w:fill="FFFFFF"/>
        </w:rPr>
        <w:t>Nadanyiova</w:t>
      </w:r>
      <w:proofErr w:type="spellEnd"/>
      <w:r w:rsidRPr="00635510">
        <w:rPr>
          <w:rFonts w:ascii="Times New Roman" w:hAnsi="Times New Roman" w:cs="Times New Roman"/>
          <w:color w:val="222222"/>
          <w:sz w:val="24"/>
          <w:szCs w:val="24"/>
          <w:shd w:val="clear" w:color="auto" w:fill="FFFFFF"/>
        </w:rPr>
        <w:t xml:space="preserve">, M. and </w:t>
      </w:r>
      <w:proofErr w:type="spellStart"/>
      <w:r w:rsidRPr="00635510">
        <w:rPr>
          <w:rFonts w:ascii="Times New Roman" w:hAnsi="Times New Roman" w:cs="Times New Roman"/>
          <w:color w:val="222222"/>
          <w:sz w:val="24"/>
          <w:szCs w:val="24"/>
          <w:shd w:val="clear" w:color="auto" w:fill="FFFFFF"/>
        </w:rPr>
        <w:t>Moravcikova</w:t>
      </w:r>
      <w:proofErr w:type="spellEnd"/>
      <w:r w:rsidRPr="00635510">
        <w:rPr>
          <w:rFonts w:ascii="Times New Roman" w:hAnsi="Times New Roman" w:cs="Times New Roman"/>
          <w:color w:val="222222"/>
          <w:sz w:val="24"/>
          <w:szCs w:val="24"/>
          <w:shd w:val="clear" w:color="auto" w:fill="FFFFFF"/>
        </w:rPr>
        <w:t xml:space="preserve">, D.,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2019</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The effectiveness of marketing communication and importance of its evaluation in an online environment. </w:t>
      </w:r>
      <w:r w:rsidRPr="00635510">
        <w:rPr>
          <w:rFonts w:ascii="Times New Roman" w:hAnsi="Times New Roman" w:cs="Times New Roman"/>
          <w:i/>
          <w:iCs/>
          <w:color w:val="222222"/>
          <w:sz w:val="24"/>
          <w:szCs w:val="24"/>
          <w:shd w:val="clear" w:color="auto" w:fill="FFFFFF"/>
        </w:rPr>
        <w:t>Sustainability</w:t>
      </w:r>
      <w:r w:rsidRPr="00635510">
        <w:rPr>
          <w:rFonts w:ascii="Times New Roman" w:hAnsi="Times New Roman" w:cs="Times New Roman"/>
          <w:color w:val="222222"/>
          <w:sz w:val="24"/>
          <w:szCs w:val="24"/>
          <w:shd w:val="clear" w:color="auto" w:fill="FFFFFF"/>
        </w:rPr>
        <w:t>, </w:t>
      </w:r>
      <w:r w:rsidRPr="00635510">
        <w:rPr>
          <w:rFonts w:ascii="Times New Roman" w:hAnsi="Times New Roman" w:cs="Times New Roman"/>
          <w:i/>
          <w:iCs/>
          <w:color w:val="222222"/>
          <w:sz w:val="24"/>
          <w:szCs w:val="24"/>
          <w:shd w:val="clear" w:color="auto" w:fill="FFFFFF"/>
        </w:rPr>
        <w:t>11</w:t>
      </w:r>
      <w:r w:rsidRPr="00635510">
        <w:rPr>
          <w:rFonts w:ascii="Times New Roman" w:hAnsi="Times New Roman" w:cs="Times New Roman"/>
          <w:color w:val="222222"/>
          <w:sz w:val="24"/>
          <w:szCs w:val="24"/>
          <w:shd w:val="clear" w:color="auto" w:fill="FFFFFF"/>
        </w:rPr>
        <w:t>(24), p.7016.</w:t>
      </w:r>
    </w:p>
    <w:p w14:paraId="227B41E4"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r w:rsidRPr="00635510">
        <w:rPr>
          <w:rFonts w:ascii="Times New Roman" w:hAnsi="Times New Roman" w:cs="Times New Roman"/>
          <w:color w:val="222222"/>
          <w:sz w:val="24"/>
          <w:szCs w:val="24"/>
          <w:shd w:val="clear" w:color="auto" w:fill="FFFFFF"/>
        </w:rPr>
        <w:t xml:space="preserve">Liu, J.,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2018, October</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Research on the Operation Strategy of Chain Convenience Stores under the Background of" New Retail". In </w:t>
      </w:r>
      <w:r w:rsidRPr="00635510">
        <w:rPr>
          <w:rFonts w:ascii="Times New Roman" w:hAnsi="Times New Roman" w:cs="Times New Roman"/>
          <w:i/>
          <w:iCs/>
          <w:color w:val="222222"/>
          <w:sz w:val="24"/>
          <w:szCs w:val="24"/>
          <w:shd w:val="clear" w:color="auto" w:fill="FFFFFF"/>
        </w:rPr>
        <w:t>8th International Conference on Management and Computer Science (ICMCS 2018)</w:t>
      </w:r>
      <w:r w:rsidRPr="00635510">
        <w:rPr>
          <w:rFonts w:ascii="Times New Roman" w:hAnsi="Times New Roman" w:cs="Times New Roman"/>
          <w:color w:val="222222"/>
          <w:sz w:val="24"/>
          <w:szCs w:val="24"/>
          <w:shd w:val="clear" w:color="auto" w:fill="FFFFFF"/>
        </w:rPr>
        <w:t> (pp. 122-127). Atlantis Press.</w:t>
      </w:r>
    </w:p>
    <w:p w14:paraId="6D9B9766"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Pavlatos</w:t>
      </w:r>
      <w:proofErr w:type="spellEnd"/>
      <w:r w:rsidRPr="00635510">
        <w:rPr>
          <w:rFonts w:ascii="Times New Roman" w:hAnsi="Times New Roman" w:cs="Times New Roman"/>
          <w:color w:val="222222"/>
          <w:sz w:val="24"/>
          <w:szCs w:val="24"/>
          <w:shd w:val="clear" w:color="auto" w:fill="FFFFFF"/>
        </w:rPr>
        <w:t xml:space="preserve">, O. and </w:t>
      </w:r>
      <w:proofErr w:type="spellStart"/>
      <w:r w:rsidRPr="00635510">
        <w:rPr>
          <w:rFonts w:ascii="Times New Roman" w:hAnsi="Times New Roman" w:cs="Times New Roman"/>
          <w:color w:val="222222"/>
          <w:sz w:val="24"/>
          <w:szCs w:val="24"/>
          <w:shd w:val="clear" w:color="auto" w:fill="FFFFFF"/>
        </w:rPr>
        <w:t>Kostakis</w:t>
      </w:r>
      <w:proofErr w:type="spellEnd"/>
      <w:r w:rsidRPr="00635510">
        <w:rPr>
          <w:rFonts w:ascii="Times New Roman" w:hAnsi="Times New Roman" w:cs="Times New Roman"/>
          <w:color w:val="222222"/>
          <w:sz w:val="24"/>
          <w:szCs w:val="24"/>
          <w:shd w:val="clear" w:color="auto" w:fill="FFFFFF"/>
        </w:rPr>
        <w:t xml:space="preserve">, H.,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2018</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Management accounting innovations in a time of economic crisis. </w:t>
      </w:r>
      <w:r w:rsidRPr="00635510">
        <w:rPr>
          <w:rFonts w:ascii="Times New Roman" w:hAnsi="Times New Roman" w:cs="Times New Roman"/>
          <w:i/>
          <w:iCs/>
          <w:color w:val="222222"/>
          <w:sz w:val="24"/>
          <w:szCs w:val="24"/>
          <w:shd w:val="clear" w:color="auto" w:fill="FFFFFF"/>
        </w:rPr>
        <w:t>The Journal of Economic Asymmetries</w:t>
      </w:r>
      <w:r w:rsidRPr="00635510">
        <w:rPr>
          <w:rFonts w:ascii="Times New Roman" w:hAnsi="Times New Roman" w:cs="Times New Roman"/>
          <w:color w:val="222222"/>
          <w:sz w:val="24"/>
          <w:szCs w:val="24"/>
          <w:shd w:val="clear" w:color="auto" w:fill="FFFFFF"/>
        </w:rPr>
        <w:t>, </w:t>
      </w:r>
      <w:r w:rsidRPr="00635510">
        <w:rPr>
          <w:rFonts w:ascii="Times New Roman" w:hAnsi="Times New Roman" w:cs="Times New Roman"/>
          <w:i/>
          <w:iCs/>
          <w:color w:val="222222"/>
          <w:sz w:val="24"/>
          <w:szCs w:val="24"/>
          <w:shd w:val="clear" w:color="auto" w:fill="FFFFFF"/>
        </w:rPr>
        <w:t>18</w:t>
      </w:r>
      <w:r w:rsidRPr="00635510">
        <w:rPr>
          <w:rFonts w:ascii="Times New Roman" w:hAnsi="Times New Roman" w:cs="Times New Roman"/>
          <w:color w:val="222222"/>
          <w:sz w:val="24"/>
          <w:szCs w:val="24"/>
          <w:shd w:val="clear" w:color="auto" w:fill="FFFFFF"/>
        </w:rPr>
        <w:t>, p.e00106.</w:t>
      </w:r>
    </w:p>
    <w:p w14:paraId="050C2084"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r w:rsidRPr="00635510">
        <w:rPr>
          <w:rFonts w:ascii="Times New Roman" w:hAnsi="Times New Roman" w:cs="Times New Roman"/>
          <w:color w:val="222222"/>
          <w:sz w:val="24"/>
          <w:szCs w:val="24"/>
          <w:shd w:val="clear" w:color="auto" w:fill="FFFFFF"/>
        </w:rPr>
        <w:t xml:space="preserve">Pedroso, E., Gomes, C.F. and Yasin, M.M.,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2020</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Management accounting systems: an organizational competitive performance perspective. </w:t>
      </w:r>
      <w:r w:rsidRPr="00635510">
        <w:rPr>
          <w:rFonts w:ascii="Times New Roman" w:hAnsi="Times New Roman" w:cs="Times New Roman"/>
          <w:i/>
          <w:iCs/>
          <w:color w:val="222222"/>
          <w:sz w:val="24"/>
          <w:szCs w:val="24"/>
          <w:shd w:val="clear" w:color="auto" w:fill="FFFFFF"/>
        </w:rPr>
        <w:t>Benchmarking: An International Journal</w:t>
      </w:r>
      <w:r w:rsidRPr="00635510">
        <w:rPr>
          <w:rFonts w:ascii="Times New Roman" w:hAnsi="Times New Roman" w:cs="Times New Roman"/>
          <w:color w:val="222222"/>
          <w:sz w:val="24"/>
          <w:szCs w:val="24"/>
          <w:shd w:val="clear" w:color="auto" w:fill="FFFFFF"/>
        </w:rPr>
        <w:t>, </w:t>
      </w:r>
      <w:r w:rsidRPr="00635510">
        <w:rPr>
          <w:rFonts w:ascii="Times New Roman" w:hAnsi="Times New Roman" w:cs="Times New Roman"/>
          <w:i/>
          <w:iCs/>
          <w:color w:val="222222"/>
          <w:sz w:val="24"/>
          <w:szCs w:val="24"/>
          <w:shd w:val="clear" w:color="auto" w:fill="FFFFFF"/>
        </w:rPr>
        <w:t>27</w:t>
      </w:r>
      <w:r w:rsidRPr="00635510">
        <w:rPr>
          <w:rFonts w:ascii="Times New Roman" w:hAnsi="Times New Roman" w:cs="Times New Roman"/>
          <w:color w:val="222222"/>
          <w:sz w:val="24"/>
          <w:szCs w:val="24"/>
          <w:shd w:val="clear" w:color="auto" w:fill="FFFFFF"/>
        </w:rPr>
        <w:t>(6), pp.1843-1874.</w:t>
      </w:r>
    </w:p>
    <w:p w14:paraId="3D481031"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Pilipczuk</w:t>
      </w:r>
      <w:proofErr w:type="spellEnd"/>
      <w:r w:rsidRPr="00635510">
        <w:rPr>
          <w:rFonts w:ascii="Times New Roman" w:hAnsi="Times New Roman" w:cs="Times New Roman"/>
          <w:color w:val="222222"/>
          <w:sz w:val="24"/>
          <w:szCs w:val="24"/>
          <w:shd w:val="clear" w:color="auto" w:fill="FFFFFF"/>
        </w:rPr>
        <w:t xml:space="preserve">, O.,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2020</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Toward cognitive management accounting. </w:t>
      </w:r>
      <w:r w:rsidRPr="00635510">
        <w:rPr>
          <w:rFonts w:ascii="Times New Roman" w:hAnsi="Times New Roman" w:cs="Times New Roman"/>
          <w:i/>
          <w:iCs/>
          <w:color w:val="222222"/>
          <w:sz w:val="24"/>
          <w:szCs w:val="24"/>
          <w:shd w:val="clear" w:color="auto" w:fill="FFFFFF"/>
        </w:rPr>
        <w:t>Sustainability</w:t>
      </w:r>
      <w:r w:rsidRPr="00635510">
        <w:rPr>
          <w:rFonts w:ascii="Times New Roman" w:hAnsi="Times New Roman" w:cs="Times New Roman"/>
          <w:color w:val="222222"/>
          <w:sz w:val="24"/>
          <w:szCs w:val="24"/>
          <w:shd w:val="clear" w:color="auto" w:fill="FFFFFF"/>
        </w:rPr>
        <w:t>, </w:t>
      </w:r>
      <w:r w:rsidRPr="00635510">
        <w:rPr>
          <w:rFonts w:ascii="Times New Roman" w:hAnsi="Times New Roman" w:cs="Times New Roman"/>
          <w:i/>
          <w:iCs/>
          <w:color w:val="222222"/>
          <w:sz w:val="24"/>
          <w:szCs w:val="24"/>
          <w:shd w:val="clear" w:color="auto" w:fill="FFFFFF"/>
        </w:rPr>
        <w:t>12</w:t>
      </w:r>
      <w:r w:rsidRPr="00635510">
        <w:rPr>
          <w:rFonts w:ascii="Times New Roman" w:hAnsi="Times New Roman" w:cs="Times New Roman"/>
          <w:color w:val="222222"/>
          <w:sz w:val="24"/>
          <w:szCs w:val="24"/>
          <w:shd w:val="clear" w:color="auto" w:fill="FFFFFF"/>
        </w:rPr>
        <w:t>(12), p.5108</w:t>
      </w:r>
    </w:p>
    <w:p w14:paraId="10A1F009"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proofErr w:type="spellStart"/>
      <w:r w:rsidRPr="00635510">
        <w:rPr>
          <w:rFonts w:ascii="Times New Roman" w:hAnsi="Times New Roman" w:cs="Times New Roman"/>
          <w:color w:val="222222"/>
          <w:sz w:val="24"/>
          <w:szCs w:val="24"/>
          <w:shd w:val="clear" w:color="auto" w:fill="FFFFFF"/>
        </w:rPr>
        <w:t>Tomczyk</w:t>
      </w:r>
      <w:proofErr w:type="spellEnd"/>
      <w:r w:rsidRPr="00635510">
        <w:rPr>
          <w:rFonts w:ascii="Times New Roman" w:hAnsi="Times New Roman" w:cs="Times New Roman"/>
          <w:color w:val="222222"/>
          <w:sz w:val="24"/>
          <w:szCs w:val="24"/>
          <w:shd w:val="clear" w:color="auto" w:fill="FFFFFF"/>
        </w:rPr>
        <w:t xml:space="preserve">, M.,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2018</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Risk in Business model operation of creative industries. </w:t>
      </w:r>
      <w:r w:rsidRPr="00635510">
        <w:rPr>
          <w:rFonts w:ascii="Times New Roman" w:hAnsi="Times New Roman" w:cs="Times New Roman"/>
          <w:i/>
          <w:iCs/>
          <w:color w:val="222222"/>
          <w:sz w:val="24"/>
          <w:szCs w:val="24"/>
          <w:shd w:val="clear" w:color="auto" w:fill="FFFFFF"/>
        </w:rPr>
        <w:t>European Journal of Service Management</w:t>
      </w:r>
      <w:r w:rsidRPr="00635510">
        <w:rPr>
          <w:rFonts w:ascii="Times New Roman" w:hAnsi="Times New Roman" w:cs="Times New Roman"/>
          <w:color w:val="222222"/>
          <w:sz w:val="24"/>
          <w:szCs w:val="24"/>
          <w:shd w:val="clear" w:color="auto" w:fill="FFFFFF"/>
        </w:rPr>
        <w:t>, </w:t>
      </w:r>
      <w:r w:rsidRPr="00635510">
        <w:rPr>
          <w:rFonts w:ascii="Times New Roman" w:hAnsi="Times New Roman" w:cs="Times New Roman"/>
          <w:i/>
          <w:iCs/>
          <w:color w:val="222222"/>
          <w:sz w:val="24"/>
          <w:szCs w:val="24"/>
          <w:shd w:val="clear" w:color="auto" w:fill="FFFFFF"/>
        </w:rPr>
        <w:t>27</w:t>
      </w:r>
      <w:r w:rsidRPr="00635510">
        <w:rPr>
          <w:rFonts w:ascii="Times New Roman" w:hAnsi="Times New Roman" w:cs="Times New Roman"/>
          <w:color w:val="222222"/>
          <w:sz w:val="24"/>
          <w:szCs w:val="24"/>
          <w:shd w:val="clear" w:color="auto" w:fill="FFFFFF"/>
        </w:rPr>
        <w:t>, pp.347-350.</w:t>
      </w:r>
    </w:p>
    <w:p w14:paraId="2F8240A5" w14:textId="77777777" w:rsidR="00635510" w:rsidRPr="00635510" w:rsidRDefault="00635510" w:rsidP="00635510">
      <w:pPr>
        <w:spacing w:line="360" w:lineRule="auto"/>
        <w:jc w:val="both"/>
        <w:rPr>
          <w:rFonts w:ascii="Times New Roman" w:hAnsi="Times New Roman" w:cs="Times New Roman"/>
          <w:color w:val="222222"/>
          <w:sz w:val="24"/>
          <w:szCs w:val="24"/>
          <w:shd w:val="clear" w:color="auto" w:fill="FFFFFF"/>
        </w:rPr>
      </w:pPr>
      <w:r w:rsidRPr="00635510">
        <w:rPr>
          <w:rFonts w:ascii="Times New Roman" w:hAnsi="Times New Roman" w:cs="Times New Roman"/>
          <w:color w:val="222222"/>
          <w:sz w:val="24"/>
          <w:szCs w:val="24"/>
          <w:shd w:val="clear" w:color="auto" w:fill="FFFFFF"/>
        </w:rPr>
        <w:t xml:space="preserve">Zhang, J., </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2021</w:t>
      </w:r>
      <w:r w:rsidRPr="00635510">
        <w:rPr>
          <w:rFonts w:ascii="Times New Roman" w:hAnsi="Times New Roman" w:cs="Times New Roman"/>
          <w:color w:val="222222"/>
          <w:sz w:val="24"/>
          <w:szCs w:val="24"/>
          <w:shd w:val="clear" w:color="auto" w:fill="FFFFFF"/>
        </w:rPr>
        <w:t>)</w:t>
      </w:r>
      <w:r w:rsidRPr="00635510">
        <w:rPr>
          <w:rFonts w:ascii="Times New Roman" w:hAnsi="Times New Roman" w:cs="Times New Roman"/>
          <w:color w:val="222222"/>
          <w:sz w:val="24"/>
          <w:szCs w:val="24"/>
          <w:shd w:val="clear" w:color="auto" w:fill="FFFFFF"/>
        </w:rPr>
        <w:t xml:space="preserve">. Big data and tourism geographies–an emerging paradigm for future </w:t>
      </w:r>
      <w:r w:rsidRPr="00635510">
        <w:rPr>
          <w:rFonts w:ascii="Times New Roman" w:hAnsi="Times New Roman" w:cs="Times New Roman"/>
          <w:color w:val="222222"/>
          <w:sz w:val="24"/>
          <w:szCs w:val="24"/>
          <w:shd w:val="clear" w:color="auto" w:fill="FFFFFF"/>
        </w:rPr>
        <w:t>study?</w:t>
      </w:r>
      <w:r w:rsidRPr="00635510">
        <w:rPr>
          <w:rFonts w:ascii="Times New Roman" w:hAnsi="Times New Roman" w:cs="Times New Roman"/>
          <w:color w:val="222222"/>
          <w:sz w:val="24"/>
          <w:szCs w:val="24"/>
          <w:shd w:val="clear" w:color="auto" w:fill="FFFFFF"/>
        </w:rPr>
        <w:t xml:space="preserve"> In </w:t>
      </w:r>
      <w:r w:rsidRPr="00635510">
        <w:rPr>
          <w:rFonts w:ascii="Times New Roman" w:hAnsi="Times New Roman" w:cs="Times New Roman"/>
          <w:i/>
          <w:iCs/>
          <w:color w:val="222222"/>
          <w:sz w:val="24"/>
          <w:szCs w:val="24"/>
          <w:shd w:val="clear" w:color="auto" w:fill="FFFFFF"/>
        </w:rPr>
        <w:t>Tourism Spaces</w:t>
      </w:r>
      <w:r w:rsidRPr="00635510">
        <w:rPr>
          <w:rFonts w:ascii="Times New Roman" w:hAnsi="Times New Roman" w:cs="Times New Roman"/>
          <w:color w:val="222222"/>
          <w:sz w:val="24"/>
          <w:szCs w:val="24"/>
          <w:shd w:val="clear" w:color="auto" w:fill="FFFFFF"/>
        </w:rPr>
        <w:t> (pp. 131-136). Routledge.</w:t>
      </w:r>
    </w:p>
    <w:sectPr w:rsidR="00635510" w:rsidRPr="00635510" w:rsidSect="006C3726">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4D173" w14:textId="77777777" w:rsidR="00D762E9" w:rsidRDefault="00D762E9">
      <w:pPr>
        <w:spacing w:after="0" w:line="240" w:lineRule="auto"/>
      </w:pPr>
      <w:r>
        <w:separator/>
      </w:r>
    </w:p>
  </w:endnote>
  <w:endnote w:type="continuationSeparator" w:id="0">
    <w:p w14:paraId="305D7743" w14:textId="77777777" w:rsidR="00D762E9" w:rsidRDefault="00D76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507005"/>
      <w:docPartObj>
        <w:docPartGallery w:val="Page Numbers (Bottom of Page)"/>
        <w:docPartUnique/>
      </w:docPartObj>
    </w:sdtPr>
    <w:sdtEndPr>
      <w:rPr>
        <w:noProof/>
      </w:rPr>
    </w:sdtEndPr>
    <w:sdtContent>
      <w:p w14:paraId="2CF49315" w14:textId="16C0D28A" w:rsidR="006C3726"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6A5C62" w14:textId="77777777" w:rsidR="006C3726" w:rsidRDefault="006C3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C90CE" w14:textId="77777777" w:rsidR="00D762E9" w:rsidRDefault="00D762E9">
      <w:pPr>
        <w:spacing w:after="0" w:line="240" w:lineRule="auto"/>
      </w:pPr>
      <w:r>
        <w:separator/>
      </w:r>
    </w:p>
  </w:footnote>
  <w:footnote w:type="continuationSeparator" w:id="0">
    <w:p w14:paraId="059E508A" w14:textId="77777777" w:rsidR="00D762E9" w:rsidRDefault="00D762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B4653"/>
    <w:multiLevelType w:val="hybridMultilevel"/>
    <w:tmpl w:val="5E6A6D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B396B4E"/>
    <w:multiLevelType w:val="hybridMultilevel"/>
    <w:tmpl w:val="80667108"/>
    <w:lvl w:ilvl="0" w:tplc="96A0F66A">
      <w:start w:val="1"/>
      <w:numFmt w:val="lowerRoman"/>
      <w:lvlText w:val="(%1)"/>
      <w:lvlJc w:val="left"/>
      <w:pPr>
        <w:ind w:left="1080" w:hanging="720"/>
      </w:pPr>
      <w:rPr>
        <w:rFonts w:hint="default"/>
      </w:rPr>
    </w:lvl>
    <w:lvl w:ilvl="1" w:tplc="F46A1984" w:tentative="1">
      <w:start w:val="1"/>
      <w:numFmt w:val="lowerLetter"/>
      <w:lvlText w:val="%2."/>
      <w:lvlJc w:val="left"/>
      <w:pPr>
        <w:ind w:left="1440" w:hanging="360"/>
      </w:pPr>
    </w:lvl>
    <w:lvl w:ilvl="2" w:tplc="3ED49B5C" w:tentative="1">
      <w:start w:val="1"/>
      <w:numFmt w:val="lowerRoman"/>
      <w:lvlText w:val="%3."/>
      <w:lvlJc w:val="right"/>
      <w:pPr>
        <w:ind w:left="2160" w:hanging="180"/>
      </w:pPr>
    </w:lvl>
    <w:lvl w:ilvl="3" w:tplc="9CD2D5C2" w:tentative="1">
      <w:start w:val="1"/>
      <w:numFmt w:val="decimal"/>
      <w:lvlText w:val="%4."/>
      <w:lvlJc w:val="left"/>
      <w:pPr>
        <w:ind w:left="2880" w:hanging="360"/>
      </w:pPr>
    </w:lvl>
    <w:lvl w:ilvl="4" w:tplc="15F2234E" w:tentative="1">
      <w:start w:val="1"/>
      <w:numFmt w:val="lowerLetter"/>
      <w:lvlText w:val="%5."/>
      <w:lvlJc w:val="left"/>
      <w:pPr>
        <w:ind w:left="3600" w:hanging="360"/>
      </w:pPr>
    </w:lvl>
    <w:lvl w:ilvl="5" w:tplc="BBC88918" w:tentative="1">
      <w:start w:val="1"/>
      <w:numFmt w:val="lowerRoman"/>
      <w:lvlText w:val="%6."/>
      <w:lvlJc w:val="right"/>
      <w:pPr>
        <w:ind w:left="4320" w:hanging="180"/>
      </w:pPr>
    </w:lvl>
    <w:lvl w:ilvl="6" w:tplc="D1C296FE" w:tentative="1">
      <w:start w:val="1"/>
      <w:numFmt w:val="decimal"/>
      <w:lvlText w:val="%7."/>
      <w:lvlJc w:val="left"/>
      <w:pPr>
        <w:ind w:left="5040" w:hanging="360"/>
      </w:pPr>
    </w:lvl>
    <w:lvl w:ilvl="7" w:tplc="0602F9C2" w:tentative="1">
      <w:start w:val="1"/>
      <w:numFmt w:val="lowerLetter"/>
      <w:lvlText w:val="%8."/>
      <w:lvlJc w:val="left"/>
      <w:pPr>
        <w:ind w:left="5760" w:hanging="360"/>
      </w:pPr>
    </w:lvl>
    <w:lvl w:ilvl="8" w:tplc="44A49D00" w:tentative="1">
      <w:start w:val="1"/>
      <w:numFmt w:val="lowerRoman"/>
      <w:lvlText w:val="%9."/>
      <w:lvlJc w:val="right"/>
      <w:pPr>
        <w:ind w:left="6480" w:hanging="180"/>
      </w:pPr>
    </w:lvl>
  </w:abstractNum>
  <w:abstractNum w:abstractNumId="2" w15:restartNumberingAfterBreak="0">
    <w:nsid w:val="4FD43995"/>
    <w:multiLevelType w:val="hybridMultilevel"/>
    <w:tmpl w:val="79842188"/>
    <w:lvl w:ilvl="0" w:tplc="20442214">
      <w:start w:val="1"/>
      <w:numFmt w:val="lowerRoman"/>
      <w:lvlText w:val="(%1)"/>
      <w:lvlJc w:val="left"/>
      <w:pPr>
        <w:ind w:left="1080" w:hanging="720"/>
      </w:pPr>
      <w:rPr>
        <w:rFonts w:hint="default"/>
      </w:rPr>
    </w:lvl>
    <w:lvl w:ilvl="1" w:tplc="A0382066" w:tentative="1">
      <w:start w:val="1"/>
      <w:numFmt w:val="lowerLetter"/>
      <w:lvlText w:val="%2."/>
      <w:lvlJc w:val="left"/>
      <w:pPr>
        <w:ind w:left="1440" w:hanging="360"/>
      </w:pPr>
    </w:lvl>
    <w:lvl w:ilvl="2" w:tplc="5B5EC170" w:tentative="1">
      <w:start w:val="1"/>
      <w:numFmt w:val="lowerRoman"/>
      <w:lvlText w:val="%3."/>
      <w:lvlJc w:val="right"/>
      <w:pPr>
        <w:ind w:left="2160" w:hanging="180"/>
      </w:pPr>
    </w:lvl>
    <w:lvl w:ilvl="3" w:tplc="7752F71C" w:tentative="1">
      <w:start w:val="1"/>
      <w:numFmt w:val="decimal"/>
      <w:lvlText w:val="%4."/>
      <w:lvlJc w:val="left"/>
      <w:pPr>
        <w:ind w:left="2880" w:hanging="360"/>
      </w:pPr>
    </w:lvl>
    <w:lvl w:ilvl="4" w:tplc="8C868874" w:tentative="1">
      <w:start w:val="1"/>
      <w:numFmt w:val="lowerLetter"/>
      <w:lvlText w:val="%5."/>
      <w:lvlJc w:val="left"/>
      <w:pPr>
        <w:ind w:left="3600" w:hanging="360"/>
      </w:pPr>
    </w:lvl>
    <w:lvl w:ilvl="5" w:tplc="6E1E0AB8" w:tentative="1">
      <w:start w:val="1"/>
      <w:numFmt w:val="lowerRoman"/>
      <w:lvlText w:val="%6."/>
      <w:lvlJc w:val="right"/>
      <w:pPr>
        <w:ind w:left="4320" w:hanging="180"/>
      </w:pPr>
    </w:lvl>
    <w:lvl w:ilvl="6" w:tplc="7940F3F0" w:tentative="1">
      <w:start w:val="1"/>
      <w:numFmt w:val="decimal"/>
      <w:lvlText w:val="%7."/>
      <w:lvlJc w:val="left"/>
      <w:pPr>
        <w:ind w:left="5040" w:hanging="360"/>
      </w:pPr>
    </w:lvl>
    <w:lvl w:ilvl="7" w:tplc="C6C02C40" w:tentative="1">
      <w:start w:val="1"/>
      <w:numFmt w:val="lowerLetter"/>
      <w:lvlText w:val="%8."/>
      <w:lvlJc w:val="left"/>
      <w:pPr>
        <w:ind w:left="5760" w:hanging="360"/>
      </w:pPr>
    </w:lvl>
    <w:lvl w:ilvl="8" w:tplc="0BA6331E" w:tentative="1">
      <w:start w:val="1"/>
      <w:numFmt w:val="lowerRoman"/>
      <w:lvlText w:val="%9."/>
      <w:lvlJc w:val="right"/>
      <w:pPr>
        <w:ind w:left="6480" w:hanging="180"/>
      </w:pPr>
    </w:lvl>
  </w:abstractNum>
  <w:num w:numId="1" w16cid:durableId="1855218244">
    <w:abstractNumId w:val="2"/>
  </w:num>
  <w:num w:numId="2" w16cid:durableId="1781754688">
    <w:abstractNumId w:val="1"/>
  </w:num>
  <w:num w:numId="3" w16cid:durableId="69276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811"/>
    <w:rsid w:val="000012C1"/>
    <w:rsid w:val="00006811"/>
    <w:rsid w:val="0003227F"/>
    <w:rsid w:val="0005102F"/>
    <w:rsid w:val="00081F9C"/>
    <w:rsid w:val="000B3887"/>
    <w:rsid w:val="000B5C17"/>
    <w:rsid w:val="000D0667"/>
    <w:rsid w:val="000D3BB7"/>
    <w:rsid w:val="000E0BDE"/>
    <w:rsid w:val="000E7752"/>
    <w:rsid w:val="000F6D50"/>
    <w:rsid w:val="001310D7"/>
    <w:rsid w:val="00144C95"/>
    <w:rsid w:val="0014687C"/>
    <w:rsid w:val="00150799"/>
    <w:rsid w:val="001509E4"/>
    <w:rsid w:val="001A1141"/>
    <w:rsid w:val="001B32A0"/>
    <w:rsid w:val="001B42FF"/>
    <w:rsid w:val="001C0D17"/>
    <w:rsid w:val="001E58E3"/>
    <w:rsid w:val="00203770"/>
    <w:rsid w:val="002064AD"/>
    <w:rsid w:val="002176E5"/>
    <w:rsid w:val="00240FD7"/>
    <w:rsid w:val="00244F96"/>
    <w:rsid w:val="00252D31"/>
    <w:rsid w:val="002606D6"/>
    <w:rsid w:val="0027384F"/>
    <w:rsid w:val="00281533"/>
    <w:rsid w:val="00283219"/>
    <w:rsid w:val="002C5019"/>
    <w:rsid w:val="00315B01"/>
    <w:rsid w:val="00342A9C"/>
    <w:rsid w:val="00352E98"/>
    <w:rsid w:val="003A636D"/>
    <w:rsid w:val="003B7017"/>
    <w:rsid w:val="003D6312"/>
    <w:rsid w:val="003E2C2F"/>
    <w:rsid w:val="003F2535"/>
    <w:rsid w:val="003F778D"/>
    <w:rsid w:val="00421450"/>
    <w:rsid w:val="00460BF5"/>
    <w:rsid w:val="0047469B"/>
    <w:rsid w:val="00474DE2"/>
    <w:rsid w:val="004930D2"/>
    <w:rsid w:val="004961E1"/>
    <w:rsid w:val="004A6C3D"/>
    <w:rsid w:val="004B2287"/>
    <w:rsid w:val="004B2985"/>
    <w:rsid w:val="004B438C"/>
    <w:rsid w:val="004B53F7"/>
    <w:rsid w:val="004B6F9D"/>
    <w:rsid w:val="004E4B69"/>
    <w:rsid w:val="00502785"/>
    <w:rsid w:val="005206F3"/>
    <w:rsid w:val="00531157"/>
    <w:rsid w:val="00532111"/>
    <w:rsid w:val="005466E9"/>
    <w:rsid w:val="005546C6"/>
    <w:rsid w:val="0057429A"/>
    <w:rsid w:val="005757F2"/>
    <w:rsid w:val="00581873"/>
    <w:rsid w:val="0059320A"/>
    <w:rsid w:val="00595C05"/>
    <w:rsid w:val="005B1E92"/>
    <w:rsid w:val="005C14FA"/>
    <w:rsid w:val="005C50B1"/>
    <w:rsid w:val="005C5399"/>
    <w:rsid w:val="005D5341"/>
    <w:rsid w:val="005D6671"/>
    <w:rsid w:val="005E1F59"/>
    <w:rsid w:val="005F5A2F"/>
    <w:rsid w:val="006065D6"/>
    <w:rsid w:val="00611BEF"/>
    <w:rsid w:val="00620D7C"/>
    <w:rsid w:val="006231DE"/>
    <w:rsid w:val="0063059C"/>
    <w:rsid w:val="00635510"/>
    <w:rsid w:val="00644596"/>
    <w:rsid w:val="00653302"/>
    <w:rsid w:val="00661F2A"/>
    <w:rsid w:val="00664CB5"/>
    <w:rsid w:val="00697705"/>
    <w:rsid w:val="006A589F"/>
    <w:rsid w:val="006A7F83"/>
    <w:rsid w:val="006B490F"/>
    <w:rsid w:val="006C3726"/>
    <w:rsid w:val="006C4657"/>
    <w:rsid w:val="006C79E2"/>
    <w:rsid w:val="006E18DE"/>
    <w:rsid w:val="006F2B8C"/>
    <w:rsid w:val="006F51D8"/>
    <w:rsid w:val="00744A7B"/>
    <w:rsid w:val="00772583"/>
    <w:rsid w:val="007826BE"/>
    <w:rsid w:val="00785C27"/>
    <w:rsid w:val="007978F9"/>
    <w:rsid w:val="007B0AFA"/>
    <w:rsid w:val="007B5284"/>
    <w:rsid w:val="007C3332"/>
    <w:rsid w:val="008313DC"/>
    <w:rsid w:val="00850853"/>
    <w:rsid w:val="00870E5F"/>
    <w:rsid w:val="0087722F"/>
    <w:rsid w:val="008A63CC"/>
    <w:rsid w:val="008B6E03"/>
    <w:rsid w:val="008C52CE"/>
    <w:rsid w:val="008D5718"/>
    <w:rsid w:val="008F3E49"/>
    <w:rsid w:val="008F76E4"/>
    <w:rsid w:val="00902DF4"/>
    <w:rsid w:val="00912021"/>
    <w:rsid w:val="00933F2D"/>
    <w:rsid w:val="00937964"/>
    <w:rsid w:val="00940384"/>
    <w:rsid w:val="00943F93"/>
    <w:rsid w:val="009454E5"/>
    <w:rsid w:val="00953F8D"/>
    <w:rsid w:val="00964AED"/>
    <w:rsid w:val="00986F82"/>
    <w:rsid w:val="00995317"/>
    <w:rsid w:val="009A47F0"/>
    <w:rsid w:val="009B1E4B"/>
    <w:rsid w:val="009D2FE8"/>
    <w:rsid w:val="009F64EB"/>
    <w:rsid w:val="00A178A8"/>
    <w:rsid w:val="00A26A76"/>
    <w:rsid w:val="00A30A4E"/>
    <w:rsid w:val="00A3657D"/>
    <w:rsid w:val="00A41955"/>
    <w:rsid w:val="00A479D3"/>
    <w:rsid w:val="00A510CC"/>
    <w:rsid w:val="00A5303D"/>
    <w:rsid w:val="00A600BC"/>
    <w:rsid w:val="00A64BFC"/>
    <w:rsid w:val="00A70BC5"/>
    <w:rsid w:val="00A77FA1"/>
    <w:rsid w:val="00A95322"/>
    <w:rsid w:val="00AA5AB9"/>
    <w:rsid w:val="00AC03D2"/>
    <w:rsid w:val="00AD48C3"/>
    <w:rsid w:val="00AD4BB1"/>
    <w:rsid w:val="00AE1B37"/>
    <w:rsid w:val="00AF32BC"/>
    <w:rsid w:val="00B21F04"/>
    <w:rsid w:val="00B35CE3"/>
    <w:rsid w:val="00B36BD6"/>
    <w:rsid w:val="00B7675C"/>
    <w:rsid w:val="00B9037F"/>
    <w:rsid w:val="00B904B0"/>
    <w:rsid w:val="00BA5BD5"/>
    <w:rsid w:val="00BB49DE"/>
    <w:rsid w:val="00BC1B20"/>
    <w:rsid w:val="00BC640A"/>
    <w:rsid w:val="00BE2AA4"/>
    <w:rsid w:val="00C000DE"/>
    <w:rsid w:val="00C26DE1"/>
    <w:rsid w:val="00C50DC6"/>
    <w:rsid w:val="00C51F84"/>
    <w:rsid w:val="00C55FAC"/>
    <w:rsid w:val="00C65CB4"/>
    <w:rsid w:val="00C7257A"/>
    <w:rsid w:val="00C912AC"/>
    <w:rsid w:val="00C96DF0"/>
    <w:rsid w:val="00CA51A1"/>
    <w:rsid w:val="00CA76BB"/>
    <w:rsid w:val="00CB6256"/>
    <w:rsid w:val="00CC75A7"/>
    <w:rsid w:val="00CD4B38"/>
    <w:rsid w:val="00CE4FCD"/>
    <w:rsid w:val="00D2698D"/>
    <w:rsid w:val="00D32E55"/>
    <w:rsid w:val="00D436A3"/>
    <w:rsid w:val="00D52641"/>
    <w:rsid w:val="00D5783A"/>
    <w:rsid w:val="00D762E9"/>
    <w:rsid w:val="00D9130E"/>
    <w:rsid w:val="00DA6942"/>
    <w:rsid w:val="00DC0BC4"/>
    <w:rsid w:val="00DD2115"/>
    <w:rsid w:val="00DE30C6"/>
    <w:rsid w:val="00DE4F32"/>
    <w:rsid w:val="00E02BFA"/>
    <w:rsid w:val="00E125E4"/>
    <w:rsid w:val="00E56497"/>
    <w:rsid w:val="00E71F9B"/>
    <w:rsid w:val="00E8171B"/>
    <w:rsid w:val="00E92985"/>
    <w:rsid w:val="00E93D5A"/>
    <w:rsid w:val="00E943E4"/>
    <w:rsid w:val="00E954DE"/>
    <w:rsid w:val="00E96E5F"/>
    <w:rsid w:val="00E978B4"/>
    <w:rsid w:val="00EA078C"/>
    <w:rsid w:val="00EA14B2"/>
    <w:rsid w:val="00ED2713"/>
    <w:rsid w:val="00ED67B2"/>
    <w:rsid w:val="00EF1EB3"/>
    <w:rsid w:val="00EF2664"/>
    <w:rsid w:val="00EF2C48"/>
    <w:rsid w:val="00EF34EB"/>
    <w:rsid w:val="00F13C6F"/>
    <w:rsid w:val="00F14146"/>
    <w:rsid w:val="00F426D0"/>
    <w:rsid w:val="00F66B53"/>
    <w:rsid w:val="00F72F05"/>
    <w:rsid w:val="00F76078"/>
    <w:rsid w:val="00F80F76"/>
    <w:rsid w:val="00F87D4D"/>
    <w:rsid w:val="00FB151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77571"/>
  <w15:chartTrackingRefBased/>
  <w15:docId w15:val="{917FCAEA-A1CB-44AB-BAD1-79BB752FD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C3726"/>
    <w:pPr>
      <w:keepNext/>
      <w:keepLines/>
      <w:spacing w:before="240" w:after="0"/>
      <w:jc w:val="both"/>
      <w:outlineLvl w:val="0"/>
    </w:pPr>
    <w:rPr>
      <w:rFonts w:ascii="Times New Roman" w:eastAsiaTheme="majorEastAsia" w:hAnsi="Times New Roman" w:cstheme="majorBidi"/>
      <w:b/>
      <w:sz w:val="28"/>
      <w:szCs w:val="29"/>
    </w:rPr>
  </w:style>
  <w:style w:type="paragraph" w:styleId="Heading2">
    <w:name w:val="heading 2"/>
    <w:basedOn w:val="Normal"/>
    <w:next w:val="Normal"/>
    <w:link w:val="Heading2Char"/>
    <w:uiPriority w:val="9"/>
    <w:unhideWhenUsed/>
    <w:qFormat/>
    <w:rsid w:val="006C3726"/>
    <w:pPr>
      <w:keepNext/>
      <w:keepLines/>
      <w:spacing w:before="40" w:after="0"/>
      <w:jc w:val="both"/>
      <w:outlineLvl w:val="1"/>
    </w:pPr>
    <w:rPr>
      <w:rFonts w:ascii="Times New Roman" w:eastAsiaTheme="majorEastAsia" w:hAnsi="Times New Roman" w:cstheme="majorBidi"/>
      <w:b/>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2D31"/>
    <w:pPr>
      <w:ind w:left="720"/>
      <w:contextualSpacing/>
    </w:pPr>
  </w:style>
  <w:style w:type="paragraph" w:styleId="NormalWeb">
    <w:name w:val="Normal (Web)"/>
    <w:basedOn w:val="Normal"/>
    <w:uiPriority w:val="99"/>
    <w:unhideWhenUsed/>
    <w:rsid w:val="00661F2A"/>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6C3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726"/>
  </w:style>
  <w:style w:type="paragraph" w:styleId="Footer">
    <w:name w:val="footer"/>
    <w:basedOn w:val="Normal"/>
    <w:link w:val="FooterChar"/>
    <w:uiPriority w:val="99"/>
    <w:unhideWhenUsed/>
    <w:rsid w:val="006C3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726"/>
  </w:style>
  <w:style w:type="character" w:customStyle="1" w:styleId="Heading1Char">
    <w:name w:val="Heading 1 Char"/>
    <w:basedOn w:val="DefaultParagraphFont"/>
    <w:link w:val="Heading1"/>
    <w:uiPriority w:val="9"/>
    <w:rsid w:val="006C3726"/>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6C3726"/>
    <w:rPr>
      <w:rFonts w:ascii="Times New Roman" w:eastAsiaTheme="majorEastAsia" w:hAnsi="Times New Roman" w:cstheme="majorBidi"/>
      <w:b/>
      <w:sz w:val="26"/>
      <w:szCs w:val="23"/>
    </w:rPr>
  </w:style>
  <w:style w:type="paragraph" w:styleId="TOCHeading">
    <w:name w:val="TOC Heading"/>
    <w:basedOn w:val="Heading1"/>
    <w:next w:val="Normal"/>
    <w:uiPriority w:val="39"/>
    <w:unhideWhenUsed/>
    <w:qFormat/>
    <w:rsid w:val="00CA51A1"/>
    <w:pPr>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CA51A1"/>
    <w:pPr>
      <w:spacing w:after="100"/>
    </w:pPr>
  </w:style>
  <w:style w:type="paragraph" w:styleId="TOC2">
    <w:name w:val="toc 2"/>
    <w:basedOn w:val="Normal"/>
    <w:next w:val="Normal"/>
    <w:autoRedefine/>
    <w:uiPriority w:val="39"/>
    <w:unhideWhenUsed/>
    <w:rsid w:val="00CA51A1"/>
    <w:pPr>
      <w:spacing w:after="100"/>
      <w:ind w:left="220"/>
    </w:pPr>
  </w:style>
  <w:style w:type="character" w:styleId="Hyperlink">
    <w:name w:val="Hyperlink"/>
    <w:basedOn w:val="DefaultParagraphFont"/>
    <w:uiPriority w:val="99"/>
    <w:unhideWhenUsed/>
    <w:rsid w:val="00CA51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6E067-EDA6-46F7-B704-AA92B5ACD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3220</Words>
  <Characters>18355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revision>2</cp:revision>
  <dcterms:created xsi:type="dcterms:W3CDTF">2022-09-01T16:22:00Z</dcterms:created>
  <dcterms:modified xsi:type="dcterms:W3CDTF">2022-09-01T16:22:00Z</dcterms:modified>
</cp:coreProperties>
</file>