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52C5A3" w14:textId="53EEA43B" w:rsidR="00132A2C" w:rsidRDefault="00132A2C">
      <w:r>
        <w:t>Executive Summary</w:t>
      </w:r>
    </w:p>
    <w:p w14:paraId="07072343" w14:textId="35CD7466" w:rsidR="00F54ADE" w:rsidRDefault="00132A2C">
      <w:r w:rsidRPr="00132A2C">
        <w:t>The study will be Hong Kong listed company Parkson Retail Group Limited (3368) Financial Resources Management. This will be divided into six parts, 1) introduced the basic situation public Division such as business scope, corporate structure and market environment; 2) by the calculation Financial Ratios to analyze the firm's operating table , and the main competitors and a comparison 3) on which the Company internal controls and risk management; 4) assessment program this year the newly-opened the benefits Jinan shops and whether it is worthwhile investment, 5) List of funds collected and analyzed the pros and cons methods; 6) to provide operational efficiency audit programs to enable companies operating efficiency achieve the desired goal.</w:t>
      </w:r>
    </w:p>
    <w:p w14:paraId="25F7453F" w14:textId="1A2853B6" w:rsidR="006655D3" w:rsidRDefault="006655D3"/>
    <w:p w14:paraId="2594A19D" w14:textId="77777777" w:rsidR="006655D3" w:rsidRPr="00BC2EE3" w:rsidRDefault="006655D3" w:rsidP="006655D3">
      <w:pPr>
        <w:numPr>
          <w:ilvl w:val="0"/>
          <w:numId w:val="1"/>
        </w:numPr>
        <w:spacing w:after="0" w:line="240" w:lineRule="auto"/>
        <w:jc w:val="both"/>
        <w:rPr>
          <w:rFonts w:ascii="Arial" w:hAnsi="Arial" w:cs="Arial"/>
        </w:rPr>
      </w:pPr>
      <w:r w:rsidRPr="00BC2EE3">
        <w:rPr>
          <w:rFonts w:ascii="Arial" w:hAnsi="Arial" w:cs="Arial"/>
        </w:rPr>
        <w:t>comprehensive review on the annual report(s) of a company that you identify but which is agreed with your Lecturer at least 4 weeks before the submission date. You should include in the report a brief background of the company which is relevant to recommendations you made subsequently.</w:t>
      </w:r>
    </w:p>
    <w:p w14:paraId="5208D089" w14:textId="77777777" w:rsidR="006655D3" w:rsidRPr="00BC2EE3" w:rsidRDefault="006655D3" w:rsidP="006655D3">
      <w:pPr>
        <w:jc w:val="both"/>
        <w:rPr>
          <w:rFonts w:ascii="Arial" w:hAnsi="Arial" w:cs="Arial"/>
        </w:rPr>
      </w:pPr>
    </w:p>
    <w:p w14:paraId="37350311" w14:textId="77777777" w:rsidR="006655D3" w:rsidRDefault="006655D3" w:rsidP="006655D3">
      <w:pPr>
        <w:ind w:left="360"/>
        <w:jc w:val="both"/>
        <w:rPr>
          <w:rFonts w:ascii="Arial" w:hAnsi="Arial" w:cs="Arial"/>
          <w:lang w:eastAsia="zh-HK"/>
        </w:rPr>
      </w:pPr>
      <w:r w:rsidRPr="00BC2EE3">
        <w:rPr>
          <w:rFonts w:ascii="Arial" w:hAnsi="Arial" w:cs="Arial"/>
        </w:rPr>
        <w:t xml:space="preserve">Contents should include </w:t>
      </w:r>
      <w:r>
        <w:rPr>
          <w:rFonts w:ascii="Arial" w:hAnsi="Arial" w:cs="Arial"/>
        </w:rPr>
        <w:t xml:space="preserve">the </w:t>
      </w:r>
      <w:r w:rsidRPr="00BC2EE3">
        <w:rPr>
          <w:rFonts w:ascii="Arial" w:hAnsi="Arial" w:cs="Arial"/>
        </w:rPr>
        <w:t>current business situation, Initial Public Offering (I</w:t>
      </w:r>
      <w:r w:rsidRPr="00BC2EE3">
        <w:rPr>
          <w:rFonts w:ascii="Arial" w:eastAsia="SimSun" w:hAnsi="Arial" w:cs="Arial"/>
          <w:lang w:eastAsia="zh-CN"/>
        </w:rPr>
        <w:t xml:space="preserve">PO) history, value, and current value, </w:t>
      </w:r>
      <w:r w:rsidRPr="00BC2EE3">
        <w:rPr>
          <w:rFonts w:ascii="Arial" w:hAnsi="Arial" w:cs="Arial"/>
        </w:rPr>
        <w:t xml:space="preserve">major products and services, market distributions. Shareholding and </w:t>
      </w:r>
      <w:r>
        <w:rPr>
          <w:rFonts w:ascii="Arial" w:hAnsi="Arial" w:cs="Arial"/>
        </w:rPr>
        <w:t>o</w:t>
      </w:r>
      <w:r w:rsidRPr="00BC2EE3">
        <w:rPr>
          <w:rFonts w:ascii="Arial" w:hAnsi="Arial" w:cs="Arial"/>
        </w:rPr>
        <w:t xml:space="preserve">rganization structure, market capitalization, values of the company, and also the business review.  Regarding </w:t>
      </w:r>
      <w:r>
        <w:rPr>
          <w:rFonts w:ascii="Arial" w:hAnsi="Arial" w:cs="Arial"/>
        </w:rPr>
        <w:t xml:space="preserve">an </w:t>
      </w:r>
      <w:r w:rsidRPr="00BC2EE3">
        <w:rPr>
          <w:rFonts w:ascii="Arial" w:hAnsi="Arial" w:cs="Arial"/>
        </w:rPr>
        <w:t>operational review, you shall have a review of the sales performance analysed by major products lines, market segments, the competitors, market shares, its market position, drastic changes against previous years and all challenges ahead.</w:t>
      </w:r>
    </w:p>
    <w:p w14:paraId="07C38137" w14:textId="77777777" w:rsidR="006655D3" w:rsidRPr="00BC2EE3" w:rsidRDefault="006655D3" w:rsidP="006655D3">
      <w:pPr>
        <w:ind w:left="360"/>
        <w:jc w:val="both"/>
        <w:rPr>
          <w:rFonts w:ascii="Arial" w:hAnsi="Arial" w:cs="Arial"/>
          <w:lang w:eastAsia="zh-HK"/>
        </w:rPr>
      </w:pPr>
    </w:p>
    <w:p w14:paraId="18202E15" w14:textId="29A7581C" w:rsidR="006655D3" w:rsidRDefault="006655D3"/>
    <w:p w14:paraId="13EBF780" w14:textId="5E82AE5C" w:rsidR="006655D3" w:rsidRDefault="006655D3"/>
    <w:p w14:paraId="5667D67D" w14:textId="689C55CB" w:rsidR="006655D3" w:rsidRDefault="006655D3"/>
    <w:p w14:paraId="50944B86" w14:textId="64223A68" w:rsidR="006655D3" w:rsidRDefault="006655D3"/>
    <w:p w14:paraId="102782BF" w14:textId="56CFA07E" w:rsidR="006655D3" w:rsidRDefault="006655D3"/>
    <w:p w14:paraId="764CEA12" w14:textId="7FBCAEBE" w:rsidR="006655D3" w:rsidRDefault="006655D3"/>
    <w:p w14:paraId="0488B91F" w14:textId="091B6CDB" w:rsidR="006655D3" w:rsidRDefault="006655D3">
      <w:r>
        <w:t>\</w:t>
      </w:r>
    </w:p>
    <w:p w14:paraId="7C2BBC63" w14:textId="34E70FF6" w:rsidR="006655D3" w:rsidRDefault="006655D3"/>
    <w:p w14:paraId="1F5C1CB9" w14:textId="2BC69C35" w:rsidR="006655D3" w:rsidRDefault="006655D3"/>
    <w:p w14:paraId="7D635D2A" w14:textId="67FA1223" w:rsidR="006655D3" w:rsidRDefault="006655D3"/>
    <w:p w14:paraId="7F96A88B" w14:textId="51CCE8E9" w:rsidR="006655D3" w:rsidRDefault="006655D3"/>
    <w:p w14:paraId="3D101BC5" w14:textId="2E062856" w:rsidR="006655D3" w:rsidRDefault="006655D3"/>
    <w:p w14:paraId="3D4647EE" w14:textId="4C424363" w:rsidR="006655D3" w:rsidRDefault="006655D3"/>
    <w:p w14:paraId="25200336" w14:textId="5827E4B7" w:rsidR="006655D3" w:rsidRDefault="006655D3"/>
    <w:p w14:paraId="0D7E1FDE" w14:textId="77777777" w:rsidR="006655D3" w:rsidRDefault="006655D3">
      <w:bookmarkStart w:id="0" w:name="_GoBack"/>
      <w:bookmarkEnd w:id="0"/>
    </w:p>
    <w:sdt>
      <w:sdtPr>
        <w:rPr>
          <w:rFonts w:asciiTheme="minorHAnsi" w:eastAsiaTheme="minorHAnsi" w:hAnsiTheme="minorHAnsi" w:cstheme="minorBidi"/>
          <w:b w:val="0"/>
          <w:bCs w:val="0"/>
          <w:color w:val="auto"/>
          <w:sz w:val="22"/>
          <w:szCs w:val="22"/>
          <w:lang w:val="en-HK" w:eastAsia="zh-TW"/>
        </w:rPr>
        <w:id w:val="118224604"/>
        <w:docPartObj>
          <w:docPartGallery w:val="Table of Contents"/>
          <w:docPartUnique/>
        </w:docPartObj>
      </w:sdtPr>
      <w:sdtEndPr>
        <w:rPr>
          <w:rFonts w:ascii="Times New Roman" w:eastAsiaTheme="minorEastAsia" w:hAnsi="Times New Roman" w:cs="Times New Roman"/>
          <w:sz w:val="24"/>
          <w:szCs w:val="24"/>
        </w:rPr>
      </w:sdtEndPr>
      <w:sdtContent>
        <w:p w14:paraId="65915657" w14:textId="77777777" w:rsidR="00132A2C" w:rsidRPr="00563EC9" w:rsidRDefault="00132A2C" w:rsidP="00132A2C">
          <w:pPr>
            <w:pStyle w:val="TOCHeading"/>
            <w:spacing w:line="360" w:lineRule="auto"/>
            <w:jc w:val="center"/>
            <w:rPr>
              <w:rFonts w:ascii="Times New Roman" w:hAnsi="Times New Roman" w:cs="Times New Roman"/>
              <w:sz w:val="24"/>
              <w:szCs w:val="24"/>
            </w:rPr>
          </w:pPr>
          <w:r w:rsidRPr="00563EC9">
            <w:rPr>
              <w:rFonts w:ascii="Times New Roman" w:hAnsi="Times New Roman" w:cs="Times New Roman"/>
              <w:color w:val="auto"/>
              <w:sz w:val="32"/>
              <w:szCs w:val="32"/>
            </w:rPr>
            <w:t>Contents</w:t>
          </w:r>
        </w:p>
        <w:p w14:paraId="13AA360E" w14:textId="77777777" w:rsidR="00132A2C" w:rsidRPr="00563EC9" w:rsidRDefault="00132A2C" w:rsidP="00132A2C">
          <w:pPr>
            <w:pStyle w:val="TOC1"/>
            <w:tabs>
              <w:tab w:val="right" w:leader="dot" w:pos="9350"/>
            </w:tabs>
            <w:spacing w:line="360" w:lineRule="auto"/>
            <w:rPr>
              <w:rFonts w:ascii="Times New Roman" w:hAnsi="Times New Roman" w:cs="Times New Roman"/>
              <w:noProof/>
              <w:sz w:val="24"/>
              <w:szCs w:val="24"/>
            </w:rPr>
          </w:pPr>
          <w:r w:rsidRPr="00563EC9">
            <w:rPr>
              <w:rFonts w:ascii="Times New Roman" w:hAnsi="Times New Roman" w:cs="Times New Roman"/>
              <w:sz w:val="24"/>
              <w:szCs w:val="24"/>
            </w:rPr>
            <w:fldChar w:fldCharType="begin"/>
          </w:r>
          <w:r w:rsidRPr="00563EC9">
            <w:rPr>
              <w:rFonts w:ascii="Times New Roman" w:hAnsi="Times New Roman" w:cs="Times New Roman"/>
              <w:sz w:val="24"/>
              <w:szCs w:val="24"/>
            </w:rPr>
            <w:instrText xml:space="preserve"> TOC \o "1-3" \h \z \u </w:instrText>
          </w:r>
          <w:r w:rsidRPr="00563EC9">
            <w:rPr>
              <w:rFonts w:ascii="Times New Roman" w:hAnsi="Times New Roman" w:cs="Times New Roman"/>
              <w:sz w:val="24"/>
              <w:szCs w:val="24"/>
            </w:rPr>
            <w:fldChar w:fldCharType="separate"/>
          </w:r>
          <w:hyperlink w:anchor="_Toc15819805" w:history="1">
            <w:r w:rsidRPr="00563EC9">
              <w:rPr>
                <w:rStyle w:val="Hyperlink"/>
                <w:rFonts w:cs="Times New Roman"/>
                <w:noProof/>
                <w:sz w:val="24"/>
                <w:szCs w:val="24"/>
              </w:rPr>
              <w:t>Task-1: Background Information about the Company</w:t>
            </w:r>
            <w:r w:rsidRPr="00563EC9">
              <w:rPr>
                <w:rFonts w:ascii="Times New Roman" w:hAnsi="Times New Roman" w:cs="Times New Roman"/>
                <w:noProof/>
                <w:webHidden/>
                <w:sz w:val="24"/>
                <w:szCs w:val="24"/>
              </w:rPr>
              <w:tab/>
            </w:r>
            <w:r w:rsidRPr="00563EC9">
              <w:rPr>
                <w:rFonts w:ascii="Times New Roman" w:hAnsi="Times New Roman" w:cs="Times New Roman"/>
                <w:noProof/>
                <w:webHidden/>
                <w:sz w:val="24"/>
                <w:szCs w:val="24"/>
              </w:rPr>
              <w:fldChar w:fldCharType="begin"/>
            </w:r>
            <w:r w:rsidRPr="00563EC9">
              <w:rPr>
                <w:rFonts w:ascii="Times New Roman" w:hAnsi="Times New Roman" w:cs="Times New Roman"/>
                <w:noProof/>
                <w:webHidden/>
                <w:sz w:val="24"/>
                <w:szCs w:val="24"/>
              </w:rPr>
              <w:instrText xml:space="preserve"> PAGEREF _Toc15819805 \h </w:instrText>
            </w:r>
            <w:r w:rsidRPr="00563EC9">
              <w:rPr>
                <w:rFonts w:ascii="Times New Roman" w:hAnsi="Times New Roman" w:cs="Times New Roman"/>
                <w:noProof/>
                <w:webHidden/>
                <w:sz w:val="24"/>
                <w:szCs w:val="24"/>
              </w:rPr>
            </w:r>
            <w:r w:rsidRPr="00563EC9">
              <w:rPr>
                <w:rFonts w:ascii="Times New Roman" w:hAnsi="Times New Roman" w:cs="Times New Roman"/>
                <w:noProof/>
                <w:webHidden/>
                <w:sz w:val="24"/>
                <w:szCs w:val="24"/>
              </w:rPr>
              <w:fldChar w:fldCharType="separate"/>
            </w:r>
            <w:r w:rsidRPr="00563EC9">
              <w:rPr>
                <w:rFonts w:ascii="Times New Roman" w:hAnsi="Times New Roman" w:cs="Times New Roman"/>
                <w:noProof/>
                <w:webHidden/>
                <w:sz w:val="24"/>
                <w:szCs w:val="24"/>
              </w:rPr>
              <w:t>3</w:t>
            </w:r>
            <w:r w:rsidRPr="00563EC9">
              <w:rPr>
                <w:rFonts w:ascii="Times New Roman" w:hAnsi="Times New Roman" w:cs="Times New Roman"/>
                <w:noProof/>
                <w:webHidden/>
                <w:sz w:val="24"/>
                <w:szCs w:val="24"/>
              </w:rPr>
              <w:fldChar w:fldCharType="end"/>
            </w:r>
          </w:hyperlink>
        </w:p>
        <w:p w14:paraId="03E86086" w14:textId="77777777" w:rsidR="00132A2C" w:rsidRPr="00563EC9" w:rsidRDefault="00B90B1F" w:rsidP="00132A2C">
          <w:pPr>
            <w:pStyle w:val="TOC1"/>
            <w:tabs>
              <w:tab w:val="right" w:leader="dot" w:pos="9350"/>
            </w:tabs>
            <w:spacing w:line="360" w:lineRule="auto"/>
            <w:rPr>
              <w:rFonts w:ascii="Times New Roman" w:hAnsi="Times New Roman" w:cs="Times New Roman"/>
              <w:noProof/>
              <w:sz w:val="24"/>
              <w:szCs w:val="24"/>
            </w:rPr>
          </w:pPr>
          <w:hyperlink w:anchor="_Toc15819806" w:history="1">
            <w:r w:rsidR="00132A2C" w:rsidRPr="00563EC9">
              <w:rPr>
                <w:rStyle w:val="Hyperlink"/>
                <w:rFonts w:cs="Times New Roman"/>
                <w:noProof/>
                <w:sz w:val="24"/>
                <w:szCs w:val="24"/>
              </w:rPr>
              <w:t>Task-2: Financial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_Toc15819806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4</w:t>
            </w:r>
            <w:r w:rsidR="00132A2C" w:rsidRPr="00563EC9">
              <w:rPr>
                <w:rFonts w:ascii="Times New Roman" w:hAnsi="Times New Roman" w:cs="Times New Roman"/>
                <w:noProof/>
                <w:webHidden/>
                <w:sz w:val="24"/>
                <w:szCs w:val="24"/>
              </w:rPr>
              <w:fldChar w:fldCharType="end"/>
            </w:r>
          </w:hyperlink>
        </w:p>
        <w:p w14:paraId="04CBB951" w14:textId="77777777" w:rsidR="00132A2C" w:rsidRPr="00563EC9" w:rsidRDefault="00B90B1F" w:rsidP="00132A2C">
          <w:pPr>
            <w:pStyle w:val="TOC2"/>
            <w:tabs>
              <w:tab w:val="right" w:leader="dot" w:pos="9350"/>
            </w:tabs>
            <w:spacing w:line="360" w:lineRule="auto"/>
            <w:rPr>
              <w:rFonts w:ascii="Times New Roman" w:hAnsi="Times New Roman" w:cs="Times New Roman"/>
              <w:noProof/>
              <w:sz w:val="24"/>
              <w:szCs w:val="24"/>
            </w:rPr>
          </w:pPr>
          <w:hyperlink w:anchor="_Toc15819807" w:history="1">
            <w:r w:rsidR="00132A2C" w:rsidRPr="00563EC9">
              <w:rPr>
                <w:rStyle w:val="Hyperlink"/>
                <w:rFonts w:cs="Times New Roman"/>
                <w:noProof/>
                <w:sz w:val="24"/>
                <w:szCs w:val="24"/>
              </w:rPr>
              <w:t>Trend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_Toc15819807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4</w:t>
            </w:r>
            <w:r w:rsidR="00132A2C" w:rsidRPr="00563EC9">
              <w:rPr>
                <w:rFonts w:ascii="Times New Roman" w:hAnsi="Times New Roman" w:cs="Times New Roman"/>
                <w:noProof/>
                <w:webHidden/>
                <w:sz w:val="24"/>
                <w:szCs w:val="24"/>
              </w:rPr>
              <w:fldChar w:fldCharType="end"/>
            </w:r>
          </w:hyperlink>
        </w:p>
        <w:p w14:paraId="16911A97" w14:textId="77777777" w:rsidR="00132A2C" w:rsidRPr="00563EC9" w:rsidRDefault="00B90B1F" w:rsidP="00132A2C">
          <w:pPr>
            <w:pStyle w:val="TOC2"/>
            <w:tabs>
              <w:tab w:val="right" w:leader="dot" w:pos="9350"/>
            </w:tabs>
            <w:spacing w:line="360" w:lineRule="auto"/>
            <w:rPr>
              <w:rFonts w:ascii="Times New Roman" w:hAnsi="Times New Roman" w:cs="Times New Roman"/>
              <w:noProof/>
              <w:sz w:val="24"/>
              <w:szCs w:val="24"/>
            </w:rPr>
          </w:pPr>
          <w:hyperlink w:anchor="_Toc15819808" w:history="1">
            <w:r w:rsidR="00132A2C" w:rsidRPr="00563EC9">
              <w:rPr>
                <w:rStyle w:val="Hyperlink"/>
                <w:rFonts w:cs="Times New Roman"/>
                <w:noProof/>
                <w:sz w:val="24"/>
                <w:szCs w:val="24"/>
              </w:rPr>
              <w:t>Horizontal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_Toc15819808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6</w:t>
            </w:r>
            <w:r w:rsidR="00132A2C" w:rsidRPr="00563EC9">
              <w:rPr>
                <w:rFonts w:ascii="Times New Roman" w:hAnsi="Times New Roman" w:cs="Times New Roman"/>
                <w:noProof/>
                <w:webHidden/>
                <w:sz w:val="24"/>
                <w:szCs w:val="24"/>
              </w:rPr>
              <w:fldChar w:fldCharType="end"/>
            </w:r>
          </w:hyperlink>
        </w:p>
        <w:p w14:paraId="57B5D53E" w14:textId="77777777" w:rsidR="00132A2C" w:rsidRPr="00563EC9" w:rsidRDefault="00B90B1F" w:rsidP="00132A2C">
          <w:pPr>
            <w:pStyle w:val="TOC2"/>
            <w:tabs>
              <w:tab w:val="right" w:leader="dot" w:pos="9350"/>
            </w:tabs>
            <w:spacing w:line="360" w:lineRule="auto"/>
            <w:rPr>
              <w:rFonts w:ascii="Times New Roman" w:hAnsi="Times New Roman" w:cs="Times New Roman"/>
              <w:noProof/>
              <w:sz w:val="24"/>
              <w:szCs w:val="24"/>
            </w:rPr>
          </w:pPr>
          <w:hyperlink w:anchor="_Toc15819809" w:history="1">
            <w:r w:rsidR="00132A2C" w:rsidRPr="00563EC9">
              <w:rPr>
                <w:rStyle w:val="Hyperlink"/>
                <w:rFonts w:cs="Times New Roman"/>
                <w:noProof/>
                <w:sz w:val="24"/>
                <w:szCs w:val="24"/>
              </w:rPr>
              <w:t>Vertical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_Toc15819809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7</w:t>
            </w:r>
            <w:r w:rsidR="00132A2C" w:rsidRPr="00563EC9">
              <w:rPr>
                <w:rFonts w:ascii="Times New Roman" w:hAnsi="Times New Roman" w:cs="Times New Roman"/>
                <w:noProof/>
                <w:webHidden/>
                <w:sz w:val="24"/>
                <w:szCs w:val="24"/>
              </w:rPr>
              <w:fldChar w:fldCharType="end"/>
            </w:r>
          </w:hyperlink>
        </w:p>
        <w:p w14:paraId="75C282D0" w14:textId="77777777" w:rsidR="00132A2C" w:rsidRPr="00563EC9" w:rsidRDefault="00B90B1F" w:rsidP="00132A2C">
          <w:pPr>
            <w:pStyle w:val="TOC2"/>
            <w:tabs>
              <w:tab w:val="right" w:leader="dot" w:pos="9350"/>
            </w:tabs>
            <w:spacing w:line="360" w:lineRule="auto"/>
            <w:rPr>
              <w:rFonts w:ascii="Times New Roman" w:hAnsi="Times New Roman" w:cs="Times New Roman"/>
              <w:noProof/>
              <w:sz w:val="24"/>
              <w:szCs w:val="24"/>
            </w:rPr>
          </w:pPr>
          <w:hyperlink w:anchor="_Toc15819810" w:history="1">
            <w:r w:rsidR="00132A2C" w:rsidRPr="00563EC9">
              <w:rPr>
                <w:rStyle w:val="Hyperlink"/>
                <w:rFonts w:cs="Times New Roman"/>
                <w:noProof/>
                <w:sz w:val="24"/>
                <w:szCs w:val="24"/>
              </w:rPr>
              <w:t>Financial Ratio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_Toc15819810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7</w:t>
            </w:r>
            <w:r w:rsidR="00132A2C" w:rsidRPr="00563EC9">
              <w:rPr>
                <w:rFonts w:ascii="Times New Roman" w:hAnsi="Times New Roman" w:cs="Times New Roman"/>
                <w:noProof/>
                <w:webHidden/>
                <w:sz w:val="24"/>
                <w:szCs w:val="24"/>
              </w:rPr>
              <w:fldChar w:fldCharType="end"/>
            </w:r>
          </w:hyperlink>
        </w:p>
        <w:p w14:paraId="422156DB" w14:textId="77777777" w:rsidR="00132A2C" w:rsidRPr="00563EC9" w:rsidRDefault="00B90B1F" w:rsidP="00132A2C">
          <w:pPr>
            <w:pStyle w:val="TOC1"/>
            <w:tabs>
              <w:tab w:val="right" w:leader="dot" w:pos="9350"/>
            </w:tabs>
            <w:spacing w:line="360" w:lineRule="auto"/>
            <w:rPr>
              <w:rFonts w:ascii="Times New Roman" w:hAnsi="Times New Roman" w:cs="Times New Roman"/>
              <w:noProof/>
              <w:sz w:val="24"/>
              <w:szCs w:val="24"/>
            </w:rPr>
          </w:pPr>
          <w:hyperlink w:anchor="_Toc15819811" w:history="1">
            <w:r w:rsidR="00132A2C" w:rsidRPr="00563EC9">
              <w:rPr>
                <w:rStyle w:val="Hyperlink"/>
                <w:rFonts w:cs="Times New Roman"/>
                <w:noProof/>
                <w:sz w:val="24"/>
                <w:szCs w:val="24"/>
              </w:rPr>
              <w:t>Task-3: Corporate Governance</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_Toc15819811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13</w:t>
            </w:r>
            <w:r w:rsidR="00132A2C" w:rsidRPr="00563EC9">
              <w:rPr>
                <w:rFonts w:ascii="Times New Roman" w:hAnsi="Times New Roman" w:cs="Times New Roman"/>
                <w:noProof/>
                <w:webHidden/>
                <w:sz w:val="24"/>
                <w:szCs w:val="24"/>
              </w:rPr>
              <w:fldChar w:fldCharType="end"/>
            </w:r>
          </w:hyperlink>
        </w:p>
        <w:p w14:paraId="140DDB9D" w14:textId="77777777" w:rsidR="00132A2C" w:rsidRPr="00563EC9" w:rsidRDefault="00B90B1F" w:rsidP="00132A2C">
          <w:pPr>
            <w:pStyle w:val="TOC1"/>
            <w:tabs>
              <w:tab w:val="right" w:leader="dot" w:pos="9350"/>
            </w:tabs>
            <w:spacing w:line="360" w:lineRule="auto"/>
            <w:rPr>
              <w:rFonts w:ascii="Times New Roman" w:hAnsi="Times New Roman" w:cs="Times New Roman"/>
              <w:noProof/>
              <w:sz w:val="24"/>
              <w:szCs w:val="24"/>
            </w:rPr>
          </w:pPr>
          <w:hyperlink w:anchor="_Toc15819812" w:history="1">
            <w:r w:rsidR="00132A2C" w:rsidRPr="00563EC9">
              <w:rPr>
                <w:rStyle w:val="Hyperlink"/>
                <w:rFonts w:cs="Times New Roman"/>
                <w:noProof/>
                <w:sz w:val="24"/>
                <w:szCs w:val="24"/>
              </w:rPr>
              <w:t>Task-4: Investment Appraisals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_Toc15819812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15</w:t>
            </w:r>
            <w:r w:rsidR="00132A2C" w:rsidRPr="00563EC9">
              <w:rPr>
                <w:rFonts w:ascii="Times New Roman" w:hAnsi="Times New Roman" w:cs="Times New Roman"/>
                <w:noProof/>
                <w:webHidden/>
                <w:sz w:val="24"/>
                <w:szCs w:val="24"/>
              </w:rPr>
              <w:fldChar w:fldCharType="end"/>
            </w:r>
          </w:hyperlink>
        </w:p>
        <w:p w14:paraId="72AED785" w14:textId="77777777" w:rsidR="00132A2C" w:rsidRPr="00563EC9" w:rsidRDefault="00B90B1F" w:rsidP="00132A2C">
          <w:pPr>
            <w:pStyle w:val="TOC2"/>
            <w:tabs>
              <w:tab w:val="right" w:leader="dot" w:pos="9350"/>
            </w:tabs>
            <w:spacing w:line="360" w:lineRule="auto"/>
            <w:rPr>
              <w:rFonts w:ascii="Times New Roman" w:hAnsi="Times New Roman" w:cs="Times New Roman"/>
              <w:noProof/>
              <w:sz w:val="24"/>
              <w:szCs w:val="24"/>
            </w:rPr>
          </w:pPr>
          <w:hyperlink w:anchor="_Toc15819813" w:history="1">
            <w:r w:rsidR="00132A2C" w:rsidRPr="00563EC9">
              <w:rPr>
                <w:rStyle w:val="Hyperlink"/>
                <w:rFonts w:cs="Times New Roman"/>
                <w:noProof/>
                <w:sz w:val="24"/>
                <w:szCs w:val="24"/>
              </w:rPr>
              <w:t>Net Present Value (NPV)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_Toc15819813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15</w:t>
            </w:r>
            <w:r w:rsidR="00132A2C" w:rsidRPr="00563EC9">
              <w:rPr>
                <w:rFonts w:ascii="Times New Roman" w:hAnsi="Times New Roman" w:cs="Times New Roman"/>
                <w:noProof/>
                <w:webHidden/>
                <w:sz w:val="24"/>
                <w:szCs w:val="24"/>
              </w:rPr>
              <w:fldChar w:fldCharType="end"/>
            </w:r>
          </w:hyperlink>
        </w:p>
        <w:p w14:paraId="388F0014" w14:textId="77777777" w:rsidR="00132A2C" w:rsidRPr="00563EC9" w:rsidRDefault="00B90B1F" w:rsidP="00132A2C">
          <w:pPr>
            <w:pStyle w:val="TOC2"/>
            <w:tabs>
              <w:tab w:val="right" w:leader="dot" w:pos="9350"/>
            </w:tabs>
            <w:spacing w:line="360" w:lineRule="auto"/>
            <w:rPr>
              <w:rFonts w:ascii="Times New Roman" w:hAnsi="Times New Roman" w:cs="Times New Roman"/>
              <w:noProof/>
              <w:sz w:val="24"/>
              <w:szCs w:val="24"/>
            </w:rPr>
          </w:pPr>
          <w:hyperlink w:anchor="_Toc15819814" w:history="1">
            <w:r w:rsidR="00132A2C" w:rsidRPr="00563EC9">
              <w:rPr>
                <w:rStyle w:val="Hyperlink"/>
                <w:rFonts w:cs="Times New Roman"/>
                <w:noProof/>
                <w:sz w:val="24"/>
                <w:szCs w:val="24"/>
              </w:rPr>
              <w:t>Internal Rate of Return (IRR) Analysis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_Toc15819814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16</w:t>
            </w:r>
            <w:r w:rsidR="00132A2C" w:rsidRPr="00563EC9">
              <w:rPr>
                <w:rFonts w:ascii="Times New Roman" w:hAnsi="Times New Roman" w:cs="Times New Roman"/>
                <w:noProof/>
                <w:webHidden/>
                <w:sz w:val="24"/>
                <w:szCs w:val="24"/>
              </w:rPr>
              <w:fldChar w:fldCharType="end"/>
            </w:r>
          </w:hyperlink>
        </w:p>
        <w:p w14:paraId="6102D55B" w14:textId="77777777" w:rsidR="00132A2C" w:rsidRPr="00563EC9" w:rsidRDefault="00B90B1F" w:rsidP="00132A2C">
          <w:pPr>
            <w:pStyle w:val="TOC1"/>
            <w:tabs>
              <w:tab w:val="right" w:leader="dot" w:pos="9350"/>
            </w:tabs>
            <w:spacing w:line="360" w:lineRule="auto"/>
            <w:rPr>
              <w:rFonts w:ascii="Times New Roman" w:hAnsi="Times New Roman" w:cs="Times New Roman"/>
              <w:noProof/>
              <w:sz w:val="24"/>
              <w:szCs w:val="24"/>
            </w:rPr>
          </w:pPr>
          <w:hyperlink w:anchor="_Toc15819815" w:history="1">
            <w:r w:rsidR="00132A2C" w:rsidRPr="00563EC9">
              <w:rPr>
                <w:rStyle w:val="Hyperlink"/>
                <w:rFonts w:cs="Times New Roman"/>
                <w:noProof/>
                <w:sz w:val="24"/>
                <w:szCs w:val="24"/>
              </w:rPr>
              <w:t>Task-5: Financing-Fund Rising</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_Toc15819815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18</w:t>
            </w:r>
            <w:r w:rsidR="00132A2C" w:rsidRPr="00563EC9">
              <w:rPr>
                <w:rFonts w:ascii="Times New Roman" w:hAnsi="Times New Roman" w:cs="Times New Roman"/>
                <w:noProof/>
                <w:webHidden/>
                <w:sz w:val="24"/>
                <w:szCs w:val="24"/>
              </w:rPr>
              <w:fldChar w:fldCharType="end"/>
            </w:r>
          </w:hyperlink>
        </w:p>
        <w:p w14:paraId="44BFF8F2" w14:textId="77777777" w:rsidR="00132A2C" w:rsidRPr="00563EC9" w:rsidRDefault="00B90B1F" w:rsidP="00132A2C">
          <w:pPr>
            <w:pStyle w:val="TOC1"/>
            <w:tabs>
              <w:tab w:val="right" w:leader="dot" w:pos="9350"/>
            </w:tabs>
            <w:spacing w:line="360" w:lineRule="auto"/>
            <w:rPr>
              <w:rFonts w:ascii="Times New Roman" w:hAnsi="Times New Roman" w:cs="Times New Roman"/>
              <w:noProof/>
              <w:sz w:val="24"/>
              <w:szCs w:val="24"/>
            </w:rPr>
          </w:pPr>
          <w:hyperlink w:anchor="_Toc15819816" w:history="1">
            <w:r w:rsidR="00132A2C" w:rsidRPr="00563EC9">
              <w:rPr>
                <w:rStyle w:val="Hyperlink"/>
                <w:rFonts w:cs="Times New Roman"/>
                <w:noProof/>
                <w:sz w:val="24"/>
                <w:szCs w:val="24"/>
              </w:rPr>
              <w:t>Task-6: Audit Plan</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_Toc15819816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19</w:t>
            </w:r>
            <w:r w:rsidR="00132A2C" w:rsidRPr="00563EC9">
              <w:rPr>
                <w:rFonts w:ascii="Times New Roman" w:hAnsi="Times New Roman" w:cs="Times New Roman"/>
                <w:noProof/>
                <w:webHidden/>
                <w:sz w:val="24"/>
                <w:szCs w:val="24"/>
              </w:rPr>
              <w:fldChar w:fldCharType="end"/>
            </w:r>
          </w:hyperlink>
        </w:p>
        <w:p w14:paraId="13BE438B" w14:textId="77777777" w:rsidR="00132A2C" w:rsidRPr="00563EC9" w:rsidRDefault="00B90B1F" w:rsidP="00132A2C">
          <w:pPr>
            <w:pStyle w:val="TOC1"/>
            <w:tabs>
              <w:tab w:val="right" w:leader="dot" w:pos="9350"/>
            </w:tabs>
            <w:spacing w:line="360" w:lineRule="auto"/>
            <w:rPr>
              <w:rFonts w:ascii="Times New Roman" w:hAnsi="Times New Roman" w:cs="Times New Roman"/>
              <w:noProof/>
              <w:sz w:val="24"/>
              <w:szCs w:val="24"/>
            </w:rPr>
          </w:pPr>
          <w:hyperlink w:anchor="_Toc15819817" w:history="1">
            <w:r w:rsidR="00132A2C" w:rsidRPr="00563EC9">
              <w:rPr>
                <w:rStyle w:val="Hyperlink"/>
                <w:rFonts w:cs="Times New Roman"/>
                <w:noProof/>
                <w:sz w:val="24"/>
                <w:szCs w:val="24"/>
              </w:rPr>
              <w:t>References</w:t>
            </w:r>
            <w:r w:rsidR="00132A2C" w:rsidRPr="00563EC9">
              <w:rPr>
                <w:rFonts w:ascii="Times New Roman" w:hAnsi="Times New Roman" w:cs="Times New Roman"/>
                <w:noProof/>
                <w:webHidden/>
                <w:sz w:val="24"/>
                <w:szCs w:val="24"/>
              </w:rPr>
              <w:tab/>
            </w:r>
            <w:r w:rsidR="00132A2C" w:rsidRPr="00563EC9">
              <w:rPr>
                <w:rFonts w:ascii="Times New Roman" w:hAnsi="Times New Roman" w:cs="Times New Roman"/>
                <w:noProof/>
                <w:webHidden/>
                <w:sz w:val="24"/>
                <w:szCs w:val="24"/>
              </w:rPr>
              <w:fldChar w:fldCharType="begin"/>
            </w:r>
            <w:r w:rsidR="00132A2C" w:rsidRPr="00563EC9">
              <w:rPr>
                <w:rFonts w:ascii="Times New Roman" w:hAnsi="Times New Roman" w:cs="Times New Roman"/>
                <w:noProof/>
                <w:webHidden/>
                <w:sz w:val="24"/>
                <w:szCs w:val="24"/>
              </w:rPr>
              <w:instrText xml:space="preserve"> PAGEREF _Toc15819817 \h </w:instrText>
            </w:r>
            <w:r w:rsidR="00132A2C" w:rsidRPr="00563EC9">
              <w:rPr>
                <w:rFonts w:ascii="Times New Roman" w:hAnsi="Times New Roman" w:cs="Times New Roman"/>
                <w:noProof/>
                <w:webHidden/>
                <w:sz w:val="24"/>
                <w:szCs w:val="24"/>
              </w:rPr>
            </w:r>
            <w:r w:rsidR="00132A2C" w:rsidRPr="00563EC9">
              <w:rPr>
                <w:rFonts w:ascii="Times New Roman" w:hAnsi="Times New Roman" w:cs="Times New Roman"/>
                <w:noProof/>
                <w:webHidden/>
                <w:sz w:val="24"/>
                <w:szCs w:val="24"/>
              </w:rPr>
              <w:fldChar w:fldCharType="separate"/>
            </w:r>
            <w:r w:rsidR="00132A2C" w:rsidRPr="00563EC9">
              <w:rPr>
                <w:rFonts w:ascii="Times New Roman" w:hAnsi="Times New Roman" w:cs="Times New Roman"/>
                <w:noProof/>
                <w:webHidden/>
                <w:sz w:val="24"/>
                <w:szCs w:val="24"/>
              </w:rPr>
              <w:t>20</w:t>
            </w:r>
            <w:r w:rsidR="00132A2C" w:rsidRPr="00563EC9">
              <w:rPr>
                <w:rFonts w:ascii="Times New Roman" w:hAnsi="Times New Roman" w:cs="Times New Roman"/>
                <w:noProof/>
                <w:webHidden/>
                <w:sz w:val="24"/>
                <w:szCs w:val="24"/>
              </w:rPr>
              <w:fldChar w:fldCharType="end"/>
            </w:r>
          </w:hyperlink>
        </w:p>
        <w:p w14:paraId="0531E6FE" w14:textId="77777777" w:rsidR="00132A2C" w:rsidRPr="00563EC9" w:rsidRDefault="00132A2C" w:rsidP="00132A2C">
          <w:pPr>
            <w:spacing w:line="360" w:lineRule="auto"/>
            <w:rPr>
              <w:rFonts w:ascii="Times New Roman" w:hAnsi="Times New Roman" w:cs="Times New Roman"/>
              <w:sz w:val="24"/>
              <w:szCs w:val="24"/>
            </w:rPr>
          </w:pPr>
          <w:r w:rsidRPr="00563EC9">
            <w:rPr>
              <w:rFonts w:ascii="Times New Roman" w:hAnsi="Times New Roman" w:cs="Times New Roman"/>
              <w:sz w:val="24"/>
              <w:szCs w:val="24"/>
            </w:rPr>
            <w:fldChar w:fldCharType="end"/>
          </w:r>
        </w:p>
      </w:sdtContent>
    </w:sdt>
    <w:p w14:paraId="66775A4A" w14:textId="77777777" w:rsidR="00132A2C" w:rsidRDefault="00132A2C" w:rsidP="00132A2C">
      <w:pPr>
        <w:rPr>
          <w:rFonts w:ascii="Times New Roman" w:eastAsiaTheme="majorEastAsia" w:hAnsi="Times New Roman" w:cstheme="majorBidi"/>
          <w:b/>
          <w:bCs/>
          <w:sz w:val="32"/>
          <w:szCs w:val="28"/>
        </w:rPr>
      </w:pPr>
      <w:r>
        <w:br w:type="page"/>
      </w:r>
    </w:p>
    <w:p w14:paraId="0BCFB5AF" w14:textId="77777777" w:rsidR="00132A2C" w:rsidRPr="000F53F3" w:rsidRDefault="00132A2C" w:rsidP="00132A2C">
      <w:pPr>
        <w:pStyle w:val="Heading1"/>
      </w:pPr>
      <w:bookmarkStart w:id="1" w:name="_Toc15819805"/>
      <w:r w:rsidRPr="000F53F3">
        <w:lastRenderedPageBreak/>
        <w:t>Task-1: Background Information about the Company</w:t>
      </w:r>
      <w:bookmarkEnd w:id="1"/>
    </w:p>
    <w:p w14:paraId="3A79A429"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Annual Reports are the end product for a company. It enlists the activities and important information which is highly significant for different users of the financial statement (</w:t>
      </w:r>
      <w:r w:rsidRPr="000F53F3">
        <w:rPr>
          <w:rFonts w:ascii="Times New Roman" w:hAnsi="Times New Roman" w:cs="Times New Roman"/>
          <w:color w:val="222222"/>
          <w:sz w:val="24"/>
          <w:szCs w:val="24"/>
          <w:shd w:val="clear" w:color="auto" w:fill="FFFFFF"/>
        </w:rPr>
        <w:t>Maylor, Blackmon and Huemann, 2016)</w:t>
      </w:r>
      <w:r w:rsidRPr="000F53F3">
        <w:rPr>
          <w:rFonts w:ascii="Times New Roman" w:hAnsi="Times New Roman" w:cs="Times New Roman"/>
          <w:sz w:val="24"/>
          <w:szCs w:val="24"/>
        </w:rPr>
        <w:t xml:space="preserve">. Mostly annual reports are used by the upper management and the potential shareholders in order to reach on a final verdict about the corporation. The aim of this assignment is about exploring the financial statement of Gemilang International by initiating a financial ratio analysis aspect. Gemilang International Limited is a company that designs and manufactures the bodies of the bus and assembles the buses accordingly. The company has more than 25 years of experience in the relevant field. Gemilang International is the largest Group covered in the field of bus body manufacturing in Malaysia and Singapore. They are in the field of making steel bus bodies. Currently, they are selling their buses in 10 different markets of the world. The first Initial Public Offering (IPO) of the company has been initiated in the year 2000. The major products of the company are buses. The company is financially stable; however the year 2018 was not one of the best years for the company in terms of their financial competitiveness. The structure of the company is strong with high market capitalization. The current market capitalization of Gemilang International is $ 389.6 Million which is high and effective. There are two main competitors as well which have been selected for the same analysis. The names of the competitors are Xinyi Automobiles and Johnson Electric Holdings which are making and presenting somewhat similar products to the company. </w:t>
      </w:r>
    </w:p>
    <w:p w14:paraId="679B8B77" w14:textId="77777777" w:rsidR="00132A2C" w:rsidRPr="000F53F3" w:rsidRDefault="00132A2C" w:rsidP="00132A2C">
      <w:pPr>
        <w:spacing w:line="360" w:lineRule="auto"/>
        <w:rPr>
          <w:rFonts w:ascii="Times New Roman" w:hAnsi="Times New Roman" w:cs="Times New Roman"/>
          <w:sz w:val="24"/>
          <w:szCs w:val="24"/>
        </w:rPr>
      </w:pPr>
    </w:p>
    <w:p w14:paraId="55423483"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br w:type="page"/>
      </w:r>
    </w:p>
    <w:p w14:paraId="67E56F16" w14:textId="77777777" w:rsidR="00132A2C" w:rsidRPr="000F53F3" w:rsidRDefault="00132A2C" w:rsidP="00132A2C">
      <w:pPr>
        <w:pStyle w:val="Heading1"/>
      </w:pPr>
      <w:bookmarkStart w:id="2" w:name="_Toc15819806"/>
      <w:r w:rsidRPr="000F53F3">
        <w:lastRenderedPageBreak/>
        <w:t>Task-2</w:t>
      </w:r>
      <w:r>
        <w:t xml:space="preserve">: </w:t>
      </w:r>
      <w:r w:rsidRPr="000F53F3">
        <w:t>Financial Analysis</w:t>
      </w:r>
      <w:bookmarkEnd w:id="2"/>
    </w:p>
    <w:p w14:paraId="67E3959A" w14:textId="77777777" w:rsidR="00132A2C" w:rsidRPr="000F53F3" w:rsidRDefault="00132A2C" w:rsidP="00132A2C">
      <w:pPr>
        <w:spacing w:line="360" w:lineRule="auto"/>
        <w:rPr>
          <w:rFonts w:ascii="Times New Roman" w:hAnsi="Times New Roman" w:cs="Times New Roman"/>
          <w:b/>
          <w:sz w:val="24"/>
          <w:szCs w:val="24"/>
        </w:rPr>
      </w:pPr>
      <w:r w:rsidRPr="000F53F3">
        <w:rPr>
          <w:rFonts w:ascii="Times New Roman" w:hAnsi="Times New Roman" w:cs="Times New Roman"/>
          <w:sz w:val="24"/>
          <w:szCs w:val="24"/>
        </w:rPr>
        <w:tab/>
        <w:t>Financial Analysis is an important and valuable tool that uses by the investors and other managerial officials to assess the financial performance and position of an organization. Based on the calculated financial performance and positioning they take valuable economic decisions. This part of the assignment is divided into our main sections (</w:t>
      </w:r>
      <w:r w:rsidRPr="000F53F3">
        <w:rPr>
          <w:rFonts w:ascii="Times New Roman" w:hAnsi="Times New Roman" w:cs="Times New Roman"/>
          <w:color w:val="222222"/>
          <w:sz w:val="24"/>
          <w:szCs w:val="24"/>
          <w:shd w:val="clear" w:color="auto" w:fill="FFFFFF"/>
        </w:rPr>
        <w:t>Kaplan and Atkinson, 2015)</w:t>
      </w:r>
      <w:r w:rsidRPr="000F53F3">
        <w:rPr>
          <w:rFonts w:ascii="Times New Roman" w:hAnsi="Times New Roman" w:cs="Times New Roman"/>
          <w:sz w:val="24"/>
          <w:szCs w:val="24"/>
        </w:rPr>
        <w:t xml:space="preserve">. The first section is about the trend analysis that followed by Horizontal and Vertical analysis. Finally, the section will be summing up with the financial ratio analysis. </w:t>
      </w:r>
    </w:p>
    <w:p w14:paraId="20EF2364" w14:textId="77777777" w:rsidR="00132A2C" w:rsidRPr="000F53F3" w:rsidRDefault="00132A2C" w:rsidP="00132A2C">
      <w:pPr>
        <w:pStyle w:val="Heading2"/>
      </w:pPr>
      <w:bookmarkStart w:id="3" w:name="_Toc15819807"/>
      <w:r w:rsidRPr="000F53F3">
        <w:t>Trend Analysis</w:t>
      </w:r>
      <w:bookmarkEnd w:id="3"/>
    </w:p>
    <w:p w14:paraId="112D8321"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Trend analysis is an important part of the ratio analysis. It is the analytical tool that analyzes the trend of the revenue, net income and other important provisions associated with the financial statement of the company (</w:t>
      </w:r>
      <w:r w:rsidRPr="000F53F3">
        <w:rPr>
          <w:rFonts w:ascii="Times New Roman" w:hAnsi="Times New Roman" w:cs="Times New Roman"/>
          <w:color w:val="222222"/>
          <w:sz w:val="24"/>
          <w:szCs w:val="24"/>
          <w:shd w:val="clear" w:color="auto" w:fill="FFFFFF"/>
        </w:rPr>
        <w:t>Kaplan, 2017)</w:t>
      </w:r>
      <w:r w:rsidRPr="000F53F3">
        <w:rPr>
          <w:rFonts w:ascii="Times New Roman" w:hAnsi="Times New Roman" w:cs="Times New Roman"/>
          <w:sz w:val="24"/>
          <w:szCs w:val="24"/>
        </w:rPr>
        <w:t>. There are two main factors which have been considered for this part. These factors are revenue and net income. The trend of the revenue and net income of the companies have been analyzed on the basis of different years (</w:t>
      </w:r>
      <w:r w:rsidRPr="000F53F3">
        <w:rPr>
          <w:rFonts w:ascii="Times New Roman" w:hAnsi="Times New Roman" w:cs="Times New Roman"/>
          <w:color w:val="222222"/>
          <w:sz w:val="24"/>
          <w:szCs w:val="24"/>
          <w:shd w:val="clear" w:color="auto" w:fill="FFFFFF"/>
        </w:rPr>
        <w:t>Dyllick and Muff, 2016)</w:t>
      </w:r>
      <w:r w:rsidRPr="000F53F3">
        <w:rPr>
          <w:rFonts w:ascii="Times New Roman" w:hAnsi="Times New Roman" w:cs="Times New Roman"/>
          <w:sz w:val="24"/>
          <w:szCs w:val="24"/>
        </w:rPr>
        <w:t>. The trend relating to revenue and net income of the companies is as follows</w:t>
      </w:r>
    </w:p>
    <w:p w14:paraId="1A0C4DA0"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drawing>
          <wp:inline distT="0" distB="0" distL="0" distR="0" wp14:anchorId="0ACF7EC3" wp14:editId="553EC3FF">
            <wp:extent cx="5943600" cy="25781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50AB549"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lastRenderedPageBreak/>
        <w:drawing>
          <wp:inline distT="0" distB="0" distL="0" distR="0" wp14:anchorId="63F20093" wp14:editId="560CF9AB">
            <wp:extent cx="6012099" cy="2743200"/>
            <wp:effectExtent l="19050" t="0" r="26751"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D99A44"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Firstly, the trend about the revenue recognition has been selected. From the revenue based graph, it is found that the revenue of all the selected companies increased positively with each of the passing year. Gemilang International Limited managed to generate revenue of U$ 48.69 Million in the fiscal year 2016. The trend of the revenue has shown an upward trend in the upcoming two years as well. The revenue of Gemilang International Limited increased for two consecutive years. The revenue of Gemilang International Limited increased by 3.42% and 13.38% for years (FYs) 2017 and 2018 respectively. It is showing that the revenue recognition aspect of the company increased with each of the passing year. It is a positive point from the viewpoint of the entity. The mean revenue growth in the couple of years is 8.40%, which is quite efficient and valuable. It is showing that the revenue of the entity increased with a specific percentage. Xinyi Automobile Glass is the second company that has been embarked in the same section. The ride and increment in the revenue proportion of the company is more or like the same as Gemilang Limited. In the year 2016, the revenue of Xinyi Automobile Glass was US$ 7.72 Million that moved to US$ 16.26 Million and US$ 25.13 Million FYs 2017 and 2018 respectively. On average, the revenue of Xinyi Automobile Glass increased by 82.62% in the selective the period of 2 years. Last, but not the least there is a company named Johnson Electric Holdings. The company generated net revenue of US$ 2,235.94 Million in the fiscal year 2016. Fortunate for them as well that their revenue also increased likewise other two companies. Their revenue increased by 24.16% and 16.59% for years 2017 and 2018 respectively. In short, t can be said that the trend of the revenue of the companies were upward and increasing.</w:t>
      </w:r>
    </w:p>
    <w:p w14:paraId="4500205C"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lastRenderedPageBreak/>
        <w:tab/>
        <w:t>Moving on to the 2</w:t>
      </w:r>
      <w:r w:rsidRPr="000F53F3">
        <w:rPr>
          <w:rFonts w:ascii="Times New Roman" w:hAnsi="Times New Roman" w:cs="Times New Roman"/>
          <w:sz w:val="24"/>
          <w:szCs w:val="24"/>
          <w:vertAlign w:val="superscript"/>
        </w:rPr>
        <w:t>nd</w:t>
      </w:r>
      <w:r w:rsidRPr="000F53F3">
        <w:rPr>
          <w:rFonts w:ascii="Times New Roman" w:hAnsi="Times New Roman" w:cs="Times New Roman"/>
          <w:sz w:val="24"/>
          <w:szCs w:val="24"/>
        </w:rPr>
        <w:t xml:space="preserve"> trend of the report, this is about the net income. From the income based graph, it is found that the net income has a mixed behavior in each of selected organizations. Gemilang International Limited managed to generate net income of U$ 2.116 Million in the fiscal year 2016. The trend of the revenue has shown a downward trend in the upcoming two years as well. The net income of the entity decreased for two consecutive years. The net income of Gemilang International Limited decreased by 44% and 222% for years (FYs) 2017 and 2018 respectively. It is showing that the net income provision of the company decreased with each of the passing year, which is not an attractive situation for the potential investors of the entity. Xinyi Automobile Glass is the second company that has been analyzed here. Unlikely, Gemilang International Limited, the net income of Xinyi Automobile Glass increased proficiently in the upcoming two years. The net income generated by the corporation in the fiscal period of 2016 was US$ 0.0092 Million that increased by 14.79% and 529.77% respective for the years 2017 and 2018 respectively. On average, the net income of Xinyi Automobile Glass increased by more than 100% in the selective the period of 2 years, which is showing an effective management of the revenue and finding new avenues for the income generation. Lastly, Johnson Electric Holdings Company has been analyzed here. The company generated net income of US$ 182.74 Million in the fiscal year 2016. Likewise, Xinyi Automobile, the net income of the company increased also in the upcoming years by 12.53% and 23.44% respectively. In short, it can be said that the trend of net income was upward for Xinyi Automobile and Johnson Electric, but it had a downward trend in the case of Gemilang International Limited. </w:t>
      </w:r>
    </w:p>
    <w:p w14:paraId="30E6345A" w14:textId="77777777" w:rsidR="00132A2C" w:rsidRPr="000F53F3" w:rsidRDefault="00132A2C" w:rsidP="00132A2C">
      <w:pPr>
        <w:pStyle w:val="Heading2"/>
      </w:pPr>
      <w:bookmarkStart w:id="4" w:name="_Toc15819808"/>
      <w:r w:rsidRPr="000F53F3">
        <w:t>Horizontal Analysis</w:t>
      </w:r>
      <w:bookmarkEnd w:id="4"/>
    </w:p>
    <w:p w14:paraId="0A732CC0"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Horizontal analysis is another important part of the financial analysis that analyzes the financial performance and positioning of the company. This tool analyzes the element of the income statement and balance sheet in connection with the years (</w:t>
      </w:r>
      <w:r w:rsidRPr="000F53F3">
        <w:rPr>
          <w:rFonts w:ascii="Times New Roman" w:hAnsi="Times New Roman" w:cs="Times New Roman"/>
          <w:color w:val="222222"/>
          <w:sz w:val="24"/>
          <w:szCs w:val="24"/>
          <w:shd w:val="clear" w:color="auto" w:fill="FFFFFF"/>
        </w:rPr>
        <w:t>Moutinho and Vargas-Sanchez, 2018)</w:t>
      </w:r>
      <w:r w:rsidRPr="000F53F3">
        <w:rPr>
          <w:rFonts w:ascii="Times New Roman" w:hAnsi="Times New Roman" w:cs="Times New Roman"/>
          <w:sz w:val="24"/>
          <w:szCs w:val="24"/>
        </w:rPr>
        <w:t xml:space="preserve">. Gemilang worked extremely well to increase its revenue with each of the passing year. It is indeed a positive aspect from the viewpoint of the company, as the higher the revenue, the valuable would be outcome in the long run. The Gross Profit of the company increased in the year 2017 to reach on a level of US$ 12.932 Million that was on a position of US$ 12.628 Million a year earlier. However, the gross profit of the company decreased in the year 2018 and locked as US$ 12.132 Million compared to US$ 12.932 Million of Gross Profit. The main reason behind the decreasing gross profit was the increased cost of sales of the company in the same financial year. Apart from gross and net profit, the net assets </w:t>
      </w:r>
      <w:r w:rsidRPr="000F53F3">
        <w:rPr>
          <w:rFonts w:ascii="Times New Roman" w:hAnsi="Times New Roman" w:cs="Times New Roman"/>
          <w:sz w:val="24"/>
          <w:szCs w:val="24"/>
        </w:rPr>
        <w:lastRenderedPageBreak/>
        <w:t xml:space="preserve">provision of Gemilang Limited decreased in the fiscal year 2018 compared to 2017. In the year 2017, the amount of the net assets was US$ 19.165 Million that moved to US$ 17.088 Million a year later. When compared the horizontal analysis with their competitors, then it is found that the position of its competitors were more convincing in the years 2017 and 2018. The gross profit of Xinyi Automobile increased consecutively for three years without having any break like Gemilang. Total Assets of Xinyi Automobiles also increased positively in the selected financial years. Similar aspects have been found in Johnson Holdings Company in which their gross profit has been increasing with positivity, and has a great chance to attract many of the investors. </w:t>
      </w:r>
    </w:p>
    <w:p w14:paraId="7F88833C" w14:textId="77777777" w:rsidR="00132A2C" w:rsidRPr="000F53F3" w:rsidRDefault="00132A2C" w:rsidP="00132A2C">
      <w:pPr>
        <w:pStyle w:val="Heading2"/>
      </w:pPr>
      <w:bookmarkStart w:id="5" w:name="_Toc15819809"/>
      <w:r w:rsidRPr="000F53F3">
        <w:t>Vertical Analysis</w:t>
      </w:r>
      <w:bookmarkEnd w:id="5"/>
    </w:p>
    <w:p w14:paraId="331F8B8F"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Apart from the horizontal analysis, there is a vertical analysis as well that goes well with financial and investment analysis. Vertical Analysis is a tool in which the connection of different elements of income statement has been analyzed with the revenue of the company (</w:t>
      </w:r>
      <w:r w:rsidRPr="000F53F3">
        <w:rPr>
          <w:rFonts w:ascii="Times New Roman" w:hAnsi="Times New Roman" w:cs="Times New Roman"/>
          <w:color w:val="222222"/>
          <w:sz w:val="24"/>
          <w:szCs w:val="24"/>
          <w:shd w:val="clear" w:color="auto" w:fill="FFFFFF"/>
        </w:rPr>
        <w:t>Linnenluecke, 2017)</w:t>
      </w:r>
      <w:r w:rsidRPr="000F53F3">
        <w:rPr>
          <w:rFonts w:ascii="Times New Roman" w:hAnsi="Times New Roman" w:cs="Times New Roman"/>
          <w:sz w:val="24"/>
          <w:szCs w:val="24"/>
        </w:rPr>
        <w:t xml:space="preserve">. From the vertical analysis, it is clearly found that the cost to sales ratio of Gemilang International Limited is effective, as it remains in a reasonable jurisdiction throughout the selective financial years. In the year 2016, the cost to sales ratio of the entity was 74.06% in the year 2016. It remained somewhat similar in the other two financial years. The cost to sales ratio of Gemilang International Company remained 74% and 79% respectively for the years 2017 and 2018. It means that the gross profit of the company remained in a reasonable position. The direct cost and gross profit connection of other two companies (Xinyi Automobile and Johnson Holding Company) are showing somewhat similar stories like Gemilang International Limited. The current assets of Gemilang have the highest proportion with the total assets of the entity, which is again a positive outcome from their standpoint as far as attracting the potential investors are concerned. </w:t>
      </w:r>
    </w:p>
    <w:p w14:paraId="5C39C30A" w14:textId="77777777" w:rsidR="00132A2C" w:rsidRPr="000F53F3" w:rsidRDefault="00132A2C" w:rsidP="00132A2C">
      <w:pPr>
        <w:pStyle w:val="Heading2"/>
      </w:pPr>
      <w:bookmarkStart w:id="6" w:name="_Toc15819810"/>
      <w:r w:rsidRPr="000F53F3">
        <w:t>Financial Ratio Analysis</w:t>
      </w:r>
      <w:bookmarkEnd w:id="6"/>
    </w:p>
    <w:p w14:paraId="2EFC4B86"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Financial Ratio is an important tool that uses to assess the financial performance and positioning of an entity. This part is specifically dedicated to the financial ratio analysis in which different ratios have been considered for the analysis (</w:t>
      </w:r>
      <w:r w:rsidRPr="000F53F3">
        <w:rPr>
          <w:rFonts w:ascii="Times New Roman" w:hAnsi="Times New Roman" w:cs="Times New Roman"/>
          <w:color w:val="222222"/>
          <w:sz w:val="24"/>
          <w:szCs w:val="24"/>
          <w:shd w:val="clear" w:color="auto" w:fill="FFFFFF"/>
        </w:rPr>
        <w:t>Mien and Thao, 2015)</w:t>
      </w:r>
      <w:r w:rsidRPr="000F53F3">
        <w:rPr>
          <w:rFonts w:ascii="Times New Roman" w:hAnsi="Times New Roman" w:cs="Times New Roman"/>
          <w:sz w:val="24"/>
          <w:szCs w:val="24"/>
        </w:rPr>
        <w:t xml:space="preserve">. </w:t>
      </w:r>
    </w:p>
    <w:p w14:paraId="1FEA14F2" w14:textId="77777777" w:rsidR="00132A2C" w:rsidRDefault="00132A2C" w:rsidP="00132A2C">
      <w:pPr>
        <w:spacing w:line="360" w:lineRule="auto"/>
        <w:rPr>
          <w:rFonts w:ascii="Times New Roman" w:hAnsi="Times New Roman" w:cs="Times New Roman"/>
          <w:b/>
          <w:i/>
          <w:sz w:val="24"/>
          <w:szCs w:val="24"/>
        </w:rPr>
      </w:pPr>
    </w:p>
    <w:p w14:paraId="72324368" w14:textId="77777777" w:rsidR="00132A2C" w:rsidRPr="000F53F3" w:rsidRDefault="00132A2C" w:rsidP="00132A2C">
      <w:pPr>
        <w:spacing w:line="360" w:lineRule="auto"/>
        <w:rPr>
          <w:rFonts w:ascii="Times New Roman" w:hAnsi="Times New Roman" w:cs="Times New Roman"/>
          <w:b/>
          <w:i/>
          <w:sz w:val="24"/>
          <w:szCs w:val="24"/>
        </w:rPr>
      </w:pPr>
      <w:r w:rsidRPr="000F53F3">
        <w:rPr>
          <w:rFonts w:ascii="Times New Roman" w:hAnsi="Times New Roman" w:cs="Times New Roman"/>
          <w:b/>
          <w:i/>
          <w:sz w:val="24"/>
          <w:szCs w:val="24"/>
        </w:rPr>
        <w:t>Profitability</w:t>
      </w:r>
    </w:p>
    <w:p w14:paraId="0D50CF2A"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i/>
          <w:sz w:val="24"/>
          <w:szCs w:val="24"/>
        </w:rPr>
        <w:tab/>
      </w:r>
      <w:r w:rsidRPr="000F53F3">
        <w:rPr>
          <w:rFonts w:ascii="Times New Roman" w:hAnsi="Times New Roman" w:cs="Times New Roman"/>
          <w:sz w:val="24"/>
          <w:szCs w:val="24"/>
        </w:rPr>
        <w:t xml:space="preserve">Profitability is the most significant element from the viewpoint of an entity. The ratio that strides under the same umbrella is Net Profit Margin (NPM). It is a ratio that analyzes the </w:t>
      </w:r>
      <w:r w:rsidRPr="000F53F3">
        <w:rPr>
          <w:rFonts w:ascii="Times New Roman" w:hAnsi="Times New Roman" w:cs="Times New Roman"/>
          <w:sz w:val="24"/>
          <w:szCs w:val="24"/>
        </w:rPr>
        <w:lastRenderedPageBreak/>
        <w:t>ability of a company in generating net income from its turnover (</w:t>
      </w:r>
      <w:r w:rsidRPr="000F53F3">
        <w:rPr>
          <w:rFonts w:ascii="Times New Roman" w:hAnsi="Times New Roman" w:cs="Times New Roman"/>
          <w:color w:val="222222"/>
          <w:sz w:val="24"/>
          <w:szCs w:val="24"/>
          <w:shd w:val="clear" w:color="auto" w:fill="FFFFFF"/>
        </w:rPr>
        <w:t>Jenkins and Williamson, 2015)</w:t>
      </w:r>
      <w:r w:rsidRPr="000F53F3">
        <w:rPr>
          <w:rFonts w:ascii="Times New Roman" w:hAnsi="Times New Roman" w:cs="Times New Roman"/>
          <w:sz w:val="24"/>
          <w:szCs w:val="24"/>
        </w:rPr>
        <w:t>. The NPM of Gemilang International and its selected competitors are as follows</w:t>
      </w:r>
    </w:p>
    <w:p w14:paraId="702844C3" w14:textId="77777777" w:rsidR="00132A2C" w:rsidRPr="000F53F3" w:rsidRDefault="00132A2C" w:rsidP="00132A2C">
      <w:pPr>
        <w:spacing w:line="360" w:lineRule="auto"/>
        <w:rPr>
          <w:rFonts w:ascii="Times New Roman" w:hAnsi="Times New Roman" w:cs="Times New Roman"/>
          <w:b/>
          <w:i/>
          <w:sz w:val="24"/>
          <w:szCs w:val="24"/>
        </w:rPr>
      </w:pPr>
      <w:r w:rsidRPr="000F53F3">
        <w:rPr>
          <w:rFonts w:ascii="Times New Roman" w:hAnsi="Times New Roman" w:cs="Times New Roman"/>
          <w:b/>
          <w:i/>
          <w:noProof/>
          <w:sz w:val="24"/>
          <w:szCs w:val="24"/>
        </w:rPr>
        <w:drawing>
          <wp:inline distT="0" distB="0" distL="0" distR="0" wp14:anchorId="4AD2EF09" wp14:editId="192904EA">
            <wp:extent cx="5856456" cy="2743200"/>
            <wp:effectExtent l="19050" t="0" r="10944"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3E2EA1E"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i/>
          <w:sz w:val="24"/>
          <w:szCs w:val="24"/>
        </w:rPr>
        <w:tab/>
      </w:r>
      <w:r w:rsidRPr="000F53F3">
        <w:rPr>
          <w:rFonts w:ascii="Times New Roman" w:hAnsi="Times New Roman" w:cs="Times New Roman"/>
          <w:sz w:val="24"/>
          <w:szCs w:val="24"/>
        </w:rPr>
        <w:t xml:space="preserve">From the comparative analysis via NPM, it is clearly found that the capability of generating net income through sales is better than other companies. The NPM of the primary company (Gemilang International Limited) went in the negative node in the fiscal year 2018. The average NPM of Gemilang International Limited in these three years of period is 1.39% which is quite low. It is manifesting that the company is able to generate only $ 1.39 of net income from its revenue amounted to $100. On the other hand, Xinyi Automobile is able to generate $14.43 of net income from the sales of 100 bucks. Finally, a sort of consistence is found in Johnson Electric because of the NPM of the company remained stagnant in all the three years. The average NPM of the company is 8.52%. Hence, the performance of Xinyi Automobiles in terms of generate profit is comparatively effective and better than Gemilang International and Johnson Electric Holdings. </w:t>
      </w:r>
    </w:p>
    <w:p w14:paraId="433C75B6" w14:textId="77777777" w:rsidR="00132A2C" w:rsidRDefault="00132A2C" w:rsidP="00132A2C">
      <w:pPr>
        <w:spacing w:line="360" w:lineRule="auto"/>
        <w:rPr>
          <w:rFonts w:ascii="Times New Roman" w:hAnsi="Times New Roman" w:cs="Times New Roman"/>
          <w:b/>
          <w:i/>
          <w:sz w:val="24"/>
          <w:szCs w:val="24"/>
        </w:rPr>
      </w:pPr>
    </w:p>
    <w:p w14:paraId="017CA7C7" w14:textId="77777777" w:rsidR="00132A2C" w:rsidRDefault="00132A2C" w:rsidP="00132A2C">
      <w:pPr>
        <w:spacing w:line="360" w:lineRule="auto"/>
        <w:rPr>
          <w:rFonts w:ascii="Times New Roman" w:hAnsi="Times New Roman" w:cs="Times New Roman"/>
          <w:b/>
          <w:i/>
          <w:sz w:val="24"/>
          <w:szCs w:val="24"/>
        </w:rPr>
      </w:pPr>
    </w:p>
    <w:p w14:paraId="263D3CE9" w14:textId="77777777" w:rsidR="00132A2C" w:rsidRPr="000F53F3" w:rsidRDefault="00132A2C" w:rsidP="00132A2C">
      <w:pPr>
        <w:spacing w:line="360" w:lineRule="auto"/>
        <w:rPr>
          <w:rFonts w:ascii="Times New Roman" w:hAnsi="Times New Roman" w:cs="Times New Roman"/>
          <w:b/>
          <w:i/>
          <w:sz w:val="24"/>
          <w:szCs w:val="24"/>
        </w:rPr>
      </w:pPr>
      <w:r w:rsidRPr="000F53F3">
        <w:rPr>
          <w:rFonts w:ascii="Times New Roman" w:hAnsi="Times New Roman" w:cs="Times New Roman"/>
          <w:b/>
          <w:i/>
          <w:sz w:val="24"/>
          <w:szCs w:val="24"/>
        </w:rPr>
        <w:t>Liquidity and Efficiency</w:t>
      </w:r>
    </w:p>
    <w:p w14:paraId="1656724B"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In Finance, anything that trends to change into hard cash, particularly the current assets is known as Liquidity. High liquid companies are more valuable and efficient from the stance of the investors. The ratio that could be worthwhile in the same context is Current Ratio (</w:t>
      </w:r>
      <w:r w:rsidRPr="000F53F3">
        <w:rPr>
          <w:rFonts w:ascii="Times New Roman" w:hAnsi="Times New Roman" w:cs="Times New Roman"/>
          <w:color w:val="222222"/>
          <w:sz w:val="24"/>
          <w:szCs w:val="24"/>
          <w:shd w:val="clear" w:color="auto" w:fill="FFFFFF"/>
        </w:rPr>
        <w:t>Rosemann and vom Brocke, 2015)</w:t>
      </w:r>
      <w:r w:rsidRPr="000F53F3">
        <w:rPr>
          <w:rFonts w:ascii="Times New Roman" w:hAnsi="Times New Roman" w:cs="Times New Roman"/>
          <w:sz w:val="24"/>
          <w:szCs w:val="24"/>
        </w:rPr>
        <w:t xml:space="preserve">. It is a ratio that assesses the ability of an entity in </w:t>
      </w:r>
      <w:r w:rsidRPr="000F53F3">
        <w:rPr>
          <w:rFonts w:ascii="Times New Roman" w:hAnsi="Times New Roman" w:cs="Times New Roman"/>
          <w:sz w:val="24"/>
          <w:szCs w:val="24"/>
        </w:rPr>
        <w:lastRenderedPageBreak/>
        <w:t>meeting with its short term financial obligations. The computed current ratios of the companies are as follows</w:t>
      </w:r>
    </w:p>
    <w:p w14:paraId="0D6B5658"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drawing>
          <wp:inline distT="0" distB="0" distL="0" distR="0" wp14:anchorId="55AE33E9" wp14:editId="170A669C">
            <wp:extent cx="6158014" cy="2743200"/>
            <wp:effectExtent l="19050" t="0" r="14186"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9DC1471"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Based on the above-mentioned chart, it is found that each of these companies is in the suitable range of liquidity. For Gemilang International Limited, the CR remained in a higher node, which is higher than 1:1, which means that the amount of current assets is comparatively higher than current liabilities. It is showing that the company is effective as far as meeting with its short term financial promises. The mean Current Ratio of Gemilang International is 1:22, which means that the company is efficient as far as meeting with its short term financial promises is concerned. Comparing the current ratio of Gemilang International with Xinyi Automobile and Johnson Electric Holdings, it can be said that both of these companies are more liquid than Gemilang International. The average CR of both of these companies is way higher than 1:1 which is enough to attract more customers.</w:t>
      </w:r>
    </w:p>
    <w:p w14:paraId="3B092A86" w14:textId="77777777" w:rsidR="00132A2C" w:rsidRDefault="00132A2C" w:rsidP="00132A2C">
      <w:pPr>
        <w:spacing w:line="360" w:lineRule="auto"/>
        <w:rPr>
          <w:rFonts w:ascii="Times New Roman" w:hAnsi="Times New Roman" w:cs="Times New Roman"/>
          <w:b/>
          <w:i/>
          <w:sz w:val="24"/>
          <w:szCs w:val="24"/>
        </w:rPr>
      </w:pPr>
    </w:p>
    <w:p w14:paraId="69B13563" w14:textId="77777777" w:rsidR="00132A2C" w:rsidRDefault="00132A2C" w:rsidP="00132A2C">
      <w:pPr>
        <w:spacing w:line="360" w:lineRule="auto"/>
        <w:rPr>
          <w:rFonts w:ascii="Times New Roman" w:hAnsi="Times New Roman" w:cs="Times New Roman"/>
          <w:b/>
          <w:i/>
          <w:sz w:val="24"/>
          <w:szCs w:val="24"/>
        </w:rPr>
      </w:pPr>
    </w:p>
    <w:p w14:paraId="4E5A0795" w14:textId="77777777" w:rsidR="00132A2C" w:rsidRPr="000F53F3" w:rsidRDefault="00132A2C" w:rsidP="00132A2C">
      <w:pPr>
        <w:spacing w:line="360" w:lineRule="auto"/>
        <w:rPr>
          <w:rFonts w:ascii="Times New Roman" w:hAnsi="Times New Roman" w:cs="Times New Roman"/>
          <w:b/>
          <w:i/>
          <w:sz w:val="24"/>
          <w:szCs w:val="24"/>
        </w:rPr>
      </w:pPr>
      <w:r w:rsidRPr="000F53F3">
        <w:rPr>
          <w:rFonts w:ascii="Times New Roman" w:hAnsi="Times New Roman" w:cs="Times New Roman"/>
          <w:b/>
          <w:i/>
          <w:sz w:val="24"/>
          <w:szCs w:val="24"/>
        </w:rPr>
        <w:t>Solvency</w:t>
      </w:r>
    </w:p>
    <w:p w14:paraId="6EE1B931"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Likewise, liquidity, there is another important ratio In Finance that analyzes the ability of an entity to analyze its long run financial obligations in particular. High solvent companies are more valuable, productive and efficient from the stance of the investors (</w:t>
      </w:r>
      <w:r w:rsidRPr="000F53F3">
        <w:rPr>
          <w:rFonts w:ascii="Times New Roman" w:hAnsi="Times New Roman" w:cs="Times New Roman"/>
          <w:color w:val="222222"/>
          <w:sz w:val="24"/>
          <w:szCs w:val="24"/>
          <w:shd w:val="clear" w:color="auto" w:fill="FFFFFF"/>
        </w:rPr>
        <w:t>Gelsomino et al., 2016)</w:t>
      </w:r>
      <w:r w:rsidRPr="000F53F3">
        <w:rPr>
          <w:rFonts w:ascii="Times New Roman" w:hAnsi="Times New Roman" w:cs="Times New Roman"/>
          <w:sz w:val="24"/>
          <w:szCs w:val="24"/>
        </w:rPr>
        <w:t xml:space="preserve">. The ratio that can be used here is Debt to Equity (D/E). It is a ratio that assesses the ability of an entity in idealizing its capital structure. It is basically the </w:t>
      </w:r>
      <w:r w:rsidRPr="000F53F3">
        <w:rPr>
          <w:rFonts w:ascii="Times New Roman" w:hAnsi="Times New Roman" w:cs="Times New Roman"/>
          <w:sz w:val="24"/>
          <w:szCs w:val="24"/>
        </w:rPr>
        <w:lastRenderedPageBreak/>
        <w:t>combination of debt and equity of a company. The computed D/E of the companies is as follows</w:t>
      </w:r>
    </w:p>
    <w:p w14:paraId="648A7360"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 xml:space="preserve">                       </w:t>
      </w:r>
      <w:r w:rsidRPr="000F53F3">
        <w:rPr>
          <w:rFonts w:ascii="Times New Roman" w:hAnsi="Times New Roman" w:cs="Times New Roman"/>
          <w:noProof/>
          <w:sz w:val="24"/>
          <w:szCs w:val="24"/>
        </w:rPr>
        <w:drawing>
          <wp:inline distT="0" distB="0" distL="0" distR="0" wp14:anchorId="050F36E8" wp14:editId="33BA19A8">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791D57"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Based on the above-mentioned chart, it is found that each of these companies is in the suitable range of solvency (</w:t>
      </w:r>
      <w:r w:rsidRPr="000F53F3">
        <w:rPr>
          <w:rFonts w:ascii="Times New Roman" w:hAnsi="Times New Roman" w:cs="Times New Roman"/>
          <w:color w:val="222222"/>
          <w:sz w:val="24"/>
          <w:szCs w:val="24"/>
          <w:shd w:val="clear" w:color="auto" w:fill="FFFFFF"/>
        </w:rPr>
        <w:t>Zietlow, Hankin, Seidner and O'Brien, 2018)</w:t>
      </w:r>
      <w:r w:rsidRPr="000F53F3">
        <w:rPr>
          <w:rFonts w:ascii="Times New Roman" w:hAnsi="Times New Roman" w:cs="Times New Roman"/>
          <w:sz w:val="24"/>
          <w:szCs w:val="24"/>
        </w:rPr>
        <w:t>. For Gemilang International Limited, the D/E remained in a reasonable range that shows the intensity of debt is not higher. It is showing that the company is effective as far as meeting with its long term financial promises as well. The mean D/E of Gemilang International is 1:02, which means that the debt to equity ratio is 51:49 which is absolutely fine in the current economic times. Comparing the D/E of Gemilang International with Xinyi Automobile and Johnson Electric Holdings, it can be said that both of these companies are more solvent than Gemilang International. The averages D/E of both of these companies are 0.36 and 0.32, showing more intensity of equity than debt.</w:t>
      </w:r>
    </w:p>
    <w:p w14:paraId="776768EB" w14:textId="77777777" w:rsidR="00132A2C" w:rsidRDefault="00132A2C" w:rsidP="00132A2C">
      <w:pPr>
        <w:spacing w:line="360" w:lineRule="auto"/>
        <w:rPr>
          <w:rFonts w:ascii="Times New Roman" w:hAnsi="Times New Roman" w:cs="Times New Roman"/>
          <w:b/>
          <w:i/>
          <w:sz w:val="24"/>
          <w:szCs w:val="24"/>
        </w:rPr>
      </w:pPr>
    </w:p>
    <w:p w14:paraId="5531092A" w14:textId="77777777" w:rsidR="00132A2C" w:rsidRPr="000F53F3" w:rsidRDefault="00132A2C" w:rsidP="00132A2C">
      <w:pPr>
        <w:spacing w:line="360" w:lineRule="auto"/>
        <w:rPr>
          <w:rFonts w:ascii="Times New Roman" w:hAnsi="Times New Roman" w:cs="Times New Roman"/>
          <w:b/>
          <w:i/>
          <w:sz w:val="24"/>
          <w:szCs w:val="24"/>
        </w:rPr>
      </w:pPr>
      <w:r w:rsidRPr="000F53F3">
        <w:rPr>
          <w:rFonts w:ascii="Times New Roman" w:hAnsi="Times New Roman" w:cs="Times New Roman"/>
          <w:b/>
          <w:i/>
          <w:sz w:val="24"/>
          <w:szCs w:val="24"/>
        </w:rPr>
        <w:t>Stock Market Prospects</w:t>
      </w:r>
    </w:p>
    <w:p w14:paraId="55396B98"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Stock Market is a place in which public listed companies (PLCs) float their shares to gain extra amount of financing. It is an important element from the viewpoint of a company. The ratio that can be used here is Earnings per Share (EPS) (</w:t>
      </w:r>
      <w:r w:rsidRPr="000F53F3">
        <w:rPr>
          <w:rFonts w:ascii="Times New Roman" w:hAnsi="Times New Roman" w:cs="Times New Roman"/>
          <w:color w:val="222222"/>
          <w:sz w:val="24"/>
          <w:szCs w:val="24"/>
          <w:shd w:val="clear" w:color="auto" w:fill="FFFFFF"/>
        </w:rPr>
        <w:t>Zietlow, Hankin, Seidner and O'Brien, 2018)</w:t>
      </w:r>
      <w:r w:rsidRPr="000F53F3">
        <w:rPr>
          <w:rFonts w:ascii="Times New Roman" w:hAnsi="Times New Roman" w:cs="Times New Roman"/>
          <w:sz w:val="24"/>
          <w:szCs w:val="24"/>
        </w:rPr>
        <w:t>. EPS is a tool that analyze that how much earnings the company has earned on their floated shares. The EPS of Gemilang International along with its major competitors is as follows</w:t>
      </w:r>
    </w:p>
    <w:p w14:paraId="16E1902C"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noProof/>
          <w:sz w:val="24"/>
          <w:szCs w:val="24"/>
        </w:rPr>
        <w:lastRenderedPageBreak/>
        <w:drawing>
          <wp:inline distT="0" distB="0" distL="0" distR="0" wp14:anchorId="0576FE6D" wp14:editId="410B5E82">
            <wp:extent cx="5982916" cy="2743200"/>
            <wp:effectExtent l="19050" t="0" r="17834"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649550"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The above-mentioned graph is showing that the current financial situation of Gemilang International is not effective, when it compares to other companies found in the same jurisdiction. In the year 2016 and 2017, the EPS of the company was $1.13 and $0.48 respectively, which was in the positive node. However, due to the negative net income, the EPS of Gemilang International have reached in the negative zone in the year 2018. Comparatively, the EPS of its competitors such as Xinyi Automobiles and Johnson Electric Holdings are more efficient than Gemilang International.</w:t>
      </w:r>
    </w:p>
    <w:p w14:paraId="3BC11A25" w14:textId="77777777" w:rsidR="00132A2C" w:rsidRPr="000F53F3" w:rsidRDefault="00132A2C" w:rsidP="00132A2C">
      <w:pPr>
        <w:spacing w:line="360" w:lineRule="auto"/>
        <w:rPr>
          <w:rFonts w:ascii="Times New Roman" w:hAnsi="Times New Roman" w:cs="Times New Roman"/>
          <w:b/>
          <w:i/>
          <w:sz w:val="24"/>
          <w:szCs w:val="24"/>
        </w:rPr>
      </w:pPr>
      <w:r w:rsidRPr="000F53F3">
        <w:rPr>
          <w:rFonts w:ascii="Times New Roman" w:hAnsi="Times New Roman" w:cs="Times New Roman"/>
          <w:b/>
          <w:i/>
          <w:sz w:val="24"/>
          <w:szCs w:val="24"/>
        </w:rPr>
        <w:t>Bankruptcy Index</w:t>
      </w:r>
    </w:p>
    <w:p w14:paraId="7A14CF7C"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The index that predicts the economic hardship and bankruptcy of a company is referred as Altman Z-Score (</w:t>
      </w:r>
      <w:r w:rsidRPr="000F53F3">
        <w:rPr>
          <w:rFonts w:ascii="Times New Roman" w:hAnsi="Times New Roman" w:cs="Times New Roman"/>
          <w:color w:val="222222"/>
          <w:sz w:val="24"/>
          <w:szCs w:val="24"/>
          <w:shd w:val="clear" w:color="auto" w:fill="FFFFFF"/>
        </w:rPr>
        <w:t>Zietlow, Hankin, Seidner and O'Brien, 2018)</w:t>
      </w:r>
      <w:r w:rsidRPr="000F53F3">
        <w:rPr>
          <w:rFonts w:ascii="Times New Roman" w:hAnsi="Times New Roman" w:cs="Times New Roman"/>
          <w:sz w:val="24"/>
          <w:szCs w:val="24"/>
        </w:rPr>
        <w:t>. It is referred as an important tool that uses to get an idea about the bankruptcy of an entity from different perspective. The scores of Altman Z-Score of each of the companies is as follows</w:t>
      </w:r>
    </w:p>
    <w:p w14:paraId="0B68C448"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lastRenderedPageBreak/>
        <w:t xml:space="preserve">                </w:t>
      </w:r>
      <w:r w:rsidRPr="000F53F3">
        <w:rPr>
          <w:rFonts w:ascii="Times New Roman" w:hAnsi="Times New Roman" w:cs="Times New Roman"/>
          <w:noProof/>
          <w:sz w:val="24"/>
          <w:szCs w:val="24"/>
        </w:rPr>
        <w:drawing>
          <wp:inline distT="0" distB="0" distL="0" distR="0" wp14:anchorId="6C3582EE" wp14:editId="5BECDF44">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D3EB7ED"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 xml:space="preserve">The value that is above the level of 1.8 means that the company is safe and has the tendency to maintain its attentiveness in the long run, and it is in the satisfactory range for all the companies. The Z-Score of Gemilang International is 2.02, which is in a satisfactory range. However, it is comparatively lower than the Z-Score of Xinyi and Johnson, which means that these companies have more worth than Gemilang International. </w:t>
      </w:r>
    </w:p>
    <w:p w14:paraId="7A22DAA8" w14:textId="77777777" w:rsidR="00132A2C" w:rsidRPr="000F53F3" w:rsidRDefault="00132A2C" w:rsidP="00132A2C">
      <w:pPr>
        <w:spacing w:line="360" w:lineRule="auto"/>
        <w:rPr>
          <w:rFonts w:ascii="Times New Roman" w:hAnsi="Times New Roman" w:cs="Times New Roman"/>
          <w:sz w:val="24"/>
          <w:szCs w:val="24"/>
        </w:rPr>
      </w:pPr>
    </w:p>
    <w:p w14:paraId="262B5DE3"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br w:type="page"/>
      </w:r>
    </w:p>
    <w:p w14:paraId="68BD94DF" w14:textId="77777777" w:rsidR="00132A2C" w:rsidRPr="000F53F3" w:rsidRDefault="00132A2C" w:rsidP="00132A2C">
      <w:pPr>
        <w:pStyle w:val="Heading1"/>
      </w:pPr>
      <w:bookmarkStart w:id="7" w:name="_Toc15819811"/>
      <w:r w:rsidRPr="000F53F3">
        <w:lastRenderedPageBreak/>
        <w:t>Task-3: Corporate Governance</w:t>
      </w:r>
      <w:bookmarkEnd w:id="7"/>
    </w:p>
    <w:p w14:paraId="4C050CD2"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Corporate Governance is the set of principles that have to undertake by an organization in order to sustain their position in the market. Corporate Governance encompasses the rules that have to be admitted and complies by the corporation’s (</w:t>
      </w:r>
      <w:r w:rsidRPr="000F53F3">
        <w:rPr>
          <w:rFonts w:ascii="Times New Roman" w:hAnsi="Times New Roman" w:cs="Times New Roman"/>
          <w:color w:val="222222"/>
          <w:sz w:val="24"/>
          <w:szCs w:val="24"/>
          <w:shd w:val="clear" w:color="auto" w:fill="FFFFFF"/>
        </w:rPr>
        <w:t>Zietlow, Hankin, Seidner and O'Brien, 2018)</w:t>
      </w:r>
      <w:r w:rsidRPr="000F53F3">
        <w:rPr>
          <w:rFonts w:ascii="Times New Roman" w:hAnsi="Times New Roman" w:cs="Times New Roman"/>
          <w:sz w:val="24"/>
          <w:szCs w:val="24"/>
        </w:rPr>
        <w:t>. It is mandatory for an entity to comply with the rules and regulations of corporate governance in order to strengthen their position in the market. Gemilang International is one of the top notch companies that have a strong connection with the principles of Corporate Governance. The internal mechanism of accounts and risk management of the company are subtle that allows them to manage the operations of the company in a reasonable manner (</w:t>
      </w:r>
      <w:r w:rsidRPr="000F53F3">
        <w:rPr>
          <w:rFonts w:ascii="Times New Roman" w:hAnsi="Times New Roman" w:cs="Times New Roman"/>
          <w:color w:val="222222"/>
          <w:sz w:val="24"/>
          <w:szCs w:val="24"/>
          <w:shd w:val="clear" w:color="auto" w:fill="FFFFFF"/>
        </w:rPr>
        <w:t>Fang, Huang and Karpoff, 2016)</w:t>
      </w:r>
      <w:r w:rsidRPr="000F53F3">
        <w:rPr>
          <w:rFonts w:ascii="Times New Roman" w:hAnsi="Times New Roman" w:cs="Times New Roman"/>
          <w:sz w:val="24"/>
          <w:szCs w:val="24"/>
        </w:rPr>
        <w:t>. Another rule of the Corporate Governance (CG) is relating to the financial reporting. It means that the financial reports are likely to be made on the principles devise and presented by the International Financial Reporting Standard (IFRS). The same principle is applicable on Gemilang International. After reading the Management Discussion &amp; Analysis (MD&amp;A) section of the annual report of the company, it is found that the accounts have been made and presented in accordance with the requirements of IFRS (</w:t>
      </w:r>
      <w:r w:rsidRPr="000F53F3">
        <w:rPr>
          <w:rFonts w:ascii="Times New Roman" w:hAnsi="Times New Roman" w:cs="Times New Roman"/>
          <w:color w:val="222222"/>
          <w:sz w:val="24"/>
          <w:szCs w:val="24"/>
          <w:shd w:val="clear" w:color="auto" w:fill="FFFFFF"/>
        </w:rPr>
        <w:t>Farrell and Gallagher, 2015)</w:t>
      </w:r>
      <w:r w:rsidRPr="000F53F3">
        <w:rPr>
          <w:rFonts w:ascii="Times New Roman" w:hAnsi="Times New Roman" w:cs="Times New Roman"/>
          <w:sz w:val="24"/>
          <w:szCs w:val="24"/>
        </w:rPr>
        <w:t xml:space="preserve">. </w:t>
      </w:r>
    </w:p>
    <w:p w14:paraId="78C9BE02" w14:textId="77777777" w:rsidR="00132A2C"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 xml:space="preserve">The principles of CG urge the companies to provide Proxy Rights to their shareholders. </w:t>
      </w:r>
      <w:r>
        <w:rPr>
          <w:rFonts w:ascii="Times New Roman" w:hAnsi="Times New Roman" w:cs="Times New Roman"/>
          <w:sz w:val="24"/>
          <w:szCs w:val="24"/>
        </w:rPr>
        <w:t xml:space="preserve">According to </w:t>
      </w:r>
      <w:r w:rsidRPr="000F53F3">
        <w:rPr>
          <w:rFonts w:ascii="Times New Roman" w:hAnsi="Times New Roman" w:cs="Times New Roman"/>
          <w:color w:val="222222"/>
          <w:sz w:val="24"/>
          <w:szCs w:val="24"/>
          <w:shd w:val="clear" w:color="auto" w:fill="FFFFFF"/>
        </w:rPr>
        <w:t>Chaffey, Hemphill</w:t>
      </w:r>
      <w:r>
        <w:rPr>
          <w:rFonts w:ascii="Times New Roman" w:hAnsi="Times New Roman" w:cs="Times New Roman"/>
          <w:color w:val="222222"/>
          <w:sz w:val="24"/>
          <w:szCs w:val="24"/>
          <w:shd w:val="clear" w:color="auto" w:fill="FFFFFF"/>
        </w:rPr>
        <w:t xml:space="preserve"> and Edmundson-Bird</w:t>
      </w:r>
      <w:r w:rsidRPr="000F53F3">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w:t>
      </w:r>
      <w:r w:rsidRPr="000F53F3">
        <w:rPr>
          <w:rFonts w:ascii="Times New Roman" w:hAnsi="Times New Roman" w:cs="Times New Roman"/>
          <w:color w:val="222222"/>
          <w:sz w:val="24"/>
          <w:szCs w:val="24"/>
          <w:shd w:val="clear" w:color="auto" w:fill="FFFFFF"/>
        </w:rPr>
        <w:t>2015</w:t>
      </w:r>
      <w:r w:rsidRPr="000F53F3">
        <w:rPr>
          <w:rFonts w:ascii="Times New Roman" w:hAnsi="Times New Roman" w:cs="Times New Roman"/>
          <w:sz w:val="24"/>
          <w:szCs w:val="24"/>
        </w:rPr>
        <w:t>), proxy rights enable the shareholders to become an integral part of the decision making of the company. Gemilang International is one of those companies who arrange Annual general Meetings (AGMs) every year in order to entertain their shareholders. However, the focus of the entity is not sufficient in terms of Extra Ordinary General meetings (EGMs). EGMs are more satisfactory for the shareholders as it allows them to give their input even in the critical situation of the company. On the contrary, Xinyi Automobiles and Johnson Electric Holdings are more lenient towards their shareholders, and provide the liberty to them to enforce their decision. This is the main thing why the proportion of capital flights from the stocks of Xinyi and Johnson is lower than Gemilang International. Gemilang has to become a little more lenient in terms of shareholders, and should engage them in their critical decision factors. Apart from the shareholders, CG also emphasizes the entities to provide everything to their employees in order to assess their values professionally (</w:t>
      </w:r>
      <w:r w:rsidRPr="000F53F3">
        <w:rPr>
          <w:rFonts w:ascii="Times New Roman" w:hAnsi="Times New Roman" w:cs="Times New Roman"/>
          <w:color w:val="222222"/>
          <w:sz w:val="24"/>
          <w:szCs w:val="24"/>
          <w:shd w:val="clear" w:color="auto" w:fill="FFFFFF"/>
        </w:rPr>
        <w:t>Adekola and Sergi, 2016)</w:t>
      </w:r>
      <w:r w:rsidRPr="000F53F3">
        <w:rPr>
          <w:rFonts w:ascii="Times New Roman" w:hAnsi="Times New Roman" w:cs="Times New Roman"/>
          <w:sz w:val="24"/>
          <w:szCs w:val="24"/>
        </w:rPr>
        <w:t xml:space="preserve">. CG urges the companies to have a democratic scenario within their premise. Democratic Scenario provides an opportunity to every single employee to give their important input about the current situation and future aspect of the entity. This particular factor has the ability to </w:t>
      </w:r>
      <w:r w:rsidRPr="000F53F3">
        <w:rPr>
          <w:rFonts w:ascii="Times New Roman" w:hAnsi="Times New Roman" w:cs="Times New Roman"/>
          <w:sz w:val="24"/>
          <w:szCs w:val="24"/>
        </w:rPr>
        <w:lastRenderedPageBreak/>
        <w:t>encourage the employees to participate in the productive decision making of the entity. Gemilang International is complying with this principle of CG, as most of their employees are productive and satisfied with their job. The entity has to maintain this factor in order to further grow in the future. Gemilang has to decentralize their operation so that every department has the power to take the decision, like Xinyi Automobiles and Johnson Electric Holdings.</w:t>
      </w:r>
    </w:p>
    <w:p w14:paraId="6E8B5E3E" w14:textId="77777777" w:rsidR="00132A2C" w:rsidRDefault="00132A2C" w:rsidP="00132A2C">
      <w:pPr>
        <w:rPr>
          <w:rFonts w:ascii="Times New Roman" w:hAnsi="Times New Roman" w:cs="Times New Roman"/>
          <w:sz w:val="24"/>
          <w:szCs w:val="24"/>
        </w:rPr>
      </w:pPr>
      <w:r>
        <w:rPr>
          <w:rFonts w:ascii="Times New Roman" w:hAnsi="Times New Roman" w:cs="Times New Roman"/>
          <w:sz w:val="24"/>
          <w:szCs w:val="24"/>
        </w:rPr>
        <w:br w:type="page"/>
      </w:r>
    </w:p>
    <w:p w14:paraId="73AB52C0" w14:textId="77777777" w:rsidR="00132A2C" w:rsidRPr="000F53F3" w:rsidRDefault="00132A2C" w:rsidP="00132A2C">
      <w:pPr>
        <w:pStyle w:val="Heading1"/>
      </w:pPr>
      <w:bookmarkStart w:id="8" w:name="_Toc15819812"/>
      <w:r w:rsidRPr="000F53F3">
        <w:lastRenderedPageBreak/>
        <w:t>Task-4: Investment Appraisals</w:t>
      </w:r>
      <w:bookmarkEnd w:id="8"/>
    </w:p>
    <w:p w14:paraId="0E92950D"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Investment Appraisal or Capital Budgeting is a tool that uses by the entities for the purpose of rationalizing their investment. The element of investment appraisal deems highly efficient and significant for the sake of a company (</w:t>
      </w:r>
      <w:r w:rsidRPr="000F53F3">
        <w:rPr>
          <w:rFonts w:ascii="Times New Roman" w:hAnsi="Times New Roman" w:cs="Times New Roman"/>
          <w:color w:val="222222"/>
          <w:sz w:val="24"/>
          <w:szCs w:val="24"/>
          <w:shd w:val="clear" w:color="auto" w:fill="FFFFFF"/>
        </w:rPr>
        <w:t>Adekola and Sergi, 2016)</w:t>
      </w:r>
      <w:r w:rsidRPr="000F53F3">
        <w:rPr>
          <w:rFonts w:ascii="Times New Roman" w:hAnsi="Times New Roman" w:cs="Times New Roman"/>
          <w:sz w:val="24"/>
          <w:szCs w:val="24"/>
        </w:rPr>
        <w:t>. There are several tools that uses for the investment appraisal purpose. However, only two tools have been applied here such as Net Present Value (NPV) and Internal Rate of Return (IRR) (</w:t>
      </w:r>
      <w:r w:rsidRPr="000F53F3">
        <w:rPr>
          <w:rFonts w:ascii="Times New Roman" w:hAnsi="Times New Roman" w:cs="Times New Roman"/>
          <w:color w:val="222222"/>
          <w:sz w:val="24"/>
          <w:szCs w:val="24"/>
          <w:shd w:val="clear" w:color="auto" w:fill="FFFFFF"/>
        </w:rPr>
        <w:t>Adekola and Sergi, 2016)</w:t>
      </w:r>
      <w:r w:rsidRPr="000F53F3">
        <w:rPr>
          <w:rFonts w:ascii="Times New Roman" w:hAnsi="Times New Roman" w:cs="Times New Roman"/>
          <w:sz w:val="24"/>
          <w:szCs w:val="24"/>
        </w:rPr>
        <w:t>. It is assume that the initial outlay of the investment is 5% of the sales of Gemilang International FY 2018. Therefore, the initial outlay would be $ 2,854,550 or $ 2.85 Million. The cash flow that associated with the same scenario is assumed to be like this</w:t>
      </w:r>
    </w:p>
    <w:p w14:paraId="286CCC98"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Year – 1 = $ 0.55 Million</w:t>
      </w:r>
    </w:p>
    <w:p w14:paraId="70F1B7E3"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Year – 2 = $ 0.85 Million</w:t>
      </w:r>
    </w:p>
    <w:p w14:paraId="0428630C"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Year – 3 = $ 1.12 Million</w:t>
      </w:r>
    </w:p>
    <w:p w14:paraId="1C6C8646"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Year – 4 = $ 1.15 Million</w:t>
      </w:r>
    </w:p>
    <w:p w14:paraId="0A67E6C7"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Year – 5 = $ 2.11 Million</w:t>
      </w:r>
    </w:p>
    <w:p w14:paraId="4F0D0E60"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The Discount Rate is assumed that 10%, and the same has been considered while analyzing the results professionally. Both of the tools have been applied to analyze the claim associated with the analysis.</w:t>
      </w:r>
    </w:p>
    <w:p w14:paraId="42ED478D" w14:textId="77777777" w:rsidR="00132A2C" w:rsidRPr="000F53F3" w:rsidRDefault="00132A2C" w:rsidP="00132A2C">
      <w:pPr>
        <w:pStyle w:val="Heading2"/>
      </w:pPr>
      <w:bookmarkStart w:id="9" w:name="_Toc15819813"/>
      <w:r w:rsidRPr="000F53F3">
        <w:t>Net Present Value (NPV) Analysis</w:t>
      </w:r>
      <w:bookmarkEnd w:id="9"/>
    </w:p>
    <w:p w14:paraId="23DEBB6D"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i/>
          <w:sz w:val="24"/>
          <w:szCs w:val="24"/>
        </w:rPr>
        <w:tab/>
      </w:r>
      <w:r w:rsidRPr="000F53F3">
        <w:rPr>
          <w:rFonts w:ascii="Times New Roman" w:hAnsi="Times New Roman" w:cs="Times New Roman"/>
          <w:sz w:val="24"/>
          <w:szCs w:val="24"/>
        </w:rPr>
        <w:t>Net Present Value (NPV) is an investment appraisal tool that considers the Time Value of Money (TVM). It is a tool that discounted the future cash flow in the current terms and evaluates its implication. It is one of the most important and widely used investment appraisal tools that uses by the companies to reach on a verdict about accepting or rejecting an investment proposal (</w:t>
      </w:r>
      <w:r w:rsidRPr="000F53F3">
        <w:rPr>
          <w:rFonts w:ascii="Times New Roman" w:hAnsi="Times New Roman" w:cs="Times New Roman"/>
          <w:color w:val="222222"/>
          <w:sz w:val="24"/>
          <w:szCs w:val="24"/>
          <w:shd w:val="clear" w:color="auto" w:fill="FFFFFF"/>
        </w:rPr>
        <w:t>Chaffey, Hemphill and Edmundson-Bird, 2015)</w:t>
      </w:r>
      <w:r w:rsidRPr="000F53F3">
        <w:rPr>
          <w:rFonts w:ascii="Times New Roman" w:hAnsi="Times New Roman" w:cs="Times New Roman"/>
          <w:sz w:val="24"/>
          <w:szCs w:val="24"/>
        </w:rPr>
        <w:t>. The NPV based on the above-mentioned cash inflows is as follows</w:t>
      </w:r>
    </w:p>
    <w:tbl>
      <w:tblPr>
        <w:tblW w:w="9671" w:type="dxa"/>
        <w:tblInd w:w="93" w:type="dxa"/>
        <w:tblLook w:val="04A0" w:firstRow="1" w:lastRow="0" w:firstColumn="1" w:lastColumn="0" w:noHBand="0" w:noVBand="1"/>
      </w:tblPr>
      <w:tblGrid>
        <w:gridCol w:w="1905"/>
        <w:gridCol w:w="1905"/>
        <w:gridCol w:w="3383"/>
        <w:gridCol w:w="2478"/>
      </w:tblGrid>
      <w:tr w:rsidR="00132A2C" w:rsidRPr="00DF377D" w14:paraId="3233F51B" w14:textId="77777777" w:rsidTr="00C02BC7">
        <w:trPr>
          <w:trHeight w:val="141"/>
        </w:trPr>
        <w:tc>
          <w:tcPr>
            <w:tcW w:w="19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8F7DA"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Year</w:t>
            </w:r>
          </w:p>
        </w:tc>
        <w:tc>
          <w:tcPr>
            <w:tcW w:w="1905" w:type="dxa"/>
            <w:tcBorders>
              <w:top w:val="single" w:sz="4" w:space="0" w:color="auto"/>
              <w:left w:val="nil"/>
              <w:bottom w:val="single" w:sz="4" w:space="0" w:color="auto"/>
              <w:right w:val="single" w:sz="4" w:space="0" w:color="auto"/>
            </w:tcBorders>
            <w:shd w:val="clear" w:color="auto" w:fill="auto"/>
            <w:noWrap/>
            <w:vAlign w:val="bottom"/>
            <w:hideMark/>
          </w:tcPr>
          <w:p w14:paraId="62D922F6"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Cash Flow in Million $</w:t>
            </w:r>
          </w:p>
        </w:tc>
        <w:tc>
          <w:tcPr>
            <w:tcW w:w="3383" w:type="dxa"/>
            <w:tcBorders>
              <w:top w:val="single" w:sz="4" w:space="0" w:color="auto"/>
              <w:left w:val="nil"/>
              <w:bottom w:val="single" w:sz="4" w:space="0" w:color="auto"/>
              <w:right w:val="single" w:sz="4" w:space="0" w:color="auto"/>
            </w:tcBorders>
            <w:shd w:val="clear" w:color="auto" w:fill="auto"/>
            <w:noWrap/>
            <w:vAlign w:val="bottom"/>
            <w:hideMark/>
          </w:tcPr>
          <w:p w14:paraId="3F1F1D1F"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Discounting Factor 10%</w:t>
            </w:r>
          </w:p>
        </w:tc>
        <w:tc>
          <w:tcPr>
            <w:tcW w:w="2478" w:type="dxa"/>
            <w:tcBorders>
              <w:top w:val="single" w:sz="4" w:space="0" w:color="auto"/>
              <w:left w:val="nil"/>
              <w:bottom w:val="single" w:sz="4" w:space="0" w:color="auto"/>
              <w:right w:val="single" w:sz="4" w:space="0" w:color="auto"/>
            </w:tcBorders>
            <w:shd w:val="clear" w:color="auto" w:fill="auto"/>
            <w:noWrap/>
            <w:vAlign w:val="bottom"/>
            <w:hideMark/>
          </w:tcPr>
          <w:p w14:paraId="27ACFB5D"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Discounted Cash Flow in Million $</w:t>
            </w:r>
          </w:p>
        </w:tc>
      </w:tr>
      <w:tr w:rsidR="00132A2C" w:rsidRPr="00DF377D" w14:paraId="540B3866"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0E4EC9E1"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0</w:t>
            </w:r>
          </w:p>
        </w:tc>
        <w:tc>
          <w:tcPr>
            <w:tcW w:w="1905" w:type="dxa"/>
            <w:tcBorders>
              <w:top w:val="nil"/>
              <w:left w:val="nil"/>
              <w:bottom w:val="single" w:sz="4" w:space="0" w:color="auto"/>
              <w:right w:val="single" w:sz="4" w:space="0" w:color="auto"/>
            </w:tcBorders>
            <w:shd w:val="clear" w:color="auto" w:fill="auto"/>
            <w:noWrap/>
            <w:vAlign w:val="bottom"/>
            <w:hideMark/>
          </w:tcPr>
          <w:p w14:paraId="7FA371A2"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(2.850)</w:t>
            </w:r>
          </w:p>
        </w:tc>
        <w:tc>
          <w:tcPr>
            <w:tcW w:w="3383" w:type="dxa"/>
            <w:tcBorders>
              <w:top w:val="nil"/>
              <w:left w:val="nil"/>
              <w:bottom w:val="single" w:sz="4" w:space="0" w:color="auto"/>
              <w:right w:val="single" w:sz="4" w:space="0" w:color="auto"/>
            </w:tcBorders>
            <w:shd w:val="clear" w:color="auto" w:fill="auto"/>
            <w:noWrap/>
            <w:vAlign w:val="bottom"/>
            <w:hideMark/>
          </w:tcPr>
          <w:p w14:paraId="3C4B5D32"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2478" w:type="dxa"/>
            <w:tcBorders>
              <w:top w:val="nil"/>
              <w:left w:val="nil"/>
              <w:bottom w:val="single" w:sz="4" w:space="0" w:color="auto"/>
              <w:right w:val="single" w:sz="4" w:space="0" w:color="auto"/>
            </w:tcBorders>
            <w:shd w:val="clear" w:color="auto" w:fill="auto"/>
            <w:noWrap/>
            <w:vAlign w:val="bottom"/>
            <w:hideMark/>
          </w:tcPr>
          <w:p w14:paraId="32431F0E"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r>
      <w:tr w:rsidR="00132A2C" w:rsidRPr="00DF377D" w14:paraId="109B8D55"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4D7F7280"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1</w:t>
            </w:r>
          </w:p>
        </w:tc>
        <w:tc>
          <w:tcPr>
            <w:tcW w:w="1905" w:type="dxa"/>
            <w:tcBorders>
              <w:top w:val="nil"/>
              <w:left w:val="nil"/>
              <w:bottom w:val="single" w:sz="4" w:space="0" w:color="auto"/>
              <w:right w:val="single" w:sz="4" w:space="0" w:color="auto"/>
            </w:tcBorders>
            <w:shd w:val="clear" w:color="auto" w:fill="auto"/>
            <w:noWrap/>
            <w:vAlign w:val="bottom"/>
            <w:hideMark/>
          </w:tcPr>
          <w:p w14:paraId="2D588359"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0.550 </w:t>
            </w:r>
          </w:p>
        </w:tc>
        <w:tc>
          <w:tcPr>
            <w:tcW w:w="3383" w:type="dxa"/>
            <w:tcBorders>
              <w:top w:val="nil"/>
              <w:left w:val="nil"/>
              <w:bottom w:val="single" w:sz="4" w:space="0" w:color="auto"/>
              <w:right w:val="single" w:sz="4" w:space="0" w:color="auto"/>
            </w:tcBorders>
            <w:shd w:val="clear" w:color="auto" w:fill="auto"/>
            <w:noWrap/>
            <w:vAlign w:val="bottom"/>
            <w:hideMark/>
          </w:tcPr>
          <w:p w14:paraId="37B3C7EC"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0.909 </w:t>
            </w:r>
          </w:p>
        </w:tc>
        <w:tc>
          <w:tcPr>
            <w:tcW w:w="2478" w:type="dxa"/>
            <w:tcBorders>
              <w:top w:val="nil"/>
              <w:left w:val="nil"/>
              <w:bottom w:val="single" w:sz="4" w:space="0" w:color="auto"/>
              <w:right w:val="single" w:sz="4" w:space="0" w:color="auto"/>
            </w:tcBorders>
            <w:shd w:val="clear" w:color="auto" w:fill="auto"/>
            <w:noWrap/>
            <w:vAlign w:val="bottom"/>
            <w:hideMark/>
          </w:tcPr>
          <w:p w14:paraId="0709735E"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0.500 </w:t>
            </w:r>
          </w:p>
        </w:tc>
      </w:tr>
      <w:tr w:rsidR="00132A2C" w:rsidRPr="00DF377D" w14:paraId="76C2D93E"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3A89A17D"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2</w:t>
            </w:r>
          </w:p>
        </w:tc>
        <w:tc>
          <w:tcPr>
            <w:tcW w:w="1905" w:type="dxa"/>
            <w:tcBorders>
              <w:top w:val="nil"/>
              <w:left w:val="nil"/>
              <w:bottom w:val="single" w:sz="4" w:space="0" w:color="auto"/>
              <w:right w:val="single" w:sz="4" w:space="0" w:color="auto"/>
            </w:tcBorders>
            <w:shd w:val="clear" w:color="auto" w:fill="auto"/>
            <w:noWrap/>
            <w:vAlign w:val="bottom"/>
            <w:hideMark/>
          </w:tcPr>
          <w:p w14:paraId="4D05074F"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0.850 </w:t>
            </w:r>
          </w:p>
        </w:tc>
        <w:tc>
          <w:tcPr>
            <w:tcW w:w="3383" w:type="dxa"/>
            <w:tcBorders>
              <w:top w:val="nil"/>
              <w:left w:val="nil"/>
              <w:bottom w:val="single" w:sz="4" w:space="0" w:color="auto"/>
              <w:right w:val="single" w:sz="4" w:space="0" w:color="auto"/>
            </w:tcBorders>
            <w:shd w:val="clear" w:color="auto" w:fill="auto"/>
            <w:noWrap/>
            <w:vAlign w:val="bottom"/>
            <w:hideMark/>
          </w:tcPr>
          <w:p w14:paraId="54F645CD"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0.826 </w:t>
            </w:r>
          </w:p>
        </w:tc>
        <w:tc>
          <w:tcPr>
            <w:tcW w:w="2478" w:type="dxa"/>
            <w:tcBorders>
              <w:top w:val="nil"/>
              <w:left w:val="nil"/>
              <w:bottom w:val="single" w:sz="4" w:space="0" w:color="auto"/>
              <w:right w:val="single" w:sz="4" w:space="0" w:color="auto"/>
            </w:tcBorders>
            <w:shd w:val="clear" w:color="auto" w:fill="auto"/>
            <w:noWrap/>
            <w:vAlign w:val="bottom"/>
            <w:hideMark/>
          </w:tcPr>
          <w:p w14:paraId="06E0BD17"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0.702 </w:t>
            </w:r>
          </w:p>
        </w:tc>
      </w:tr>
      <w:tr w:rsidR="00132A2C" w:rsidRPr="00DF377D" w14:paraId="5C328065"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2C15211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lastRenderedPageBreak/>
              <w:t>3</w:t>
            </w:r>
          </w:p>
        </w:tc>
        <w:tc>
          <w:tcPr>
            <w:tcW w:w="1905" w:type="dxa"/>
            <w:tcBorders>
              <w:top w:val="nil"/>
              <w:left w:val="nil"/>
              <w:bottom w:val="single" w:sz="4" w:space="0" w:color="auto"/>
              <w:right w:val="single" w:sz="4" w:space="0" w:color="auto"/>
            </w:tcBorders>
            <w:shd w:val="clear" w:color="auto" w:fill="auto"/>
            <w:noWrap/>
            <w:vAlign w:val="bottom"/>
            <w:hideMark/>
          </w:tcPr>
          <w:p w14:paraId="41A2B1FD"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1.120 </w:t>
            </w:r>
          </w:p>
        </w:tc>
        <w:tc>
          <w:tcPr>
            <w:tcW w:w="3383" w:type="dxa"/>
            <w:tcBorders>
              <w:top w:val="nil"/>
              <w:left w:val="nil"/>
              <w:bottom w:val="single" w:sz="4" w:space="0" w:color="auto"/>
              <w:right w:val="single" w:sz="4" w:space="0" w:color="auto"/>
            </w:tcBorders>
            <w:shd w:val="clear" w:color="auto" w:fill="auto"/>
            <w:noWrap/>
            <w:vAlign w:val="bottom"/>
            <w:hideMark/>
          </w:tcPr>
          <w:p w14:paraId="199319D1"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0.751 </w:t>
            </w:r>
          </w:p>
        </w:tc>
        <w:tc>
          <w:tcPr>
            <w:tcW w:w="2478" w:type="dxa"/>
            <w:tcBorders>
              <w:top w:val="nil"/>
              <w:left w:val="nil"/>
              <w:bottom w:val="single" w:sz="4" w:space="0" w:color="auto"/>
              <w:right w:val="single" w:sz="4" w:space="0" w:color="auto"/>
            </w:tcBorders>
            <w:shd w:val="clear" w:color="auto" w:fill="auto"/>
            <w:noWrap/>
            <w:vAlign w:val="bottom"/>
            <w:hideMark/>
          </w:tcPr>
          <w:p w14:paraId="3B5237C6"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0.841 </w:t>
            </w:r>
          </w:p>
        </w:tc>
      </w:tr>
      <w:tr w:rsidR="00132A2C" w:rsidRPr="00DF377D" w14:paraId="6F9488D9"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187477E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4</w:t>
            </w:r>
          </w:p>
        </w:tc>
        <w:tc>
          <w:tcPr>
            <w:tcW w:w="1905" w:type="dxa"/>
            <w:tcBorders>
              <w:top w:val="nil"/>
              <w:left w:val="nil"/>
              <w:bottom w:val="single" w:sz="4" w:space="0" w:color="auto"/>
              <w:right w:val="single" w:sz="4" w:space="0" w:color="auto"/>
            </w:tcBorders>
            <w:shd w:val="clear" w:color="auto" w:fill="auto"/>
            <w:noWrap/>
            <w:vAlign w:val="bottom"/>
            <w:hideMark/>
          </w:tcPr>
          <w:p w14:paraId="47280719"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1.150 </w:t>
            </w:r>
          </w:p>
        </w:tc>
        <w:tc>
          <w:tcPr>
            <w:tcW w:w="3383" w:type="dxa"/>
            <w:tcBorders>
              <w:top w:val="nil"/>
              <w:left w:val="nil"/>
              <w:bottom w:val="single" w:sz="4" w:space="0" w:color="auto"/>
              <w:right w:val="single" w:sz="4" w:space="0" w:color="auto"/>
            </w:tcBorders>
            <w:shd w:val="clear" w:color="auto" w:fill="auto"/>
            <w:noWrap/>
            <w:vAlign w:val="bottom"/>
            <w:hideMark/>
          </w:tcPr>
          <w:p w14:paraId="65A5166F"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0.683 </w:t>
            </w:r>
          </w:p>
        </w:tc>
        <w:tc>
          <w:tcPr>
            <w:tcW w:w="2478" w:type="dxa"/>
            <w:tcBorders>
              <w:top w:val="nil"/>
              <w:left w:val="nil"/>
              <w:bottom w:val="single" w:sz="4" w:space="0" w:color="auto"/>
              <w:right w:val="single" w:sz="4" w:space="0" w:color="auto"/>
            </w:tcBorders>
            <w:shd w:val="clear" w:color="auto" w:fill="auto"/>
            <w:noWrap/>
            <w:vAlign w:val="bottom"/>
            <w:hideMark/>
          </w:tcPr>
          <w:p w14:paraId="095A7DB0"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0.785 </w:t>
            </w:r>
          </w:p>
        </w:tc>
      </w:tr>
      <w:tr w:rsidR="00132A2C" w:rsidRPr="00DF377D" w14:paraId="21921D5A"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3052EAB6"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5</w:t>
            </w:r>
          </w:p>
        </w:tc>
        <w:tc>
          <w:tcPr>
            <w:tcW w:w="1905" w:type="dxa"/>
            <w:tcBorders>
              <w:top w:val="nil"/>
              <w:left w:val="nil"/>
              <w:bottom w:val="single" w:sz="4" w:space="0" w:color="auto"/>
              <w:right w:val="single" w:sz="4" w:space="0" w:color="auto"/>
            </w:tcBorders>
            <w:shd w:val="clear" w:color="auto" w:fill="auto"/>
            <w:noWrap/>
            <w:vAlign w:val="bottom"/>
            <w:hideMark/>
          </w:tcPr>
          <w:p w14:paraId="780327F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2.110 </w:t>
            </w:r>
          </w:p>
        </w:tc>
        <w:tc>
          <w:tcPr>
            <w:tcW w:w="3383" w:type="dxa"/>
            <w:tcBorders>
              <w:top w:val="nil"/>
              <w:left w:val="nil"/>
              <w:bottom w:val="single" w:sz="4" w:space="0" w:color="auto"/>
              <w:right w:val="single" w:sz="4" w:space="0" w:color="auto"/>
            </w:tcBorders>
            <w:shd w:val="clear" w:color="auto" w:fill="auto"/>
            <w:noWrap/>
            <w:vAlign w:val="bottom"/>
            <w:hideMark/>
          </w:tcPr>
          <w:p w14:paraId="2C207B55"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0.621 </w:t>
            </w:r>
          </w:p>
        </w:tc>
        <w:tc>
          <w:tcPr>
            <w:tcW w:w="2478" w:type="dxa"/>
            <w:tcBorders>
              <w:top w:val="nil"/>
              <w:left w:val="nil"/>
              <w:bottom w:val="single" w:sz="4" w:space="0" w:color="auto"/>
              <w:right w:val="single" w:sz="4" w:space="0" w:color="auto"/>
            </w:tcBorders>
            <w:shd w:val="clear" w:color="auto" w:fill="auto"/>
            <w:noWrap/>
            <w:vAlign w:val="bottom"/>
            <w:hideMark/>
          </w:tcPr>
          <w:p w14:paraId="75282EA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1.310 </w:t>
            </w:r>
          </w:p>
        </w:tc>
      </w:tr>
      <w:tr w:rsidR="00132A2C" w:rsidRPr="00DF377D" w14:paraId="02D6AA2A"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7D7CBC2A"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1905" w:type="dxa"/>
            <w:tcBorders>
              <w:top w:val="nil"/>
              <w:left w:val="nil"/>
              <w:bottom w:val="single" w:sz="4" w:space="0" w:color="auto"/>
              <w:right w:val="single" w:sz="4" w:space="0" w:color="auto"/>
            </w:tcBorders>
            <w:shd w:val="clear" w:color="auto" w:fill="auto"/>
            <w:noWrap/>
            <w:vAlign w:val="bottom"/>
            <w:hideMark/>
          </w:tcPr>
          <w:p w14:paraId="354B997C"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3383" w:type="dxa"/>
            <w:tcBorders>
              <w:top w:val="nil"/>
              <w:left w:val="nil"/>
              <w:bottom w:val="single" w:sz="4" w:space="0" w:color="auto"/>
              <w:right w:val="single" w:sz="4" w:space="0" w:color="auto"/>
            </w:tcBorders>
            <w:shd w:val="clear" w:color="auto" w:fill="auto"/>
            <w:noWrap/>
            <w:vAlign w:val="bottom"/>
            <w:hideMark/>
          </w:tcPr>
          <w:p w14:paraId="304BF83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Total Cash Flow </w:t>
            </w:r>
          </w:p>
        </w:tc>
        <w:tc>
          <w:tcPr>
            <w:tcW w:w="2478" w:type="dxa"/>
            <w:tcBorders>
              <w:top w:val="nil"/>
              <w:left w:val="nil"/>
              <w:bottom w:val="single" w:sz="4" w:space="0" w:color="auto"/>
              <w:right w:val="single" w:sz="4" w:space="0" w:color="auto"/>
            </w:tcBorders>
            <w:shd w:val="clear" w:color="auto" w:fill="auto"/>
            <w:noWrap/>
            <w:vAlign w:val="bottom"/>
            <w:hideMark/>
          </w:tcPr>
          <w:p w14:paraId="6D7D814F"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4.140 </w:t>
            </w:r>
          </w:p>
        </w:tc>
      </w:tr>
      <w:tr w:rsidR="00132A2C" w:rsidRPr="00DF377D" w14:paraId="11347E1B"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004AC77B"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1905" w:type="dxa"/>
            <w:tcBorders>
              <w:top w:val="nil"/>
              <w:left w:val="nil"/>
              <w:bottom w:val="single" w:sz="4" w:space="0" w:color="auto"/>
              <w:right w:val="single" w:sz="4" w:space="0" w:color="auto"/>
            </w:tcBorders>
            <w:shd w:val="clear" w:color="auto" w:fill="auto"/>
            <w:noWrap/>
            <w:vAlign w:val="bottom"/>
            <w:hideMark/>
          </w:tcPr>
          <w:p w14:paraId="4FD37255"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3383" w:type="dxa"/>
            <w:tcBorders>
              <w:top w:val="nil"/>
              <w:left w:val="nil"/>
              <w:bottom w:val="single" w:sz="4" w:space="0" w:color="auto"/>
              <w:right w:val="single" w:sz="4" w:space="0" w:color="auto"/>
            </w:tcBorders>
            <w:shd w:val="clear" w:color="auto" w:fill="auto"/>
            <w:noWrap/>
            <w:vAlign w:val="bottom"/>
            <w:hideMark/>
          </w:tcPr>
          <w:p w14:paraId="7DD5FDA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Less: Initial Outlay </w:t>
            </w:r>
          </w:p>
        </w:tc>
        <w:tc>
          <w:tcPr>
            <w:tcW w:w="2478" w:type="dxa"/>
            <w:tcBorders>
              <w:top w:val="nil"/>
              <w:left w:val="nil"/>
              <w:bottom w:val="single" w:sz="4" w:space="0" w:color="auto"/>
              <w:right w:val="single" w:sz="4" w:space="0" w:color="auto"/>
            </w:tcBorders>
            <w:shd w:val="clear" w:color="auto" w:fill="auto"/>
            <w:noWrap/>
            <w:vAlign w:val="bottom"/>
            <w:hideMark/>
          </w:tcPr>
          <w:p w14:paraId="15705333"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xml:space="preserve">     (2.850)</w:t>
            </w:r>
          </w:p>
        </w:tc>
      </w:tr>
      <w:tr w:rsidR="00132A2C" w:rsidRPr="00DF377D" w14:paraId="071D220F" w14:textId="77777777" w:rsidTr="00C02BC7">
        <w:trPr>
          <w:trHeight w:val="141"/>
        </w:trPr>
        <w:tc>
          <w:tcPr>
            <w:tcW w:w="1905" w:type="dxa"/>
            <w:tcBorders>
              <w:top w:val="nil"/>
              <w:left w:val="single" w:sz="4" w:space="0" w:color="auto"/>
              <w:bottom w:val="single" w:sz="4" w:space="0" w:color="auto"/>
              <w:right w:val="single" w:sz="4" w:space="0" w:color="auto"/>
            </w:tcBorders>
            <w:shd w:val="clear" w:color="auto" w:fill="auto"/>
            <w:noWrap/>
            <w:vAlign w:val="bottom"/>
            <w:hideMark/>
          </w:tcPr>
          <w:p w14:paraId="25D69C97"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1905" w:type="dxa"/>
            <w:tcBorders>
              <w:top w:val="nil"/>
              <w:left w:val="nil"/>
              <w:bottom w:val="single" w:sz="4" w:space="0" w:color="auto"/>
              <w:right w:val="single" w:sz="4" w:space="0" w:color="auto"/>
            </w:tcBorders>
            <w:shd w:val="clear" w:color="auto" w:fill="auto"/>
            <w:noWrap/>
            <w:vAlign w:val="bottom"/>
            <w:hideMark/>
          </w:tcPr>
          <w:p w14:paraId="35420AF9" w14:textId="77777777" w:rsidR="00132A2C" w:rsidRPr="00DF377D" w:rsidRDefault="00132A2C" w:rsidP="00C02BC7">
            <w:pPr>
              <w:spacing w:after="0" w:line="360" w:lineRule="auto"/>
              <w:jc w:val="center"/>
              <w:rPr>
                <w:rFonts w:ascii="Times New Roman" w:eastAsia="Times New Roman" w:hAnsi="Times New Roman" w:cs="Times New Roman"/>
                <w:color w:val="000000"/>
                <w:sz w:val="24"/>
                <w:szCs w:val="24"/>
              </w:rPr>
            </w:pPr>
            <w:r w:rsidRPr="00DF377D">
              <w:rPr>
                <w:rFonts w:ascii="Times New Roman" w:eastAsia="Times New Roman" w:hAnsi="Times New Roman" w:cs="Times New Roman"/>
                <w:color w:val="000000"/>
                <w:sz w:val="24"/>
                <w:szCs w:val="24"/>
              </w:rPr>
              <w:t> </w:t>
            </w:r>
          </w:p>
        </w:tc>
        <w:tc>
          <w:tcPr>
            <w:tcW w:w="3383" w:type="dxa"/>
            <w:tcBorders>
              <w:top w:val="nil"/>
              <w:left w:val="nil"/>
              <w:bottom w:val="single" w:sz="4" w:space="0" w:color="auto"/>
              <w:right w:val="single" w:sz="4" w:space="0" w:color="auto"/>
            </w:tcBorders>
            <w:shd w:val="clear" w:color="auto" w:fill="auto"/>
            <w:noWrap/>
            <w:vAlign w:val="bottom"/>
            <w:hideMark/>
          </w:tcPr>
          <w:p w14:paraId="41ABBC30"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 xml:space="preserve"> NPV in Million $ </w:t>
            </w:r>
          </w:p>
        </w:tc>
        <w:tc>
          <w:tcPr>
            <w:tcW w:w="2478" w:type="dxa"/>
            <w:tcBorders>
              <w:top w:val="nil"/>
              <w:left w:val="nil"/>
              <w:bottom w:val="single" w:sz="4" w:space="0" w:color="auto"/>
              <w:right w:val="single" w:sz="4" w:space="0" w:color="auto"/>
            </w:tcBorders>
            <w:shd w:val="clear" w:color="auto" w:fill="auto"/>
            <w:noWrap/>
            <w:vAlign w:val="bottom"/>
            <w:hideMark/>
          </w:tcPr>
          <w:p w14:paraId="745F4D15" w14:textId="77777777" w:rsidR="00132A2C" w:rsidRPr="00DF377D" w:rsidRDefault="00132A2C" w:rsidP="00C02BC7">
            <w:pPr>
              <w:spacing w:after="0" w:line="360" w:lineRule="auto"/>
              <w:jc w:val="center"/>
              <w:rPr>
                <w:rFonts w:ascii="Times New Roman" w:eastAsia="Times New Roman" w:hAnsi="Times New Roman" w:cs="Times New Roman"/>
                <w:b/>
                <w:bCs/>
                <w:color w:val="000000"/>
                <w:sz w:val="24"/>
                <w:szCs w:val="24"/>
              </w:rPr>
            </w:pPr>
            <w:r w:rsidRPr="00DF377D">
              <w:rPr>
                <w:rFonts w:ascii="Times New Roman" w:eastAsia="Times New Roman" w:hAnsi="Times New Roman" w:cs="Times New Roman"/>
                <w:b/>
                <w:bCs/>
                <w:color w:val="000000"/>
                <w:sz w:val="24"/>
                <w:szCs w:val="24"/>
              </w:rPr>
              <w:t xml:space="preserve">        1.290 </w:t>
            </w:r>
          </w:p>
        </w:tc>
      </w:tr>
    </w:tbl>
    <w:p w14:paraId="03B03DA5" w14:textId="77777777" w:rsidR="00132A2C" w:rsidRPr="000F53F3" w:rsidRDefault="00132A2C" w:rsidP="00132A2C">
      <w:pPr>
        <w:spacing w:line="360" w:lineRule="auto"/>
        <w:rPr>
          <w:rFonts w:ascii="Times New Roman" w:hAnsi="Times New Roman" w:cs="Times New Roman"/>
          <w:sz w:val="24"/>
          <w:szCs w:val="24"/>
        </w:rPr>
      </w:pPr>
    </w:p>
    <w:p w14:paraId="1B398C28"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 xml:space="preserve">The above-mentioned NPV analysis is showing a favorable outcome for the management of Gemilang International. The cash flow of the company is expected to increase positively, and with each of the financial years. The discounting factor of 10% has been applied on the same scenario in order to discount the cash flow accordingly. The total cash flow that associated with the same implication is $ 4.140 Million. Initial outlay of $2.85 Million has been subtracted to reach on the NPV. The computed NPV along with all the assumptions heading above is $ 1.290 Million. It means that Gemilang International will have an added advantage by accepting this proposal, as it will increase its financial outcome and competitiveness. It is suggested to the company to accept this proposal as it will bring positive and effective results for them in the near future. </w:t>
      </w:r>
    </w:p>
    <w:p w14:paraId="09C28A44" w14:textId="77777777" w:rsidR="00132A2C" w:rsidRPr="000F53F3" w:rsidRDefault="00132A2C" w:rsidP="00132A2C">
      <w:pPr>
        <w:pStyle w:val="Heading2"/>
      </w:pPr>
      <w:bookmarkStart w:id="10" w:name="_Toc15819814"/>
      <w:r w:rsidRPr="000F53F3">
        <w:t>Internal Rate of Return (IRR) Analysis</w:t>
      </w:r>
      <w:bookmarkEnd w:id="10"/>
    </w:p>
    <w:p w14:paraId="073EFADE"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i/>
          <w:sz w:val="24"/>
          <w:szCs w:val="24"/>
        </w:rPr>
        <w:tab/>
      </w:r>
      <w:r w:rsidRPr="000F53F3">
        <w:rPr>
          <w:rFonts w:ascii="Times New Roman" w:hAnsi="Times New Roman" w:cs="Times New Roman"/>
          <w:sz w:val="24"/>
          <w:szCs w:val="24"/>
        </w:rPr>
        <w:t>Internal Rate of Return (IRR) is another valuable tool that connects with the analysis of investment appraisal. It is the point at which the NPV of the company becomes Zero (</w:t>
      </w:r>
      <w:r w:rsidRPr="000F53F3">
        <w:rPr>
          <w:rFonts w:ascii="Times New Roman" w:hAnsi="Times New Roman" w:cs="Times New Roman"/>
          <w:color w:val="222222"/>
          <w:sz w:val="24"/>
          <w:szCs w:val="24"/>
          <w:shd w:val="clear" w:color="auto" w:fill="FFFFFF"/>
        </w:rPr>
        <w:t>Chaffey, Hemphill and Edmundson-Bird, 2015)</w:t>
      </w:r>
      <w:r w:rsidRPr="000F53F3">
        <w:rPr>
          <w:rFonts w:ascii="Times New Roman" w:hAnsi="Times New Roman" w:cs="Times New Roman"/>
          <w:sz w:val="24"/>
          <w:szCs w:val="24"/>
        </w:rPr>
        <w:t>. It is one of the most important and widely used investment appraisal tools that uses by the companies to reach on a verdict about accepting or rejecting an investment proposal. The IRR based on the above-mentioned cash inflows is as follows</w:t>
      </w:r>
    </w:p>
    <w:tbl>
      <w:tblPr>
        <w:tblW w:w="9288" w:type="dxa"/>
        <w:tblInd w:w="93" w:type="dxa"/>
        <w:tblLook w:val="04A0" w:firstRow="1" w:lastRow="0" w:firstColumn="1" w:lastColumn="0" w:noHBand="0" w:noVBand="1"/>
      </w:tblPr>
      <w:tblGrid>
        <w:gridCol w:w="4644"/>
        <w:gridCol w:w="4644"/>
      </w:tblGrid>
      <w:tr w:rsidR="00132A2C" w:rsidRPr="001D5325" w14:paraId="0522FBE2" w14:textId="77777777" w:rsidTr="00C02BC7">
        <w:trPr>
          <w:trHeight w:val="134"/>
        </w:trPr>
        <w:tc>
          <w:tcPr>
            <w:tcW w:w="4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2AD7EA" w14:textId="77777777" w:rsidR="00132A2C" w:rsidRPr="001D5325" w:rsidRDefault="00132A2C" w:rsidP="00C02BC7">
            <w:pPr>
              <w:spacing w:after="0" w:line="360" w:lineRule="auto"/>
              <w:jc w:val="center"/>
              <w:rPr>
                <w:rFonts w:ascii="Times New Roman" w:eastAsia="Times New Roman" w:hAnsi="Times New Roman" w:cs="Times New Roman"/>
                <w:b/>
                <w:bCs/>
                <w:color w:val="000000"/>
                <w:sz w:val="24"/>
                <w:szCs w:val="24"/>
              </w:rPr>
            </w:pPr>
            <w:r w:rsidRPr="001D5325">
              <w:rPr>
                <w:rFonts w:ascii="Times New Roman" w:eastAsia="Times New Roman" w:hAnsi="Times New Roman" w:cs="Times New Roman"/>
                <w:b/>
                <w:bCs/>
                <w:color w:val="000000"/>
                <w:sz w:val="24"/>
                <w:szCs w:val="24"/>
              </w:rPr>
              <w:t>Year</w:t>
            </w:r>
          </w:p>
        </w:tc>
        <w:tc>
          <w:tcPr>
            <w:tcW w:w="4644" w:type="dxa"/>
            <w:tcBorders>
              <w:top w:val="single" w:sz="4" w:space="0" w:color="auto"/>
              <w:left w:val="nil"/>
              <w:bottom w:val="single" w:sz="4" w:space="0" w:color="auto"/>
              <w:right w:val="single" w:sz="4" w:space="0" w:color="auto"/>
            </w:tcBorders>
            <w:shd w:val="clear" w:color="auto" w:fill="auto"/>
            <w:noWrap/>
            <w:vAlign w:val="bottom"/>
            <w:hideMark/>
          </w:tcPr>
          <w:p w14:paraId="04A9E781" w14:textId="77777777" w:rsidR="00132A2C" w:rsidRPr="001D5325" w:rsidRDefault="00132A2C" w:rsidP="00C02BC7">
            <w:pPr>
              <w:spacing w:after="0" w:line="360" w:lineRule="auto"/>
              <w:jc w:val="center"/>
              <w:rPr>
                <w:rFonts w:ascii="Times New Roman" w:eastAsia="Times New Roman" w:hAnsi="Times New Roman" w:cs="Times New Roman"/>
                <w:b/>
                <w:bCs/>
                <w:color w:val="000000"/>
                <w:sz w:val="24"/>
                <w:szCs w:val="24"/>
              </w:rPr>
            </w:pPr>
            <w:r w:rsidRPr="001D5325">
              <w:rPr>
                <w:rFonts w:ascii="Times New Roman" w:eastAsia="Times New Roman" w:hAnsi="Times New Roman" w:cs="Times New Roman"/>
                <w:b/>
                <w:bCs/>
                <w:color w:val="000000"/>
                <w:sz w:val="24"/>
                <w:szCs w:val="24"/>
              </w:rPr>
              <w:t>Cash Flow in Million $</w:t>
            </w:r>
          </w:p>
        </w:tc>
      </w:tr>
      <w:tr w:rsidR="00132A2C" w:rsidRPr="001D5325" w14:paraId="5AA8AB6A"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2A25D38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0</w:t>
            </w:r>
          </w:p>
        </w:tc>
        <w:tc>
          <w:tcPr>
            <w:tcW w:w="4644" w:type="dxa"/>
            <w:tcBorders>
              <w:top w:val="nil"/>
              <w:left w:val="nil"/>
              <w:bottom w:val="single" w:sz="4" w:space="0" w:color="auto"/>
              <w:right w:val="single" w:sz="4" w:space="0" w:color="auto"/>
            </w:tcBorders>
            <w:shd w:val="clear" w:color="auto" w:fill="auto"/>
            <w:noWrap/>
            <w:vAlign w:val="bottom"/>
            <w:hideMark/>
          </w:tcPr>
          <w:p w14:paraId="0830FEB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(2.850)</w:t>
            </w:r>
          </w:p>
        </w:tc>
      </w:tr>
      <w:tr w:rsidR="00132A2C" w:rsidRPr="001D5325" w14:paraId="21640D5A"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13C4E1CB"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1</w:t>
            </w:r>
          </w:p>
        </w:tc>
        <w:tc>
          <w:tcPr>
            <w:tcW w:w="4644" w:type="dxa"/>
            <w:tcBorders>
              <w:top w:val="nil"/>
              <w:left w:val="nil"/>
              <w:bottom w:val="single" w:sz="4" w:space="0" w:color="auto"/>
              <w:right w:val="single" w:sz="4" w:space="0" w:color="auto"/>
            </w:tcBorders>
            <w:shd w:val="clear" w:color="auto" w:fill="auto"/>
            <w:noWrap/>
            <w:vAlign w:val="bottom"/>
            <w:hideMark/>
          </w:tcPr>
          <w:p w14:paraId="0316EBE3"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0.550 </w:t>
            </w:r>
          </w:p>
        </w:tc>
      </w:tr>
      <w:tr w:rsidR="00132A2C" w:rsidRPr="001D5325" w14:paraId="40FB54A6"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1660FDC8"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2</w:t>
            </w:r>
          </w:p>
        </w:tc>
        <w:tc>
          <w:tcPr>
            <w:tcW w:w="4644" w:type="dxa"/>
            <w:tcBorders>
              <w:top w:val="nil"/>
              <w:left w:val="nil"/>
              <w:bottom w:val="single" w:sz="4" w:space="0" w:color="auto"/>
              <w:right w:val="single" w:sz="4" w:space="0" w:color="auto"/>
            </w:tcBorders>
            <w:shd w:val="clear" w:color="auto" w:fill="auto"/>
            <w:noWrap/>
            <w:vAlign w:val="bottom"/>
            <w:hideMark/>
          </w:tcPr>
          <w:p w14:paraId="21F4A21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0.850 </w:t>
            </w:r>
          </w:p>
        </w:tc>
      </w:tr>
      <w:tr w:rsidR="00132A2C" w:rsidRPr="001D5325" w14:paraId="20F4484B"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04EB4DA8"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3</w:t>
            </w:r>
          </w:p>
        </w:tc>
        <w:tc>
          <w:tcPr>
            <w:tcW w:w="4644" w:type="dxa"/>
            <w:tcBorders>
              <w:top w:val="nil"/>
              <w:left w:val="nil"/>
              <w:bottom w:val="single" w:sz="4" w:space="0" w:color="auto"/>
              <w:right w:val="single" w:sz="4" w:space="0" w:color="auto"/>
            </w:tcBorders>
            <w:shd w:val="clear" w:color="auto" w:fill="auto"/>
            <w:noWrap/>
            <w:vAlign w:val="bottom"/>
            <w:hideMark/>
          </w:tcPr>
          <w:p w14:paraId="520EE858"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1.120 </w:t>
            </w:r>
          </w:p>
        </w:tc>
      </w:tr>
      <w:tr w:rsidR="00132A2C" w:rsidRPr="001D5325" w14:paraId="599DC2E4"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5686344B"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4</w:t>
            </w:r>
          </w:p>
        </w:tc>
        <w:tc>
          <w:tcPr>
            <w:tcW w:w="4644" w:type="dxa"/>
            <w:tcBorders>
              <w:top w:val="nil"/>
              <w:left w:val="nil"/>
              <w:bottom w:val="single" w:sz="4" w:space="0" w:color="auto"/>
              <w:right w:val="single" w:sz="4" w:space="0" w:color="auto"/>
            </w:tcBorders>
            <w:shd w:val="clear" w:color="auto" w:fill="auto"/>
            <w:noWrap/>
            <w:vAlign w:val="bottom"/>
            <w:hideMark/>
          </w:tcPr>
          <w:p w14:paraId="7591134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1.150 </w:t>
            </w:r>
          </w:p>
        </w:tc>
      </w:tr>
      <w:tr w:rsidR="00132A2C" w:rsidRPr="001D5325" w14:paraId="39AD4BBC"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144A89E9"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5</w:t>
            </w:r>
          </w:p>
        </w:tc>
        <w:tc>
          <w:tcPr>
            <w:tcW w:w="4644" w:type="dxa"/>
            <w:tcBorders>
              <w:top w:val="nil"/>
              <w:left w:val="nil"/>
              <w:bottom w:val="single" w:sz="4" w:space="0" w:color="auto"/>
              <w:right w:val="single" w:sz="4" w:space="0" w:color="auto"/>
            </w:tcBorders>
            <w:shd w:val="clear" w:color="auto" w:fill="auto"/>
            <w:noWrap/>
            <w:vAlign w:val="bottom"/>
            <w:hideMark/>
          </w:tcPr>
          <w:p w14:paraId="0A996466"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2.110 </w:t>
            </w:r>
          </w:p>
        </w:tc>
      </w:tr>
      <w:tr w:rsidR="00132A2C" w:rsidRPr="001D5325" w14:paraId="4A7E0147"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483F4B5B"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w:t>
            </w:r>
          </w:p>
        </w:tc>
        <w:tc>
          <w:tcPr>
            <w:tcW w:w="4644" w:type="dxa"/>
            <w:tcBorders>
              <w:top w:val="nil"/>
              <w:left w:val="nil"/>
              <w:bottom w:val="single" w:sz="4" w:space="0" w:color="auto"/>
              <w:right w:val="single" w:sz="4" w:space="0" w:color="auto"/>
            </w:tcBorders>
            <w:shd w:val="clear" w:color="auto" w:fill="auto"/>
            <w:noWrap/>
            <w:vAlign w:val="bottom"/>
            <w:hideMark/>
          </w:tcPr>
          <w:p w14:paraId="3F3AB6A7"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0.232 </w:t>
            </w:r>
          </w:p>
        </w:tc>
      </w:tr>
      <w:tr w:rsidR="00132A2C" w:rsidRPr="001D5325" w14:paraId="10A65BA5" w14:textId="77777777" w:rsidTr="00C02BC7">
        <w:trPr>
          <w:trHeight w:val="134"/>
        </w:trPr>
        <w:tc>
          <w:tcPr>
            <w:tcW w:w="4644" w:type="dxa"/>
            <w:tcBorders>
              <w:top w:val="nil"/>
              <w:left w:val="single" w:sz="4" w:space="0" w:color="auto"/>
              <w:bottom w:val="single" w:sz="4" w:space="0" w:color="auto"/>
              <w:right w:val="single" w:sz="4" w:space="0" w:color="auto"/>
            </w:tcBorders>
            <w:shd w:val="clear" w:color="auto" w:fill="auto"/>
            <w:noWrap/>
            <w:vAlign w:val="bottom"/>
            <w:hideMark/>
          </w:tcPr>
          <w:p w14:paraId="5F03EE1D"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lastRenderedPageBreak/>
              <w:t>IRR</w:t>
            </w:r>
            <w:r w:rsidRPr="000F53F3">
              <w:rPr>
                <w:rFonts w:ascii="Times New Roman" w:eastAsia="Times New Roman" w:hAnsi="Times New Roman" w:cs="Times New Roman"/>
                <w:color w:val="000000"/>
                <w:sz w:val="24"/>
                <w:szCs w:val="24"/>
              </w:rPr>
              <w:t xml:space="preserve"> %</w:t>
            </w:r>
          </w:p>
        </w:tc>
        <w:tc>
          <w:tcPr>
            <w:tcW w:w="4644" w:type="dxa"/>
            <w:tcBorders>
              <w:top w:val="nil"/>
              <w:left w:val="nil"/>
              <w:bottom w:val="single" w:sz="4" w:space="0" w:color="auto"/>
              <w:right w:val="single" w:sz="4" w:space="0" w:color="auto"/>
            </w:tcBorders>
            <w:shd w:val="clear" w:color="auto" w:fill="auto"/>
            <w:noWrap/>
            <w:vAlign w:val="bottom"/>
            <w:hideMark/>
          </w:tcPr>
          <w:p w14:paraId="34D2A8E6" w14:textId="77777777" w:rsidR="00132A2C" w:rsidRPr="001D5325" w:rsidRDefault="00132A2C" w:rsidP="00C02BC7">
            <w:pPr>
              <w:spacing w:after="0" w:line="360" w:lineRule="auto"/>
              <w:jc w:val="center"/>
              <w:rPr>
                <w:rFonts w:ascii="Times New Roman" w:eastAsia="Times New Roman" w:hAnsi="Times New Roman" w:cs="Times New Roman"/>
                <w:color w:val="000000"/>
                <w:sz w:val="24"/>
                <w:szCs w:val="24"/>
              </w:rPr>
            </w:pPr>
            <w:r w:rsidRPr="001D5325">
              <w:rPr>
                <w:rFonts w:ascii="Times New Roman" w:eastAsia="Times New Roman" w:hAnsi="Times New Roman" w:cs="Times New Roman"/>
                <w:color w:val="000000"/>
                <w:sz w:val="24"/>
                <w:szCs w:val="24"/>
              </w:rPr>
              <w:t xml:space="preserve">     23.172 </w:t>
            </w:r>
          </w:p>
        </w:tc>
      </w:tr>
    </w:tbl>
    <w:p w14:paraId="5916857B" w14:textId="77777777" w:rsidR="00132A2C" w:rsidRPr="000F53F3" w:rsidRDefault="00132A2C" w:rsidP="00132A2C">
      <w:pPr>
        <w:spacing w:line="360" w:lineRule="auto"/>
        <w:rPr>
          <w:rFonts w:ascii="Times New Roman" w:hAnsi="Times New Roman" w:cs="Times New Roman"/>
          <w:sz w:val="24"/>
          <w:szCs w:val="24"/>
        </w:rPr>
      </w:pPr>
    </w:p>
    <w:p w14:paraId="500BB6E5"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The above-mentioned IRR analysis is showing a favorable outcome for the management of Gemilang International. The cash flow of the company is expected to increase positively, and with each of the financial years. IRR should be compared with the current discount rate of the project in order to reach on a final verdict about accepting or rejecting the proposal. From the analysis, it is clearly found that the computed IRR is 23.17%, which is way higher than the original discount rate of 10%. It means that the project has the guts to increase its financial outcome in a positive manner. It means that Gemilang International will have an added advantage by accepting this proposal, as it will increase its financial outcome and competitiveness. It is suggested to the company to accept this proposal as it will bring positive and effective results for them in the near future of the company.</w:t>
      </w:r>
    </w:p>
    <w:p w14:paraId="6C7448A7"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br w:type="page"/>
      </w:r>
    </w:p>
    <w:p w14:paraId="44142A3A" w14:textId="77777777" w:rsidR="00132A2C" w:rsidRPr="000F53F3" w:rsidRDefault="00132A2C" w:rsidP="00132A2C">
      <w:pPr>
        <w:pStyle w:val="Heading1"/>
      </w:pPr>
      <w:bookmarkStart w:id="11" w:name="_Toc15819815"/>
      <w:r w:rsidRPr="000F53F3">
        <w:lastRenderedPageBreak/>
        <w:t>Task-5: Financing-Fund Rising</w:t>
      </w:r>
      <w:bookmarkEnd w:id="11"/>
      <w:r w:rsidRPr="000F53F3">
        <w:t xml:space="preserve"> </w:t>
      </w:r>
    </w:p>
    <w:p w14:paraId="54A4BAC7"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b/>
          <w:sz w:val="24"/>
          <w:szCs w:val="24"/>
        </w:rPr>
        <w:tab/>
      </w:r>
      <w:r w:rsidRPr="000F53F3">
        <w:rPr>
          <w:rFonts w:ascii="Times New Roman" w:hAnsi="Times New Roman" w:cs="Times New Roman"/>
          <w:sz w:val="24"/>
          <w:szCs w:val="24"/>
        </w:rPr>
        <w:t xml:space="preserve">Financing is yet another significant element from the viewpoint of an entity. It is mandatory for an organization to have necessary amount of financing for their competitiveness. It is assumed that the company is in need of financing based on 3% of the total assets for the year 2018. As per the estimation, the total amount required by the company is $506,097. It is 3% of the total assets of Gemilang International for the year 2018. There can be several ways through which the management of Gemilang International can have the necessary amount of financing. </w:t>
      </w:r>
    </w:p>
    <w:p w14:paraId="4E9E379D"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One option is taking the bank loan considering the amount which has been computed. It is one of the most common ways of acquiring the finance for an entity, and most of the corporations from all over the world use this option for their financing purpose. The main advantage of getting the finance from this source is the time. It means that this option is fast and accurate, and the company can avail the necessary amount of financing instantly. However, the biggest disadvantage that associated with the same implication is high cost initialization. Prevailing interest rate will be applied on the principle amount that certainly increases the cost of the financing.</w:t>
      </w:r>
    </w:p>
    <w:p w14:paraId="26C85B47"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 xml:space="preserve">The second option that could be use by Gemilang International is to float some bonds or right shares for their bond and shareholders. It is the most common way of acquiring the finance. The main advantage of acquiring the necessary financing from this medium is easiness. It means that certain amount of finance can be avail without having problem. However, the biggest disadvantage of this option is relating to their compensation. It means that Gemilang International has to compensate their shareholders, even if they are not earning profit on their investment. Based on the current financial analysis of the company, it is recommended to them to avail Bank Loan facility for the fund rising. The main rationale behind accepting this option is the net income of the company for the year 2018 that were in the negative zone. Shareholders might not attract with the offers of Bond and Right shares due to the current financial performance of the company.  </w:t>
      </w:r>
    </w:p>
    <w:p w14:paraId="6F627314" w14:textId="77777777" w:rsidR="00132A2C" w:rsidRPr="000F53F3" w:rsidRDefault="00132A2C" w:rsidP="00132A2C">
      <w:pPr>
        <w:pStyle w:val="Heading1"/>
      </w:pPr>
      <w:bookmarkStart w:id="12" w:name="_Toc15819816"/>
      <w:r w:rsidRPr="000F53F3">
        <w:t>Task-6: Audit Plan</w:t>
      </w:r>
      <w:bookmarkEnd w:id="12"/>
    </w:p>
    <w:p w14:paraId="2EE5C0A0"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ab/>
        <w:t>Based on the current problems highlighted in the above-mentioned sections, an audit plan is required that could overcome these issues professionally. The audit plan for the coming 12 months have been summarized in the table mentioned below</w:t>
      </w:r>
    </w:p>
    <w:tbl>
      <w:tblPr>
        <w:tblW w:w="9867" w:type="dxa"/>
        <w:tblInd w:w="93" w:type="dxa"/>
        <w:tblLook w:val="04A0" w:firstRow="1" w:lastRow="0" w:firstColumn="1" w:lastColumn="0" w:noHBand="0" w:noVBand="1"/>
      </w:tblPr>
      <w:tblGrid>
        <w:gridCol w:w="1532"/>
        <w:gridCol w:w="1177"/>
        <w:gridCol w:w="7315"/>
      </w:tblGrid>
      <w:tr w:rsidR="00132A2C" w:rsidRPr="00392372" w14:paraId="26105017" w14:textId="77777777" w:rsidTr="00C02BC7">
        <w:trPr>
          <w:trHeight w:val="276"/>
        </w:trPr>
        <w:tc>
          <w:tcPr>
            <w:tcW w:w="15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1B856E" w14:textId="77777777" w:rsidR="00132A2C" w:rsidRPr="00392372" w:rsidRDefault="00132A2C" w:rsidP="00C02BC7">
            <w:pPr>
              <w:spacing w:after="0" w:line="360" w:lineRule="auto"/>
              <w:jc w:val="center"/>
              <w:rPr>
                <w:rFonts w:ascii="Times New Roman" w:eastAsia="Times New Roman" w:hAnsi="Times New Roman" w:cs="Times New Roman"/>
                <w:b/>
                <w:bCs/>
                <w:color w:val="000000"/>
                <w:sz w:val="24"/>
                <w:szCs w:val="24"/>
              </w:rPr>
            </w:pPr>
            <w:r w:rsidRPr="00392372">
              <w:rPr>
                <w:rFonts w:ascii="Times New Roman" w:eastAsia="Times New Roman" w:hAnsi="Times New Roman" w:cs="Times New Roman"/>
                <w:b/>
                <w:bCs/>
                <w:color w:val="000000"/>
                <w:sz w:val="24"/>
                <w:szCs w:val="24"/>
              </w:rPr>
              <w:lastRenderedPageBreak/>
              <w:t>Attributes</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14:paraId="1DDA957E" w14:textId="77777777" w:rsidR="00132A2C" w:rsidRPr="00392372" w:rsidRDefault="00132A2C" w:rsidP="00C02BC7">
            <w:pPr>
              <w:spacing w:after="0" w:line="360" w:lineRule="auto"/>
              <w:jc w:val="center"/>
              <w:rPr>
                <w:rFonts w:ascii="Times New Roman" w:eastAsia="Times New Roman" w:hAnsi="Times New Roman" w:cs="Times New Roman"/>
                <w:b/>
                <w:bCs/>
                <w:color w:val="000000"/>
                <w:sz w:val="24"/>
                <w:szCs w:val="24"/>
              </w:rPr>
            </w:pPr>
            <w:r w:rsidRPr="00392372">
              <w:rPr>
                <w:rFonts w:ascii="Times New Roman" w:eastAsia="Times New Roman" w:hAnsi="Times New Roman" w:cs="Times New Roman"/>
                <w:b/>
                <w:bCs/>
                <w:color w:val="000000"/>
                <w:sz w:val="24"/>
                <w:szCs w:val="24"/>
              </w:rPr>
              <w:t>Financial Impact</w:t>
            </w:r>
          </w:p>
        </w:tc>
        <w:tc>
          <w:tcPr>
            <w:tcW w:w="7315" w:type="dxa"/>
            <w:tcBorders>
              <w:top w:val="single" w:sz="4" w:space="0" w:color="auto"/>
              <w:left w:val="nil"/>
              <w:bottom w:val="single" w:sz="4" w:space="0" w:color="auto"/>
              <w:right w:val="single" w:sz="4" w:space="0" w:color="auto"/>
            </w:tcBorders>
            <w:shd w:val="clear" w:color="auto" w:fill="auto"/>
            <w:noWrap/>
            <w:vAlign w:val="bottom"/>
            <w:hideMark/>
          </w:tcPr>
          <w:p w14:paraId="65A5D604" w14:textId="77777777" w:rsidR="00132A2C" w:rsidRPr="00392372" w:rsidRDefault="00132A2C" w:rsidP="00C02BC7">
            <w:pPr>
              <w:spacing w:after="0" w:line="360" w:lineRule="auto"/>
              <w:jc w:val="center"/>
              <w:rPr>
                <w:rFonts w:ascii="Times New Roman" w:eastAsia="Times New Roman" w:hAnsi="Times New Roman" w:cs="Times New Roman"/>
                <w:b/>
                <w:bCs/>
                <w:color w:val="000000"/>
                <w:sz w:val="24"/>
                <w:szCs w:val="24"/>
              </w:rPr>
            </w:pPr>
            <w:r w:rsidRPr="00392372">
              <w:rPr>
                <w:rFonts w:ascii="Times New Roman" w:eastAsia="Times New Roman" w:hAnsi="Times New Roman" w:cs="Times New Roman"/>
                <w:b/>
                <w:bCs/>
                <w:color w:val="000000"/>
                <w:sz w:val="24"/>
                <w:szCs w:val="24"/>
              </w:rPr>
              <w:t>Explanation</w:t>
            </w:r>
          </w:p>
        </w:tc>
      </w:tr>
      <w:tr w:rsidR="00132A2C" w:rsidRPr="00392372" w14:paraId="327B7EA9" w14:textId="77777777" w:rsidTr="00C02BC7">
        <w:trPr>
          <w:trHeight w:val="276"/>
        </w:trPr>
        <w:tc>
          <w:tcPr>
            <w:tcW w:w="1532" w:type="dxa"/>
            <w:tcBorders>
              <w:top w:val="nil"/>
              <w:left w:val="single" w:sz="4" w:space="0" w:color="auto"/>
              <w:bottom w:val="single" w:sz="4" w:space="0" w:color="auto"/>
              <w:right w:val="single" w:sz="4" w:space="0" w:color="auto"/>
            </w:tcBorders>
            <w:shd w:val="clear" w:color="auto" w:fill="auto"/>
            <w:noWrap/>
            <w:vAlign w:val="bottom"/>
            <w:hideMark/>
          </w:tcPr>
          <w:p w14:paraId="5ADD46C4"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Increasing Revenue</w:t>
            </w:r>
          </w:p>
        </w:tc>
        <w:tc>
          <w:tcPr>
            <w:tcW w:w="1020" w:type="dxa"/>
            <w:tcBorders>
              <w:top w:val="nil"/>
              <w:left w:val="nil"/>
              <w:bottom w:val="single" w:sz="4" w:space="0" w:color="auto"/>
              <w:right w:val="single" w:sz="4" w:space="0" w:color="auto"/>
            </w:tcBorders>
            <w:shd w:val="clear" w:color="auto" w:fill="auto"/>
            <w:noWrap/>
            <w:vAlign w:val="bottom"/>
            <w:hideMark/>
          </w:tcPr>
          <w:p w14:paraId="75F0A0D2"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High</w:t>
            </w:r>
          </w:p>
        </w:tc>
        <w:tc>
          <w:tcPr>
            <w:tcW w:w="7315" w:type="dxa"/>
            <w:tcBorders>
              <w:top w:val="nil"/>
              <w:left w:val="nil"/>
              <w:bottom w:val="single" w:sz="4" w:space="0" w:color="auto"/>
              <w:right w:val="single" w:sz="4" w:space="0" w:color="auto"/>
            </w:tcBorders>
            <w:shd w:val="clear" w:color="auto" w:fill="auto"/>
            <w:noWrap/>
            <w:vAlign w:val="bottom"/>
            <w:hideMark/>
          </w:tcPr>
          <w:p w14:paraId="2B568D67"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It is essential for the management of Gemilang International to increase its revenue on a regular basis. It can be achieved by exploring more avenues for them in the future</w:t>
            </w:r>
          </w:p>
        </w:tc>
      </w:tr>
      <w:tr w:rsidR="00132A2C" w:rsidRPr="00392372" w14:paraId="63A9D2DE" w14:textId="77777777" w:rsidTr="00C02BC7">
        <w:trPr>
          <w:trHeight w:val="276"/>
        </w:trPr>
        <w:tc>
          <w:tcPr>
            <w:tcW w:w="1532" w:type="dxa"/>
            <w:tcBorders>
              <w:top w:val="nil"/>
              <w:left w:val="single" w:sz="4" w:space="0" w:color="auto"/>
              <w:bottom w:val="single" w:sz="4" w:space="0" w:color="auto"/>
              <w:right w:val="single" w:sz="4" w:space="0" w:color="auto"/>
            </w:tcBorders>
            <w:shd w:val="clear" w:color="auto" w:fill="auto"/>
            <w:noWrap/>
            <w:vAlign w:val="bottom"/>
            <w:hideMark/>
          </w:tcPr>
          <w:p w14:paraId="46B6F5DB"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Management of Cost</w:t>
            </w:r>
          </w:p>
        </w:tc>
        <w:tc>
          <w:tcPr>
            <w:tcW w:w="1020" w:type="dxa"/>
            <w:tcBorders>
              <w:top w:val="nil"/>
              <w:left w:val="nil"/>
              <w:bottom w:val="single" w:sz="4" w:space="0" w:color="auto"/>
              <w:right w:val="single" w:sz="4" w:space="0" w:color="auto"/>
            </w:tcBorders>
            <w:shd w:val="clear" w:color="auto" w:fill="auto"/>
            <w:noWrap/>
            <w:vAlign w:val="bottom"/>
            <w:hideMark/>
          </w:tcPr>
          <w:p w14:paraId="7402B1F1"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Medium</w:t>
            </w:r>
          </w:p>
        </w:tc>
        <w:tc>
          <w:tcPr>
            <w:tcW w:w="7315" w:type="dxa"/>
            <w:tcBorders>
              <w:top w:val="nil"/>
              <w:left w:val="nil"/>
              <w:bottom w:val="single" w:sz="4" w:space="0" w:color="auto"/>
              <w:right w:val="single" w:sz="4" w:space="0" w:color="auto"/>
            </w:tcBorders>
            <w:shd w:val="clear" w:color="auto" w:fill="auto"/>
            <w:noWrap/>
            <w:vAlign w:val="bottom"/>
            <w:hideMark/>
          </w:tcPr>
          <w:p w14:paraId="26714D29"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Proper management of cost is essential for the company, and the impact is equally effective for Gemilang as well. The management has to apply relevant techniques to overcome its direct and indirect cost</w:t>
            </w:r>
          </w:p>
        </w:tc>
      </w:tr>
      <w:tr w:rsidR="00132A2C" w:rsidRPr="00392372" w14:paraId="192649A4" w14:textId="77777777" w:rsidTr="00C02BC7">
        <w:trPr>
          <w:trHeight w:val="276"/>
        </w:trPr>
        <w:tc>
          <w:tcPr>
            <w:tcW w:w="1532" w:type="dxa"/>
            <w:tcBorders>
              <w:top w:val="nil"/>
              <w:left w:val="single" w:sz="4" w:space="0" w:color="auto"/>
              <w:bottom w:val="single" w:sz="4" w:space="0" w:color="auto"/>
              <w:right w:val="single" w:sz="4" w:space="0" w:color="auto"/>
            </w:tcBorders>
            <w:shd w:val="clear" w:color="auto" w:fill="auto"/>
            <w:noWrap/>
            <w:vAlign w:val="bottom"/>
            <w:hideMark/>
          </w:tcPr>
          <w:p w14:paraId="050B789A"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Semi-Annual Meetings</w:t>
            </w:r>
          </w:p>
        </w:tc>
        <w:tc>
          <w:tcPr>
            <w:tcW w:w="1020" w:type="dxa"/>
            <w:tcBorders>
              <w:top w:val="nil"/>
              <w:left w:val="nil"/>
              <w:bottom w:val="single" w:sz="4" w:space="0" w:color="auto"/>
              <w:right w:val="single" w:sz="4" w:space="0" w:color="auto"/>
            </w:tcBorders>
            <w:shd w:val="clear" w:color="auto" w:fill="auto"/>
            <w:noWrap/>
            <w:vAlign w:val="bottom"/>
            <w:hideMark/>
          </w:tcPr>
          <w:p w14:paraId="241E5947"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Medium</w:t>
            </w:r>
          </w:p>
        </w:tc>
        <w:tc>
          <w:tcPr>
            <w:tcW w:w="7315" w:type="dxa"/>
            <w:tcBorders>
              <w:top w:val="nil"/>
              <w:left w:val="nil"/>
              <w:bottom w:val="single" w:sz="4" w:space="0" w:color="auto"/>
              <w:right w:val="single" w:sz="4" w:space="0" w:color="auto"/>
            </w:tcBorders>
            <w:shd w:val="clear" w:color="auto" w:fill="auto"/>
            <w:noWrap/>
            <w:vAlign w:val="bottom"/>
            <w:hideMark/>
          </w:tcPr>
          <w:p w14:paraId="3B53CE83"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 xml:space="preserve">Meet ups with the shareholders and employees is mandatory here to overcome the challenges, and </w:t>
            </w:r>
            <w:r w:rsidRPr="000F53F3">
              <w:rPr>
                <w:rFonts w:ascii="Times New Roman" w:eastAsia="Times New Roman" w:hAnsi="Times New Roman" w:cs="Times New Roman"/>
                <w:color w:val="000000"/>
                <w:sz w:val="24"/>
                <w:szCs w:val="24"/>
              </w:rPr>
              <w:t>maximizing</w:t>
            </w:r>
            <w:r w:rsidRPr="00392372">
              <w:rPr>
                <w:rFonts w:ascii="Times New Roman" w:eastAsia="Times New Roman" w:hAnsi="Times New Roman" w:cs="Times New Roman"/>
                <w:color w:val="000000"/>
                <w:sz w:val="24"/>
                <w:szCs w:val="24"/>
              </w:rPr>
              <w:t xml:space="preserve"> the financial outcome of the </w:t>
            </w:r>
            <w:r w:rsidRPr="000F53F3">
              <w:rPr>
                <w:rFonts w:ascii="Times New Roman" w:eastAsia="Times New Roman" w:hAnsi="Times New Roman" w:cs="Times New Roman"/>
                <w:color w:val="000000"/>
                <w:sz w:val="24"/>
                <w:szCs w:val="24"/>
              </w:rPr>
              <w:t>company</w:t>
            </w:r>
          </w:p>
        </w:tc>
      </w:tr>
      <w:tr w:rsidR="00132A2C" w:rsidRPr="00392372" w14:paraId="16CB6D13" w14:textId="77777777" w:rsidTr="00C02BC7">
        <w:trPr>
          <w:trHeight w:val="276"/>
        </w:trPr>
        <w:tc>
          <w:tcPr>
            <w:tcW w:w="1532" w:type="dxa"/>
            <w:tcBorders>
              <w:top w:val="nil"/>
              <w:left w:val="single" w:sz="4" w:space="0" w:color="auto"/>
              <w:bottom w:val="single" w:sz="4" w:space="0" w:color="auto"/>
              <w:right w:val="single" w:sz="4" w:space="0" w:color="auto"/>
            </w:tcBorders>
            <w:shd w:val="clear" w:color="auto" w:fill="auto"/>
            <w:noWrap/>
            <w:vAlign w:val="bottom"/>
            <w:hideMark/>
          </w:tcPr>
          <w:p w14:paraId="6CE3C815"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Management of Operational Expenses</w:t>
            </w:r>
          </w:p>
        </w:tc>
        <w:tc>
          <w:tcPr>
            <w:tcW w:w="1020" w:type="dxa"/>
            <w:tcBorders>
              <w:top w:val="nil"/>
              <w:left w:val="nil"/>
              <w:bottom w:val="single" w:sz="4" w:space="0" w:color="auto"/>
              <w:right w:val="single" w:sz="4" w:space="0" w:color="auto"/>
            </w:tcBorders>
            <w:shd w:val="clear" w:color="auto" w:fill="auto"/>
            <w:noWrap/>
            <w:vAlign w:val="bottom"/>
            <w:hideMark/>
          </w:tcPr>
          <w:p w14:paraId="797FAD9C"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High</w:t>
            </w:r>
          </w:p>
        </w:tc>
        <w:tc>
          <w:tcPr>
            <w:tcW w:w="7315" w:type="dxa"/>
            <w:tcBorders>
              <w:top w:val="nil"/>
              <w:left w:val="nil"/>
              <w:bottom w:val="single" w:sz="4" w:space="0" w:color="auto"/>
              <w:right w:val="single" w:sz="4" w:space="0" w:color="auto"/>
            </w:tcBorders>
            <w:shd w:val="clear" w:color="auto" w:fill="auto"/>
            <w:noWrap/>
            <w:vAlign w:val="bottom"/>
            <w:hideMark/>
          </w:tcPr>
          <w:p w14:paraId="32342DBD"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A strong check and balance needs to be applied on the current operational expenses of the company in order to manage them with perfection</w:t>
            </w:r>
          </w:p>
        </w:tc>
      </w:tr>
      <w:tr w:rsidR="00132A2C" w:rsidRPr="00392372" w14:paraId="1E6089E8" w14:textId="77777777" w:rsidTr="00C02BC7">
        <w:trPr>
          <w:trHeight w:val="276"/>
        </w:trPr>
        <w:tc>
          <w:tcPr>
            <w:tcW w:w="1532" w:type="dxa"/>
            <w:tcBorders>
              <w:top w:val="nil"/>
              <w:left w:val="single" w:sz="4" w:space="0" w:color="auto"/>
              <w:bottom w:val="single" w:sz="4" w:space="0" w:color="auto"/>
              <w:right w:val="single" w:sz="4" w:space="0" w:color="auto"/>
            </w:tcBorders>
            <w:shd w:val="clear" w:color="auto" w:fill="auto"/>
            <w:noWrap/>
            <w:vAlign w:val="bottom"/>
            <w:hideMark/>
          </w:tcPr>
          <w:p w14:paraId="15243B56"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Investment in Research and Development</w:t>
            </w:r>
          </w:p>
        </w:tc>
        <w:tc>
          <w:tcPr>
            <w:tcW w:w="1020" w:type="dxa"/>
            <w:tcBorders>
              <w:top w:val="nil"/>
              <w:left w:val="nil"/>
              <w:bottom w:val="single" w:sz="4" w:space="0" w:color="auto"/>
              <w:right w:val="single" w:sz="4" w:space="0" w:color="auto"/>
            </w:tcBorders>
            <w:shd w:val="clear" w:color="auto" w:fill="auto"/>
            <w:noWrap/>
            <w:vAlign w:val="bottom"/>
            <w:hideMark/>
          </w:tcPr>
          <w:p w14:paraId="2A050605"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High</w:t>
            </w:r>
          </w:p>
        </w:tc>
        <w:tc>
          <w:tcPr>
            <w:tcW w:w="7315" w:type="dxa"/>
            <w:tcBorders>
              <w:top w:val="nil"/>
              <w:left w:val="nil"/>
              <w:bottom w:val="single" w:sz="4" w:space="0" w:color="auto"/>
              <w:right w:val="single" w:sz="4" w:space="0" w:color="auto"/>
            </w:tcBorders>
            <w:shd w:val="clear" w:color="auto" w:fill="auto"/>
            <w:noWrap/>
            <w:vAlign w:val="bottom"/>
            <w:hideMark/>
          </w:tcPr>
          <w:p w14:paraId="1DC4B500" w14:textId="77777777" w:rsidR="00132A2C" w:rsidRPr="00392372" w:rsidRDefault="00132A2C" w:rsidP="00C02BC7">
            <w:pPr>
              <w:spacing w:after="0" w:line="360" w:lineRule="auto"/>
              <w:jc w:val="center"/>
              <w:rPr>
                <w:rFonts w:ascii="Times New Roman" w:eastAsia="Times New Roman" w:hAnsi="Times New Roman" w:cs="Times New Roman"/>
                <w:color w:val="000000"/>
                <w:sz w:val="24"/>
                <w:szCs w:val="24"/>
              </w:rPr>
            </w:pPr>
            <w:r w:rsidRPr="00392372">
              <w:rPr>
                <w:rFonts w:ascii="Times New Roman" w:eastAsia="Times New Roman" w:hAnsi="Times New Roman" w:cs="Times New Roman"/>
                <w:color w:val="000000"/>
                <w:sz w:val="24"/>
                <w:szCs w:val="24"/>
              </w:rPr>
              <w:t>Investment requires to be applied in a reasonable manner, so that proper actions could have been taken by them for their development and efficiency</w:t>
            </w:r>
          </w:p>
        </w:tc>
      </w:tr>
    </w:tbl>
    <w:p w14:paraId="78975900" w14:textId="77777777" w:rsidR="00132A2C" w:rsidRPr="000F53F3" w:rsidRDefault="00132A2C" w:rsidP="00132A2C">
      <w:pPr>
        <w:spacing w:line="360" w:lineRule="auto"/>
        <w:rPr>
          <w:rFonts w:ascii="Times New Roman" w:hAnsi="Times New Roman" w:cs="Times New Roman"/>
          <w:sz w:val="24"/>
          <w:szCs w:val="24"/>
        </w:rPr>
      </w:pPr>
    </w:p>
    <w:p w14:paraId="613E5F64"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t xml:space="preserve"> </w:t>
      </w:r>
    </w:p>
    <w:p w14:paraId="30DE6C0D" w14:textId="77777777" w:rsidR="00132A2C" w:rsidRPr="000F53F3" w:rsidRDefault="00132A2C" w:rsidP="00132A2C">
      <w:pPr>
        <w:spacing w:line="360" w:lineRule="auto"/>
        <w:rPr>
          <w:rFonts w:ascii="Times New Roman" w:hAnsi="Times New Roman" w:cs="Times New Roman"/>
          <w:sz w:val="24"/>
          <w:szCs w:val="24"/>
        </w:rPr>
      </w:pPr>
      <w:r w:rsidRPr="000F53F3">
        <w:rPr>
          <w:rFonts w:ascii="Times New Roman" w:hAnsi="Times New Roman" w:cs="Times New Roman"/>
          <w:sz w:val="24"/>
          <w:szCs w:val="24"/>
        </w:rPr>
        <w:br w:type="page"/>
      </w:r>
    </w:p>
    <w:p w14:paraId="5FE3F7B4" w14:textId="77777777" w:rsidR="00132A2C" w:rsidRPr="000F53F3" w:rsidRDefault="00132A2C" w:rsidP="00132A2C">
      <w:pPr>
        <w:pStyle w:val="Heading1"/>
      </w:pPr>
      <w:bookmarkStart w:id="13" w:name="_Toc15819817"/>
      <w:r w:rsidRPr="000F53F3">
        <w:lastRenderedPageBreak/>
        <w:t>References</w:t>
      </w:r>
      <w:bookmarkEnd w:id="13"/>
    </w:p>
    <w:p w14:paraId="47A28B15"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Adekola, A. and Sergi, B.S., 2016. </w:t>
      </w:r>
      <w:r w:rsidRPr="000F53F3">
        <w:rPr>
          <w:rFonts w:ascii="Times New Roman" w:hAnsi="Times New Roman" w:cs="Times New Roman"/>
          <w:i/>
          <w:iCs/>
          <w:color w:val="222222"/>
          <w:sz w:val="24"/>
          <w:szCs w:val="24"/>
          <w:shd w:val="clear" w:color="auto" w:fill="FFFFFF"/>
        </w:rPr>
        <w:t>Global business management: A cross-cultural perspective</w:t>
      </w:r>
      <w:r w:rsidRPr="000F53F3">
        <w:rPr>
          <w:rFonts w:ascii="Times New Roman" w:hAnsi="Times New Roman" w:cs="Times New Roman"/>
          <w:color w:val="222222"/>
          <w:sz w:val="24"/>
          <w:szCs w:val="24"/>
          <w:shd w:val="clear" w:color="auto" w:fill="FFFFFF"/>
        </w:rPr>
        <w:t>. Routledge.</w:t>
      </w:r>
    </w:p>
    <w:p w14:paraId="41BE848A" w14:textId="77777777" w:rsidR="00132A2C" w:rsidRPr="000F53F3" w:rsidRDefault="00132A2C" w:rsidP="00132A2C">
      <w:pPr>
        <w:spacing w:line="360" w:lineRule="auto"/>
        <w:ind w:left="720" w:hanging="720"/>
        <w:rPr>
          <w:rFonts w:ascii="Times New Roman" w:hAnsi="Times New Roman" w:cs="Times New Roman"/>
          <w:sz w:val="24"/>
          <w:szCs w:val="24"/>
        </w:rPr>
      </w:pPr>
      <w:r w:rsidRPr="000F53F3">
        <w:rPr>
          <w:rFonts w:ascii="Times New Roman" w:hAnsi="Times New Roman" w:cs="Times New Roman"/>
          <w:color w:val="222222"/>
          <w:sz w:val="24"/>
          <w:szCs w:val="24"/>
          <w:shd w:val="clear" w:color="auto" w:fill="FFFFFF"/>
        </w:rPr>
        <w:t>Chaffey, D., Hemphill, T. and Edmundson-Bird, D., 2015. </w:t>
      </w:r>
      <w:r w:rsidRPr="000F53F3">
        <w:rPr>
          <w:rFonts w:ascii="Times New Roman" w:hAnsi="Times New Roman" w:cs="Times New Roman"/>
          <w:i/>
          <w:iCs/>
          <w:color w:val="222222"/>
          <w:sz w:val="24"/>
          <w:szCs w:val="24"/>
          <w:shd w:val="clear" w:color="auto" w:fill="FFFFFF"/>
        </w:rPr>
        <w:t>Digital business and e-commerce management</w:t>
      </w:r>
      <w:r w:rsidRPr="000F53F3">
        <w:rPr>
          <w:rFonts w:ascii="Times New Roman" w:hAnsi="Times New Roman" w:cs="Times New Roman"/>
          <w:color w:val="222222"/>
          <w:sz w:val="24"/>
          <w:szCs w:val="24"/>
          <w:shd w:val="clear" w:color="auto" w:fill="FFFFFF"/>
        </w:rPr>
        <w:t>. Pearson UK.</w:t>
      </w:r>
    </w:p>
    <w:p w14:paraId="44EF68CA"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Dyllick, T. and Muff, K., 2016. Clarifying the meaning of sustainable business: Introducing a typology from business-as-usual to true business sustainability. </w:t>
      </w:r>
      <w:r w:rsidRPr="000F53F3">
        <w:rPr>
          <w:rFonts w:ascii="Times New Roman" w:hAnsi="Times New Roman" w:cs="Times New Roman"/>
          <w:i/>
          <w:iCs/>
          <w:color w:val="222222"/>
          <w:sz w:val="24"/>
          <w:szCs w:val="24"/>
          <w:shd w:val="clear" w:color="auto" w:fill="FFFFFF"/>
        </w:rPr>
        <w:t>Organization &amp; Environment</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29</w:t>
      </w:r>
      <w:r w:rsidRPr="000F53F3">
        <w:rPr>
          <w:rFonts w:ascii="Times New Roman" w:hAnsi="Times New Roman" w:cs="Times New Roman"/>
          <w:color w:val="222222"/>
          <w:sz w:val="24"/>
          <w:szCs w:val="24"/>
          <w:shd w:val="clear" w:color="auto" w:fill="FFFFFF"/>
        </w:rPr>
        <w:t>(2), pp.156-174.</w:t>
      </w:r>
    </w:p>
    <w:p w14:paraId="2F93F23D"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Fang, V.W., Huang, A.H. and Karpoff, J.M., 2016. Short selling and earnings management: A controlled experiment. </w:t>
      </w:r>
      <w:r w:rsidRPr="000F53F3">
        <w:rPr>
          <w:rFonts w:ascii="Times New Roman" w:hAnsi="Times New Roman" w:cs="Times New Roman"/>
          <w:i/>
          <w:iCs/>
          <w:color w:val="222222"/>
          <w:sz w:val="24"/>
          <w:szCs w:val="24"/>
          <w:shd w:val="clear" w:color="auto" w:fill="FFFFFF"/>
        </w:rPr>
        <w:t>The Journal of Finance</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71</w:t>
      </w:r>
      <w:r w:rsidRPr="000F53F3">
        <w:rPr>
          <w:rFonts w:ascii="Times New Roman" w:hAnsi="Times New Roman" w:cs="Times New Roman"/>
          <w:color w:val="222222"/>
          <w:sz w:val="24"/>
          <w:szCs w:val="24"/>
          <w:shd w:val="clear" w:color="auto" w:fill="FFFFFF"/>
        </w:rPr>
        <w:t>(3), pp.1251-1294.</w:t>
      </w:r>
    </w:p>
    <w:p w14:paraId="59C0D45E"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Farrell, M. and Gallagher, R., 2015. The valuation implications of enterprise risk management maturity. </w:t>
      </w:r>
      <w:r w:rsidRPr="000F53F3">
        <w:rPr>
          <w:rFonts w:ascii="Times New Roman" w:hAnsi="Times New Roman" w:cs="Times New Roman"/>
          <w:i/>
          <w:iCs/>
          <w:color w:val="222222"/>
          <w:sz w:val="24"/>
          <w:szCs w:val="24"/>
          <w:shd w:val="clear" w:color="auto" w:fill="FFFFFF"/>
        </w:rPr>
        <w:t>Journal of Risk and Insurance</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82</w:t>
      </w:r>
      <w:r w:rsidRPr="000F53F3">
        <w:rPr>
          <w:rFonts w:ascii="Times New Roman" w:hAnsi="Times New Roman" w:cs="Times New Roman"/>
          <w:color w:val="222222"/>
          <w:sz w:val="24"/>
          <w:szCs w:val="24"/>
          <w:shd w:val="clear" w:color="auto" w:fill="FFFFFF"/>
        </w:rPr>
        <w:t>(3), pp.625-657.</w:t>
      </w:r>
    </w:p>
    <w:p w14:paraId="559FFB8E"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Gelsomino, L.M., Mangiaracina, R., Perego, A. and Tumino, A., 2016. Supply chain finance: a literature review. </w:t>
      </w:r>
      <w:r w:rsidRPr="000F53F3">
        <w:rPr>
          <w:rFonts w:ascii="Times New Roman" w:hAnsi="Times New Roman" w:cs="Times New Roman"/>
          <w:i/>
          <w:iCs/>
          <w:color w:val="222222"/>
          <w:sz w:val="24"/>
          <w:szCs w:val="24"/>
          <w:shd w:val="clear" w:color="auto" w:fill="FFFFFF"/>
        </w:rPr>
        <w:t>International Journal of Physical Distribution &amp; Logistics Management</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46</w:t>
      </w:r>
      <w:r w:rsidRPr="000F53F3">
        <w:rPr>
          <w:rFonts w:ascii="Times New Roman" w:hAnsi="Times New Roman" w:cs="Times New Roman"/>
          <w:color w:val="222222"/>
          <w:sz w:val="24"/>
          <w:szCs w:val="24"/>
          <w:shd w:val="clear" w:color="auto" w:fill="FFFFFF"/>
        </w:rPr>
        <w:t>(4), pp.348-366.</w:t>
      </w:r>
    </w:p>
    <w:p w14:paraId="75825584"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Jenkins, W. and Williamson, D., 2015. </w:t>
      </w:r>
      <w:r w:rsidRPr="000F53F3">
        <w:rPr>
          <w:rFonts w:ascii="Times New Roman" w:hAnsi="Times New Roman" w:cs="Times New Roman"/>
          <w:i/>
          <w:iCs/>
          <w:color w:val="222222"/>
          <w:sz w:val="24"/>
          <w:szCs w:val="24"/>
          <w:shd w:val="clear" w:color="auto" w:fill="FFFFFF"/>
        </w:rPr>
        <w:t>Strategic management and business analysis</w:t>
      </w:r>
      <w:r w:rsidRPr="000F53F3">
        <w:rPr>
          <w:rFonts w:ascii="Times New Roman" w:hAnsi="Times New Roman" w:cs="Times New Roman"/>
          <w:color w:val="222222"/>
          <w:sz w:val="24"/>
          <w:szCs w:val="24"/>
          <w:shd w:val="clear" w:color="auto" w:fill="FFFFFF"/>
        </w:rPr>
        <w:t>. Routledge.</w:t>
      </w:r>
    </w:p>
    <w:p w14:paraId="2417AE7A"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Kaplan, A., 2017. European management and European business schools: Insights from the history of business schools. In </w:t>
      </w:r>
      <w:r w:rsidRPr="000F53F3">
        <w:rPr>
          <w:rFonts w:ascii="Times New Roman" w:hAnsi="Times New Roman" w:cs="Times New Roman"/>
          <w:i/>
          <w:iCs/>
          <w:color w:val="222222"/>
          <w:sz w:val="24"/>
          <w:szCs w:val="24"/>
          <w:shd w:val="clear" w:color="auto" w:fill="FFFFFF"/>
        </w:rPr>
        <w:t>Management Research</w:t>
      </w:r>
      <w:r w:rsidRPr="000F53F3">
        <w:rPr>
          <w:rFonts w:ascii="Times New Roman" w:hAnsi="Times New Roman" w:cs="Times New Roman"/>
          <w:color w:val="222222"/>
          <w:sz w:val="24"/>
          <w:szCs w:val="24"/>
          <w:shd w:val="clear" w:color="auto" w:fill="FFFFFF"/>
        </w:rPr>
        <w:t> (pp. 211-225). Routledge.</w:t>
      </w:r>
    </w:p>
    <w:p w14:paraId="3B8D4C2C"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Kaplan, R.S. and Atkinson, A.A., 2015. </w:t>
      </w:r>
      <w:r w:rsidRPr="000F53F3">
        <w:rPr>
          <w:rFonts w:ascii="Times New Roman" w:hAnsi="Times New Roman" w:cs="Times New Roman"/>
          <w:i/>
          <w:iCs/>
          <w:color w:val="222222"/>
          <w:sz w:val="24"/>
          <w:szCs w:val="24"/>
          <w:shd w:val="clear" w:color="auto" w:fill="FFFFFF"/>
        </w:rPr>
        <w:t>Advanced management accounting</w:t>
      </w:r>
      <w:r w:rsidRPr="000F53F3">
        <w:rPr>
          <w:rFonts w:ascii="Times New Roman" w:hAnsi="Times New Roman" w:cs="Times New Roman"/>
          <w:color w:val="222222"/>
          <w:sz w:val="24"/>
          <w:szCs w:val="24"/>
          <w:shd w:val="clear" w:color="auto" w:fill="FFFFFF"/>
        </w:rPr>
        <w:t>. PHI Learning.</w:t>
      </w:r>
    </w:p>
    <w:p w14:paraId="36B00342"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Linnenluecke, M.K., 2017. Resilience in business and management research: A review of influential publications and a research agenda. </w:t>
      </w:r>
      <w:r w:rsidRPr="000F53F3">
        <w:rPr>
          <w:rFonts w:ascii="Times New Roman" w:hAnsi="Times New Roman" w:cs="Times New Roman"/>
          <w:i/>
          <w:iCs/>
          <w:color w:val="222222"/>
          <w:sz w:val="24"/>
          <w:szCs w:val="24"/>
          <w:shd w:val="clear" w:color="auto" w:fill="FFFFFF"/>
        </w:rPr>
        <w:t>International Journal of Management Reviews</w:t>
      </w:r>
      <w:r w:rsidRPr="000F53F3">
        <w:rPr>
          <w:rFonts w:ascii="Times New Roman" w:hAnsi="Times New Roman" w:cs="Times New Roman"/>
          <w:color w:val="222222"/>
          <w:sz w:val="24"/>
          <w:szCs w:val="24"/>
          <w:shd w:val="clear" w:color="auto" w:fill="FFFFFF"/>
        </w:rPr>
        <w:t>, </w:t>
      </w:r>
      <w:r w:rsidRPr="000F53F3">
        <w:rPr>
          <w:rFonts w:ascii="Times New Roman" w:hAnsi="Times New Roman" w:cs="Times New Roman"/>
          <w:i/>
          <w:iCs/>
          <w:color w:val="222222"/>
          <w:sz w:val="24"/>
          <w:szCs w:val="24"/>
          <w:shd w:val="clear" w:color="auto" w:fill="FFFFFF"/>
        </w:rPr>
        <w:t>19</w:t>
      </w:r>
      <w:r w:rsidRPr="000F53F3">
        <w:rPr>
          <w:rFonts w:ascii="Times New Roman" w:hAnsi="Times New Roman" w:cs="Times New Roman"/>
          <w:color w:val="222222"/>
          <w:sz w:val="24"/>
          <w:szCs w:val="24"/>
          <w:shd w:val="clear" w:color="auto" w:fill="FFFFFF"/>
        </w:rPr>
        <w:t>(1), pp.4-30.</w:t>
      </w:r>
    </w:p>
    <w:p w14:paraId="1979DB90"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Maylor, H., Blackmon, K. and Huemann, M., 2016. </w:t>
      </w:r>
      <w:r w:rsidRPr="000F53F3">
        <w:rPr>
          <w:rFonts w:ascii="Times New Roman" w:hAnsi="Times New Roman" w:cs="Times New Roman"/>
          <w:i/>
          <w:iCs/>
          <w:color w:val="222222"/>
          <w:sz w:val="24"/>
          <w:szCs w:val="24"/>
          <w:shd w:val="clear" w:color="auto" w:fill="FFFFFF"/>
        </w:rPr>
        <w:t>Researching business and management</w:t>
      </w:r>
      <w:r w:rsidRPr="000F53F3">
        <w:rPr>
          <w:rFonts w:ascii="Times New Roman" w:hAnsi="Times New Roman" w:cs="Times New Roman"/>
          <w:color w:val="222222"/>
          <w:sz w:val="24"/>
          <w:szCs w:val="24"/>
          <w:shd w:val="clear" w:color="auto" w:fill="FFFFFF"/>
        </w:rPr>
        <w:t>. Macmillan International Higher Education.</w:t>
      </w:r>
    </w:p>
    <w:p w14:paraId="72E8DBF5"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Mien, N.T.N. and Thao, T.P., 2015. Factors affecting personal financial management behaviors: evidence from vietnam. In </w:t>
      </w:r>
      <w:r w:rsidRPr="000F53F3">
        <w:rPr>
          <w:rFonts w:ascii="Times New Roman" w:hAnsi="Times New Roman" w:cs="Times New Roman"/>
          <w:i/>
          <w:iCs/>
          <w:color w:val="222222"/>
          <w:sz w:val="24"/>
          <w:szCs w:val="24"/>
          <w:shd w:val="clear" w:color="auto" w:fill="FFFFFF"/>
        </w:rPr>
        <w:t>Proceedings of the Second Asia-Pacific Conference on Global Business, Economics, Finance and Social Sciences (AP15Vietnam Conference), 10-12/07/2015</w:t>
      </w:r>
      <w:r w:rsidRPr="000F53F3">
        <w:rPr>
          <w:rFonts w:ascii="Times New Roman" w:hAnsi="Times New Roman" w:cs="Times New Roman"/>
          <w:color w:val="222222"/>
          <w:sz w:val="24"/>
          <w:szCs w:val="24"/>
          <w:shd w:val="clear" w:color="auto" w:fill="FFFFFF"/>
        </w:rPr>
        <w:t>.</w:t>
      </w:r>
    </w:p>
    <w:p w14:paraId="6A4B2C21"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lastRenderedPageBreak/>
        <w:t>Moutinho, L. and Vargas-Sanchez, A. eds., 2018. </w:t>
      </w:r>
      <w:r w:rsidRPr="000F53F3">
        <w:rPr>
          <w:rFonts w:ascii="Times New Roman" w:hAnsi="Times New Roman" w:cs="Times New Roman"/>
          <w:i/>
          <w:iCs/>
          <w:color w:val="222222"/>
          <w:sz w:val="24"/>
          <w:szCs w:val="24"/>
          <w:shd w:val="clear" w:color="auto" w:fill="FFFFFF"/>
        </w:rPr>
        <w:t>Strategic Management in Tourism, CABI Tourism Texts</w:t>
      </w:r>
      <w:r w:rsidRPr="000F53F3">
        <w:rPr>
          <w:rFonts w:ascii="Times New Roman" w:hAnsi="Times New Roman" w:cs="Times New Roman"/>
          <w:color w:val="222222"/>
          <w:sz w:val="24"/>
          <w:szCs w:val="24"/>
          <w:shd w:val="clear" w:color="auto" w:fill="FFFFFF"/>
        </w:rPr>
        <w:t>. Cabi.</w:t>
      </w:r>
    </w:p>
    <w:p w14:paraId="60E8DE01"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Rosemann, M. and vom Brocke, J., 2015. The six core elements of business process management. In </w:t>
      </w:r>
      <w:r w:rsidRPr="000F53F3">
        <w:rPr>
          <w:rFonts w:ascii="Times New Roman" w:hAnsi="Times New Roman" w:cs="Times New Roman"/>
          <w:i/>
          <w:iCs/>
          <w:color w:val="222222"/>
          <w:sz w:val="24"/>
          <w:szCs w:val="24"/>
          <w:shd w:val="clear" w:color="auto" w:fill="FFFFFF"/>
        </w:rPr>
        <w:t>Handbook on business process management 1</w:t>
      </w:r>
      <w:r w:rsidRPr="000F53F3">
        <w:rPr>
          <w:rFonts w:ascii="Times New Roman" w:hAnsi="Times New Roman" w:cs="Times New Roman"/>
          <w:color w:val="222222"/>
          <w:sz w:val="24"/>
          <w:szCs w:val="24"/>
          <w:shd w:val="clear" w:color="auto" w:fill="FFFFFF"/>
        </w:rPr>
        <w:t> (pp. 105-122). Springer, Berlin, Heidelberg.</w:t>
      </w:r>
    </w:p>
    <w:p w14:paraId="6099BB68" w14:textId="77777777" w:rsidR="00132A2C" w:rsidRPr="000F53F3" w:rsidRDefault="00132A2C" w:rsidP="00132A2C">
      <w:pPr>
        <w:spacing w:line="360" w:lineRule="auto"/>
        <w:ind w:left="720" w:hanging="720"/>
        <w:rPr>
          <w:rFonts w:ascii="Times New Roman" w:hAnsi="Times New Roman" w:cs="Times New Roman"/>
          <w:color w:val="222222"/>
          <w:sz w:val="24"/>
          <w:szCs w:val="24"/>
          <w:shd w:val="clear" w:color="auto" w:fill="FFFFFF"/>
        </w:rPr>
      </w:pPr>
      <w:r w:rsidRPr="000F53F3">
        <w:rPr>
          <w:rFonts w:ascii="Times New Roman" w:hAnsi="Times New Roman" w:cs="Times New Roman"/>
          <w:color w:val="222222"/>
          <w:sz w:val="24"/>
          <w:szCs w:val="24"/>
          <w:shd w:val="clear" w:color="auto" w:fill="FFFFFF"/>
        </w:rPr>
        <w:t>Zietlow, J., Hankin, J.A., Seidner, A. and O'Brien, T., 2018. </w:t>
      </w:r>
      <w:r w:rsidRPr="000F53F3">
        <w:rPr>
          <w:rFonts w:ascii="Times New Roman" w:hAnsi="Times New Roman" w:cs="Times New Roman"/>
          <w:i/>
          <w:iCs/>
          <w:color w:val="222222"/>
          <w:sz w:val="24"/>
          <w:szCs w:val="24"/>
          <w:shd w:val="clear" w:color="auto" w:fill="FFFFFF"/>
        </w:rPr>
        <w:t>Financial management for nonprofit organizations: policies and practices</w:t>
      </w:r>
      <w:r w:rsidRPr="000F53F3">
        <w:rPr>
          <w:rFonts w:ascii="Times New Roman" w:hAnsi="Times New Roman" w:cs="Times New Roman"/>
          <w:color w:val="222222"/>
          <w:sz w:val="24"/>
          <w:szCs w:val="24"/>
          <w:shd w:val="clear" w:color="auto" w:fill="FFFFFF"/>
        </w:rPr>
        <w:t>. John Wiley &amp; Sons.</w:t>
      </w:r>
    </w:p>
    <w:p w14:paraId="04B765F8" w14:textId="77777777" w:rsidR="00132A2C" w:rsidRPr="000F53F3" w:rsidRDefault="00132A2C" w:rsidP="00132A2C">
      <w:pPr>
        <w:spacing w:line="360" w:lineRule="auto"/>
        <w:rPr>
          <w:rFonts w:ascii="Times New Roman" w:hAnsi="Times New Roman" w:cs="Times New Roman"/>
          <w:sz w:val="24"/>
          <w:szCs w:val="24"/>
        </w:rPr>
      </w:pPr>
    </w:p>
    <w:p w14:paraId="5BAF0CF7" w14:textId="77777777" w:rsidR="00132A2C" w:rsidRDefault="00132A2C"/>
    <w:sectPr w:rsidR="00132A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1398AE" w14:textId="77777777" w:rsidR="00B90B1F" w:rsidRDefault="00B90B1F" w:rsidP="006655D3">
      <w:pPr>
        <w:spacing w:after="0" w:line="240" w:lineRule="auto"/>
      </w:pPr>
      <w:r>
        <w:separator/>
      </w:r>
    </w:p>
  </w:endnote>
  <w:endnote w:type="continuationSeparator" w:id="0">
    <w:p w14:paraId="5C966E69" w14:textId="77777777" w:rsidR="00B90B1F" w:rsidRDefault="00B90B1F" w:rsidP="00665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FA071" w14:textId="77777777" w:rsidR="00B90B1F" w:rsidRDefault="00B90B1F" w:rsidP="006655D3">
      <w:pPr>
        <w:spacing w:after="0" w:line="240" w:lineRule="auto"/>
      </w:pPr>
      <w:r>
        <w:separator/>
      </w:r>
    </w:p>
  </w:footnote>
  <w:footnote w:type="continuationSeparator" w:id="0">
    <w:p w14:paraId="22E0F9E6" w14:textId="77777777" w:rsidR="00B90B1F" w:rsidRDefault="00B90B1F" w:rsidP="00665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A2C"/>
    <w:rsid w:val="00132A2C"/>
    <w:rsid w:val="006655D3"/>
    <w:rsid w:val="00B90B1F"/>
    <w:rsid w:val="00F54AD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9582A1"/>
  <w15:chartTrackingRefBased/>
  <w15:docId w15:val="{99E46EF1-9DCB-4C5C-AFAD-C1BE3360D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A2C"/>
    <w:pPr>
      <w:keepNext/>
      <w:keepLines/>
      <w:spacing w:before="480" w:after="0"/>
      <w:jc w:val="center"/>
      <w:outlineLvl w:val="0"/>
    </w:pPr>
    <w:rPr>
      <w:rFonts w:ascii="Times New Roman" w:eastAsiaTheme="majorEastAsia" w:hAnsi="Times New Roman" w:cstheme="majorBidi"/>
      <w:b/>
      <w:bCs/>
      <w:sz w:val="32"/>
      <w:szCs w:val="28"/>
      <w:lang w:val="en-US" w:eastAsia="en-US"/>
    </w:rPr>
  </w:style>
  <w:style w:type="paragraph" w:styleId="Heading2">
    <w:name w:val="heading 2"/>
    <w:basedOn w:val="Normal"/>
    <w:next w:val="Normal"/>
    <w:link w:val="Heading2Char"/>
    <w:uiPriority w:val="9"/>
    <w:unhideWhenUsed/>
    <w:qFormat/>
    <w:rsid w:val="00132A2C"/>
    <w:pPr>
      <w:keepNext/>
      <w:keepLines/>
      <w:spacing w:before="200" w:after="0"/>
      <w:outlineLvl w:val="1"/>
    </w:pPr>
    <w:rPr>
      <w:rFonts w:ascii="Times New Roman" w:eastAsiaTheme="majorEastAsia" w:hAnsi="Times New Roman" w:cstheme="majorBidi"/>
      <w:b/>
      <w:bCs/>
      <w:sz w:val="28"/>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A2C"/>
    <w:rPr>
      <w:rFonts w:ascii="Times New Roman" w:eastAsiaTheme="majorEastAsia" w:hAnsi="Times New Roman" w:cstheme="majorBidi"/>
      <w:b/>
      <w:bCs/>
      <w:sz w:val="32"/>
      <w:szCs w:val="28"/>
      <w:lang w:val="en-US" w:eastAsia="en-US"/>
    </w:rPr>
  </w:style>
  <w:style w:type="character" w:customStyle="1" w:styleId="Heading2Char">
    <w:name w:val="Heading 2 Char"/>
    <w:basedOn w:val="DefaultParagraphFont"/>
    <w:link w:val="Heading2"/>
    <w:uiPriority w:val="9"/>
    <w:rsid w:val="00132A2C"/>
    <w:rPr>
      <w:rFonts w:ascii="Times New Roman" w:eastAsiaTheme="majorEastAsia" w:hAnsi="Times New Roman" w:cstheme="majorBidi"/>
      <w:b/>
      <w:bCs/>
      <w:sz w:val="28"/>
      <w:szCs w:val="26"/>
      <w:lang w:val="en-US" w:eastAsia="en-US"/>
    </w:rPr>
  </w:style>
  <w:style w:type="character" w:styleId="Hyperlink">
    <w:name w:val="Hyperlink"/>
    <w:basedOn w:val="DefaultParagraphFont"/>
    <w:uiPriority w:val="99"/>
    <w:unhideWhenUsed/>
    <w:rsid w:val="00132A2C"/>
    <w:rPr>
      <w:color w:val="0000FF"/>
      <w:u w:val="single"/>
    </w:rPr>
  </w:style>
  <w:style w:type="paragraph" w:styleId="TOCHeading">
    <w:name w:val="TOC Heading"/>
    <w:basedOn w:val="Heading1"/>
    <w:next w:val="Normal"/>
    <w:uiPriority w:val="39"/>
    <w:semiHidden/>
    <w:unhideWhenUsed/>
    <w:qFormat/>
    <w:rsid w:val="00132A2C"/>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132A2C"/>
    <w:pPr>
      <w:spacing w:after="100"/>
    </w:pPr>
    <w:rPr>
      <w:rFonts w:eastAsiaTheme="minorHAnsi"/>
      <w:lang w:val="en-US" w:eastAsia="en-US"/>
    </w:rPr>
  </w:style>
  <w:style w:type="paragraph" w:styleId="TOC2">
    <w:name w:val="toc 2"/>
    <w:basedOn w:val="Normal"/>
    <w:next w:val="Normal"/>
    <w:autoRedefine/>
    <w:uiPriority w:val="39"/>
    <w:unhideWhenUsed/>
    <w:rsid w:val="00132A2C"/>
    <w:pPr>
      <w:spacing w:after="100"/>
      <w:ind w:left="220"/>
    </w:pPr>
    <w:rPr>
      <w:rFonts w:eastAsiaTheme="minorHAnsi"/>
      <w:lang w:val="en-US" w:eastAsia="en-US"/>
    </w:rPr>
  </w:style>
  <w:style w:type="paragraph" w:styleId="Header">
    <w:name w:val="header"/>
    <w:basedOn w:val="Normal"/>
    <w:link w:val="HeaderChar"/>
    <w:uiPriority w:val="99"/>
    <w:unhideWhenUsed/>
    <w:rsid w:val="00665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5D3"/>
  </w:style>
  <w:style w:type="paragraph" w:styleId="Footer">
    <w:name w:val="footer"/>
    <w:basedOn w:val="Normal"/>
    <w:link w:val="FooterChar"/>
    <w:uiPriority w:val="99"/>
    <w:unhideWhenUsed/>
    <w:rsid w:val="00665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5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'Trend and Ratio Analysis'!$C$1:$C$2</c:f>
              <c:strCache>
                <c:ptCount val="1"/>
                <c:pt idx="0">
                  <c:v>2016 Revenue in Million US$</c:v>
                </c:pt>
              </c:strCache>
            </c:strRef>
          </c:tx>
          <c:cat>
            <c:strRef>
              <c:f>'Trend and Ratio Analysis'!$B$3:$B$5</c:f>
              <c:strCache>
                <c:ptCount val="3"/>
                <c:pt idx="0">
                  <c:v>Gemilang International Limited</c:v>
                </c:pt>
                <c:pt idx="1">
                  <c:v>Xinyi Automobile Glass</c:v>
                </c:pt>
                <c:pt idx="2">
                  <c:v>Johnson Electric Holdings</c:v>
                </c:pt>
              </c:strCache>
            </c:strRef>
          </c:cat>
          <c:val>
            <c:numRef>
              <c:f>'Trend and Ratio Analysis'!$C$3:$C$5</c:f>
              <c:numCache>
                <c:formatCode>General</c:formatCode>
                <c:ptCount val="3"/>
                <c:pt idx="0">
                  <c:v>48.690000000000012</c:v>
                </c:pt>
                <c:pt idx="1">
                  <c:v>7.72</c:v>
                </c:pt>
                <c:pt idx="2">
                  <c:v>2235.9450000000002</c:v>
                </c:pt>
              </c:numCache>
            </c:numRef>
          </c:val>
          <c:smooth val="0"/>
          <c:extLst>
            <c:ext xmlns:c16="http://schemas.microsoft.com/office/drawing/2014/chart" uri="{C3380CC4-5D6E-409C-BE32-E72D297353CC}">
              <c16:uniqueId val="{00000000-A96E-49DB-BE19-1CD906B86A4E}"/>
            </c:ext>
          </c:extLst>
        </c:ser>
        <c:ser>
          <c:idx val="1"/>
          <c:order val="1"/>
          <c:tx>
            <c:strRef>
              <c:f>'Trend and Ratio Analysis'!$D$1:$D$2</c:f>
              <c:strCache>
                <c:ptCount val="1"/>
                <c:pt idx="0">
                  <c:v>2017 Revenue in Million US$</c:v>
                </c:pt>
              </c:strCache>
            </c:strRef>
          </c:tx>
          <c:cat>
            <c:strRef>
              <c:f>'Trend and Ratio Analysis'!$B$3:$B$5</c:f>
              <c:strCache>
                <c:ptCount val="3"/>
                <c:pt idx="0">
                  <c:v>Gemilang International Limited</c:v>
                </c:pt>
                <c:pt idx="1">
                  <c:v>Xinyi Automobile Glass</c:v>
                </c:pt>
                <c:pt idx="2">
                  <c:v>Johnson Electric Holdings</c:v>
                </c:pt>
              </c:strCache>
            </c:strRef>
          </c:cat>
          <c:val>
            <c:numRef>
              <c:f>'Trend and Ratio Analysis'!$D$3:$D$5</c:f>
              <c:numCache>
                <c:formatCode>General</c:formatCode>
                <c:ptCount val="3"/>
                <c:pt idx="0">
                  <c:v>50.353999999999999</c:v>
                </c:pt>
                <c:pt idx="1">
                  <c:v>16.268999999999981</c:v>
                </c:pt>
                <c:pt idx="2">
                  <c:v>2776.1010000000001</c:v>
                </c:pt>
              </c:numCache>
            </c:numRef>
          </c:val>
          <c:smooth val="0"/>
          <c:extLst>
            <c:ext xmlns:c16="http://schemas.microsoft.com/office/drawing/2014/chart" uri="{C3380CC4-5D6E-409C-BE32-E72D297353CC}">
              <c16:uniqueId val="{00000001-A96E-49DB-BE19-1CD906B86A4E}"/>
            </c:ext>
          </c:extLst>
        </c:ser>
        <c:ser>
          <c:idx val="2"/>
          <c:order val="2"/>
          <c:tx>
            <c:strRef>
              <c:f>'Trend and Ratio Analysis'!$E$1:$E$2</c:f>
              <c:strCache>
                <c:ptCount val="1"/>
                <c:pt idx="0">
                  <c:v>2018 Revenue in Million US$</c:v>
                </c:pt>
              </c:strCache>
            </c:strRef>
          </c:tx>
          <c:cat>
            <c:strRef>
              <c:f>'Trend and Ratio Analysis'!$B$3:$B$5</c:f>
              <c:strCache>
                <c:ptCount val="3"/>
                <c:pt idx="0">
                  <c:v>Gemilang International Limited</c:v>
                </c:pt>
                <c:pt idx="1">
                  <c:v>Xinyi Automobile Glass</c:v>
                </c:pt>
                <c:pt idx="2">
                  <c:v>Johnson Electric Holdings</c:v>
                </c:pt>
              </c:strCache>
            </c:strRef>
          </c:cat>
          <c:val>
            <c:numRef>
              <c:f>'Trend and Ratio Analysis'!$E$3:$E$5</c:f>
              <c:numCache>
                <c:formatCode>General</c:formatCode>
                <c:ptCount val="3"/>
                <c:pt idx="0">
                  <c:v>57.091000000000001</c:v>
                </c:pt>
                <c:pt idx="1">
                  <c:v>25.135999999999999</c:v>
                </c:pt>
                <c:pt idx="2">
                  <c:v>3236.56</c:v>
                </c:pt>
              </c:numCache>
            </c:numRef>
          </c:val>
          <c:smooth val="0"/>
          <c:extLst>
            <c:ext xmlns:c16="http://schemas.microsoft.com/office/drawing/2014/chart" uri="{C3380CC4-5D6E-409C-BE32-E72D297353CC}">
              <c16:uniqueId val="{00000002-A96E-49DB-BE19-1CD906B86A4E}"/>
            </c:ext>
          </c:extLst>
        </c:ser>
        <c:dLbls>
          <c:showLegendKey val="0"/>
          <c:showVal val="0"/>
          <c:showCatName val="0"/>
          <c:showSerName val="0"/>
          <c:showPercent val="0"/>
          <c:showBubbleSize val="0"/>
        </c:dLbls>
        <c:marker val="1"/>
        <c:smooth val="0"/>
        <c:axId val="108613632"/>
        <c:axId val="108615168"/>
      </c:lineChart>
      <c:catAx>
        <c:axId val="108613632"/>
        <c:scaling>
          <c:orientation val="minMax"/>
        </c:scaling>
        <c:delete val="0"/>
        <c:axPos val="b"/>
        <c:numFmt formatCode="General" sourceLinked="0"/>
        <c:majorTickMark val="out"/>
        <c:minorTickMark val="none"/>
        <c:tickLblPos val="nextTo"/>
        <c:crossAx val="108615168"/>
        <c:crosses val="autoZero"/>
        <c:auto val="1"/>
        <c:lblAlgn val="ctr"/>
        <c:lblOffset val="100"/>
        <c:noMultiLvlLbl val="0"/>
      </c:catAx>
      <c:valAx>
        <c:axId val="108615168"/>
        <c:scaling>
          <c:orientation val="minMax"/>
        </c:scaling>
        <c:delete val="0"/>
        <c:axPos val="l"/>
        <c:majorGridlines/>
        <c:numFmt formatCode="General" sourceLinked="1"/>
        <c:majorTickMark val="out"/>
        <c:minorTickMark val="none"/>
        <c:tickLblPos val="nextTo"/>
        <c:crossAx val="10861363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'Trend and Ratio Analysis'!$C$16:$C$17</c:f>
              <c:strCache>
                <c:ptCount val="1"/>
                <c:pt idx="0">
                  <c:v>2016 Net Income in Million US$</c:v>
                </c:pt>
              </c:strCache>
            </c:strRef>
          </c:tx>
          <c:invertIfNegative val="0"/>
          <c:cat>
            <c:strRef>
              <c:f>'Trend and Ratio Analysis'!$B$18:$B$20</c:f>
              <c:strCache>
                <c:ptCount val="3"/>
                <c:pt idx="0">
                  <c:v>Gemilang International Limited</c:v>
                </c:pt>
                <c:pt idx="1">
                  <c:v>Xinyi Automobile Glass</c:v>
                </c:pt>
                <c:pt idx="2">
                  <c:v>Johnson Electric Holdings</c:v>
                </c:pt>
              </c:strCache>
            </c:strRef>
          </c:cat>
          <c:val>
            <c:numRef>
              <c:f>'Trend and Ratio Analysis'!$C$18:$C$20</c:f>
              <c:numCache>
                <c:formatCode>General</c:formatCode>
                <c:ptCount val="3"/>
                <c:pt idx="0">
                  <c:v>2.1159999999999997</c:v>
                </c:pt>
                <c:pt idx="1">
                  <c:v>9.2900000000000066E-3</c:v>
                </c:pt>
                <c:pt idx="2">
                  <c:v>182.74699999999999</c:v>
                </c:pt>
              </c:numCache>
            </c:numRef>
          </c:val>
          <c:extLst>
            <c:ext xmlns:c16="http://schemas.microsoft.com/office/drawing/2014/chart" uri="{C3380CC4-5D6E-409C-BE32-E72D297353CC}">
              <c16:uniqueId val="{00000000-6615-4716-A178-46E0D704B197}"/>
            </c:ext>
          </c:extLst>
        </c:ser>
        <c:ser>
          <c:idx val="1"/>
          <c:order val="1"/>
          <c:tx>
            <c:strRef>
              <c:f>'Trend and Ratio Analysis'!$D$16:$D$17</c:f>
              <c:strCache>
                <c:ptCount val="1"/>
                <c:pt idx="0">
                  <c:v>2017 Net Income in Million US$</c:v>
                </c:pt>
              </c:strCache>
            </c:strRef>
          </c:tx>
          <c:invertIfNegative val="0"/>
          <c:cat>
            <c:strRef>
              <c:f>'Trend and Ratio Analysis'!$B$18:$B$20</c:f>
              <c:strCache>
                <c:ptCount val="3"/>
                <c:pt idx="0">
                  <c:v>Gemilang International Limited</c:v>
                </c:pt>
                <c:pt idx="1">
                  <c:v>Xinyi Automobile Glass</c:v>
                </c:pt>
                <c:pt idx="2">
                  <c:v>Johnson Electric Holdings</c:v>
                </c:pt>
              </c:strCache>
            </c:strRef>
          </c:cat>
          <c:val>
            <c:numRef>
              <c:f>'Trend and Ratio Analysis'!$D$18:$D$20</c:f>
              <c:numCache>
                <c:formatCode>General</c:formatCode>
                <c:ptCount val="3"/>
                <c:pt idx="0">
                  <c:v>1.1850000000000001</c:v>
                </c:pt>
                <c:pt idx="1">
                  <c:v>1.3839999999999992</c:v>
                </c:pt>
                <c:pt idx="2">
                  <c:v>245.506</c:v>
                </c:pt>
              </c:numCache>
            </c:numRef>
          </c:val>
          <c:extLst>
            <c:ext xmlns:c16="http://schemas.microsoft.com/office/drawing/2014/chart" uri="{C3380CC4-5D6E-409C-BE32-E72D297353CC}">
              <c16:uniqueId val="{00000001-6615-4716-A178-46E0D704B197}"/>
            </c:ext>
          </c:extLst>
        </c:ser>
        <c:ser>
          <c:idx val="2"/>
          <c:order val="2"/>
          <c:tx>
            <c:strRef>
              <c:f>'Trend and Ratio Analysis'!$E$16:$E$17</c:f>
              <c:strCache>
                <c:ptCount val="1"/>
                <c:pt idx="0">
                  <c:v>2018 Net Income in Million US$</c:v>
                </c:pt>
              </c:strCache>
            </c:strRef>
          </c:tx>
          <c:invertIfNegative val="0"/>
          <c:cat>
            <c:strRef>
              <c:f>'Trend and Ratio Analysis'!$B$18:$B$20</c:f>
              <c:strCache>
                <c:ptCount val="3"/>
                <c:pt idx="0">
                  <c:v>Gemilang International Limited</c:v>
                </c:pt>
                <c:pt idx="1">
                  <c:v>Xinyi Automobile Glass</c:v>
                </c:pt>
                <c:pt idx="2">
                  <c:v>Johnson Electric Holdings</c:v>
                </c:pt>
              </c:strCache>
            </c:strRef>
          </c:cat>
          <c:val>
            <c:numRef>
              <c:f>'Trend and Ratio Analysis'!$E$18:$E$20</c:f>
              <c:numCache>
                <c:formatCode>General</c:formatCode>
                <c:ptCount val="3"/>
                <c:pt idx="0">
                  <c:v>-1.446</c:v>
                </c:pt>
                <c:pt idx="1">
                  <c:v>8.7160000000000011</c:v>
                </c:pt>
                <c:pt idx="2">
                  <c:v>276.26599999999985</c:v>
                </c:pt>
              </c:numCache>
            </c:numRef>
          </c:val>
          <c:extLst>
            <c:ext xmlns:c16="http://schemas.microsoft.com/office/drawing/2014/chart" uri="{C3380CC4-5D6E-409C-BE32-E72D297353CC}">
              <c16:uniqueId val="{00000002-6615-4716-A178-46E0D704B197}"/>
            </c:ext>
          </c:extLst>
        </c:ser>
        <c:dLbls>
          <c:showLegendKey val="0"/>
          <c:showVal val="0"/>
          <c:showCatName val="0"/>
          <c:showSerName val="0"/>
          <c:showPercent val="0"/>
          <c:showBubbleSize val="0"/>
        </c:dLbls>
        <c:gapWidth val="150"/>
        <c:axId val="108649856"/>
        <c:axId val="108860544"/>
      </c:barChart>
      <c:catAx>
        <c:axId val="108649856"/>
        <c:scaling>
          <c:orientation val="minMax"/>
        </c:scaling>
        <c:delete val="0"/>
        <c:axPos val="b"/>
        <c:numFmt formatCode="General" sourceLinked="0"/>
        <c:majorTickMark val="out"/>
        <c:minorTickMark val="none"/>
        <c:tickLblPos val="nextTo"/>
        <c:txPr>
          <a:bodyPr/>
          <a:lstStyle/>
          <a:p>
            <a:pPr>
              <a:defRPr b="1"/>
            </a:pPr>
            <a:endParaRPr lang="en-US"/>
          </a:p>
        </c:txPr>
        <c:crossAx val="108860544"/>
        <c:crosses val="autoZero"/>
        <c:auto val="1"/>
        <c:lblAlgn val="ctr"/>
        <c:lblOffset val="100"/>
        <c:noMultiLvlLbl val="0"/>
      </c:catAx>
      <c:valAx>
        <c:axId val="108860544"/>
        <c:scaling>
          <c:orientation val="minMax"/>
        </c:scaling>
        <c:delete val="0"/>
        <c:axPos val="l"/>
        <c:majorGridlines/>
        <c:numFmt formatCode="General" sourceLinked="1"/>
        <c:majorTickMark val="out"/>
        <c:minorTickMark val="none"/>
        <c:tickLblPos val="nextTo"/>
        <c:crossAx val="108649856"/>
        <c:crosses val="autoZero"/>
        <c:crossBetween val="between"/>
      </c:valAx>
    </c:plotArea>
    <c:legend>
      <c:legendPos val="r"/>
      <c:overlay val="0"/>
      <c:txPr>
        <a:bodyPr/>
        <a:lstStyle/>
        <a:p>
          <a:pPr>
            <a:defRPr b="1"/>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'Trend and Ratio Analysis'!$C$30:$C$31</c:f>
              <c:strCache>
                <c:ptCount val="1"/>
                <c:pt idx="0">
                  <c:v>2016 NPM %</c:v>
                </c:pt>
              </c:strCache>
            </c:strRef>
          </c:tx>
          <c:invertIfNegative val="0"/>
          <c:cat>
            <c:strRef>
              <c:f>'Trend and Ratio Analysis'!$B$32:$B$34</c:f>
              <c:strCache>
                <c:ptCount val="3"/>
                <c:pt idx="0">
                  <c:v>Gemilang International Limited</c:v>
                </c:pt>
                <c:pt idx="1">
                  <c:v>Xinyi Automobile Glass</c:v>
                </c:pt>
                <c:pt idx="2">
                  <c:v>Johnson Electric Holdings</c:v>
                </c:pt>
              </c:strCache>
            </c:strRef>
          </c:cat>
          <c:val>
            <c:numRef>
              <c:f>'Trend and Ratio Analysis'!$C$32:$C$34</c:f>
              <c:numCache>
                <c:formatCode>_(* #,##0.00_);_(* \(#,##0.00\);_(* "-"??_);_(@_)</c:formatCode>
                <c:ptCount val="3"/>
                <c:pt idx="0">
                  <c:v>4.3458615732183201</c:v>
                </c:pt>
                <c:pt idx="1">
                  <c:v>0.12033678756476686</c:v>
                </c:pt>
                <c:pt idx="2">
                  <c:v>8.1731437937874141</c:v>
                </c:pt>
              </c:numCache>
            </c:numRef>
          </c:val>
          <c:extLst>
            <c:ext xmlns:c16="http://schemas.microsoft.com/office/drawing/2014/chart" uri="{C3380CC4-5D6E-409C-BE32-E72D297353CC}">
              <c16:uniqueId val="{00000000-0FC8-4F50-8E0C-ECC6A42DB9C8}"/>
            </c:ext>
          </c:extLst>
        </c:ser>
        <c:ser>
          <c:idx val="1"/>
          <c:order val="1"/>
          <c:tx>
            <c:strRef>
              <c:f>'Trend and Ratio Analysis'!$D$30:$D$31</c:f>
              <c:strCache>
                <c:ptCount val="1"/>
                <c:pt idx="0">
                  <c:v>2017 NPM %</c:v>
                </c:pt>
              </c:strCache>
            </c:strRef>
          </c:tx>
          <c:invertIfNegative val="0"/>
          <c:cat>
            <c:strRef>
              <c:f>'Trend and Ratio Analysis'!$B$32:$B$34</c:f>
              <c:strCache>
                <c:ptCount val="3"/>
                <c:pt idx="0">
                  <c:v>Gemilang International Limited</c:v>
                </c:pt>
                <c:pt idx="1">
                  <c:v>Xinyi Automobile Glass</c:v>
                </c:pt>
                <c:pt idx="2">
                  <c:v>Johnson Electric Holdings</c:v>
                </c:pt>
              </c:strCache>
            </c:strRef>
          </c:cat>
          <c:val>
            <c:numRef>
              <c:f>'Trend and Ratio Analysis'!$D$32:$D$34</c:f>
              <c:numCache>
                <c:formatCode>_(* #,##0.00_);_(* \(#,##0.00\);_(* "-"??_);_(@_)</c:formatCode>
                <c:ptCount val="3"/>
                <c:pt idx="0">
                  <c:v>2.3533383643801877</c:v>
                </c:pt>
                <c:pt idx="1">
                  <c:v>8.5069764582949166</c:v>
                </c:pt>
                <c:pt idx="2">
                  <c:v>8.8435543231316167</c:v>
                </c:pt>
              </c:numCache>
            </c:numRef>
          </c:val>
          <c:extLst>
            <c:ext xmlns:c16="http://schemas.microsoft.com/office/drawing/2014/chart" uri="{C3380CC4-5D6E-409C-BE32-E72D297353CC}">
              <c16:uniqueId val="{00000001-0FC8-4F50-8E0C-ECC6A42DB9C8}"/>
            </c:ext>
          </c:extLst>
        </c:ser>
        <c:ser>
          <c:idx val="2"/>
          <c:order val="2"/>
          <c:tx>
            <c:strRef>
              <c:f>'Trend and Ratio Analysis'!$E$30:$E$31</c:f>
              <c:strCache>
                <c:ptCount val="1"/>
                <c:pt idx="0">
                  <c:v>2018 NPM %</c:v>
                </c:pt>
              </c:strCache>
            </c:strRef>
          </c:tx>
          <c:invertIfNegative val="0"/>
          <c:cat>
            <c:strRef>
              <c:f>'Trend and Ratio Analysis'!$B$32:$B$34</c:f>
              <c:strCache>
                <c:ptCount val="3"/>
                <c:pt idx="0">
                  <c:v>Gemilang International Limited</c:v>
                </c:pt>
                <c:pt idx="1">
                  <c:v>Xinyi Automobile Glass</c:v>
                </c:pt>
                <c:pt idx="2">
                  <c:v>Johnson Electric Holdings</c:v>
                </c:pt>
              </c:strCache>
            </c:strRef>
          </c:cat>
          <c:val>
            <c:numRef>
              <c:f>'Trend and Ratio Analysis'!$E$32:$E$34</c:f>
              <c:numCache>
                <c:formatCode>_(* #,##0.00_);_(* \(#,##0.00\);_(* "-"??_);_(@_)</c:formatCode>
                <c:ptCount val="3"/>
                <c:pt idx="0">
                  <c:v>-2.5327985146520469</c:v>
                </c:pt>
                <c:pt idx="1">
                  <c:v>34.675366008911517</c:v>
                </c:pt>
                <c:pt idx="2">
                  <c:v>8.5357910868329352</c:v>
                </c:pt>
              </c:numCache>
            </c:numRef>
          </c:val>
          <c:extLst>
            <c:ext xmlns:c16="http://schemas.microsoft.com/office/drawing/2014/chart" uri="{C3380CC4-5D6E-409C-BE32-E72D297353CC}">
              <c16:uniqueId val="{00000002-0FC8-4F50-8E0C-ECC6A42DB9C8}"/>
            </c:ext>
          </c:extLst>
        </c:ser>
        <c:dLbls>
          <c:showLegendKey val="0"/>
          <c:showVal val="0"/>
          <c:showCatName val="0"/>
          <c:showSerName val="0"/>
          <c:showPercent val="0"/>
          <c:showBubbleSize val="0"/>
        </c:dLbls>
        <c:gapWidth val="150"/>
        <c:shape val="cylinder"/>
        <c:axId val="108876928"/>
        <c:axId val="108878464"/>
        <c:axId val="0"/>
      </c:bar3DChart>
      <c:catAx>
        <c:axId val="108876928"/>
        <c:scaling>
          <c:orientation val="minMax"/>
        </c:scaling>
        <c:delete val="0"/>
        <c:axPos val="b"/>
        <c:numFmt formatCode="General" sourceLinked="0"/>
        <c:majorTickMark val="out"/>
        <c:minorTickMark val="none"/>
        <c:tickLblPos val="nextTo"/>
        <c:crossAx val="108878464"/>
        <c:crosses val="autoZero"/>
        <c:auto val="1"/>
        <c:lblAlgn val="ctr"/>
        <c:lblOffset val="100"/>
        <c:noMultiLvlLbl val="0"/>
      </c:catAx>
      <c:valAx>
        <c:axId val="108878464"/>
        <c:scaling>
          <c:orientation val="minMax"/>
        </c:scaling>
        <c:delete val="0"/>
        <c:axPos val="l"/>
        <c:majorGridlines/>
        <c:numFmt formatCode="_(* #,##0.00_);_(* \(#,##0.00\);_(* &quot;-&quot;??_);_(@_)" sourceLinked="1"/>
        <c:majorTickMark val="out"/>
        <c:minorTickMark val="none"/>
        <c:tickLblPos val="nextTo"/>
        <c:crossAx val="10887692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'Trend and Ratio Analysis'!$C$39:$C$40</c:f>
              <c:strCache>
                <c:ptCount val="1"/>
                <c:pt idx="0">
                  <c:v>2016 CR</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'Trend and Ratio Analysis'!$B$41:$B$43</c:f>
              <c:strCache>
                <c:ptCount val="3"/>
                <c:pt idx="0">
                  <c:v>Gemilang International Limited</c:v>
                </c:pt>
                <c:pt idx="1">
                  <c:v>Xinyi Automobile Glass</c:v>
                </c:pt>
                <c:pt idx="2">
                  <c:v>Johnson Electric Holdings</c:v>
                </c:pt>
              </c:strCache>
            </c:strRef>
          </c:cat>
          <c:val>
            <c:numRef>
              <c:f>'Trend and Ratio Analysis'!$C$41:$C$43</c:f>
              <c:numCache>
                <c:formatCode>_(* #,##0.00_);_(* \(#,##0.00\);_(* "-"??_);_(@_)</c:formatCode>
                <c:ptCount val="3"/>
                <c:pt idx="0">
                  <c:v>0.99755896525488208</c:v>
                </c:pt>
                <c:pt idx="1">
                  <c:v>1.5696518630955301</c:v>
                </c:pt>
                <c:pt idx="2">
                  <c:v>1.5802968597287641</c:v>
                </c:pt>
              </c:numCache>
            </c:numRef>
          </c:val>
          <c:smooth val="0"/>
          <c:extLst>
            <c:ext xmlns:c16="http://schemas.microsoft.com/office/drawing/2014/chart" uri="{C3380CC4-5D6E-409C-BE32-E72D297353CC}">
              <c16:uniqueId val="{00000000-9FBA-44A8-9F49-C0253671A504}"/>
            </c:ext>
          </c:extLst>
        </c:ser>
        <c:ser>
          <c:idx val="1"/>
          <c:order val="1"/>
          <c:tx>
            <c:strRef>
              <c:f>'Trend and Ratio Analysis'!$D$39:$D$40</c:f>
              <c:strCache>
                <c:ptCount val="1"/>
                <c:pt idx="0">
                  <c:v>2017 CR</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'Trend and Ratio Analysis'!$B$41:$B$43</c:f>
              <c:strCache>
                <c:ptCount val="3"/>
                <c:pt idx="0">
                  <c:v>Gemilang International Limited</c:v>
                </c:pt>
                <c:pt idx="1">
                  <c:v>Xinyi Automobile Glass</c:v>
                </c:pt>
                <c:pt idx="2">
                  <c:v>Johnson Electric Holdings</c:v>
                </c:pt>
              </c:strCache>
            </c:strRef>
          </c:cat>
          <c:val>
            <c:numRef>
              <c:f>'Trend and Ratio Analysis'!$D$41:$D$43</c:f>
              <c:numCache>
                <c:formatCode>_(* #,##0.00_);_(* \(#,##0.00\);_(* "-"??_);_(@_)</c:formatCode>
                <c:ptCount val="3"/>
                <c:pt idx="0">
                  <c:v>1.4014327096218586</c:v>
                </c:pt>
                <c:pt idx="1">
                  <c:v>1.0882059953624257</c:v>
                </c:pt>
                <c:pt idx="2">
                  <c:v>1.604387388773312</c:v>
                </c:pt>
              </c:numCache>
            </c:numRef>
          </c:val>
          <c:smooth val="0"/>
          <c:extLst>
            <c:ext xmlns:c16="http://schemas.microsoft.com/office/drawing/2014/chart" uri="{C3380CC4-5D6E-409C-BE32-E72D297353CC}">
              <c16:uniqueId val="{00000001-9FBA-44A8-9F49-C0253671A504}"/>
            </c:ext>
          </c:extLst>
        </c:ser>
        <c:ser>
          <c:idx val="2"/>
          <c:order val="2"/>
          <c:tx>
            <c:strRef>
              <c:f>'Trend and Ratio Analysis'!$E$39:$E$40</c:f>
              <c:strCache>
                <c:ptCount val="1"/>
                <c:pt idx="0">
                  <c:v>2018 CR</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'Trend and Ratio Analysis'!$B$41:$B$43</c:f>
              <c:strCache>
                <c:ptCount val="3"/>
                <c:pt idx="0">
                  <c:v>Gemilang International Limited</c:v>
                </c:pt>
                <c:pt idx="1">
                  <c:v>Xinyi Automobile Glass</c:v>
                </c:pt>
                <c:pt idx="2">
                  <c:v>Johnson Electric Holdings</c:v>
                </c:pt>
              </c:strCache>
            </c:strRef>
          </c:cat>
          <c:val>
            <c:numRef>
              <c:f>'Trend and Ratio Analysis'!$E$41:$E$43</c:f>
              <c:numCache>
                <c:formatCode>_(* #,##0.00_);_(* \(#,##0.00\);_(* "-"??_);_(@_)</c:formatCode>
                <c:ptCount val="3"/>
                <c:pt idx="0">
                  <c:v>1.2719726889350018</c:v>
                </c:pt>
                <c:pt idx="1">
                  <c:v>4.6271896420411265</c:v>
                </c:pt>
                <c:pt idx="2">
                  <c:v>1.5152093992385478</c:v>
                </c:pt>
              </c:numCache>
            </c:numRef>
          </c:val>
          <c:smooth val="0"/>
          <c:extLst>
            <c:ext xmlns:c16="http://schemas.microsoft.com/office/drawing/2014/chart" uri="{C3380CC4-5D6E-409C-BE32-E72D297353CC}">
              <c16:uniqueId val="{00000002-9FBA-44A8-9F49-C0253671A504}"/>
            </c:ext>
          </c:extLst>
        </c:ser>
        <c:dLbls>
          <c:showLegendKey val="0"/>
          <c:showVal val="0"/>
          <c:showCatName val="0"/>
          <c:showSerName val="0"/>
          <c:showPercent val="0"/>
          <c:showBubbleSize val="0"/>
        </c:dLbls>
        <c:marker val="1"/>
        <c:smooth val="0"/>
        <c:axId val="108914560"/>
        <c:axId val="108916096"/>
      </c:lineChart>
      <c:catAx>
        <c:axId val="108914560"/>
        <c:scaling>
          <c:orientation val="minMax"/>
        </c:scaling>
        <c:delete val="0"/>
        <c:axPos val="b"/>
        <c:numFmt formatCode="General" sourceLinked="0"/>
        <c:majorTickMark val="out"/>
        <c:minorTickMark val="none"/>
        <c:tickLblPos val="nextTo"/>
        <c:txPr>
          <a:bodyPr/>
          <a:lstStyle/>
          <a:p>
            <a:pPr>
              <a:defRPr b="1"/>
            </a:pPr>
            <a:endParaRPr lang="en-US"/>
          </a:p>
        </c:txPr>
        <c:crossAx val="108916096"/>
        <c:crosses val="autoZero"/>
        <c:auto val="1"/>
        <c:lblAlgn val="ctr"/>
        <c:lblOffset val="100"/>
        <c:noMultiLvlLbl val="0"/>
      </c:catAx>
      <c:valAx>
        <c:axId val="108916096"/>
        <c:scaling>
          <c:orientation val="minMax"/>
        </c:scaling>
        <c:delete val="0"/>
        <c:axPos val="l"/>
        <c:majorGridlines/>
        <c:numFmt formatCode="_(* #,##0.00_);_(* \(#,##0.00\);_(* &quot;-&quot;??_);_(@_)" sourceLinked="1"/>
        <c:majorTickMark val="out"/>
        <c:minorTickMark val="none"/>
        <c:tickLblPos val="nextTo"/>
        <c:crossAx val="108914560"/>
        <c:crosses val="autoZero"/>
        <c:crossBetween val="between"/>
      </c:valAx>
    </c:plotArea>
    <c:legend>
      <c:legendPos val="r"/>
      <c:overlay val="0"/>
      <c:txPr>
        <a:bodyPr/>
        <a:lstStyle/>
        <a:p>
          <a:pPr>
            <a:defRPr b="1"/>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'Trend and Ratio Analysis'!$C$51:$C$52</c:f>
              <c:strCache>
                <c:ptCount val="1"/>
                <c:pt idx="0">
                  <c:v>2016 D/E</c:v>
                </c:pt>
              </c:strCache>
            </c:strRef>
          </c:tx>
          <c:cat>
            <c:strRef>
              <c:f>'Trend and Ratio Analysis'!$B$53:$B$55</c:f>
              <c:strCache>
                <c:ptCount val="3"/>
                <c:pt idx="0">
                  <c:v>Gemilang International Limited</c:v>
                </c:pt>
                <c:pt idx="1">
                  <c:v>Xinyi Automobile Glass</c:v>
                </c:pt>
                <c:pt idx="2">
                  <c:v>Johnson Electric Holdings</c:v>
                </c:pt>
              </c:strCache>
            </c:strRef>
          </c:cat>
          <c:val>
            <c:numRef>
              <c:f>'Trend and Ratio Analysis'!$C$53:$C$55</c:f>
              <c:numCache>
                <c:formatCode>_(* #,##0.00_);_(* \(#,##0.00\);_(* "-"??_);_(@_)</c:formatCode>
                <c:ptCount val="3"/>
                <c:pt idx="0">
                  <c:v>1.0329296502925556</c:v>
                </c:pt>
                <c:pt idx="1">
                  <c:v>0.40081691682301457</c:v>
                </c:pt>
                <c:pt idx="2">
                  <c:v>0.32374857400880747</c:v>
                </c:pt>
              </c:numCache>
            </c:numRef>
          </c:val>
          <c:smooth val="0"/>
          <c:extLst>
            <c:ext xmlns:c16="http://schemas.microsoft.com/office/drawing/2014/chart" uri="{C3380CC4-5D6E-409C-BE32-E72D297353CC}">
              <c16:uniqueId val="{00000000-B511-4FA8-87CE-35D0798B88DE}"/>
            </c:ext>
          </c:extLst>
        </c:ser>
        <c:ser>
          <c:idx val="1"/>
          <c:order val="1"/>
          <c:tx>
            <c:strRef>
              <c:f>'Trend and Ratio Analysis'!$D$51:$D$52</c:f>
              <c:strCache>
                <c:ptCount val="1"/>
                <c:pt idx="0">
                  <c:v>2017 D/E</c:v>
                </c:pt>
              </c:strCache>
            </c:strRef>
          </c:tx>
          <c:cat>
            <c:strRef>
              <c:f>'Trend and Ratio Analysis'!$B$53:$B$55</c:f>
              <c:strCache>
                <c:ptCount val="3"/>
                <c:pt idx="0">
                  <c:v>Gemilang International Limited</c:v>
                </c:pt>
                <c:pt idx="1">
                  <c:v>Xinyi Automobile Glass</c:v>
                </c:pt>
                <c:pt idx="2">
                  <c:v>Johnson Electric Holdings</c:v>
                </c:pt>
              </c:strCache>
            </c:strRef>
          </c:cat>
          <c:val>
            <c:numRef>
              <c:f>'Trend and Ratio Analysis'!$D$53:$D$55</c:f>
              <c:numCache>
                <c:formatCode>_(* #,##0.00_);_(* \(#,##0.00\);_(* "-"??_);_(@_)</c:formatCode>
                <c:ptCount val="3"/>
                <c:pt idx="0">
                  <c:v>1.0175199956472059</c:v>
                </c:pt>
                <c:pt idx="1">
                  <c:v>0.48867880533272279</c:v>
                </c:pt>
                <c:pt idx="2">
                  <c:v>0.31831702799431805</c:v>
                </c:pt>
              </c:numCache>
            </c:numRef>
          </c:val>
          <c:smooth val="0"/>
          <c:extLst>
            <c:ext xmlns:c16="http://schemas.microsoft.com/office/drawing/2014/chart" uri="{C3380CC4-5D6E-409C-BE32-E72D297353CC}">
              <c16:uniqueId val="{00000001-B511-4FA8-87CE-35D0798B88DE}"/>
            </c:ext>
          </c:extLst>
        </c:ser>
        <c:ser>
          <c:idx val="2"/>
          <c:order val="2"/>
          <c:tx>
            <c:strRef>
              <c:f>'Trend and Ratio Analysis'!$E$51:$E$52</c:f>
              <c:strCache>
                <c:ptCount val="1"/>
                <c:pt idx="0">
                  <c:v>2018 D/E</c:v>
                </c:pt>
              </c:strCache>
            </c:strRef>
          </c:tx>
          <c:cat>
            <c:strRef>
              <c:f>'Trend and Ratio Analysis'!$B$53:$B$55</c:f>
              <c:strCache>
                <c:ptCount val="3"/>
                <c:pt idx="0">
                  <c:v>Gemilang International Limited</c:v>
                </c:pt>
                <c:pt idx="1">
                  <c:v>Xinyi Automobile Glass</c:v>
                </c:pt>
                <c:pt idx="2">
                  <c:v>Johnson Electric Holdings</c:v>
                </c:pt>
              </c:strCache>
            </c:strRef>
          </c:cat>
          <c:val>
            <c:numRef>
              <c:f>'Trend and Ratio Analysis'!$E$53:$E$55</c:f>
              <c:numCache>
                <c:formatCode>_(* #,##0.00_);_(* \(#,##0.00\);_(* "-"??_);_(@_)</c:formatCode>
                <c:ptCount val="3"/>
                <c:pt idx="0">
                  <c:v>1.0195475113122179</c:v>
                </c:pt>
                <c:pt idx="1">
                  <c:v>0.18243490918363561</c:v>
                </c:pt>
                <c:pt idx="2">
                  <c:v>0.31316985476273967</c:v>
                </c:pt>
              </c:numCache>
            </c:numRef>
          </c:val>
          <c:smooth val="0"/>
          <c:extLst>
            <c:ext xmlns:c16="http://schemas.microsoft.com/office/drawing/2014/chart" uri="{C3380CC4-5D6E-409C-BE32-E72D297353CC}">
              <c16:uniqueId val="{00000002-B511-4FA8-87CE-35D0798B88DE}"/>
            </c:ext>
          </c:extLst>
        </c:ser>
        <c:dLbls>
          <c:showLegendKey val="0"/>
          <c:showVal val="0"/>
          <c:showCatName val="0"/>
          <c:showSerName val="0"/>
          <c:showPercent val="0"/>
          <c:showBubbleSize val="0"/>
        </c:dLbls>
        <c:marker val="1"/>
        <c:smooth val="0"/>
        <c:axId val="110398464"/>
        <c:axId val="110408448"/>
      </c:lineChart>
      <c:catAx>
        <c:axId val="110398464"/>
        <c:scaling>
          <c:orientation val="minMax"/>
        </c:scaling>
        <c:delete val="0"/>
        <c:axPos val="b"/>
        <c:numFmt formatCode="General" sourceLinked="0"/>
        <c:majorTickMark val="out"/>
        <c:minorTickMark val="none"/>
        <c:tickLblPos val="nextTo"/>
        <c:crossAx val="110408448"/>
        <c:crosses val="autoZero"/>
        <c:auto val="1"/>
        <c:lblAlgn val="ctr"/>
        <c:lblOffset val="100"/>
        <c:noMultiLvlLbl val="0"/>
      </c:catAx>
      <c:valAx>
        <c:axId val="110408448"/>
        <c:scaling>
          <c:orientation val="minMax"/>
        </c:scaling>
        <c:delete val="0"/>
        <c:axPos val="l"/>
        <c:majorGridlines/>
        <c:numFmt formatCode="_(* #,##0.00_);_(* \(#,##0.00\);_(* &quot;-&quot;??_);_(@_)" sourceLinked="1"/>
        <c:majorTickMark val="out"/>
        <c:minorTickMark val="none"/>
        <c:tickLblPos val="nextTo"/>
        <c:crossAx val="110398464"/>
        <c:crosses val="autoZero"/>
        <c:crossBetween val="between"/>
      </c:valAx>
    </c:plotArea>
    <c:legend>
      <c:legendPos val="r"/>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tx>
            <c:strRef>
              <c:f>'Trend and Ratio Analysis'!$C$58:$C$59</c:f>
              <c:strCache>
                <c:ptCount val="1"/>
                <c:pt idx="0">
                  <c:v>2016 EPS</c:v>
                </c:pt>
              </c:strCache>
            </c:strRef>
          </c:tx>
          <c:invertIfNegative val="0"/>
          <c:cat>
            <c:strRef>
              <c:f>'Trend and Ratio Analysis'!$B$60:$B$62</c:f>
              <c:strCache>
                <c:ptCount val="3"/>
                <c:pt idx="0">
                  <c:v>Gemilang International Limited</c:v>
                </c:pt>
                <c:pt idx="1">
                  <c:v>Xinyi Automobile Glass</c:v>
                </c:pt>
                <c:pt idx="2">
                  <c:v>Johnson Electric Holdings</c:v>
                </c:pt>
              </c:strCache>
            </c:strRef>
          </c:cat>
          <c:val>
            <c:numRef>
              <c:f>'Trend and Ratio Analysis'!$C$60:$C$62</c:f>
              <c:numCache>
                <c:formatCode>_(* #,##0.00_);_(* \(#,##0.00\);_(* "-"??_);_(@_)</c:formatCode>
                <c:ptCount val="3"/>
                <c:pt idx="0">
                  <c:v>1.1299999999999992</c:v>
                </c:pt>
                <c:pt idx="1">
                  <c:v>1.0000000000000005E-2</c:v>
                </c:pt>
                <c:pt idx="2">
                  <c:v>20.09</c:v>
                </c:pt>
              </c:numCache>
            </c:numRef>
          </c:val>
          <c:extLst>
            <c:ext xmlns:c16="http://schemas.microsoft.com/office/drawing/2014/chart" uri="{C3380CC4-5D6E-409C-BE32-E72D297353CC}">
              <c16:uniqueId val="{00000000-82C5-428B-B740-A72A5151449E}"/>
            </c:ext>
          </c:extLst>
        </c:ser>
        <c:ser>
          <c:idx val="1"/>
          <c:order val="1"/>
          <c:tx>
            <c:strRef>
              <c:f>'Trend and Ratio Analysis'!$D$58:$D$59</c:f>
              <c:strCache>
                <c:ptCount val="1"/>
                <c:pt idx="0">
                  <c:v>2017 EPS</c:v>
                </c:pt>
              </c:strCache>
            </c:strRef>
          </c:tx>
          <c:invertIfNegative val="0"/>
          <c:cat>
            <c:strRef>
              <c:f>'Trend and Ratio Analysis'!$B$60:$B$62</c:f>
              <c:strCache>
                <c:ptCount val="3"/>
                <c:pt idx="0">
                  <c:v>Gemilang International Limited</c:v>
                </c:pt>
                <c:pt idx="1">
                  <c:v>Xinyi Automobile Glass</c:v>
                </c:pt>
                <c:pt idx="2">
                  <c:v>Johnson Electric Holdings</c:v>
                </c:pt>
              </c:strCache>
            </c:strRef>
          </c:cat>
          <c:val>
            <c:numRef>
              <c:f>'Trend and Ratio Analysis'!$D$60:$D$62</c:f>
              <c:numCache>
                <c:formatCode>_(* #,##0.00_);_(* \(#,##0.00\);_(* "-"??_);_(@_)</c:formatCode>
                <c:ptCount val="3"/>
                <c:pt idx="0">
                  <c:v>0.48000000000000015</c:v>
                </c:pt>
                <c:pt idx="1">
                  <c:v>1.74</c:v>
                </c:pt>
                <c:pt idx="2">
                  <c:v>27.71</c:v>
                </c:pt>
              </c:numCache>
            </c:numRef>
          </c:val>
          <c:extLst>
            <c:ext xmlns:c16="http://schemas.microsoft.com/office/drawing/2014/chart" uri="{C3380CC4-5D6E-409C-BE32-E72D297353CC}">
              <c16:uniqueId val="{00000001-82C5-428B-B740-A72A5151449E}"/>
            </c:ext>
          </c:extLst>
        </c:ser>
        <c:ser>
          <c:idx val="2"/>
          <c:order val="2"/>
          <c:tx>
            <c:strRef>
              <c:f>'Trend and Ratio Analysis'!$E$58:$E$59</c:f>
              <c:strCache>
                <c:ptCount val="1"/>
                <c:pt idx="0">
                  <c:v>2018 EPS</c:v>
                </c:pt>
              </c:strCache>
            </c:strRef>
          </c:tx>
          <c:invertIfNegative val="0"/>
          <c:cat>
            <c:strRef>
              <c:f>'Trend and Ratio Analysis'!$B$60:$B$62</c:f>
              <c:strCache>
                <c:ptCount val="3"/>
                <c:pt idx="0">
                  <c:v>Gemilang International Limited</c:v>
                </c:pt>
                <c:pt idx="1">
                  <c:v>Xinyi Automobile Glass</c:v>
                </c:pt>
                <c:pt idx="2">
                  <c:v>Johnson Electric Holdings</c:v>
                </c:pt>
              </c:strCache>
            </c:strRef>
          </c:cat>
          <c:val>
            <c:numRef>
              <c:f>'Trend and Ratio Analysis'!$E$60:$E$62</c:f>
              <c:numCache>
                <c:formatCode>_(* #,##0.00_);_(* \(#,##0.00\);_(* "-"??_);_(@_)</c:formatCode>
                <c:ptCount val="3"/>
                <c:pt idx="0">
                  <c:v>-0.58000000000000007</c:v>
                </c:pt>
                <c:pt idx="1">
                  <c:v>1.42</c:v>
                </c:pt>
                <c:pt idx="2">
                  <c:v>29.650000000000009</c:v>
                </c:pt>
              </c:numCache>
            </c:numRef>
          </c:val>
          <c:extLst>
            <c:ext xmlns:c16="http://schemas.microsoft.com/office/drawing/2014/chart" uri="{C3380CC4-5D6E-409C-BE32-E72D297353CC}">
              <c16:uniqueId val="{00000002-82C5-428B-B740-A72A5151449E}"/>
            </c:ext>
          </c:extLst>
        </c:ser>
        <c:dLbls>
          <c:showLegendKey val="0"/>
          <c:showVal val="0"/>
          <c:showCatName val="0"/>
          <c:showSerName val="0"/>
          <c:showPercent val="0"/>
          <c:showBubbleSize val="0"/>
        </c:dLbls>
        <c:gapWidth val="150"/>
        <c:axId val="110441984"/>
        <c:axId val="110443520"/>
      </c:barChart>
      <c:catAx>
        <c:axId val="110441984"/>
        <c:scaling>
          <c:orientation val="minMax"/>
        </c:scaling>
        <c:delete val="0"/>
        <c:axPos val="l"/>
        <c:numFmt formatCode="General" sourceLinked="0"/>
        <c:majorTickMark val="out"/>
        <c:minorTickMark val="none"/>
        <c:tickLblPos val="nextTo"/>
        <c:crossAx val="110443520"/>
        <c:crosses val="autoZero"/>
        <c:auto val="1"/>
        <c:lblAlgn val="ctr"/>
        <c:lblOffset val="100"/>
        <c:noMultiLvlLbl val="0"/>
      </c:catAx>
      <c:valAx>
        <c:axId val="110443520"/>
        <c:scaling>
          <c:orientation val="minMax"/>
        </c:scaling>
        <c:delete val="0"/>
        <c:axPos val="b"/>
        <c:majorGridlines/>
        <c:numFmt formatCode="_(* #,##0.00_);_(* \(#,##0.00\);_(* &quot;-&quot;??_);_(@_)" sourceLinked="1"/>
        <c:majorTickMark val="out"/>
        <c:minorTickMark val="none"/>
        <c:tickLblPos val="nextTo"/>
        <c:crossAx val="110441984"/>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'Trend and Ratio Analysis'!$C$67</c:f>
              <c:strCache>
                <c:ptCount val="1"/>
                <c:pt idx="0">
                  <c:v>Bankruptcy Indicator</c:v>
                </c:pt>
              </c:strCache>
            </c:strRef>
          </c:tx>
          <c:invertIfNegative val="0"/>
          <c:cat>
            <c:strRef>
              <c:f>'Trend and Ratio Analysis'!$B$68:$B$70</c:f>
              <c:strCache>
                <c:ptCount val="3"/>
                <c:pt idx="0">
                  <c:v>Gemilang International Limited</c:v>
                </c:pt>
                <c:pt idx="1">
                  <c:v>Xinyi Automobile Glass</c:v>
                </c:pt>
                <c:pt idx="2">
                  <c:v>Johnson Electric Holdings</c:v>
                </c:pt>
              </c:strCache>
            </c:strRef>
          </c:cat>
          <c:val>
            <c:numRef>
              <c:f>'Trend and Ratio Analysis'!$C$68:$C$70</c:f>
              <c:numCache>
                <c:formatCode>General</c:formatCode>
                <c:ptCount val="3"/>
                <c:pt idx="0">
                  <c:v>2.02</c:v>
                </c:pt>
                <c:pt idx="1">
                  <c:v>3.11</c:v>
                </c:pt>
                <c:pt idx="2">
                  <c:v>4.1499999999999995</c:v>
                </c:pt>
              </c:numCache>
            </c:numRef>
          </c:val>
          <c:extLst>
            <c:ext xmlns:c16="http://schemas.microsoft.com/office/drawing/2014/chart" uri="{C3380CC4-5D6E-409C-BE32-E72D297353CC}">
              <c16:uniqueId val="{00000000-3E05-4058-9468-D3B6A4B797CC}"/>
            </c:ext>
          </c:extLst>
        </c:ser>
        <c:dLbls>
          <c:showLegendKey val="0"/>
          <c:showVal val="0"/>
          <c:showCatName val="0"/>
          <c:showSerName val="0"/>
          <c:showPercent val="0"/>
          <c:showBubbleSize val="0"/>
        </c:dLbls>
        <c:gapWidth val="150"/>
        <c:shape val="box"/>
        <c:axId val="110455424"/>
        <c:axId val="110461312"/>
        <c:axId val="0"/>
      </c:bar3DChart>
      <c:catAx>
        <c:axId val="110455424"/>
        <c:scaling>
          <c:orientation val="minMax"/>
        </c:scaling>
        <c:delete val="0"/>
        <c:axPos val="b"/>
        <c:numFmt formatCode="General" sourceLinked="0"/>
        <c:majorTickMark val="out"/>
        <c:minorTickMark val="none"/>
        <c:tickLblPos val="nextTo"/>
        <c:crossAx val="110461312"/>
        <c:crosses val="autoZero"/>
        <c:auto val="1"/>
        <c:lblAlgn val="ctr"/>
        <c:lblOffset val="100"/>
        <c:noMultiLvlLbl val="0"/>
      </c:catAx>
      <c:valAx>
        <c:axId val="110461312"/>
        <c:scaling>
          <c:orientation val="minMax"/>
        </c:scaling>
        <c:delete val="0"/>
        <c:axPos val="l"/>
        <c:majorGridlines/>
        <c:numFmt formatCode="General" sourceLinked="1"/>
        <c:majorTickMark val="out"/>
        <c:minorTickMark val="none"/>
        <c:tickLblPos val="nextTo"/>
        <c:crossAx val="11045542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4834</Words>
  <Characters>27554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Winnie Lau</dc:creator>
  <cp:keywords/>
  <dc:description/>
  <cp:lastModifiedBy>Winnie Lau</cp:lastModifiedBy>
  <cp:revision>2</cp:revision>
  <dcterms:created xsi:type="dcterms:W3CDTF">2019-08-17T06:28:00Z</dcterms:created>
  <dcterms:modified xsi:type="dcterms:W3CDTF">2019-08-17T06:28:00Z</dcterms:modified>
</cp:coreProperties>
</file>