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C19FC" w14:textId="77777777" w:rsidR="004D4E68" w:rsidRPr="00FA1AF6" w:rsidRDefault="004D4E68" w:rsidP="00FE69D0">
      <w:bookmarkStart w:id="0" w:name="_Hlk204267940"/>
      <w:bookmarkEnd w:id="0"/>
      <w:r w:rsidRPr="00FA1AF6">
        <w:rPr>
          <w:noProof/>
        </w:rPr>
        <w:drawing>
          <wp:inline distT="0" distB="0" distL="0" distR="0" wp14:anchorId="1C34E0BC" wp14:editId="339E5F78">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7D3105E2" w14:textId="77777777" w:rsidR="005508F2" w:rsidRDefault="005508F2" w:rsidP="00FE69D0">
      <w:pPr>
        <w:rPr>
          <w:b/>
          <w:bCs/>
        </w:rPr>
      </w:pPr>
    </w:p>
    <w:p w14:paraId="7230D8BF" w14:textId="77777777" w:rsidR="00AF772F" w:rsidRDefault="00AF772F" w:rsidP="00FE69D0">
      <w:pPr>
        <w:rPr>
          <w:b/>
          <w:bCs/>
        </w:rPr>
      </w:pPr>
    </w:p>
    <w:p w14:paraId="5D6DB216" w14:textId="62E7D059" w:rsidR="004D4E68" w:rsidRDefault="004D4E68" w:rsidP="00FE69D0">
      <w:pPr>
        <w:rPr>
          <w:b/>
          <w:bCs/>
        </w:rPr>
      </w:pPr>
      <w:r w:rsidRPr="00FA1AF6">
        <w:rPr>
          <w:b/>
          <w:bCs/>
        </w:rPr>
        <w:t>BA (Hons) Business Management</w:t>
      </w:r>
    </w:p>
    <w:p w14:paraId="5455D227" w14:textId="55A78155" w:rsidR="004D4E68" w:rsidRDefault="00963220" w:rsidP="00FE69D0">
      <w:pPr>
        <w:rPr>
          <w:b/>
          <w:bCs/>
        </w:rPr>
      </w:pPr>
      <w:r w:rsidRPr="00963220">
        <w:rPr>
          <w:b/>
          <w:bCs/>
        </w:rPr>
        <w:t>Project Management</w:t>
      </w:r>
      <w:r w:rsidR="004D4E68">
        <w:rPr>
          <w:b/>
          <w:bCs/>
        </w:rPr>
        <w:t xml:space="preserve"> </w:t>
      </w:r>
      <w:r w:rsidRPr="00963220">
        <w:rPr>
          <w:b/>
          <w:bCs/>
        </w:rPr>
        <w:t>LCBB6006</w:t>
      </w:r>
    </w:p>
    <w:p w14:paraId="0E871C34" w14:textId="77777777" w:rsidR="006728E6" w:rsidRDefault="006728E6" w:rsidP="00FE69D0">
      <w:pPr>
        <w:rPr>
          <w:b/>
          <w:bCs/>
          <w:sz w:val="40"/>
          <w:szCs w:val="40"/>
        </w:rPr>
      </w:pPr>
    </w:p>
    <w:p w14:paraId="081E6888" w14:textId="77777777" w:rsidR="006728E6" w:rsidRDefault="006728E6" w:rsidP="00FE69D0">
      <w:pPr>
        <w:rPr>
          <w:b/>
          <w:bCs/>
          <w:sz w:val="40"/>
          <w:szCs w:val="40"/>
        </w:rPr>
      </w:pPr>
    </w:p>
    <w:p w14:paraId="02DCC956" w14:textId="77777777" w:rsidR="001F3245" w:rsidRPr="001F3245" w:rsidRDefault="001F3245" w:rsidP="00AF772F">
      <w:pPr>
        <w:jc w:val="center"/>
        <w:rPr>
          <w:b/>
          <w:bCs/>
          <w:sz w:val="40"/>
          <w:szCs w:val="40"/>
          <w:lang w:val="en-GB"/>
        </w:rPr>
      </w:pPr>
      <w:r w:rsidRPr="001F3245">
        <w:rPr>
          <w:b/>
          <w:bCs/>
          <w:sz w:val="40"/>
          <w:szCs w:val="40"/>
          <w:lang w:val="en-GB"/>
        </w:rPr>
        <w:t>Project Plan Essay: Rolls-Royce Small Modular Reactor Deployment Readiness Project</w:t>
      </w:r>
    </w:p>
    <w:p w14:paraId="61CF35B2" w14:textId="77777777" w:rsidR="004D4E68" w:rsidRDefault="004D4E68" w:rsidP="00FE69D0">
      <w:pPr>
        <w:rPr>
          <w:b/>
          <w:bCs/>
        </w:rPr>
      </w:pPr>
    </w:p>
    <w:p w14:paraId="1ECD2B14" w14:textId="77777777" w:rsidR="006728E6" w:rsidRDefault="006728E6" w:rsidP="00FE69D0">
      <w:pPr>
        <w:rPr>
          <w:b/>
          <w:bCs/>
        </w:rPr>
      </w:pPr>
    </w:p>
    <w:p w14:paraId="73E0A25B" w14:textId="77777777" w:rsidR="00F87641" w:rsidRDefault="00F87641" w:rsidP="00FE69D0">
      <w:pPr>
        <w:rPr>
          <w:b/>
          <w:bCs/>
        </w:rPr>
      </w:pPr>
    </w:p>
    <w:p w14:paraId="172359C8" w14:textId="77777777" w:rsidR="00F87641" w:rsidRDefault="00F87641" w:rsidP="00FE69D0">
      <w:pPr>
        <w:rPr>
          <w:b/>
          <w:bCs/>
        </w:rPr>
      </w:pPr>
    </w:p>
    <w:p w14:paraId="7B9E4F5A" w14:textId="77777777" w:rsidR="00F87641" w:rsidRDefault="00F87641" w:rsidP="00FE69D0">
      <w:pPr>
        <w:rPr>
          <w:b/>
          <w:bCs/>
        </w:rPr>
      </w:pPr>
    </w:p>
    <w:p w14:paraId="44BB265F" w14:textId="77777777" w:rsidR="00F87641" w:rsidRDefault="00F87641" w:rsidP="00FE69D0">
      <w:pPr>
        <w:rPr>
          <w:b/>
          <w:bCs/>
        </w:rPr>
      </w:pPr>
    </w:p>
    <w:p w14:paraId="654BDC7B" w14:textId="1160C208" w:rsidR="004D4E68" w:rsidRDefault="004D4E68" w:rsidP="00FE69D0">
      <w:pPr>
        <w:rPr>
          <w:b/>
          <w:bCs/>
        </w:rPr>
      </w:pPr>
      <w:r w:rsidRPr="00FA1AF6">
        <w:rPr>
          <w:b/>
          <w:bCs/>
        </w:rPr>
        <w:t>Student Name:</w:t>
      </w:r>
      <w:r>
        <w:rPr>
          <w:b/>
          <w:bCs/>
        </w:rPr>
        <w:t xml:space="preserve"> </w:t>
      </w:r>
      <w:r>
        <w:t>Constantin Iftimie</w:t>
      </w:r>
    </w:p>
    <w:p w14:paraId="2A564D53" w14:textId="4800707E" w:rsidR="004D4E68" w:rsidRPr="00FA1AF6" w:rsidRDefault="004D4E68" w:rsidP="00FE69D0">
      <w:pPr>
        <w:rPr>
          <w:b/>
          <w:bCs/>
        </w:rPr>
      </w:pPr>
      <w:r w:rsidRPr="00FA1AF6">
        <w:rPr>
          <w:b/>
          <w:bCs/>
        </w:rPr>
        <w:t>Student Number:</w:t>
      </w:r>
      <w:r>
        <w:rPr>
          <w:b/>
          <w:bCs/>
        </w:rPr>
        <w:t xml:space="preserve"> </w:t>
      </w:r>
      <w:r>
        <w:t>2242919</w:t>
      </w:r>
    </w:p>
    <w:p w14:paraId="4BE13F8B" w14:textId="53E86578" w:rsidR="004D4E68" w:rsidRPr="00903F51" w:rsidRDefault="004D4E68" w:rsidP="00FE69D0">
      <w:r w:rsidRPr="00FA1AF6">
        <w:rPr>
          <w:b/>
          <w:bCs/>
        </w:rPr>
        <w:t xml:space="preserve">Lecturer Name: </w:t>
      </w:r>
      <w:r>
        <w:t>Dr</w:t>
      </w:r>
      <w:r w:rsidRPr="004F7760">
        <w:t xml:space="preserve"> Zainab Atta</w:t>
      </w:r>
    </w:p>
    <w:p w14:paraId="1B4FA1E6" w14:textId="77777777" w:rsidR="004D4E68" w:rsidRDefault="004D4E68" w:rsidP="00FE69D0">
      <w:pPr>
        <w:rPr>
          <w:b/>
          <w:bCs/>
        </w:rPr>
      </w:pPr>
    </w:p>
    <w:p w14:paraId="5902A555" w14:textId="77777777" w:rsidR="004D4E68" w:rsidRDefault="004D4E68" w:rsidP="00FE69D0">
      <w:pPr>
        <w:rPr>
          <w:b/>
          <w:bCs/>
        </w:rPr>
      </w:pPr>
    </w:p>
    <w:p w14:paraId="4745FBC7" w14:textId="77777777" w:rsidR="004D4E68" w:rsidRDefault="004D4E68" w:rsidP="00FE69D0">
      <w:pPr>
        <w:rPr>
          <w:b/>
          <w:bCs/>
        </w:rPr>
      </w:pPr>
    </w:p>
    <w:p w14:paraId="2DEB879A" w14:textId="64886486" w:rsidR="001F3245" w:rsidRDefault="004D4E68" w:rsidP="002E3D0A">
      <w:pPr>
        <w:jc w:val="center"/>
      </w:pPr>
      <w:r w:rsidRPr="00FA1AF6">
        <w:rPr>
          <w:b/>
          <w:bCs/>
        </w:rPr>
        <w:t>Session</w:t>
      </w:r>
      <w:r w:rsidRPr="00FA1AF6">
        <w:t xml:space="preserve">: </w:t>
      </w:r>
      <w:r w:rsidR="001F3245">
        <w:t>July 2026</w:t>
      </w:r>
      <w:r w:rsidRPr="00FA1AF6">
        <w:t xml:space="preserve"> T</w:t>
      </w:r>
      <w:r w:rsidR="001F3245">
        <w:t>erm 1</w:t>
      </w:r>
    </w:p>
    <w:sdt>
      <w:sdtPr>
        <w:rPr>
          <w:rFonts w:ascii="Arial" w:eastAsia="Times New Roman" w:hAnsi="Arial" w:cstheme="minorBidi"/>
          <w:color w:val="auto"/>
          <w:sz w:val="24"/>
          <w:szCs w:val="22"/>
        </w:rPr>
        <w:id w:val="1230492389"/>
        <w:docPartObj>
          <w:docPartGallery w:val="Table of Contents"/>
          <w:docPartUnique/>
        </w:docPartObj>
      </w:sdtPr>
      <w:sdtEndPr>
        <w:rPr>
          <w:b/>
          <w:bCs/>
          <w:noProof/>
        </w:rPr>
      </w:sdtEndPr>
      <w:sdtContent>
        <w:p w14:paraId="6B3F2971" w14:textId="6BDD5250" w:rsidR="00AB1523" w:rsidRDefault="00AB1523">
          <w:pPr>
            <w:pStyle w:val="TOCHeading"/>
          </w:pPr>
          <w:r>
            <w:t>Contents</w:t>
          </w:r>
        </w:p>
        <w:p w14:paraId="35AE8804" w14:textId="4CCB5617" w:rsidR="00D24C22" w:rsidRDefault="00AB1523">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5346518" w:history="1">
            <w:r w:rsidR="00D24C22" w:rsidRPr="008A3C30">
              <w:rPr>
                <w:rStyle w:val="Hyperlink"/>
                <w:noProof/>
              </w:rPr>
              <w:t>1. Introduction</w:t>
            </w:r>
            <w:r w:rsidR="00D24C22">
              <w:rPr>
                <w:noProof/>
                <w:webHidden/>
              </w:rPr>
              <w:tab/>
            </w:r>
            <w:r w:rsidR="00D24C22">
              <w:rPr>
                <w:noProof/>
                <w:webHidden/>
              </w:rPr>
              <w:fldChar w:fldCharType="begin"/>
            </w:r>
            <w:r w:rsidR="00D24C22">
              <w:rPr>
                <w:noProof/>
                <w:webHidden/>
              </w:rPr>
              <w:instrText xml:space="preserve"> PAGEREF _Toc235346518 \h </w:instrText>
            </w:r>
            <w:r w:rsidR="00D24C22">
              <w:rPr>
                <w:noProof/>
                <w:webHidden/>
              </w:rPr>
            </w:r>
            <w:r w:rsidR="00D24C22">
              <w:rPr>
                <w:noProof/>
                <w:webHidden/>
              </w:rPr>
              <w:fldChar w:fldCharType="separate"/>
            </w:r>
            <w:r w:rsidR="00D24C22">
              <w:rPr>
                <w:noProof/>
                <w:webHidden/>
              </w:rPr>
              <w:t>3</w:t>
            </w:r>
            <w:r w:rsidR="00D24C22">
              <w:rPr>
                <w:noProof/>
                <w:webHidden/>
              </w:rPr>
              <w:fldChar w:fldCharType="end"/>
            </w:r>
          </w:hyperlink>
        </w:p>
        <w:p w14:paraId="03A4D1EE" w14:textId="6FD3ED2D"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19" w:history="1">
            <w:r w:rsidRPr="008A3C30">
              <w:rPr>
                <w:rStyle w:val="Hyperlink"/>
                <w:noProof/>
              </w:rPr>
              <w:t>2. Project Aim, Objectives and Scope</w:t>
            </w:r>
            <w:r>
              <w:rPr>
                <w:noProof/>
                <w:webHidden/>
              </w:rPr>
              <w:tab/>
            </w:r>
            <w:r>
              <w:rPr>
                <w:noProof/>
                <w:webHidden/>
              </w:rPr>
              <w:fldChar w:fldCharType="begin"/>
            </w:r>
            <w:r>
              <w:rPr>
                <w:noProof/>
                <w:webHidden/>
              </w:rPr>
              <w:instrText xml:space="preserve"> PAGEREF _Toc235346519 \h </w:instrText>
            </w:r>
            <w:r>
              <w:rPr>
                <w:noProof/>
                <w:webHidden/>
              </w:rPr>
            </w:r>
            <w:r>
              <w:rPr>
                <w:noProof/>
                <w:webHidden/>
              </w:rPr>
              <w:fldChar w:fldCharType="separate"/>
            </w:r>
            <w:r>
              <w:rPr>
                <w:noProof/>
                <w:webHidden/>
              </w:rPr>
              <w:t>4</w:t>
            </w:r>
            <w:r>
              <w:rPr>
                <w:noProof/>
                <w:webHidden/>
              </w:rPr>
              <w:fldChar w:fldCharType="end"/>
            </w:r>
          </w:hyperlink>
        </w:p>
        <w:p w14:paraId="65164E15" w14:textId="769245F3"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0" w:history="1">
            <w:r w:rsidRPr="008A3C30">
              <w:rPr>
                <w:rStyle w:val="Hyperlink"/>
                <w:noProof/>
              </w:rPr>
              <w:t>3. Project Outputs and Deliverables</w:t>
            </w:r>
            <w:r>
              <w:rPr>
                <w:noProof/>
                <w:webHidden/>
              </w:rPr>
              <w:tab/>
            </w:r>
            <w:r>
              <w:rPr>
                <w:noProof/>
                <w:webHidden/>
              </w:rPr>
              <w:fldChar w:fldCharType="begin"/>
            </w:r>
            <w:r>
              <w:rPr>
                <w:noProof/>
                <w:webHidden/>
              </w:rPr>
              <w:instrText xml:space="preserve"> PAGEREF _Toc235346520 \h </w:instrText>
            </w:r>
            <w:r>
              <w:rPr>
                <w:noProof/>
                <w:webHidden/>
              </w:rPr>
            </w:r>
            <w:r>
              <w:rPr>
                <w:noProof/>
                <w:webHidden/>
              </w:rPr>
              <w:fldChar w:fldCharType="separate"/>
            </w:r>
            <w:r>
              <w:rPr>
                <w:noProof/>
                <w:webHidden/>
              </w:rPr>
              <w:t>5</w:t>
            </w:r>
            <w:r>
              <w:rPr>
                <w:noProof/>
                <w:webHidden/>
              </w:rPr>
              <w:fldChar w:fldCharType="end"/>
            </w:r>
          </w:hyperlink>
        </w:p>
        <w:p w14:paraId="23BE656E" w14:textId="5FC66FD1"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1" w:history="1">
            <w:r w:rsidRPr="008A3C30">
              <w:rPr>
                <w:rStyle w:val="Hyperlink"/>
                <w:noProof/>
              </w:rPr>
              <w:t>4. Activities Required to Deliver the Project Outputs</w:t>
            </w:r>
            <w:r>
              <w:rPr>
                <w:noProof/>
                <w:webHidden/>
              </w:rPr>
              <w:tab/>
            </w:r>
            <w:r>
              <w:rPr>
                <w:noProof/>
                <w:webHidden/>
              </w:rPr>
              <w:fldChar w:fldCharType="begin"/>
            </w:r>
            <w:r>
              <w:rPr>
                <w:noProof/>
                <w:webHidden/>
              </w:rPr>
              <w:instrText xml:space="preserve"> PAGEREF _Toc235346521 \h </w:instrText>
            </w:r>
            <w:r>
              <w:rPr>
                <w:noProof/>
                <w:webHidden/>
              </w:rPr>
            </w:r>
            <w:r>
              <w:rPr>
                <w:noProof/>
                <w:webHidden/>
              </w:rPr>
              <w:fldChar w:fldCharType="separate"/>
            </w:r>
            <w:r>
              <w:rPr>
                <w:noProof/>
                <w:webHidden/>
              </w:rPr>
              <w:t>5</w:t>
            </w:r>
            <w:r>
              <w:rPr>
                <w:noProof/>
                <w:webHidden/>
              </w:rPr>
              <w:fldChar w:fldCharType="end"/>
            </w:r>
          </w:hyperlink>
        </w:p>
        <w:p w14:paraId="5A45F2B8" w14:textId="0C101A1D"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2" w:history="1">
            <w:r w:rsidRPr="008A3C30">
              <w:rPr>
                <w:rStyle w:val="Hyperlink"/>
                <w:noProof/>
              </w:rPr>
              <w:t>5. Work Breakdown Structure (WBS)</w:t>
            </w:r>
            <w:r>
              <w:rPr>
                <w:noProof/>
                <w:webHidden/>
              </w:rPr>
              <w:tab/>
            </w:r>
            <w:r>
              <w:rPr>
                <w:noProof/>
                <w:webHidden/>
              </w:rPr>
              <w:fldChar w:fldCharType="begin"/>
            </w:r>
            <w:r>
              <w:rPr>
                <w:noProof/>
                <w:webHidden/>
              </w:rPr>
              <w:instrText xml:space="preserve"> PAGEREF _Toc235346522 \h </w:instrText>
            </w:r>
            <w:r>
              <w:rPr>
                <w:noProof/>
                <w:webHidden/>
              </w:rPr>
            </w:r>
            <w:r>
              <w:rPr>
                <w:noProof/>
                <w:webHidden/>
              </w:rPr>
              <w:fldChar w:fldCharType="separate"/>
            </w:r>
            <w:r>
              <w:rPr>
                <w:noProof/>
                <w:webHidden/>
              </w:rPr>
              <w:t>7</w:t>
            </w:r>
            <w:r>
              <w:rPr>
                <w:noProof/>
                <w:webHidden/>
              </w:rPr>
              <w:fldChar w:fldCharType="end"/>
            </w:r>
          </w:hyperlink>
        </w:p>
        <w:p w14:paraId="487D5ACE" w14:textId="37FD005C"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3" w:history="1">
            <w:r w:rsidRPr="008A3C30">
              <w:rPr>
                <w:rStyle w:val="Hyperlink"/>
                <w:noProof/>
              </w:rPr>
              <w:t>6. Deliverables, Milestones and Timeline</w:t>
            </w:r>
            <w:r>
              <w:rPr>
                <w:noProof/>
                <w:webHidden/>
              </w:rPr>
              <w:tab/>
            </w:r>
            <w:r>
              <w:rPr>
                <w:noProof/>
                <w:webHidden/>
              </w:rPr>
              <w:fldChar w:fldCharType="begin"/>
            </w:r>
            <w:r>
              <w:rPr>
                <w:noProof/>
                <w:webHidden/>
              </w:rPr>
              <w:instrText xml:space="preserve"> PAGEREF _Toc235346523 \h </w:instrText>
            </w:r>
            <w:r>
              <w:rPr>
                <w:noProof/>
                <w:webHidden/>
              </w:rPr>
            </w:r>
            <w:r>
              <w:rPr>
                <w:noProof/>
                <w:webHidden/>
              </w:rPr>
              <w:fldChar w:fldCharType="separate"/>
            </w:r>
            <w:r>
              <w:rPr>
                <w:noProof/>
                <w:webHidden/>
              </w:rPr>
              <w:t>7</w:t>
            </w:r>
            <w:r>
              <w:rPr>
                <w:noProof/>
                <w:webHidden/>
              </w:rPr>
              <w:fldChar w:fldCharType="end"/>
            </w:r>
          </w:hyperlink>
        </w:p>
        <w:p w14:paraId="0C116223" w14:textId="2630B7CC"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4" w:history="1">
            <w:r w:rsidRPr="008A3C30">
              <w:rPr>
                <w:rStyle w:val="Hyperlink"/>
                <w:noProof/>
              </w:rPr>
              <w:t>7. Resource Requirements and Cost Breakdown Structure (CBS)</w:t>
            </w:r>
            <w:r>
              <w:rPr>
                <w:noProof/>
                <w:webHidden/>
              </w:rPr>
              <w:tab/>
            </w:r>
            <w:r>
              <w:rPr>
                <w:noProof/>
                <w:webHidden/>
              </w:rPr>
              <w:fldChar w:fldCharType="begin"/>
            </w:r>
            <w:r>
              <w:rPr>
                <w:noProof/>
                <w:webHidden/>
              </w:rPr>
              <w:instrText xml:space="preserve"> PAGEREF _Toc235346524 \h </w:instrText>
            </w:r>
            <w:r>
              <w:rPr>
                <w:noProof/>
                <w:webHidden/>
              </w:rPr>
            </w:r>
            <w:r>
              <w:rPr>
                <w:noProof/>
                <w:webHidden/>
              </w:rPr>
              <w:fldChar w:fldCharType="separate"/>
            </w:r>
            <w:r>
              <w:rPr>
                <w:noProof/>
                <w:webHidden/>
              </w:rPr>
              <w:t>8</w:t>
            </w:r>
            <w:r>
              <w:rPr>
                <w:noProof/>
                <w:webHidden/>
              </w:rPr>
              <w:fldChar w:fldCharType="end"/>
            </w:r>
          </w:hyperlink>
        </w:p>
        <w:p w14:paraId="11EE8F44" w14:textId="67FD3A3B"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5" w:history="1">
            <w:r w:rsidRPr="008A3C30">
              <w:rPr>
                <w:rStyle w:val="Hyperlink"/>
                <w:noProof/>
              </w:rPr>
              <w:t>8. Conclusion</w:t>
            </w:r>
            <w:r>
              <w:rPr>
                <w:noProof/>
                <w:webHidden/>
              </w:rPr>
              <w:tab/>
            </w:r>
            <w:r>
              <w:rPr>
                <w:noProof/>
                <w:webHidden/>
              </w:rPr>
              <w:fldChar w:fldCharType="begin"/>
            </w:r>
            <w:r>
              <w:rPr>
                <w:noProof/>
                <w:webHidden/>
              </w:rPr>
              <w:instrText xml:space="preserve"> PAGEREF _Toc235346525 \h </w:instrText>
            </w:r>
            <w:r>
              <w:rPr>
                <w:noProof/>
                <w:webHidden/>
              </w:rPr>
            </w:r>
            <w:r>
              <w:rPr>
                <w:noProof/>
                <w:webHidden/>
              </w:rPr>
              <w:fldChar w:fldCharType="separate"/>
            </w:r>
            <w:r>
              <w:rPr>
                <w:noProof/>
                <w:webHidden/>
              </w:rPr>
              <w:t>9</w:t>
            </w:r>
            <w:r>
              <w:rPr>
                <w:noProof/>
                <w:webHidden/>
              </w:rPr>
              <w:fldChar w:fldCharType="end"/>
            </w:r>
          </w:hyperlink>
        </w:p>
        <w:p w14:paraId="07FAE02D" w14:textId="0A1F8364" w:rsidR="00D24C22" w:rsidRDefault="00D24C22">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5346526" w:history="1">
            <w:r w:rsidRPr="008A3C30">
              <w:rPr>
                <w:rStyle w:val="Hyperlink"/>
                <w:noProof/>
              </w:rPr>
              <w:t>9. Reference</w:t>
            </w:r>
            <w:r>
              <w:rPr>
                <w:noProof/>
                <w:webHidden/>
              </w:rPr>
              <w:tab/>
            </w:r>
            <w:r>
              <w:rPr>
                <w:noProof/>
                <w:webHidden/>
              </w:rPr>
              <w:fldChar w:fldCharType="begin"/>
            </w:r>
            <w:r>
              <w:rPr>
                <w:noProof/>
                <w:webHidden/>
              </w:rPr>
              <w:instrText xml:space="preserve"> PAGEREF _Toc235346526 \h </w:instrText>
            </w:r>
            <w:r>
              <w:rPr>
                <w:noProof/>
                <w:webHidden/>
              </w:rPr>
            </w:r>
            <w:r>
              <w:rPr>
                <w:noProof/>
                <w:webHidden/>
              </w:rPr>
              <w:fldChar w:fldCharType="separate"/>
            </w:r>
            <w:r>
              <w:rPr>
                <w:noProof/>
                <w:webHidden/>
              </w:rPr>
              <w:t>11</w:t>
            </w:r>
            <w:r>
              <w:rPr>
                <w:noProof/>
                <w:webHidden/>
              </w:rPr>
              <w:fldChar w:fldCharType="end"/>
            </w:r>
          </w:hyperlink>
        </w:p>
        <w:p w14:paraId="7125BABC" w14:textId="3E76C1DD" w:rsidR="00AB1523" w:rsidRDefault="00AB1523">
          <w:r>
            <w:rPr>
              <w:b/>
              <w:bCs/>
              <w:noProof/>
            </w:rPr>
            <w:fldChar w:fldCharType="end"/>
          </w:r>
        </w:p>
      </w:sdtContent>
    </w:sdt>
    <w:p w14:paraId="5F855D31" w14:textId="77777777" w:rsidR="001F3245" w:rsidRDefault="001F3245" w:rsidP="00FE69D0">
      <w:r>
        <w:br w:type="page"/>
      </w:r>
    </w:p>
    <w:p w14:paraId="579E817F" w14:textId="4B14F0BD" w:rsidR="00C76781" w:rsidRPr="00796EDA" w:rsidRDefault="00C76781" w:rsidP="00AB1523">
      <w:pPr>
        <w:pStyle w:val="Heading1"/>
      </w:pPr>
      <w:bookmarkStart w:id="1" w:name="_Toc235346518"/>
      <w:r w:rsidRPr="00796EDA">
        <w:lastRenderedPageBreak/>
        <w:t>1. Introduction</w:t>
      </w:r>
      <w:bookmarkEnd w:id="1"/>
    </w:p>
    <w:p w14:paraId="76DACE8F" w14:textId="7A642D93" w:rsidR="00C76781" w:rsidRPr="00796EDA" w:rsidRDefault="00C76781" w:rsidP="00FE69D0">
      <w:pPr>
        <w:rPr>
          <w:lang w:val="en-GB"/>
        </w:rPr>
      </w:pPr>
      <w:r>
        <w:rPr>
          <w:lang w:val="en-GB"/>
        </w:rPr>
        <w:t xml:space="preserve">Project management offers a structured approach for </w:t>
      </w:r>
      <w:r w:rsidR="00A650C1">
        <w:rPr>
          <w:lang w:val="en-GB"/>
        </w:rPr>
        <w:t>organisations</w:t>
      </w:r>
      <w:r>
        <w:rPr>
          <w:lang w:val="en-GB"/>
        </w:rPr>
        <w:t xml:space="preserve"> to plan, coordinate, and oversee resources to meet specific goals within established limits on scope, schedule, cost, and quality (Project Management Institute, 2021). As projects grow more complex, especially in highly regulated fields, careful project planning becomes crucial for reducing uncertainty, enabling better decision-making, and increasing the chances of successful completion (Burke, 2013). This is particularly true in the nuclear energy sector, where technical intricacies, stakeholder demands, and regulatory requirements strongly impact project results (Lock, 2013).</w:t>
      </w:r>
    </w:p>
    <w:p w14:paraId="43333398" w14:textId="64A72C23" w:rsidR="00C76781" w:rsidRPr="00796EDA" w:rsidRDefault="00C76781" w:rsidP="00FE69D0">
      <w:pPr>
        <w:rPr>
          <w:lang w:val="en-GB"/>
        </w:rPr>
      </w:pPr>
      <w:r>
        <w:rPr>
          <w:lang w:val="en-GB"/>
        </w:rPr>
        <w:t xml:space="preserve">This project plan outlines the Rolls-Royce Small Modular Reactor (SMR) Deployment Readiness Project, a twelve-month effort aimed at preparing the </w:t>
      </w:r>
      <w:r w:rsidR="00A650C1">
        <w:rPr>
          <w:lang w:val="en-GB"/>
        </w:rPr>
        <w:t>organisation</w:t>
      </w:r>
      <w:r>
        <w:rPr>
          <w:lang w:val="en-GB"/>
        </w:rPr>
        <w:t xml:space="preserve"> for the shift from reactor design to site-specific implementation. Instead of focusing on building a nuclear power plant, the project </w:t>
      </w:r>
      <w:r w:rsidR="00A650C1">
        <w:rPr>
          <w:lang w:val="en-GB"/>
        </w:rPr>
        <w:t>emphasises</w:t>
      </w:r>
      <w:r>
        <w:rPr>
          <w:lang w:val="en-GB"/>
        </w:rPr>
        <w:t xml:space="preserve"> establishing governance frameworks, stakeholder engagement strategies, regulatory planning, procurement preparedness, and resource management to facilitate future deployment. This strategy ensures a realistic and manageable scope, aligning with Rolls-Royce SMR's current development phase (Rolls-Royce SMR, 2025).</w:t>
      </w:r>
    </w:p>
    <w:p w14:paraId="1E4F1A93" w14:textId="7AD98B85" w:rsidR="00C76781" w:rsidRDefault="00C76781" w:rsidP="00FE69D0">
      <w:pPr>
        <w:rPr>
          <w:lang w:val="en-GB"/>
        </w:rPr>
      </w:pPr>
      <w:r>
        <w:rPr>
          <w:lang w:val="en-GB"/>
        </w:rPr>
        <w:t xml:space="preserve">The project </w:t>
      </w:r>
      <w:r w:rsidR="00D24C22">
        <w:rPr>
          <w:lang w:val="en-GB"/>
        </w:rPr>
        <w:t>is strategically important</w:t>
      </w:r>
      <w:r>
        <w:rPr>
          <w:lang w:val="en-GB"/>
        </w:rPr>
        <w:t xml:space="preserve"> because Small Modular Reactors can enhance the UK's energy security, support the pursuit of net-zero carbon emissions, and promote long-term industrial growth (UK Government, 2025). Additionally, Rolls-Royce SMR has reached key stages in the Generic Design Assessment, showing ongoing regulatory progress toward commercial launch (Office for Nuclear Regulation, 2025). Therefore, a detailed project plan is essential </w:t>
      </w:r>
      <w:r w:rsidR="00A650C1">
        <w:rPr>
          <w:lang w:val="en-GB"/>
        </w:rPr>
        <w:t>for coordinating activities, allocating resources efficiently, managing risks, and ensuring that</w:t>
      </w:r>
      <w:r>
        <w:rPr>
          <w:lang w:val="en-GB"/>
        </w:rPr>
        <w:t xml:space="preserve"> all deliverables bolster organisational readiness (Project Management Institute, 2021). This report outlines the project's purpose, goals, scope, deliverables, Work Breakdown Structure (WBS), milestones, resource needs, and a critical assessment of the proposed project plan.</w:t>
      </w:r>
    </w:p>
    <w:p w14:paraId="65C5065F" w14:textId="77777777" w:rsidR="00C76781" w:rsidRDefault="00C76781" w:rsidP="00FE69D0">
      <w:pPr>
        <w:rPr>
          <w:lang w:val="en-GB"/>
        </w:rPr>
      </w:pPr>
    </w:p>
    <w:p w14:paraId="520CCE94" w14:textId="77777777" w:rsidR="00C76781" w:rsidRDefault="00C76781" w:rsidP="00FE69D0">
      <w:pPr>
        <w:rPr>
          <w:lang w:val="en-GB"/>
        </w:rPr>
      </w:pPr>
    </w:p>
    <w:p w14:paraId="3F38D062" w14:textId="77777777" w:rsidR="00C76781" w:rsidRPr="00796EDA" w:rsidRDefault="00C76781" w:rsidP="00FE69D0">
      <w:pPr>
        <w:rPr>
          <w:lang w:val="en-GB"/>
        </w:rPr>
      </w:pPr>
    </w:p>
    <w:p w14:paraId="5BBB3066" w14:textId="77777777" w:rsidR="00C76781" w:rsidRPr="00796EDA" w:rsidRDefault="00C76781" w:rsidP="00FE69D0">
      <w:pPr>
        <w:rPr>
          <w:lang w:val="en-GB"/>
        </w:rPr>
      </w:pPr>
    </w:p>
    <w:p w14:paraId="2BB95766" w14:textId="77777777" w:rsidR="00C76781" w:rsidRPr="00796EDA" w:rsidRDefault="00C76781" w:rsidP="00AB1523">
      <w:pPr>
        <w:pStyle w:val="Heading1"/>
      </w:pPr>
      <w:bookmarkStart w:id="2" w:name="_Toc235346519"/>
      <w:r w:rsidRPr="00796EDA">
        <w:lastRenderedPageBreak/>
        <w:t>2. Project Aim, Objectives and Scope</w:t>
      </w:r>
      <w:bookmarkEnd w:id="2"/>
    </w:p>
    <w:p w14:paraId="005A9D87" w14:textId="24D13429" w:rsidR="00C76781" w:rsidRPr="00796EDA" w:rsidRDefault="00C76781" w:rsidP="00FE69D0">
      <w:pPr>
        <w:rPr>
          <w:lang w:val="en-GB"/>
        </w:rPr>
      </w:pPr>
      <w:r w:rsidRPr="00796EDA">
        <w:rPr>
          <w:lang w:val="en-GB"/>
        </w:rPr>
        <w:t>Project Aim</w:t>
      </w:r>
    </w:p>
    <w:p w14:paraId="2F5A03BC" w14:textId="0EBACAB5" w:rsidR="00C76781" w:rsidRPr="00796EDA" w:rsidRDefault="00DE6EE0" w:rsidP="00FE69D0">
      <w:pPr>
        <w:rPr>
          <w:lang w:val="en-GB"/>
        </w:rPr>
      </w:pPr>
      <w:r>
        <w:rPr>
          <w:lang w:val="en-GB"/>
        </w:rPr>
        <w:t>The Rolls-Royce SMR Deployment Readiness Project aims to create a framework for transitioning from a generic reactor to site-specific deployment. It focuses on governance, stakeholder engagement, regulatory strategies, procurement, and resource management to support SMR deployment in the UK (Project Management Institute, 2021).</w:t>
      </w:r>
    </w:p>
    <w:p w14:paraId="2F5C4811" w14:textId="77777777" w:rsidR="00C76781" w:rsidRDefault="00C76781" w:rsidP="00FE69D0">
      <w:pPr>
        <w:rPr>
          <w:lang w:val="en-GB"/>
        </w:rPr>
      </w:pPr>
      <w:r>
        <w:rPr>
          <w:lang w:val="en-GB"/>
        </w:rPr>
        <w:t>Project Objectives</w:t>
      </w:r>
    </w:p>
    <w:p w14:paraId="41EFFAEB" w14:textId="6F8C63D1" w:rsidR="00C76781" w:rsidRDefault="00C76781" w:rsidP="00FE69D0">
      <w:pPr>
        <w:rPr>
          <w:lang w:val="en-GB"/>
        </w:rPr>
      </w:pPr>
      <w:r>
        <w:rPr>
          <w:lang w:val="en-GB"/>
        </w:rPr>
        <w:t xml:space="preserve">To </w:t>
      </w:r>
      <w:r w:rsidR="00A650C1">
        <w:rPr>
          <w:lang w:val="en-GB"/>
        </w:rPr>
        <w:t>fulfil</w:t>
      </w:r>
      <w:r>
        <w:rPr>
          <w:lang w:val="en-GB"/>
        </w:rPr>
        <w:t xml:space="preserve"> the project’s goal, the following SMART objectives have been set (Burke, 2013):</w:t>
      </w:r>
    </w:p>
    <w:p w14:paraId="1417426B" w14:textId="77777777" w:rsidR="00C76781" w:rsidRDefault="00C76781" w:rsidP="00FE69D0">
      <w:pPr>
        <w:rPr>
          <w:lang w:val="en-GB"/>
        </w:rPr>
      </w:pPr>
      <w:r>
        <w:rPr>
          <w:lang w:val="en-GB"/>
        </w:rPr>
        <w:t>1. Create a site readiness assessment framework for a potential UK SMR site within 12 months.</w:t>
      </w:r>
    </w:p>
    <w:p w14:paraId="687D5C4C" w14:textId="77777777" w:rsidR="00C76781" w:rsidRDefault="00C76781" w:rsidP="00FE69D0">
      <w:pPr>
        <w:rPr>
          <w:lang w:val="en-GB"/>
        </w:rPr>
      </w:pPr>
      <w:r>
        <w:rPr>
          <w:lang w:val="en-GB"/>
        </w:rPr>
        <w:t>2. Develop a regulatory engagement plan aligned with the Office for Nuclear Regulation's GDA process and future licensing norms (Office for Nuclear Regulation, 2025).</w:t>
      </w:r>
    </w:p>
    <w:p w14:paraId="4B0DC783" w14:textId="77777777" w:rsidR="00C76781" w:rsidRDefault="00C76781" w:rsidP="00FE69D0">
      <w:pPr>
        <w:rPr>
          <w:lang w:val="en-GB"/>
        </w:rPr>
      </w:pPr>
      <w:r>
        <w:rPr>
          <w:lang w:val="en-GB"/>
        </w:rPr>
        <w:t>3. Formulate a supply chain and procurement preparedness plan, pinpointing critical suppliers, long-lead items, and procurement risks.</w:t>
      </w:r>
    </w:p>
    <w:p w14:paraId="1BED3918" w14:textId="77777777" w:rsidR="00C76781" w:rsidRDefault="00C76781" w:rsidP="00FE69D0">
      <w:pPr>
        <w:rPr>
          <w:lang w:val="en-GB"/>
        </w:rPr>
      </w:pPr>
      <w:r>
        <w:rPr>
          <w:lang w:val="en-GB"/>
        </w:rPr>
        <w:t>4. Design a stakeholder communication plan to ensure effective interaction with government agencies, regulators, suppliers, local communities, and internal teams (Bourne, 2015).</w:t>
      </w:r>
    </w:p>
    <w:p w14:paraId="032ED364" w14:textId="77777777" w:rsidR="00C76781" w:rsidRDefault="00C76781" w:rsidP="00FE69D0">
      <w:pPr>
        <w:rPr>
          <w:lang w:val="en-GB"/>
        </w:rPr>
      </w:pPr>
      <w:r>
        <w:rPr>
          <w:lang w:val="en-GB"/>
        </w:rPr>
        <w:t>5. Generate an integrated project schedule, initial budget, and risk register to aid the transition into the implementation stage.</w:t>
      </w:r>
    </w:p>
    <w:p w14:paraId="04954E41" w14:textId="36704293" w:rsidR="00C76781" w:rsidRPr="00796EDA" w:rsidRDefault="00C76781" w:rsidP="00FE69D0">
      <w:pPr>
        <w:rPr>
          <w:lang w:val="en-GB"/>
        </w:rPr>
      </w:pPr>
      <w:r>
        <w:rPr>
          <w:lang w:val="en-GB"/>
        </w:rPr>
        <w:t xml:space="preserve">6. Set up a robust project governance framework with clearly defined roles and responsibilities. </w:t>
      </w:r>
      <w:r w:rsidRPr="00796EDA">
        <w:rPr>
          <w:lang w:val="en-GB"/>
        </w:rPr>
        <w:t xml:space="preserve">and reporting arrangements (Hedeman, 2009). </w:t>
      </w:r>
    </w:p>
    <w:p w14:paraId="4ED8B77D" w14:textId="27FFF1B2" w:rsidR="00C76781" w:rsidRPr="00796EDA" w:rsidRDefault="00C76781" w:rsidP="00FE69D0">
      <w:pPr>
        <w:rPr>
          <w:lang w:val="en-GB"/>
        </w:rPr>
      </w:pPr>
      <w:r w:rsidRPr="00796EDA">
        <w:rPr>
          <w:lang w:val="en-GB"/>
        </w:rPr>
        <w:t>Project Scope</w:t>
      </w:r>
    </w:p>
    <w:p w14:paraId="6B042108" w14:textId="38D8AAF9" w:rsidR="00C76781" w:rsidRPr="00796EDA" w:rsidRDefault="00C76781" w:rsidP="00FE69D0">
      <w:pPr>
        <w:rPr>
          <w:lang w:val="en-GB"/>
        </w:rPr>
      </w:pPr>
      <w:r>
        <w:rPr>
          <w:lang w:val="en-GB"/>
        </w:rPr>
        <w:t>This project concentrates solely on deployment readiness rather than reactor construction. Its scope covers project governance, stakeholder management, regulatory planning, site readiness assessment, procurement planning, resource allocation, risk management, and project reporting. Physical construction, land acquisition, reactor commissioning, environmental permits, and commercial operation are excluded</w:t>
      </w:r>
      <w:r w:rsidR="00A650C1">
        <w:rPr>
          <w:lang w:val="en-GB"/>
        </w:rPr>
        <w:t xml:space="preserve"> because they fall under</w:t>
      </w:r>
      <w:r>
        <w:rPr>
          <w:lang w:val="en-GB"/>
        </w:rPr>
        <w:t xml:space="preserve"> later project phases (Lock, 2013). Clearly </w:t>
      </w:r>
      <w:r>
        <w:rPr>
          <w:lang w:val="en-GB"/>
        </w:rPr>
        <w:lastRenderedPageBreak/>
        <w:t>defining these boundaries helps prevent scope creep and ensures effective control throughout the project lifecycle (Project Management Institute, 2021).</w:t>
      </w:r>
    </w:p>
    <w:p w14:paraId="396136C8" w14:textId="77777777" w:rsidR="00C76781" w:rsidRPr="00796EDA" w:rsidRDefault="00C76781" w:rsidP="00AB1523">
      <w:pPr>
        <w:pStyle w:val="Heading1"/>
      </w:pPr>
      <w:bookmarkStart w:id="3" w:name="_Toc235346520"/>
      <w:r w:rsidRPr="00796EDA">
        <w:t>3. Project Outputs and Deliverables</w:t>
      </w:r>
      <w:bookmarkEnd w:id="3"/>
    </w:p>
    <w:p w14:paraId="617F7A02" w14:textId="1858D863" w:rsidR="00C76781" w:rsidRPr="00796EDA" w:rsidRDefault="00C76781" w:rsidP="00FE69D0">
      <w:pPr>
        <w:rPr>
          <w:lang w:val="en-GB"/>
        </w:rPr>
      </w:pPr>
      <w:r>
        <w:rPr>
          <w:lang w:val="en-GB"/>
        </w:rPr>
        <w:t xml:space="preserve">Project outputs are the tangible results created throughout the project's lifecycle, whereas deliverables are the measurable products or documents officially approved by the project sponsor (Project Management Institute, 2021). </w:t>
      </w:r>
      <w:r w:rsidR="00C03492">
        <w:rPr>
          <w:lang w:val="en-GB"/>
        </w:rPr>
        <w:t>Within the scope of the</w:t>
      </w:r>
      <w:r>
        <w:rPr>
          <w:lang w:val="en-GB"/>
        </w:rPr>
        <w:t xml:space="preserve"> Rolls-Royce SMR Deployment Readiness Project, the deliverables are </w:t>
      </w:r>
      <w:r w:rsidR="00A650C1">
        <w:rPr>
          <w:lang w:val="en-GB"/>
        </w:rPr>
        <w:t>designed to facilitate informed decision-making and ensure organisational preparedness before proceeding</w:t>
      </w:r>
      <w:r>
        <w:rPr>
          <w:lang w:val="en-GB"/>
        </w:rPr>
        <w:t xml:space="preserve"> to site-specific implementation.</w:t>
      </w:r>
    </w:p>
    <w:p w14:paraId="72789962" w14:textId="1B488C25" w:rsidR="00C76781" w:rsidRPr="00796EDA" w:rsidRDefault="00C03492" w:rsidP="00FE69D0">
      <w:pPr>
        <w:rPr>
          <w:lang w:val="en-GB"/>
        </w:rPr>
      </w:pPr>
      <w:r>
        <w:rPr>
          <w:lang w:val="en-GB"/>
        </w:rPr>
        <w:t>The key deliverables include a Project Initiation Document (PID) that details the mission's justification, governance, and scope; a Stakeholder Register and Communication Plan for engaging regulators, agencies, suppliers, and communities; and a Site Readiness Assessment Framework to evaluate deployment locations.</w:t>
      </w:r>
      <w:r w:rsidR="00DE6EE0">
        <w:rPr>
          <w:lang w:val="en-GB"/>
        </w:rPr>
        <w:t xml:space="preserve"> (Hedeman, 2009).</w:t>
      </w:r>
    </w:p>
    <w:p w14:paraId="17A12BB5" w14:textId="3FCD1B83" w:rsidR="00C76781" w:rsidRPr="00796EDA" w:rsidRDefault="00DE6EE0" w:rsidP="00FE69D0">
      <w:pPr>
        <w:rPr>
          <w:lang w:val="en-GB"/>
        </w:rPr>
      </w:pPr>
      <w:r>
        <w:rPr>
          <w:lang w:val="en-GB"/>
        </w:rPr>
        <w:t>Additional deliverables include a Regulatory Engagement Plan for nuclear regulation compliance, a Supply Chain Readiness Plan identifying key suppliers and risks, an Integrated Project Schedule and Risk Register for monitoring, and a Final Deployment Readiness Report to assess readiness for implementation (Office for Nuclear Regulation, 2025).</w:t>
      </w:r>
    </w:p>
    <w:p w14:paraId="1D166FD6" w14:textId="2F844854" w:rsidR="00C76781" w:rsidRDefault="00C76781" w:rsidP="00FE69D0">
      <w:pPr>
        <w:rPr>
          <w:lang w:val="en-GB"/>
        </w:rPr>
      </w:pPr>
      <w:r>
        <w:rPr>
          <w:lang w:val="en-GB"/>
        </w:rPr>
        <w:t xml:space="preserve">Together, these deliverables offer governance, technical data, and strategic evidence essential for </w:t>
      </w:r>
      <w:r w:rsidR="00A650C1">
        <w:rPr>
          <w:lang w:val="en-GB"/>
        </w:rPr>
        <w:t>minimising</w:t>
      </w:r>
      <w:r>
        <w:rPr>
          <w:lang w:val="en-GB"/>
        </w:rPr>
        <w:t xml:space="preserve"> uncertainty, guiding investment choices, and ensuring a smooth transition from design development to project implementation (Turner, 2014).</w:t>
      </w:r>
    </w:p>
    <w:p w14:paraId="0C7E6071" w14:textId="77777777" w:rsidR="00DE6EE0" w:rsidRDefault="00DE6EE0" w:rsidP="00FE69D0">
      <w:pPr>
        <w:rPr>
          <w:lang w:val="en-GB"/>
        </w:rPr>
      </w:pPr>
    </w:p>
    <w:p w14:paraId="57018FB2" w14:textId="6CB21C5E" w:rsidR="00C76781" w:rsidRPr="00796EDA" w:rsidRDefault="00C76781" w:rsidP="00AB1523">
      <w:pPr>
        <w:pStyle w:val="Heading1"/>
      </w:pPr>
      <w:bookmarkStart w:id="4" w:name="_Toc235346521"/>
      <w:r w:rsidRPr="00796EDA">
        <w:t>4. Activities Required to Deliver the Project Outputs</w:t>
      </w:r>
      <w:bookmarkEnd w:id="4"/>
    </w:p>
    <w:p w14:paraId="71F28843" w14:textId="5E4CB040" w:rsidR="00C76781" w:rsidRPr="00796EDA" w:rsidRDefault="00DE6EE0" w:rsidP="00FE69D0">
      <w:pPr>
        <w:rPr>
          <w:lang w:val="en-GB"/>
        </w:rPr>
      </w:pPr>
      <w:r>
        <w:rPr>
          <w:lang w:val="en-GB"/>
        </w:rPr>
        <w:t xml:space="preserve">The project's success relies on a sequence of interconnected activities supporting organisational readiness, not just reactor building. Effective planning involves logically organising, resource allocation, and ongoing monitoring to ensure alignment with deliverables (PMI, 2021). The project uses a phased approach </w:t>
      </w:r>
      <w:r w:rsidR="00FE69D0">
        <w:rPr>
          <w:lang w:val="en-GB"/>
        </w:rPr>
        <w:t>in which governance, compliance, stakeholder engagement, and procurement develop simultaneously while remaining integrated through</w:t>
      </w:r>
      <w:r>
        <w:rPr>
          <w:lang w:val="en-GB"/>
        </w:rPr>
        <w:t xml:space="preserve"> project controls.</w:t>
      </w:r>
    </w:p>
    <w:p w14:paraId="00626D87" w14:textId="27AF9BED" w:rsidR="00C76781" w:rsidRPr="00796EDA" w:rsidRDefault="00DE6EE0" w:rsidP="00FE69D0">
      <w:pPr>
        <w:rPr>
          <w:lang w:val="en-GB"/>
        </w:rPr>
      </w:pPr>
      <w:r>
        <w:rPr>
          <w:lang w:val="en-GB"/>
        </w:rPr>
        <w:lastRenderedPageBreak/>
        <w:t>The project starts with initiation activities like approving the business case, developing the Project Initiation Document (PID), and establishing governance. This phase sets the strategic direction and defines responsibilities, reporting, and decision-making (Hedeman, 2009). Without good governance, later activities risk delays, conflicts, and poor accountability.</w:t>
      </w:r>
    </w:p>
    <w:p w14:paraId="5B1078D5" w14:textId="2E5DE30E" w:rsidR="00C76781" w:rsidRPr="00796EDA" w:rsidRDefault="00C76781" w:rsidP="00FE69D0">
      <w:pPr>
        <w:rPr>
          <w:lang w:val="en-GB"/>
        </w:rPr>
      </w:pPr>
      <w:r>
        <w:rPr>
          <w:lang w:val="en-GB"/>
        </w:rPr>
        <w:t xml:space="preserve">The second phase </w:t>
      </w:r>
      <w:r w:rsidR="00A650C1">
        <w:rPr>
          <w:lang w:val="en-GB"/>
        </w:rPr>
        <w:t>emphasises</w:t>
      </w:r>
      <w:r>
        <w:rPr>
          <w:lang w:val="en-GB"/>
        </w:rPr>
        <w:t xml:space="preserve"> stakeholder engagement and regulatory planning. Activities </w:t>
      </w:r>
      <w:r w:rsidR="00DE6EE0">
        <w:rPr>
          <w:lang w:val="en-GB"/>
        </w:rPr>
        <w:t>include identifying key stakeholders, developing communication strategies, and preparing regulatory documents required</w:t>
      </w:r>
      <w:r>
        <w:rPr>
          <w:lang w:val="en-GB"/>
        </w:rPr>
        <w:t xml:space="preserve"> for future licensing. Early engagement is vital</w:t>
      </w:r>
      <w:r w:rsidR="00A650C1">
        <w:rPr>
          <w:lang w:val="en-GB"/>
        </w:rPr>
        <w:t>, as public confidence and regulatory approval are crucial to</w:t>
      </w:r>
      <w:r>
        <w:rPr>
          <w:lang w:val="en-GB"/>
        </w:rPr>
        <w:t xml:space="preserve"> nuclear infrastructure projects (Bourne, 2015). Delays in stakeholder consultation or meeting regulatory requirements could substantially impact the project timeline and elevate overall risk.</w:t>
      </w:r>
    </w:p>
    <w:p w14:paraId="21F86457" w14:textId="73AF31E7" w:rsidR="00C76781" w:rsidRPr="00796EDA" w:rsidRDefault="00C76781" w:rsidP="00FE69D0">
      <w:pPr>
        <w:rPr>
          <w:lang w:val="en-GB"/>
        </w:rPr>
      </w:pPr>
      <w:r>
        <w:rPr>
          <w:lang w:val="en-GB"/>
        </w:rPr>
        <w:t xml:space="preserve">The concluding activities include a site readiness assessment, supply chain planning, integrated scheduling, and risk management, leading to the creation of the Deployment Readiness Report. These steps convert technical and commercial data into evidence-based recommendations to guide future investments. By integrating risk management throughout the project </w:t>
      </w:r>
      <w:r w:rsidR="00A650C1">
        <w:rPr>
          <w:lang w:val="en-GB"/>
        </w:rPr>
        <w:t>rather than treating it as a final step, potential issues can be identified and addressed early, preventing adverse</w:t>
      </w:r>
      <w:r>
        <w:rPr>
          <w:lang w:val="en-GB"/>
        </w:rPr>
        <w:t xml:space="preserve"> impacts on project performance (Burke, 2013). </w:t>
      </w:r>
    </w:p>
    <w:p w14:paraId="512E211D" w14:textId="714EFC1D" w:rsidR="00C76781" w:rsidRPr="00796EDA" w:rsidRDefault="00023DB2" w:rsidP="00FE69D0">
      <w:r>
        <w:t>In a mainly predictive planning approach, certain activities</w:t>
      </w:r>
      <w:r w:rsidR="00A650C1">
        <w:t>, such as stakeholder engagement, regulatory planning, and risk management,</w:t>
      </w:r>
      <w:r>
        <w:t xml:space="preserve"> need to be handled iteratively. This allows </w:t>
      </w:r>
      <w:r w:rsidR="00A650C1">
        <w:t>adjustments in response to</w:t>
      </w:r>
      <w:r>
        <w:t xml:space="preserve"> changing regulatory demands and stakeholder expectations. </w:t>
      </w:r>
      <w:r w:rsidR="00C03492">
        <w:t>Hybrid project management merges the organized control of traditional approaches with the flexibility required to manage uncertainty. This makes it especially suitable for complex engineering initiatives like the Rolls-Royce SMR programme.</w:t>
      </w:r>
      <w:r>
        <w:t xml:space="preserve"> (Highsmith, 2009; Wysocki, 2014).</w:t>
      </w:r>
    </w:p>
    <w:p w14:paraId="71B9489F" w14:textId="5712DAC9" w:rsidR="00C76781" w:rsidRDefault="00023DB2" w:rsidP="00FE69D0">
      <w:r>
        <w:t>This integrated approach aligns with established project management practices by blending thorough planning with flexible decision-making, thereby enhancing the chances of meeting the project's strategic goals within the specified scope, schedule, and resources (Project Management Institute, 2021).</w:t>
      </w:r>
    </w:p>
    <w:p w14:paraId="3B86047A" w14:textId="77777777" w:rsidR="00C76781" w:rsidRPr="00796EDA" w:rsidRDefault="00C76781" w:rsidP="00AB1523">
      <w:pPr>
        <w:pStyle w:val="Heading1"/>
      </w:pPr>
      <w:bookmarkStart w:id="5" w:name="_Toc235346522"/>
      <w:r w:rsidRPr="00796EDA">
        <w:lastRenderedPageBreak/>
        <w:t>5. Work Breakdown Structure (WBS)</w:t>
      </w:r>
      <w:bookmarkEnd w:id="5"/>
    </w:p>
    <w:p w14:paraId="1F669CC1" w14:textId="64F41203" w:rsidR="00C76781" w:rsidRPr="00796EDA" w:rsidRDefault="00C03492" w:rsidP="00FE69D0">
      <w:pPr>
        <w:rPr>
          <w:lang w:val="en-GB"/>
        </w:rPr>
      </w:pPr>
      <w:r>
        <w:rPr>
          <w:lang w:val="en-GB"/>
        </w:rPr>
        <w:t>The Work Breakdown Structure (WBS) is a key project planning tool that divides the overall project scope into smaller, manageable work packages, offering a structured approach for planning, scheduling, and resource allocation (Project Management Institute, 2021).</w:t>
      </w:r>
      <w:r w:rsidR="00C76781" w:rsidRPr="00796EDA">
        <w:rPr>
          <w:lang w:val="en-GB"/>
        </w:rPr>
        <w:t xml:space="preserve"> </w:t>
      </w:r>
      <w:r>
        <w:rPr>
          <w:lang w:val="en-GB"/>
        </w:rPr>
        <w:t xml:space="preserve">The WBS outlines the specific work required to meet the project's goals, unlike a project schedule that emphasizes activity order. </w:t>
      </w:r>
      <w:r w:rsidR="00C76781" w:rsidRPr="00796EDA">
        <w:rPr>
          <w:lang w:val="en-GB"/>
        </w:rPr>
        <w:t>This distinction is particularly important in complex engineering projects, where clearly defined work packages improve accountability, facilitate cost estimation and reduce the likelihood of scope creep (Burke, 2013).</w:t>
      </w:r>
    </w:p>
    <w:p w14:paraId="3E986930" w14:textId="34DB9F3B" w:rsidR="00C76781" w:rsidRPr="00796EDA" w:rsidRDefault="00023DB2" w:rsidP="00FE69D0">
      <w:pPr>
        <w:rPr>
          <w:lang w:val="en-GB"/>
        </w:rPr>
      </w:pPr>
      <w:r>
        <w:rPr>
          <w:lang w:val="en-GB"/>
        </w:rPr>
        <w:t xml:space="preserve">The WBS for the Rolls-Royce SMR Deployment Readiness Project is structured around deliverables, ensuring each work package directly supports a concrete project output. The project is segmented into seven main work packages: project governance, stakeholder engagement, site readiness, regulatory planning, supply chain readiness, integrated planning, and project closure. This </w:t>
      </w:r>
      <w:r w:rsidR="00A650C1">
        <w:rPr>
          <w:lang w:val="en-GB"/>
        </w:rPr>
        <w:t>organised</w:t>
      </w:r>
      <w:r>
        <w:rPr>
          <w:lang w:val="en-GB"/>
        </w:rPr>
        <w:t xml:space="preserve"> hierarchy helps project managers assign responsibilities efficiently, track progress, and clearly connect activities, deliverables, and milestones (Lock, 2013).</w:t>
      </w:r>
    </w:p>
    <w:p w14:paraId="02696DA5" w14:textId="1D116CFC" w:rsidR="00C76781" w:rsidRPr="00796EDA" w:rsidRDefault="00023DB2" w:rsidP="00FE69D0">
      <w:pPr>
        <w:rPr>
          <w:lang w:val="en-GB"/>
        </w:rPr>
      </w:pPr>
      <w:r>
        <w:rPr>
          <w:lang w:val="en-GB"/>
        </w:rPr>
        <w:t>The proposed WBS adheres to the 100% Rule</w:t>
      </w:r>
      <w:r w:rsidR="00DE6EE0">
        <w:rPr>
          <w:lang w:val="en-GB"/>
        </w:rPr>
        <w:t xml:space="preserve"> by including all necessary work to meet project objectives while excluding activities outside the scope, such as</w:t>
      </w:r>
      <w:r>
        <w:rPr>
          <w:lang w:val="en-GB"/>
        </w:rPr>
        <w:t xml:space="preserve"> reactor construction and commercial operations (Project Management Institute, 2021). This clarity </w:t>
      </w:r>
      <w:r w:rsidR="00A650C1">
        <w:rPr>
          <w:lang w:val="en-GB"/>
        </w:rPr>
        <w:t>minimises</w:t>
      </w:r>
      <w:r>
        <w:rPr>
          <w:lang w:val="en-GB"/>
        </w:rPr>
        <w:t xml:space="preserve"> ambiguity, enhances </w:t>
      </w:r>
      <w:r w:rsidR="00DE6EE0">
        <w:rPr>
          <w:lang w:val="en-GB"/>
        </w:rPr>
        <w:t>the accuracy of resource planning, and provides a solid basis</w:t>
      </w:r>
      <w:r>
        <w:rPr>
          <w:lang w:val="en-GB"/>
        </w:rPr>
        <w:t xml:space="preserve"> for creating the project schedule and Cost Breakdown Structure (CBS).</w:t>
      </w:r>
    </w:p>
    <w:p w14:paraId="21A014BB" w14:textId="2A127289" w:rsidR="00C76781" w:rsidRPr="00796EDA" w:rsidRDefault="00023DB2" w:rsidP="00FE69D0">
      <w:pPr>
        <w:rPr>
          <w:lang w:val="en-GB"/>
        </w:rPr>
      </w:pPr>
      <w:r>
        <w:rPr>
          <w:lang w:val="en-GB"/>
        </w:rPr>
        <w:t xml:space="preserve">While the WBS is very useful for defining project scope, it does not show task dependencies, resource constraints, or activity sequences. Therefore, it should be used </w:t>
      </w:r>
      <w:r w:rsidR="002F2881">
        <w:rPr>
          <w:lang w:val="en-GB"/>
        </w:rPr>
        <w:t>alongside other project management tools, such as the Gantt chart, CBS, and risk register,</w:t>
      </w:r>
      <w:r>
        <w:rPr>
          <w:lang w:val="en-GB"/>
        </w:rPr>
        <w:t xml:space="preserve"> to create a complete framework for project planning and control (Wysocki, 2014). This combined approach strengthens project governance and increases the chances of completing the project within the agreed scope, schedule, and budget.</w:t>
      </w:r>
    </w:p>
    <w:p w14:paraId="0894AE02" w14:textId="77777777" w:rsidR="00C76781" w:rsidRPr="00796EDA" w:rsidRDefault="00C76781" w:rsidP="00AB1523">
      <w:pPr>
        <w:pStyle w:val="Heading1"/>
      </w:pPr>
      <w:bookmarkStart w:id="6" w:name="_Toc235346523"/>
      <w:r w:rsidRPr="00796EDA">
        <w:t>6. Deliverables, Milestones and Timeline</w:t>
      </w:r>
      <w:bookmarkEnd w:id="6"/>
    </w:p>
    <w:p w14:paraId="03C29372" w14:textId="4BAA4D90" w:rsidR="00C76781" w:rsidRPr="00796EDA" w:rsidRDefault="00DE6EE0" w:rsidP="00FE69D0">
      <w:pPr>
        <w:rPr>
          <w:lang w:val="en-GB"/>
        </w:rPr>
      </w:pPr>
      <w:r>
        <w:rPr>
          <w:lang w:val="en-GB"/>
        </w:rPr>
        <w:t xml:space="preserve">Project milestones are key points allowing sponsors and management to assess progress, approve deliverables, and decide on project advancement (Project Management Institute, 2021). They do not have durations and track achievement </w:t>
      </w:r>
      <w:r>
        <w:rPr>
          <w:lang w:val="en-GB"/>
        </w:rPr>
        <w:lastRenderedPageBreak/>
        <w:t xml:space="preserve">against objectives. Clear milestones are crucial in regulated projects for governance, stakeholder, and compliance reviews (Kidston, 2015). The Rolls-Royce SMR Deployment Readiness Project, planned for 12 months, uses a Gantt chart to manage </w:t>
      </w:r>
      <w:r w:rsidR="00FE69D0">
        <w:rPr>
          <w:lang w:val="en-GB"/>
        </w:rPr>
        <w:t xml:space="preserve">the </w:t>
      </w:r>
      <w:r>
        <w:rPr>
          <w:lang w:val="en-GB"/>
        </w:rPr>
        <w:t xml:space="preserve">schedule, showing work packages and phase links to improve communication and resource planning (Lock, 2013). External factors like regulatory reviews and supplier availability may affect progress. </w:t>
      </w:r>
      <w:r w:rsidR="002F2881">
        <w:rPr>
          <w:lang w:val="en-GB"/>
        </w:rPr>
        <w:t>Ongoing performance monitoring and schedule updates should support milestone reviews</w:t>
      </w:r>
      <w:r w:rsidR="00E94DEC">
        <w:rPr>
          <w:lang w:val="en-GB"/>
        </w:rPr>
        <w:t>, enabling corrective actions for minor delays and</w:t>
      </w:r>
      <w:r>
        <w:rPr>
          <w:lang w:val="en-GB"/>
        </w:rPr>
        <w:t xml:space="preserve"> ensuring better control (Burke, 2013).</w:t>
      </w:r>
    </w:p>
    <w:p w14:paraId="5A9F3C7A" w14:textId="77777777" w:rsidR="00C76781" w:rsidRPr="00796EDA" w:rsidRDefault="00C76781" w:rsidP="00FE69D0">
      <w:pPr>
        <w:rPr>
          <w:lang w:val="en-GB"/>
        </w:rPr>
      </w:pPr>
      <w:r w:rsidRPr="00796EDA">
        <w:rPr>
          <w:lang w:val="en-GB"/>
        </w:rPr>
        <w:t>While the Gantt chart provides an effective visual representation of project activities, it does not identify the critical path or quantify the impact of delays on subsequent work packages. In practice, project managers should complement milestone planning with Critical Path Analysis (CPA) to identify activities that directly influence the project's completion date. This enables management to prioritise resources and implement corrective actions where schedule slippage threatens overall project performance (Meredith, Mantel and Shafer, 2018).</w:t>
      </w:r>
    </w:p>
    <w:p w14:paraId="107DF886" w14:textId="77777777" w:rsidR="00C76781" w:rsidRPr="00796EDA" w:rsidRDefault="00C76781" w:rsidP="002F2881">
      <w:pPr>
        <w:pStyle w:val="Heading1"/>
      </w:pPr>
      <w:bookmarkStart w:id="7" w:name="_Toc235346524"/>
      <w:r w:rsidRPr="00796EDA">
        <w:t>7. Resource Requirements and Cost Breakdown Structure (CBS)</w:t>
      </w:r>
      <w:bookmarkEnd w:id="7"/>
    </w:p>
    <w:p w14:paraId="210FF231" w14:textId="0223B8F1" w:rsidR="00C76781" w:rsidRPr="00796EDA" w:rsidRDefault="00DE6EE0" w:rsidP="00FE69D0">
      <w:pPr>
        <w:rPr>
          <w:lang w:val="en-GB"/>
        </w:rPr>
      </w:pPr>
      <w:r>
        <w:rPr>
          <w:lang w:val="en-GB"/>
        </w:rPr>
        <w:t xml:space="preserve">Successful project delivery relies on </w:t>
      </w:r>
      <w:r w:rsidR="00FE69D0">
        <w:rPr>
          <w:lang w:val="en-GB"/>
        </w:rPr>
        <w:t>the effective allocation of</w:t>
      </w:r>
      <w:r>
        <w:rPr>
          <w:lang w:val="en-GB"/>
        </w:rPr>
        <w:t xml:space="preserve"> human and financial resources, including personnel, technology, systems, and investments, to meet scope, schedule, and quality standards (</w:t>
      </w:r>
      <w:r w:rsidR="001F038D" w:rsidRPr="00796EDA">
        <w:rPr>
          <w:lang w:val="en-GB"/>
        </w:rPr>
        <w:t>Project Management Institute, 2021</w:t>
      </w:r>
      <w:r>
        <w:rPr>
          <w:lang w:val="en-GB"/>
        </w:rPr>
        <w:t xml:space="preserve">). In complex engineering projects, poor resource planning can cause delays, higher costs, and lower performance (Meredith, Mantel, Shafer, 2018). The Rolls-Royce SMR Deployment Readiness Project involves a multidisciplinary team for governance, regulatory compliance, procurement, and stakeholder engagement, requiring strong collaboration (Lock, 2013). It also depends on project management and collaboration tools, engineering data, regulatory guidance, and consultancy services. A Cost Breakdown Structure (CBS) </w:t>
      </w:r>
      <w:r w:rsidR="002F2881">
        <w:rPr>
          <w:lang w:val="en-GB"/>
        </w:rPr>
        <w:t>organises</w:t>
      </w:r>
      <w:r>
        <w:rPr>
          <w:lang w:val="en-GB"/>
        </w:rPr>
        <w:t xml:space="preserve"> project costs into categories </w:t>
      </w:r>
      <w:r w:rsidR="002F2881">
        <w:rPr>
          <w:lang w:val="en-GB"/>
        </w:rPr>
        <w:t xml:space="preserve">such as personnel, systems, consultancy, stakeholder engagement, training, and contingency, thereby </w:t>
      </w:r>
      <w:r>
        <w:rPr>
          <w:lang w:val="en-GB"/>
        </w:rPr>
        <w:t xml:space="preserve">improving budgeting and tracking (Burke, 2013). While helpful, the CBS isn’t fixed; resource needs and expenses change due to regulations, stakeholder expectations, and risks. Regular cost assessments ensure spending aligns with </w:t>
      </w:r>
      <w:r w:rsidR="00AB1523">
        <w:rPr>
          <w:lang w:val="en-GB"/>
        </w:rPr>
        <w:t>organisational</w:t>
      </w:r>
      <w:r>
        <w:rPr>
          <w:lang w:val="en-GB"/>
        </w:rPr>
        <w:t xml:space="preserve"> goals (</w:t>
      </w:r>
      <w:r w:rsidR="00874D99" w:rsidRPr="00796EDA">
        <w:rPr>
          <w:lang w:val="en-GB"/>
        </w:rPr>
        <w:t>Project Management Institute, 2021</w:t>
      </w:r>
      <w:r>
        <w:rPr>
          <w:lang w:val="en-GB"/>
        </w:rPr>
        <w:t>).</w:t>
      </w:r>
    </w:p>
    <w:p w14:paraId="385246E0" w14:textId="77777777" w:rsidR="00C76781" w:rsidRPr="00796EDA" w:rsidRDefault="00C76781" w:rsidP="00AB1523">
      <w:pPr>
        <w:pStyle w:val="Heading1"/>
      </w:pPr>
      <w:bookmarkStart w:id="8" w:name="_Toc235346525"/>
      <w:r w:rsidRPr="00796EDA">
        <w:lastRenderedPageBreak/>
        <w:t>8. Conclusion</w:t>
      </w:r>
      <w:bookmarkEnd w:id="8"/>
    </w:p>
    <w:p w14:paraId="4775C489" w14:textId="3DA723D0" w:rsidR="00C76781" w:rsidRPr="00796EDA" w:rsidRDefault="00C03492" w:rsidP="00FE69D0">
      <w:pPr>
        <w:rPr>
          <w:lang w:val="en-GB"/>
        </w:rPr>
      </w:pPr>
      <w:r>
        <w:rPr>
          <w:lang w:val="en-GB"/>
        </w:rPr>
        <w:t xml:space="preserve">The Rolls-Royce SMR Deployment Readiness Project emphasizes the need to use structured project management principles for effective planning and coordination of complex engineering projects. This report uses essential tools like the Work Breakdown Structure (WBS), Cost Breakdown Structure (CBS), project milestones, and Gantt charts to develop a detailed framework for defining project scope, resource allocation, cost control, and progress tracking. </w:t>
      </w:r>
      <w:r w:rsidR="00023DB2">
        <w:rPr>
          <w:lang w:val="en-GB"/>
        </w:rPr>
        <w:t>These tools collectively enable a systematic handling of project complexity, supporting better decision-making and governance (Project Management Institute, 2021; Burke, 2013).</w:t>
      </w:r>
    </w:p>
    <w:p w14:paraId="0C01885A" w14:textId="77777777" w:rsidR="00C76781" w:rsidRPr="00796EDA" w:rsidRDefault="00C76781" w:rsidP="00FE69D0">
      <w:pPr>
        <w:rPr>
          <w:lang w:val="en-GB"/>
        </w:rPr>
      </w:pPr>
      <w:r w:rsidRPr="00796EDA">
        <w:rPr>
          <w:lang w:val="en-GB"/>
        </w:rPr>
        <w:t>However, no single project management technique can guarantee project success. Although the WBS provides clarity regarding project scope and the CBS supports financial control, both tools rely on accurate information and regular review to remain effective. Similarly, while milestone planning and Gantt charts improve project monitoring, they cannot fully account for external uncertainties such as evolving regulatory requirements, stakeholder expectations or supply chain disruptions. Consequently, successful project delivery depends not only on careful planning but also on the project manager's ability to adapt strategies and make timely decisions in response to changing project conditions (Lock, 2013; Wysocki, 2014).</w:t>
      </w:r>
    </w:p>
    <w:p w14:paraId="31D88A3C" w14:textId="5E778F32" w:rsidR="00C76781" w:rsidRPr="00796EDA" w:rsidRDefault="00C76781" w:rsidP="00FE69D0">
      <w:pPr>
        <w:rPr>
          <w:lang w:val="en-GB"/>
        </w:rPr>
      </w:pPr>
      <w:r w:rsidRPr="00796EDA">
        <w:rPr>
          <w:lang w:val="en-GB"/>
        </w:rPr>
        <w:t>The analysis also demonstrates that an integrated project management approach is more effective than relying on individual planning tools in isolation. Linking the WBS, CBS, risk management processes</w:t>
      </w:r>
      <w:r w:rsidR="002F2881">
        <w:rPr>
          <w:lang w:val="en-GB"/>
        </w:rPr>
        <w:t>, and project schedule creates greater transparency, strengthens organisational control,</w:t>
      </w:r>
      <w:r w:rsidRPr="00796EDA">
        <w:rPr>
          <w:lang w:val="en-GB"/>
        </w:rPr>
        <w:t xml:space="preserve"> and improves the efficient use of project resources. This integration enables potential issues to be identified earlier, supports evidence-based decision-making</w:t>
      </w:r>
      <w:r>
        <w:rPr>
          <w:lang w:val="en-GB"/>
        </w:rPr>
        <w:t>, and increases the likelihood of achieving project objectives within the agreed scope, timescale,</w:t>
      </w:r>
      <w:r w:rsidRPr="00796EDA">
        <w:rPr>
          <w:lang w:val="en-GB"/>
        </w:rPr>
        <w:t xml:space="preserve"> and budget (Meredith, Mantel and Shafer, 2018; Project Management Institute, 2021).</w:t>
      </w:r>
    </w:p>
    <w:p w14:paraId="5B3BF9B6" w14:textId="77777777" w:rsidR="00C76781" w:rsidRPr="00796EDA" w:rsidRDefault="00C76781" w:rsidP="00FE69D0">
      <w:pPr>
        <w:rPr>
          <w:lang w:val="en-GB"/>
        </w:rPr>
      </w:pPr>
      <w:r w:rsidRPr="00796EDA">
        <w:rPr>
          <w:lang w:val="en-GB"/>
        </w:rPr>
        <w:t>Overall, the proposed project plan provides a realistic and structured framework for supporting the deployment readiness of the Rolls-Royce SMR programme. By combining recognised project management methodologies with critical evaluation and adaptive planning principles, the project is well positioned to support future implementation while contributing to the United Kingdom's long-term energy security and net-zero ambitions (Rolls-Royce SMR, 2025; UK Government, 2025).</w:t>
      </w:r>
    </w:p>
    <w:p w14:paraId="26E793C2" w14:textId="77777777" w:rsidR="00C76781" w:rsidRPr="00796EDA" w:rsidRDefault="00C76781" w:rsidP="00FE69D0">
      <w:pPr>
        <w:rPr>
          <w:lang w:val="en-GB"/>
        </w:rPr>
      </w:pPr>
    </w:p>
    <w:p w14:paraId="1D1C4EBF" w14:textId="77777777" w:rsidR="00C76781" w:rsidRDefault="00C76781" w:rsidP="00FE69D0">
      <w:pPr>
        <w:rPr>
          <w:lang w:val="en-GB"/>
        </w:rPr>
      </w:pPr>
      <w:r>
        <w:rPr>
          <w:lang w:val="en-GB"/>
        </w:rPr>
        <w:lastRenderedPageBreak/>
        <w:br w:type="page"/>
      </w:r>
    </w:p>
    <w:p w14:paraId="6205C3FC" w14:textId="5AFE26D4" w:rsidR="00C76781" w:rsidRPr="00796EDA" w:rsidRDefault="00AB1523" w:rsidP="00AB1523">
      <w:pPr>
        <w:pStyle w:val="Heading1"/>
      </w:pPr>
      <w:bookmarkStart w:id="9" w:name="_Toc235346526"/>
      <w:r>
        <w:lastRenderedPageBreak/>
        <w:t>9.</w:t>
      </w:r>
      <w:r w:rsidR="00D24C22">
        <w:t xml:space="preserve"> </w:t>
      </w:r>
      <w:r w:rsidR="00C76781" w:rsidRPr="00796EDA">
        <w:t>Reference</w:t>
      </w:r>
      <w:bookmarkEnd w:id="9"/>
    </w:p>
    <w:p w14:paraId="123C8925" w14:textId="77777777" w:rsidR="00C76781" w:rsidRPr="00796EDA" w:rsidRDefault="00C76781" w:rsidP="00FE69D0">
      <w:pPr>
        <w:rPr>
          <w:lang w:val="en-GB"/>
        </w:rPr>
      </w:pPr>
    </w:p>
    <w:p w14:paraId="376607D0" w14:textId="77777777" w:rsidR="00C76781" w:rsidRPr="00796EDA" w:rsidRDefault="00C76781" w:rsidP="00DB2E0A">
      <w:pPr>
        <w:ind w:left="720" w:hanging="720"/>
        <w:rPr>
          <w:lang w:val="en-GB"/>
        </w:rPr>
      </w:pPr>
      <w:r w:rsidRPr="00796EDA">
        <w:rPr>
          <w:lang w:val="en-GB"/>
        </w:rPr>
        <w:t xml:space="preserve">Bourne, L. (2015) </w:t>
      </w:r>
      <w:r w:rsidRPr="00796EDA">
        <w:rPr>
          <w:i/>
          <w:iCs/>
          <w:lang w:val="en-GB"/>
        </w:rPr>
        <w:t>Stakeholder Relationship Management</w:t>
      </w:r>
      <w:r w:rsidRPr="00796EDA">
        <w:rPr>
          <w:lang w:val="en-GB"/>
        </w:rPr>
        <w:t xml:space="preserve">. 3rd edn. Farnham: Gower. </w:t>
      </w:r>
    </w:p>
    <w:p w14:paraId="60469951" w14:textId="77777777" w:rsidR="00C76781" w:rsidRPr="00796EDA" w:rsidRDefault="00C76781" w:rsidP="00DB2E0A">
      <w:pPr>
        <w:ind w:left="720" w:hanging="720"/>
        <w:rPr>
          <w:lang w:val="en-GB"/>
        </w:rPr>
      </w:pPr>
      <w:r w:rsidRPr="00796EDA">
        <w:rPr>
          <w:lang w:val="en-GB"/>
        </w:rPr>
        <w:t xml:space="preserve">Burke, R. (2013) </w:t>
      </w:r>
      <w:r w:rsidRPr="00796EDA">
        <w:rPr>
          <w:i/>
          <w:iCs/>
          <w:lang w:val="en-GB"/>
        </w:rPr>
        <w:t>Project Management: Planning and Control Techniques</w:t>
      </w:r>
      <w:r w:rsidRPr="00796EDA">
        <w:rPr>
          <w:lang w:val="en-GB"/>
        </w:rPr>
        <w:t xml:space="preserve">. 5th edn. Chichester: Wiley. </w:t>
      </w:r>
    </w:p>
    <w:p w14:paraId="0F74A1B4" w14:textId="77777777" w:rsidR="00C76781" w:rsidRPr="00796EDA" w:rsidRDefault="00C76781" w:rsidP="00DB2E0A">
      <w:pPr>
        <w:ind w:left="720" w:hanging="720"/>
        <w:rPr>
          <w:lang w:val="en-GB"/>
        </w:rPr>
      </w:pPr>
      <w:r w:rsidRPr="00796EDA">
        <w:rPr>
          <w:lang w:val="en-GB"/>
        </w:rPr>
        <w:t xml:space="preserve">Hedeman, B. (2009) </w:t>
      </w:r>
      <w:r w:rsidRPr="00796EDA">
        <w:rPr>
          <w:i/>
          <w:iCs/>
          <w:lang w:val="en-GB"/>
        </w:rPr>
        <w:t>Project Management Based on PRINCE2</w:t>
      </w:r>
      <w:r w:rsidRPr="00796EDA">
        <w:rPr>
          <w:lang w:val="en-GB"/>
        </w:rPr>
        <w:t xml:space="preserve">. Zaltbommel: Van Haren. </w:t>
      </w:r>
    </w:p>
    <w:p w14:paraId="086C31BD" w14:textId="77777777" w:rsidR="00C76781" w:rsidRPr="00796EDA" w:rsidRDefault="00C76781" w:rsidP="00DB2E0A">
      <w:pPr>
        <w:ind w:left="720" w:hanging="720"/>
        <w:rPr>
          <w:lang w:val="en-GB"/>
        </w:rPr>
      </w:pPr>
      <w:r w:rsidRPr="00796EDA">
        <w:rPr>
          <w:lang w:val="en-GB"/>
        </w:rPr>
        <w:t xml:space="preserve">Kidston, D. (2015) </w:t>
      </w:r>
      <w:r w:rsidRPr="00796EDA">
        <w:rPr>
          <w:i/>
          <w:iCs/>
          <w:lang w:val="en-GB"/>
        </w:rPr>
        <w:t>Project Management for Small Projects</w:t>
      </w:r>
      <w:r w:rsidRPr="00796EDA">
        <w:rPr>
          <w:lang w:val="en-GB"/>
        </w:rPr>
        <w:t xml:space="preserve">. Farnham: Gower. </w:t>
      </w:r>
    </w:p>
    <w:p w14:paraId="39BCCDBE" w14:textId="77777777" w:rsidR="00C76781" w:rsidRPr="00796EDA" w:rsidRDefault="00C76781" w:rsidP="00DB2E0A">
      <w:pPr>
        <w:ind w:left="720" w:hanging="720"/>
        <w:rPr>
          <w:lang w:val="en-GB"/>
        </w:rPr>
      </w:pPr>
      <w:r w:rsidRPr="00796EDA">
        <w:rPr>
          <w:lang w:val="en-GB"/>
        </w:rPr>
        <w:t xml:space="preserve">Lock, D. (2013) </w:t>
      </w:r>
      <w:r w:rsidRPr="00796EDA">
        <w:rPr>
          <w:i/>
          <w:iCs/>
          <w:lang w:val="en-GB"/>
        </w:rPr>
        <w:t>Project Management</w:t>
      </w:r>
      <w:r w:rsidRPr="00796EDA">
        <w:rPr>
          <w:lang w:val="en-GB"/>
        </w:rPr>
        <w:t xml:space="preserve">. 10th ed. Farnham: Gower. </w:t>
      </w:r>
    </w:p>
    <w:p w14:paraId="4546623A" w14:textId="77777777" w:rsidR="00C76781" w:rsidRPr="00796EDA" w:rsidRDefault="00C76781" w:rsidP="00DB2E0A">
      <w:pPr>
        <w:ind w:left="720" w:hanging="720"/>
        <w:rPr>
          <w:lang w:val="en-GB"/>
        </w:rPr>
      </w:pPr>
      <w:r w:rsidRPr="00796EDA">
        <w:rPr>
          <w:lang w:val="en-GB"/>
        </w:rPr>
        <w:t xml:space="preserve">Meredith, J.R., Mantel, S.J. and Shafer, S.M. (2018) </w:t>
      </w:r>
      <w:r w:rsidRPr="00796EDA">
        <w:rPr>
          <w:i/>
          <w:iCs/>
          <w:lang w:val="en-GB"/>
        </w:rPr>
        <w:t>Project Management: A Managerial Approach</w:t>
      </w:r>
      <w:r w:rsidRPr="00796EDA">
        <w:rPr>
          <w:lang w:val="en-GB"/>
        </w:rPr>
        <w:t xml:space="preserve">. 9th edn. Hoboken: Wiley. </w:t>
      </w:r>
    </w:p>
    <w:p w14:paraId="383324AF" w14:textId="3E81B57B" w:rsidR="00C76781" w:rsidRPr="00796EDA" w:rsidRDefault="00C76781" w:rsidP="00DB2E0A">
      <w:pPr>
        <w:ind w:left="720" w:hanging="720"/>
        <w:rPr>
          <w:lang w:val="en-GB"/>
        </w:rPr>
      </w:pPr>
      <w:r w:rsidRPr="00796EDA">
        <w:rPr>
          <w:lang w:val="en-GB"/>
        </w:rPr>
        <w:t xml:space="preserve">Office for Nuclear Regulation (2025) </w:t>
      </w:r>
      <w:r w:rsidRPr="00796EDA">
        <w:rPr>
          <w:i/>
          <w:iCs/>
          <w:lang w:val="en-GB"/>
        </w:rPr>
        <w:t>Generic Design Assessment: Rolls-Royce SMR</w:t>
      </w:r>
      <w:r w:rsidRPr="00796EDA">
        <w:rPr>
          <w:lang w:val="en-GB"/>
        </w:rPr>
        <w:t>. Available at</w:t>
      </w:r>
      <w:r w:rsidR="00DB2E0A">
        <w:rPr>
          <w:lang w:val="en-GB"/>
        </w:rPr>
        <w:t xml:space="preserve">: </w:t>
      </w:r>
      <w:hyperlink r:id="rId9" w:history="1">
        <w:r w:rsidR="00DB2E0A" w:rsidRPr="004B1A4F">
          <w:rPr>
            <w:rStyle w:val="Hyperlink"/>
            <w:lang w:val="en-GB"/>
          </w:rPr>
          <w:t>https://www.onr.org.uk/</w:t>
        </w:r>
      </w:hyperlink>
      <w:r w:rsidR="00DB2E0A">
        <w:rPr>
          <w:lang w:val="en-GB"/>
        </w:rPr>
        <w:t xml:space="preserve"> (Accessed: 11 July 2026)</w:t>
      </w:r>
    </w:p>
    <w:p w14:paraId="1D1330B5" w14:textId="77777777" w:rsidR="00C76781" w:rsidRPr="00796EDA" w:rsidRDefault="00C76781" w:rsidP="00DB2E0A">
      <w:pPr>
        <w:ind w:left="720" w:hanging="720"/>
        <w:rPr>
          <w:lang w:val="en-GB"/>
        </w:rPr>
      </w:pPr>
      <w:r w:rsidRPr="00796EDA">
        <w:rPr>
          <w:lang w:val="en-GB"/>
        </w:rPr>
        <w:t xml:space="preserve">Office for Nuclear Regulation (2025) </w:t>
      </w:r>
      <w:r w:rsidRPr="00796EDA">
        <w:rPr>
          <w:i/>
          <w:iCs/>
          <w:lang w:val="en-GB"/>
        </w:rPr>
        <w:t>Guidance on New Nuclear Reactors</w:t>
      </w:r>
      <w:r w:rsidRPr="00796EDA">
        <w:rPr>
          <w:lang w:val="en-GB"/>
        </w:rPr>
        <w:t xml:space="preserve">. </w:t>
      </w:r>
    </w:p>
    <w:p w14:paraId="04404F26" w14:textId="77777777" w:rsidR="00C76781" w:rsidRPr="00796EDA" w:rsidRDefault="00C76781" w:rsidP="00DB2E0A">
      <w:pPr>
        <w:ind w:left="720" w:hanging="720"/>
        <w:rPr>
          <w:lang w:val="en-GB"/>
        </w:rPr>
      </w:pPr>
      <w:r w:rsidRPr="00796EDA">
        <w:rPr>
          <w:lang w:val="en-GB"/>
        </w:rPr>
        <w:t xml:space="preserve">Project Management Institute (2021) </w:t>
      </w:r>
      <w:r w:rsidRPr="00796EDA">
        <w:rPr>
          <w:i/>
          <w:iCs/>
          <w:lang w:val="en-GB"/>
        </w:rPr>
        <w:t>A Guide to the Project Management Body of Knowledge (PMBOK® Guide)</w:t>
      </w:r>
      <w:r w:rsidRPr="00796EDA">
        <w:rPr>
          <w:lang w:val="en-GB"/>
        </w:rPr>
        <w:t xml:space="preserve">. 7th edn. Newtown Square, PA: PMI. </w:t>
      </w:r>
    </w:p>
    <w:p w14:paraId="32290B8B" w14:textId="2076D370" w:rsidR="00C76781" w:rsidRPr="00796EDA" w:rsidRDefault="00C76781" w:rsidP="00DB2E0A">
      <w:pPr>
        <w:ind w:left="720" w:hanging="720"/>
        <w:rPr>
          <w:lang w:val="en-GB"/>
        </w:rPr>
      </w:pPr>
      <w:r w:rsidRPr="00796EDA">
        <w:rPr>
          <w:lang w:val="en-GB"/>
        </w:rPr>
        <w:t xml:space="preserve">Rolls-Royce SMR (2025) </w:t>
      </w:r>
      <w:r w:rsidRPr="00796EDA">
        <w:rPr>
          <w:i/>
          <w:iCs/>
          <w:lang w:val="en-GB"/>
        </w:rPr>
        <w:t>About Rolls-Royce SMR</w:t>
      </w:r>
      <w:r w:rsidRPr="00796EDA">
        <w:rPr>
          <w:lang w:val="en-GB"/>
        </w:rPr>
        <w:t xml:space="preserve">. Available at: </w:t>
      </w:r>
      <w:hyperlink r:id="rId10" w:history="1">
        <w:r w:rsidR="00DB2E0A" w:rsidRPr="004B1A4F">
          <w:rPr>
            <w:rStyle w:val="Hyperlink"/>
            <w:lang w:val="en-GB"/>
          </w:rPr>
          <w:t>https://www.rolls-royce-smr.com/</w:t>
        </w:r>
      </w:hyperlink>
      <w:r w:rsidR="00DB2E0A">
        <w:rPr>
          <w:lang w:val="en-GB"/>
        </w:rPr>
        <w:t xml:space="preserve"> (Accessed: 06 July 2026)</w:t>
      </w:r>
    </w:p>
    <w:p w14:paraId="6BACA9D0" w14:textId="77777777" w:rsidR="00C76781" w:rsidRPr="00796EDA" w:rsidRDefault="00C76781" w:rsidP="00DB2E0A">
      <w:pPr>
        <w:ind w:left="720" w:hanging="720"/>
        <w:rPr>
          <w:lang w:val="en-GB"/>
        </w:rPr>
      </w:pPr>
      <w:r w:rsidRPr="00796EDA">
        <w:rPr>
          <w:lang w:val="en-GB"/>
        </w:rPr>
        <w:t xml:space="preserve">Rolls-Royce SMR (2025) </w:t>
      </w:r>
      <w:r w:rsidRPr="00796EDA">
        <w:rPr>
          <w:i/>
          <w:iCs/>
          <w:lang w:val="en-GB"/>
        </w:rPr>
        <w:t>Rolls-Royce SMR Programme</w:t>
      </w:r>
      <w:r w:rsidRPr="00796EDA">
        <w:rPr>
          <w:lang w:val="en-GB"/>
        </w:rPr>
        <w:t xml:space="preserve">. </w:t>
      </w:r>
    </w:p>
    <w:p w14:paraId="59FB73FE" w14:textId="77777777" w:rsidR="00C76781" w:rsidRPr="00796EDA" w:rsidRDefault="00C76781" w:rsidP="00DB2E0A">
      <w:pPr>
        <w:ind w:left="720" w:hanging="720"/>
        <w:rPr>
          <w:lang w:val="en-GB"/>
        </w:rPr>
      </w:pPr>
      <w:r w:rsidRPr="00796EDA">
        <w:rPr>
          <w:lang w:val="en-GB"/>
        </w:rPr>
        <w:t xml:space="preserve">UK Government (2025) </w:t>
      </w:r>
      <w:r w:rsidRPr="00796EDA">
        <w:rPr>
          <w:i/>
          <w:iCs/>
          <w:lang w:val="en-GB"/>
        </w:rPr>
        <w:t>Clean Power 2030 Action Plan</w:t>
      </w:r>
      <w:r w:rsidRPr="00796EDA">
        <w:rPr>
          <w:lang w:val="en-GB"/>
        </w:rPr>
        <w:t xml:space="preserve">. </w:t>
      </w:r>
    </w:p>
    <w:p w14:paraId="1E9DB29D" w14:textId="7AEF0437" w:rsidR="00C76781" w:rsidRPr="00796EDA" w:rsidRDefault="00C76781" w:rsidP="00DB2E0A">
      <w:pPr>
        <w:ind w:left="720" w:hanging="720"/>
        <w:rPr>
          <w:lang w:val="en-GB"/>
        </w:rPr>
      </w:pPr>
      <w:r w:rsidRPr="00796EDA">
        <w:rPr>
          <w:lang w:val="en-GB"/>
        </w:rPr>
        <w:t xml:space="preserve">UK Government (2025) </w:t>
      </w:r>
      <w:r w:rsidRPr="00796EDA">
        <w:rPr>
          <w:i/>
          <w:iCs/>
          <w:lang w:val="en-GB"/>
        </w:rPr>
        <w:t xml:space="preserve">Great British Energy </w:t>
      </w:r>
      <w:r w:rsidR="00DB2E0A">
        <w:rPr>
          <w:i/>
          <w:iCs/>
          <w:lang w:val="en-GB"/>
        </w:rPr>
        <w:t>-</w:t>
      </w:r>
      <w:r w:rsidRPr="00796EDA">
        <w:rPr>
          <w:i/>
          <w:iCs/>
          <w:lang w:val="en-GB"/>
        </w:rPr>
        <w:t xml:space="preserve"> Nuclear announces Rolls-Royce SMR programme</w:t>
      </w:r>
      <w:r w:rsidRPr="00796EDA">
        <w:rPr>
          <w:lang w:val="en-GB"/>
        </w:rPr>
        <w:t xml:space="preserve">. Available at: </w:t>
      </w:r>
      <w:hyperlink r:id="rId11" w:history="1">
        <w:r w:rsidR="00DB2E0A" w:rsidRPr="004B1A4F">
          <w:rPr>
            <w:rStyle w:val="Hyperlink"/>
            <w:lang w:val="en-GB"/>
          </w:rPr>
          <w:t>https://www.gov.uk/</w:t>
        </w:r>
      </w:hyperlink>
      <w:r w:rsidR="00DB2E0A">
        <w:rPr>
          <w:lang w:val="en-GB"/>
        </w:rPr>
        <w:t xml:space="preserve"> (Accessed: 11 July 2026)</w:t>
      </w:r>
    </w:p>
    <w:p w14:paraId="22D9F49F" w14:textId="77777777" w:rsidR="00C76781" w:rsidRPr="00796EDA" w:rsidRDefault="00C76781" w:rsidP="00DB2E0A">
      <w:pPr>
        <w:ind w:left="720" w:hanging="720"/>
        <w:rPr>
          <w:lang w:val="en-GB"/>
        </w:rPr>
      </w:pPr>
      <w:r w:rsidRPr="00796EDA">
        <w:rPr>
          <w:lang w:val="en-GB"/>
        </w:rPr>
        <w:t xml:space="preserve">Wysocki, R.K. (2014) </w:t>
      </w:r>
      <w:r w:rsidRPr="00796EDA">
        <w:rPr>
          <w:i/>
          <w:iCs/>
          <w:lang w:val="en-GB"/>
        </w:rPr>
        <w:t>Effective Project Management: Traditional, Agile, Extreme</w:t>
      </w:r>
      <w:r w:rsidRPr="00796EDA">
        <w:rPr>
          <w:lang w:val="en-GB"/>
        </w:rPr>
        <w:t>. 7th edn. Indianapolis: Wiley.</w:t>
      </w:r>
    </w:p>
    <w:p w14:paraId="1E8A4B76" w14:textId="77777777" w:rsidR="00C76781" w:rsidRPr="00796EDA" w:rsidRDefault="00C76781" w:rsidP="00FE69D0"/>
    <w:p w14:paraId="5E1789D2" w14:textId="01EDA41A" w:rsidR="001F3245" w:rsidRDefault="001F3245" w:rsidP="00FE69D0">
      <w:pPr>
        <w:rPr>
          <w:lang w:val="en-GB"/>
        </w:rPr>
      </w:pPr>
    </w:p>
    <w:p w14:paraId="2A6DE997" w14:textId="77777777" w:rsidR="00C76781" w:rsidRDefault="00C76781" w:rsidP="00FE69D0"/>
    <w:p w14:paraId="03479194" w14:textId="77777777" w:rsidR="00C76781" w:rsidRDefault="00C76781" w:rsidP="00FE69D0"/>
    <w:p w14:paraId="3CB90E73" w14:textId="77777777" w:rsidR="00C76781" w:rsidRDefault="00C76781" w:rsidP="00FE69D0"/>
    <w:p w14:paraId="54B6C666" w14:textId="77777777" w:rsidR="002F2881" w:rsidRDefault="002F2881" w:rsidP="00FE69D0"/>
    <w:sectPr w:rsidR="002F288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53A4D2" w14:textId="77777777" w:rsidR="000D0B65" w:rsidRDefault="000D0B65" w:rsidP="004D4E68">
      <w:pPr>
        <w:spacing w:after="0" w:line="240" w:lineRule="auto"/>
      </w:pPr>
      <w:r>
        <w:separator/>
      </w:r>
    </w:p>
  </w:endnote>
  <w:endnote w:type="continuationSeparator" w:id="0">
    <w:p w14:paraId="0293179D" w14:textId="77777777" w:rsidR="000D0B65" w:rsidRDefault="000D0B65" w:rsidP="004D4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252188"/>
      <w:docPartObj>
        <w:docPartGallery w:val="Page Numbers (Bottom of Page)"/>
        <w:docPartUnique/>
      </w:docPartObj>
    </w:sdtPr>
    <w:sdtEndPr>
      <w:rPr>
        <w:noProof/>
      </w:rPr>
    </w:sdtEndPr>
    <w:sdtContent>
      <w:p w14:paraId="5261B213" w14:textId="3A1A121E" w:rsidR="004D4E68" w:rsidRDefault="004D4E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39988" w14:textId="77777777" w:rsidR="004D4E68" w:rsidRDefault="004D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2B179" w14:textId="77777777" w:rsidR="000D0B65" w:rsidRDefault="000D0B65" w:rsidP="004D4E68">
      <w:pPr>
        <w:spacing w:after="0" w:line="240" w:lineRule="auto"/>
      </w:pPr>
      <w:r>
        <w:separator/>
      </w:r>
    </w:p>
  </w:footnote>
  <w:footnote w:type="continuationSeparator" w:id="0">
    <w:p w14:paraId="161CA4BA" w14:textId="77777777" w:rsidR="000D0B65" w:rsidRDefault="000D0B65" w:rsidP="004D4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31D72"/>
    <w:multiLevelType w:val="multilevel"/>
    <w:tmpl w:val="C26A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77976"/>
    <w:multiLevelType w:val="multilevel"/>
    <w:tmpl w:val="12DCD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4C2365"/>
    <w:multiLevelType w:val="multilevel"/>
    <w:tmpl w:val="262A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D65BE4"/>
    <w:multiLevelType w:val="multilevel"/>
    <w:tmpl w:val="E2F4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B729EC"/>
    <w:multiLevelType w:val="multilevel"/>
    <w:tmpl w:val="FDDED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D525CE"/>
    <w:multiLevelType w:val="hybridMultilevel"/>
    <w:tmpl w:val="1CFC7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216622">
    <w:abstractNumId w:val="2"/>
  </w:num>
  <w:num w:numId="2" w16cid:durableId="614945210">
    <w:abstractNumId w:val="6"/>
  </w:num>
  <w:num w:numId="3" w16cid:durableId="1873616278">
    <w:abstractNumId w:val="4"/>
  </w:num>
  <w:num w:numId="4" w16cid:durableId="699281265">
    <w:abstractNumId w:val="1"/>
  </w:num>
  <w:num w:numId="5" w16cid:durableId="744766234">
    <w:abstractNumId w:val="3"/>
  </w:num>
  <w:num w:numId="6" w16cid:durableId="1121459156">
    <w:abstractNumId w:val="0"/>
  </w:num>
  <w:num w:numId="7" w16cid:durableId="15190024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68"/>
    <w:rsid w:val="00013AC4"/>
    <w:rsid w:val="00023DB2"/>
    <w:rsid w:val="000407FD"/>
    <w:rsid w:val="00063860"/>
    <w:rsid w:val="0006560A"/>
    <w:rsid w:val="000D0B65"/>
    <w:rsid w:val="00162559"/>
    <w:rsid w:val="00180F4A"/>
    <w:rsid w:val="00193CA5"/>
    <w:rsid w:val="001A2B2A"/>
    <w:rsid w:val="001C183F"/>
    <w:rsid w:val="001C5102"/>
    <w:rsid w:val="001D3914"/>
    <w:rsid w:val="001E3BE1"/>
    <w:rsid w:val="001F038D"/>
    <w:rsid w:val="001F3245"/>
    <w:rsid w:val="002C13DA"/>
    <w:rsid w:val="002D70F3"/>
    <w:rsid w:val="002E3D0A"/>
    <w:rsid w:val="002E4C2F"/>
    <w:rsid w:val="002F2881"/>
    <w:rsid w:val="00322D0B"/>
    <w:rsid w:val="00375682"/>
    <w:rsid w:val="003832A0"/>
    <w:rsid w:val="00457C48"/>
    <w:rsid w:val="00463C22"/>
    <w:rsid w:val="00484C0A"/>
    <w:rsid w:val="004D11D8"/>
    <w:rsid w:val="004D4E68"/>
    <w:rsid w:val="005508F2"/>
    <w:rsid w:val="0057379C"/>
    <w:rsid w:val="00592956"/>
    <w:rsid w:val="005C7FD7"/>
    <w:rsid w:val="006052FB"/>
    <w:rsid w:val="006243EB"/>
    <w:rsid w:val="006728E6"/>
    <w:rsid w:val="006D7719"/>
    <w:rsid w:val="006F5A2D"/>
    <w:rsid w:val="006F6A71"/>
    <w:rsid w:val="007178F4"/>
    <w:rsid w:val="007451FE"/>
    <w:rsid w:val="0079362E"/>
    <w:rsid w:val="007D300B"/>
    <w:rsid w:val="00822368"/>
    <w:rsid w:val="00855389"/>
    <w:rsid w:val="00874D99"/>
    <w:rsid w:val="008754C7"/>
    <w:rsid w:val="00892CF2"/>
    <w:rsid w:val="00896D79"/>
    <w:rsid w:val="008A62D6"/>
    <w:rsid w:val="008D1536"/>
    <w:rsid w:val="008E27EC"/>
    <w:rsid w:val="008F42B8"/>
    <w:rsid w:val="008F552E"/>
    <w:rsid w:val="00952D90"/>
    <w:rsid w:val="00963220"/>
    <w:rsid w:val="009E5D84"/>
    <w:rsid w:val="00A42B1F"/>
    <w:rsid w:val="00A475B8"/>
    <w:rsid w:val="00A650C1"/>
    <w:rsid w:val="00AA2366"/>
    <w:rsid w:val="00AB1523"/>
    <w:rsid w:val="00AD122C"/>
    <w:rsid w:val="00AF772F"/>
    <w:rsid w:val="00B30D25"/>
    <w:rsid w:val="00B67883"/>
    <w:rsid w:val="00BA129A"/>
    <w:rsid w:val="00BB01A5"/>
    <w:rsid w:val="00BF517C"/>
    <w:rsid w:val="00BF5CCE"/>
    <w:rsid w:val="00C03492"/>
    <w:rsid w:val="00C63927"/>
    <w:rsid w:val="00C76781"/>
    <w:rsid w:val="00C97922"/>
    <w:rsid w:val="00D238F3"/>
    <w:rsid w:val="00D24C22"/>
    <w:rsid w:val="00DB2E0A"/>
    <w:rsid w:val="00DD3CF2"/>
    <w:rsid w:val="00DE6EE0"/>
    <w:rsid w:val="00E07036"/>
    <w:rsid w:val="00E50D82"/>
    <w:rsid w:val="00E94DEC"/>
    <w:rsid w:val="00EB26E7"/>
    <w:rsid w:val="00EF18B4"/>
    <w:rsid w:val="00EF6F1A"/>
    <w:rsid w:val="00F06214"/>
    <w:rsid w:val="00F16AE4"/>
    <w:rsid w:val="00F403F3"/>
    <w:rsid w:val="00F87641"/>
    <w:rsid w:val="00FD71C2"/>
    <w:rsid w:val="00FE69D0"/>
    <w:rsid w:val="00FF047A"/>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2B6F8"/>
  <w15:chartTrackingRefBased/>
  <w15:docId w15:val="{7606E6E0-AC2E-4308-8996-DD6A4A35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4D4E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4E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4E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4E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4E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4E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4D4E68"/>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4D4E68"/>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4D4E68"/>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4D4E68"/>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4D4E68"/>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4D4E68"/>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4D4E68"/>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E68"/>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4D4E6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E68"/>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4D4E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E68"/>
    <w:rPr>
      <w:rFonts w:ascii="Arial" w:hAnsi="Arial"/>
      <w:i/>
      <w:iCs/>
      <w:color w:val="404040" w:themeColor="text1" w:themeTint="BF"/>
      <w:sz w:val="24"/>
      <w:lang w:val="en-US"/>
    </w:rPr>
  </w:style>
  <w:style w:type="paragraph" w:styleId="ListParagraph">
    <w:name w:val="List Paragraph"/>
    <w:basedOn w:val="Normal"/>
    <w:uiPriority w:val="34"/>
    <w:qFormat/>
    <w:rsid w:val="004D4E68"/>
    <w:pPr>
      <w:ind w:left="720"/>
      <w:contextualSpacing/>
    </w:pPr>
  </w:style>
  <w:style w:type="character" w:styleId="IntenseEmphasis">
    <w:name w:val="Intense Emphasis"/>
    <w:basedOn w:val="DefaultParagraphFont"/>
    <w:uiPriority w:val="21"/>
    <w:qFormat/>
    <w:rsid w:val="004D4E68"/>
    <w:rPr>
      <w:i/>
      <w:iCs/>
      <w:color w:val="0F4761" w:themeColor="accent1" w:themeShade="BF"/>
    </w:rPr>
  </w:style>
  <w:style w:type="paragraph" w:styleId="IntenseQuote">
    <w:name w:val="Intense Quote"/>
    <w:basedOn w:val="Normal"/>
    <w:next w:val="Normal"/>
    <w:link w:val="IntenseQuoteChar"/>
    <w:uiPriority w:val="30"/>
    <w:qFormat/>
    <w:rsid w:val="004D4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E68"/>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4D4E68"/>
    <w:rPr>
      <w:b/>
      <w:bCs/>
      <w:smallCaps/>
      <w:color w:val="0F4761" w:themeColor="accent1" w:themeShade="BF"/>
      <w:spacing w:val="5"/>
    </w:rPr>
  </w:style>
  <w:style w:type="paragraph" w:styleId="Header">
    <w:name w:val="header"/>
    <w:basedOn w:val="Normal"/>
    <w:link w:val="HeaderChar"/>
    <w:uiPriority w:val="99"/>
    <w:unhideWhenUsed/>
    <w:rsid w:val="004D4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E68"/>
    <w:rPr>
      <w:rFonts w:ascii="Arial" w:hAnsi="Arial"/>
      <w:sz w:val="24"/>
      <w:lang w:val="en-US"/>
    </w:rPr>
  </w:style>
  <w:style w:type="paragraph" w:styleId="Footer">
    <w:name w:val="footer"/>
    <w:basedOn w:val="Normal"/>
    <w:link w:val="FooterChar"/>
    <w:uiPriority w:val="99"/>
    <w:unhideWhenUsed/>
    <w:rsid w:val="004D4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E68"/>
    <w:rPr>
      <w:rFonts w:ascii="Arial" w:hAnsi="Arial"/>
      <w:sz w:val="24"/>
      <w:lang w:val="en-US"/>
    </w:rPr>
  </w:style>
  <w:style w:type="character" w:styleId="Hyperlink">
    <w:name w:val="Hyperlink"/>
    <w:basedOn w:val="DefaultParagraphFont"/>
    <w:uiPriority w:val="99"/>
    <w:unhideWhenUsed/>
    <w:rsid w:val="00C97922"/>
    <w:rPr>
      <w:color w:val="467886" w:themeColor="hyperlink"/>
      <w:u w:val="single"/>
    </w:rPr>
  </w:style>
  <w:style w:type="character" w:styleId="UnresolvedMention">
    <w:name w:val="Unresolved Mention"/>
    <w:basedOn w:val="DefaultParagraphFont"/>
    <w:uiPriority w:val="99"/>
    <w:semiHidden/>
    <w:unhideWhenUsed/>
    <w:rsid w:val="00C97922"/>
    <w:rPr>
      <w:color w:val="605E5C"/>
      <w:shd w:val="clear" w:color="auto" w:fill="E1DFDD"/>
    </w:rPr>
  </w:style>
  <w:style w:type="paragraph" w:styleId="TOCHeading">
    <w:name w:val="TOC Heading"/>
    <w:basedOn w:val="Heading1"/>
    <w:next w:val="Normal"/>
    <w:uiPriority w:val="39"/>
    <w:unhideWhenUsed/>
    <w:qFormat/>
    <w:rsid w:val="006D7719"/>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6D7719"/>
    <w:pPr>
      <w:spacing w:after="100"/>
    </w:pPr>
  </w:style>
  <w:style w:type="table" w:styleId="TableGrid">
    <w:name w:val="Table Grid"/>
    <w:basedOn w:val="TableNormal"/>
    <w:uiPriority w:val="39"/>
    <w:rsid w:val="00C639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D300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 TargetMode="External"/><Relationship Id="rId5" Type="http://schemas.openxmlformats.org/officeDocument/2006/relationships/webSettings" Target="webSettings.xml"/><Relationship Id="rId10" Type="http://schemas.openxmlformats.org/officeDocument/2006/relationships/hyperlink" Target="https://www.rolls-royce-smr.com/" TargetMode="External"/><Relationship Id="rId4" Type="http://schemas.openxmlformats.org/officeDocument/2006/relationships/settings" Target="settings.xml"/><Relationship Id="rId9" Type="http://schemas.openxmlformats.org/officeDocument/2006/relationships/hyperlink" Target="https://www.onr.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E15AB5-AED8-4B20-8628-4D90F13A5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11</Pages>
  <Words>2718</Words>
  <Characters>15497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Constantin Iftimie</cp:lastModifiedBy>
  <cp:revision>19</cp:revision>
  <dcterms:created xsi:type="dcterms:W3CDTF">2026-07-17T22:32:00Z</dcterms:created>
  <dcterms:modified xsi:type="dcterms:W3CDTF">2026-07-19T08:53:00Z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152eda54-5d11-4350-86e7-39b835d46cb6</vt:lpwstr>
  </property>
</Properties>
</file>