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964B" w14:textId="73C3AB75" w:rsidR="005B620E" w:rsidRDefault="005B620E" w:rsidP="006065A7">
      <w:pPr>
        <w:spacing w:line="276" w:lineRule="auto"/>
        <w:rPr>
          <w:b/>
          <w:bCs/>
        </w:rPr>
      </w:pPr>
      <w:r>
        <w:rPr>
          <w:b/>
          <w:bCs/>
        </w:rPr>
        <w:t>Word Count (excluding bibliography and footnotes): 27</w:t>
      </w:r>
      <w:r w:rsidR="003E6EE7">
        <w:rPr>
          <w:b/>
          <w:bCs/>
        </w:rPr>
        <w:t>15</w:t>
      </w:r>
      <w:r>
        <w:rPr>
          <w:b/>
          <w:bCs/>
        </w:rPr>
        <w:t xml:space="preserve"> words.</w:t>
      </w:r>
      <w:r w:rsidR="003E6EE7">
        <w:rPr>
          <w:b/>
          <w:bCs/>
        </w:rPr>
        <w:br/>
        <w:t>Neve Pule, 2219959.</w:t>
      </w:r>
      <w:r w:rsidR="003E6EE7">
        <w:rPr>
          <w:b/>
          <w:bCs/>
        </w:rPr>
        <w:br/>
        <w:t>Submitted 30/12/2023.</w:t>
      </w:r>
    </w:p>
    <w:p w14:paraId="6C2E0C07" w14:textId="3A097079" w:rsidR="00D63CB0" w:rsidRDefault="00D63CB0" w:rsidP="006065A7">
      <w:pPr>
        <w:spacing w:line="276" w:lineRule="auto"/>
        <w:rPr>
          <w:b/>
          <w:bCs/>
        </w:rPr>
      </w:pPr>
      <w:r w:rsidRPr="00292CD8">
        <w:rPr>
          <w:b/>
          <w:bCs/>
        </w:rPr>
        <w:t>How important is disabled criticism for interpreting biblical texts? In your answer make sure you include biblical examples.</w:t>
      </w:r>
    </w:p>
    <w:p w14:paraId="3360395F" w14:textId="2CFE7CE0" w:rsidR="00F25EC5" w:rsidRPr="00F25EC5" w:rsidRDefault="00F25EC5" w:rsidP="006065A7">
      <w:pPr>
        <w:spacing w:line="276" w:lineRule="auto"/>
      </w:pPr>
      <w:r>
        <w:t>This essay will focus on the importance of considering disability in biblical criticism and explore the potential issues that can impede both disability-sensitive readings and disabled scholars in the field of biblical scholarship. In examining portrayals of disability in biblical literature, attention can then be paid to how both the original passages and the text’s reception history has impacted social stigma faced by the disabled. By examining evidence from two key sources for disabled criticism, Deuteronomy 28 and the Book of Job, issues that pervade biblical scholarship such as the sin/disability conflation become more apparent</w:t>
      </w:r>
      <w:r w:rsidR="006065A7">
        <w:t xml:space="preserve">. </w:t>
      </w:r>
      <w:r>
        <w:t xml:space="preserve">Finally, this essay will end with an assessment of the importance of disabled biblical criticism by </w:t>
      </w:r>
      <w:r w:rsidR="005B620E">
        <w:t xml:space="preserve">exploring what we can learn from disabled biblical criticism. </w:t>
      </w:r>
      <w:r>
        <w:t xml:space="preserve"> </w:t>
      </w:r>
    </w:p>
    <w:p w14:paraId="23656D1B" w14:textId="25F225D4" w:rsidR="00D63CB0" w:rsidRDefault="00D63CB0" w:rsidP="006065A7">
      <w:pPr>
        <w:spacing w:line="276" w:lineRule="auto"/>
      </w:pPr>
      <w:r>
        <w:t>In order to understand the advantages of disability-sensitive biblical criticism, it is first important to understand the theoretical movements that underpin the burgeoning field, and how they link with biblical studies. Disability studies was born in the 1980s British social sciences with strong influences in neo-Marxist theory and political activism, focusing on the marginalisation of disabled people as a group and potential collective action as a response to this oppression.</w:t>
      </w:r>
      <w:r>
        <w:rPr>
          <w:rStyle w:val="FootnoteReference"/>
        </w:rPr>
        <w:footnoteReference w:id="1"/>
      </w:r>
    </w:p>
    <w:p w14:paraId="10ED3A86" w14:textId="3302D33E" w:rsidR="00D63CB0" w:rsidRDefault="00D63CB0" w:rsidP="006065A7">
      <w:pPr>
        <w:spacing w:line="276" w:lineRule="auto"/>
      </w:pPr>
      <w:r>
        <w:t>Subsequent advancements in disability studies led to discourse surrounding the definition of disability, and the view of disability within this discipline shifted from a strict set of biological condition to a complex product of social discourses.</w:t>
      </w:r>
      <w:r>
        <w:rPr>
          <w:rStyle w:val="FootnoteReference"/>
        </w:rPr>
        <w:footnoteReference w:id="2"/>
      </w:r>
      <w:r>
        <w:t xml:space="preserve"> This definition change then opened disability up for study in the humanities and examination alongside other critically theorised identity markers such as race, gender, and sexuality.</w:t>
      </w:r>
      <w:r>
        <w:rPr>
          <w:rStyle w:val="FootnoteReference"/>
        </w:rPr>
        <w:footnoteReference w:id="3"/>
      </w:r>
      <w:r>
        <w:t xml:space="preserve"> Prior to the establishment of disability studies as a distinct field of scholarship, discussion of disability in biblical interpretation focused primarily on diagnosing biblical characters with modern medical conditions (e.g. the man in Acts 3:2 having suffered with weakness of metatarsus bones of the foot).</w:t>
      </w:r>
      <w:r>
        <w:rPr>
          <w:rStyle w:val="FootnoteReference"/>
        </w:rPr>
        <w:footnoteReference w:id="4"/>
      </w:r>
      <w:r>
        <w:t xml:space="preserve"> However as disability scholars </w:t>
      </w:r>
      <w:r w:rsidR="000C3F5C">
        <w:t>began to analyse the socio-religious frameworks that interact with healthcare and personal valuation, biblical studies became more open to the possibility of analysing the frameworks that create and valuate different biblical characters.</w:t>
      </w:r>
      <w:r w:rsidR="000C3F5C">
        <w:rPr>
          <w:rStyle w:val="FootnoteReference"/>
        </w:rPr>
        <w:footnoteReference w:id="5"/>
      </w:r>
    </w:p>
    <w:p w14:paraId="2B07D31F" w14:textId="6D56CD77" w:rsidR="000C3F5C" w:rsidRDefault="000C3F5C" w:rsidP="006065A7">
      <w:pPr>
        <w:spacing w:line="276" w:lineRule="auto"/>
      </w:pPr>
      <w:r>
        <w:t>Disability scholars have highlighted the grouping of disabled people as a distinct minority beyond ‘merely a medical definition,’</w:t>
      </w:r>
      <w:r>
        <w:rPr>
          <w:rStyle w:val="FootnoteReference"/>
        </w:rPr>
        <w:footnoteReference w:id="6"/>
      </w:r>
      <w:r>
        <w:t xml:space="preserve"> underlining the exclusion of the disabled from the spheres of political and social power. In addition the minority grouping as arguably ‘amplified the dependence of the [disabled] population on a society which treats them with pity, disdain or fear.’</w:t>
      </w:r>
      <w:r>
        <w:rPr>
          <w:rStyle w:val="FootnoteReference"/>
        </w:rPr>
        <w:footnoteReference w:id="7"/>
      </w:r>
      <w:r>
        <w:t xml:space="preserve"> Examining the portrayal of disabled characters in the Bible has therefore been proposed as a source of insight into </w:t>
      </w:r>
      <w:r>
        <w:lastRenderedPageBreak/>
        <w:t>the prejudices that, while they operate in the broader secular society, ‘have been heavily influenced by religious thought and doctrine.’</w:t>
      </w:r>
      <w:r>
        <w:rPr>
          <w:rStyle w:val="FootnoteReference"/>
        </w:rPr>
        <w:footnoteReference w:id="8"/>
      </w:r>
    </w:p>
    <w:p w14:paraId="5351D889" w14:textId="4EA65DA5" w:rsidR="00DC49E8" w:rsidRDefault="00235952" w:rsidP="006065A7">
      <w:pPr>
        <w:spacing w:line="276" w:lineRule="auto"/>
      </w:pPr>
      <w:r>
        <w:t xml:space="preserve">Portrayals of disability within the text are important for biblical analysis even without consideration of the social implications of the depictions, as they are used to carry narratives. </w:t>
      </w:r>
      <w:r w:rsidR="00343FEB">
        <w:t>Martin points out that people that in modern day would definitively be labelled as disabled were ubiquitous in the ancient world, but that those disabled people ‘only appear in the biblical record when the impairment is immediately relevant.’</w:t>
      </w:r>
      <w:r w:rsidR="00343FEB">
        <w:rPr>
          <w:rStyle w:val="FootnoteReference"/>
        </w:rPr>
        <w:footnoteReference w:id="9"/>
      </w:r>
      <w:r w:rsidR="00DC49E8">
        <w:t xml:space="preserve"> Within the biblical narrative, disability is morally coded and/or appears in the narrative only as a rhetorical or narrative device, where the person’s disability contributes specifically to the story as a whole as opposed to the character.</w:t>
      </w:r>
      <w:r w:rsidR="00DC49E8">
        <w:rPr>
          <w:rStyle w:val="FootnoteReference"/>
        </w:rPr>
        <w:footnoteReference w:id="10"/>
      </w:r>
      <w:r w:rsidR="00DC49E8">
        <w:t xml:space="preserve"> Mitchell and Snyder coined the phrase ‘narrative prosthesis’ to critique this phenomenon in which disability is used ‘as a crutch on which literary narratives lean.’</w:t>
      </w:r>
      <w:r w:rsidR="00DC49E8">
        <w:rPr>
          <w:rStyle w:val="FootnoteReference"/>
        </w:rPr>
        <w:footnoteReference w:id="11"/>
      </w:r>
    </w:p>
    <w:p w14:paraId="162527F9" w14:textId="4D295A89" w:rsidR="00452BA0" w:rsidRDefault="001031CD" w:rsidP="006065A7">
      <w:pPr>
        <w:spacing w:line="276" w:lineRule="auto"/>
      </w:pPr>
      <w:r>
        <w:t xml:space="preserve">In examining disability-focused criticism it is vital to note that </w:t>
      </w:r>
      <w:r w:rsidR="00C312D2">
        <w:t>this form of criticism is not homogenous in its approach. Avalos explains the three key theoretical approaches for disability as redemptionist, rejectionist and historicist.</w:t>
      </w:r>
      <w:r w:rsidR="00C312D2">
        <w:rPr>
          <w:rStyle w:val="FootnoteReference"/>
        </w:rPr>
        <w:footnoteReference w:id="12"/>
      </w:r>
      <w:r w:rsidR="00C312D2">
        <w:t xml:space="preserve"> The redemptionist approach aims to redeem the biblical text despite its negative stance on disability by ‘recontextualising it for modern application’ and rescuing the text from the normate views of many scholars.</w:t>
      </w:r>
      <w:r w:rsidR="00C312D2">
        <w:rPr>
          <w:rStyle w:val="FootnoteReference"/>
        </w:rPr>
        <w:footnoteReference w:id="13"/>
      </w:r>
      <w:r w:rsidR="00C312D2">
        <w:t xml:space="preserve"> Opposing the redemptionist approach is the rejectionist viewpoint, a variant of the post-scripturalist approach which argues for the rejection of the negative biblical depictions of disability with the aim ‘not to recontextualise, but to repudiate.’</w:t>
      </w:r>
      <w:r w:rsidR="00C312D2">
        <w:rPr>
          <w:rStyle w:val="FootnoteReference"/>
        </w:rPr>
        <w:footnoteReference w:id="14"/>
      </w:r>
      <w:r w:rsidR="00C312D2">
        <w:t xml:space="preserve"> The final approach defined by Avalos is historicist, examining disability in the Bible and its interpretation without overt interest in the consequences for modern application.</w:t>
      </w:r>
      <w:r w:rsidR="00452BA0">
        <w:rPr>
          <w:rStyle w:val="FootnoteReference"/>
        </w:rPr>
        <w:footnoteReference w:id="15"/>
      </w:r>
      <w:r w:rsidR="00452BA0">
        <w:t xml:space="preserve"> While Avalos personally argues for a rejectionist approach, a key limitation of th</w:t>
      </w:r>
      <w:r w:rsidR="00F25EC5">
        <w:t>at approach is that while it may be preferred by many disability scholars that ancient texts not be used to set norms for modern society, these texts are still used, and Martin’s reminder that ‘it is biblical scholars’ responsibility to help them do so conscientiously’</w:t>
      </w:r>
      <w:r w:rsidR="00F25EC5">
        <w:rPr>
          <w:rStyle w:val="FootnoteReference"/>
        </w:rPr>
        <w:footnoteReference w:id="16"/>
      </w:r>
      <w:r w:rsidR="00F25EC5">
        <w:t xml:space="preserve"> is imperative. Disability-focused criticism, whatever approach it is following, can help provide insight into views of disability in the biblical texts. </w:t>
      </w:r>
    </w:p>
    <w:p w14:paraId="2BD74557" w14:textId="0FB0ADA3" w:rsidR="00F25EC5" w:rsidRDefault="00191ECD" w:rsidP="006065A7">
      <w:pPr>
        <w:spacing w:line="276" w:lineRule="auto"/>
      </w:pPr>
      <w:r>
        <w:t>When reading and interpreting scripture, interpreters must avoid perpetuating harmful lines of reasoning that have knock-on impacts on the lives and treatment of disabled people. In order to highlight this, t</w:t>
      </w:r>
      <w:r w:rsidR="003D005D">
        <w:t xml:space="preserve">he first passage to be critically analysed with a disability focus will be Deuteronomy 28, which details the blessings and curses that will fall upon those who obey and disobey God. </w:t>
      </w:r>
    </w:p>
    <w:p w14:paraId="306B1B34" w14:textId="7603C38E" w:rsidR="00AE2D66" w:rsidRDefault="00C65CE2" w:rsidP="006065A7">
      <w:pPr>
        <w:spacing w:line="276" w:lineRule="auto"/>
      </w:pPr>
      <w:r>
        <w:t xml:space="preserve">Curse narratives that invoke the power of God to curse sinners with </w:t>
      </w:r>
      <w:r w:rsidR="00AE2D66">
        <w:t>debilitating</w:t>
      </w:r>
      <w:r>
        <w:t xml:space="preserve"> suffering reinforce the core theology that harms and stigmatises the disabled, which is ‘God is powerful over disability and disease, and the condition is not to be accepted as natural or normal.’</w:t>
      </w:r>
      <w:r>
        <w:rPr>
          <w:rStyle w:val="FootnoteReference"/>
        </w:rPr>
        <w:footnoteReference w:id="17"/>
      </w:r>
      <w:r w:rsidR="00AE2D66">
        <w:t xml:space="preserve"> The curses in Deuteronomy 28 include the curse being passed down to the sinner’s descendants, ‘Cursed shall be the fruit of your womb,’ (28:18) which contributes to the harmful rhetoric that inherited disability is </w:t>
      </w:r>
      <w:r w:rsidR="00AE2D66">
        <w:lastRenderedPageBreak/>
        <w:t xml:space="preserve">a curse brought upon children because of a parents’ sin. </w:t>
      </w:r>
      <w:r w:rsidR="007424CE">
        <w:rPr>
          <w:rFonts w:cstheme="minorHAnsi"/>
          <w:shd w:val="clear" w:color="auto" w:fill="FFFFFF"/>
        </w:rPr>
        <w:t xml:space="preserve">As there was little understanding of inherited disability in ancient biblical times, genetic disability was blamed on a familial curse. </w:t>
      </w:r>
    </w:p>
    <w:p w14:paraId="5304CD95" w14:textId="3016FD27" w:rsidR="00AE2D66" w:rsidRDefault="00AE2D66" w:rsidP="006065A7">
      <w:pPr>
        <w:spacing w:line="276" w:lineRule="auto"/>
        <w:rPr>
          <w:rFonts w:cstheme="minorHAnsi"/>
          <w:shd w:val="clear" w:color="auto" w:fill="FFFFFF"/>
        </w:rPr>
      </w:pPr>
      <w:r>
        <w:t>One specific aspect of the curse can be examined through the lens of societal views towards the disabled and ableism, when the sinner is told they will ‘become an object of horror to all the kingdoms of the earth,” (28:25). Faced with fear, disgust and revulsion, disabled people are often stigmatised by ableist ideologies in society, and ‘biblical precepts continually make the connection between disability and evil, and physical ability with virtue and cleanliness.’</w:t>
      </w:r>
      <w:r>
        <w:rPr>
          <w:rStyle w:val="FootnoteReference"/>
        </w:rPr>
        <w:footnoteReference w:id="18"/>
      </w:r>
      <w:r>
        <w:t xml:space="preserve"> </w:t>
      </w:r>
      <w:r w:rsidR="00692AB2">
        <w:t>Belser argues that demonisation of disability remains a potent force in culture, ‘from films that rely on misshapen bodies to imagine the monstrous to theologies that portray people with disabilities as signs of ‘fallen creation’, disability enfleshes the realms of nightmare.’</w:t>
      </w:r>
      <w:r w:rsidR="00692AB2">
        <w:rPr>
          <w:rStyle w:val="FootnoteReference"/>
        </w:rPr>
        <w:footnoteReference w:id="19"/>
      </w:r>
      <w:r w:rsidR="00692AB2">
        <w:t xml:space="preserve"> Another part of the passage that can be analysed through a similar lens is the curse that the sinner ‘shall be continually abused and robbed, without anyone to help,’ (28:29), which highlights the idea that suffering ableism and oppression is a deserved punishment for sin. The sinner is also told that along with an object of horror, but also ‘a proverb, and a byword among all the peoples where the Lord will lead you,’ (28:37). The Hebrew word translated as ‘proverb’ is </w:t>
      </w:r>
      <w:proofErr w:type="spellStart"/>
      <w:r w:rsidR="00692AB2" w:rsidRPr="00412A4C">
        <w:rPr>
          <w:rFonts w:cstheme="minorHAnsi"/>
          <w:shd w:val="clear" w:color="auto" w:fill="FFFFFF"/>
        </w:rPr>
        <w:t>מָש</w:t>
      </w:r>
      <w:proofErr w:type="spellEnd"/>
      <w:r w:rsidR="00692AB2" w:rsidRPr="00412A4C">
        <w:rPr>
          <w:rFonts w:cstheme="minorHAnsi"/>
          <w:shd w:val="clear" w:color="auto" w:fill="FFFFFF"/>
        </w:rPr>
        <w:t>ָׁל</w:t>
      </w:r>
      <w:r w:rsidR="00692AB2">
        <w:rPr>
          <w:rFonts w:cstheme="minorHAnsi"/>
          <w:shd w:val="clear" w:color="auto" w:fill="FFFFFF"/>
        </w:rPr>
        <w:t xml:space="preserve"> , meaning an ethical example or problem that </w:t>
      </w:r>
      <w:r w:rsidR="00E64EB4">
        <w:rPr>
          <w:rFonts w:cstheme="minorHAnsi"/>
          <w:shd w:val="clear" w:color="auto" w:fill="FFFFFF"/>
        </w:rPr>
        <w:t xml:space="preserve">teaches </w:t>
      </w:r>
      <w:r w:rsidR="00692AB2">
        <w:rPr>
          <w:rFonts w:cstheme="minorHAnsi"/>
          <w:shd w:val="clear" w:color="auto" w:fill="FFFFFF"/>
        </w:rPr>
        <w:t xml:space="preserve">a moral, and the word translated as ‘byword’, </w:t>
      </w:r>
      <w:r w:rsidR="00692AB2" w:rsidRPr="00412A4C">
        <w:rPr>
          <w:rFonts w:cstheme="minorHAnsi"/>
          <w:shd w:val="clear" w:color="auto" w:fill="FFFFFF"/>
        </w:rPr>
        <w:t>שְׁ</w:t>
      </w:r>
      <w:proofErr w:type="spellStart"/>
      <w:r w:rsidR="00692AB2" w:rsidRPr="00412A4C">
        <w:rPr>
          <w:rFonts w:cstheme="minorHAnsi"/>
          <w:shd w:val="clear" w:color="auto" w:fill="FFFFFF"/>
        </w:rPr>
        <w:t>נִינָה</w:t>
      </w:r>
      <w:proofErr w:type="spellEnd"/>
      <w:r w:rsidR="00692AB2">
        <w:rPr>
          <w:rFonts w:cstheme="minorHAnsi"/>
          <w:shd w:val="clear" w:color="auto" w:fill="FFFFFF"/>
        </w:rPr>
        <w:t>, can be translated as ‘taunt’, an remark made to anger or provoke someone, which creates the i</w:t>
      </w:r>
      <w:r w:rsidR="007424CE">
        <w:rPr>
          <w:rFonts w:cstheme="minorHAnsi"/>
          <w:shd w:val="clear" w:color="auto" w:fill="FFFFFF"/>
        </w:rPr>
        <w:t xml:space="preserve">dea of a disabled person being an insult to themselves and others and challenging all by showing the depths of despair when one does not obey God. </w:t>
      </w:r>
    </w:p>
    <w:p w14:paraId="1207C5C2" w14:textId="484DBC0F" w:rsidR="007424CE" w:rsidRDefault="007424CE" w:rsidP="006065A7">
      <w:pPr>
        <w:spacing w:line="276" w:lineRule="auto"/>
        <w:rPr>
          <w:rFonts w:cstheme="minorHAnsi"/>
          <w:shd w:val="clear" w:color="auto" w:fill="FFFFFF"/>
        </w:rPr>
      </w:pPr>
      <w:r w:rsidRPr="007424CE">
        <w:rPr>
          <w:rFonts w:cstheme="minorHAnsi"/>
          <w:shd w:val="clear" w:color="auto" w:fill="FFFFFF"/>
        </w:rPr>
        <w:t xml:space="preserve">The origin of the curses is explained: ‘all these curses shall come upon you, pursuing and overtaking you until you are destroyed, because you did not obey the Lord your God,’ (28:46), and the curses are described as applying to the entire bloodline, ‘among you and your descendants as a sign and a portent forever,’ (28:46). The word translated as ‘sign’ is in Hebrew </w:t>
      </w:r>
      <w:proofErr w:type="spellStart"/>
      <w:r w:rsidRPr="007424CE">
        <w:rPr>
          <w:rStyle w:val="hbfontsmall"/>
          <w:rFonts w:cstheme="minorHAnsi"/>
          <w:shd w:val="clear" w:color="auto" w:fill="FFFFFF"/>
        </w:rPr>
        <w:t>אוֹת</w:t>
      </w:r>
      <w:proofErr w:type="spellEnd"/>
      <w:r w:rsidRPr="007424CE">
        <w:rPr>
          <w:rFonts w:cstheme="minorHAnsi"/>
          <w:shd w:val="clear" w:color="auto" w:fill="FFFFFF"/>
        </w:rPr>
        <w:t xml:space="preserve">, which means a miraculous sign and can also be translated as omen or warning, and the word translated as ‘portent’ is </w:t>
      </w:r>
      <w:proofErr w:type="spellStart"/>
      <w:r w:rsidRPr="007424CE">
        <w:rPr>
          <w:rStyle w:val="hbfontsmall"/>
          <w:rFonts w:cstheme="minorHAnsi"/>
          <w:shd w:val="clear" w:color="auto" w:fill="FFFFFF"/>
        </w:rPr>
        <w:t>מוֹפֵת</w:t>
      </w:r>
      <w:proofErr w:type="spellEnd"/>
      <w:r w:rsidRPr="007424CE">
        <w:rPr>
          <w:rFonts w:cstheme="minorHAnsi"/>
          <w:shd w:val="clear" w:color="auto" w:fill="FFFFFF"/>
        </w:rPr>
        <w:t xml:space="preserve">, meaning wonder (often at a special display of God’s power). </w:t>
      </w:r>
      <w:r w:rsidRPr="007424CE">
        <w:rPr>
          <w:rFonts w:cstheme="minorHAnsi"/>
          <w:shd w:val="clear" w:color="auto" w:fill="FFFFFF"/>
        </w:rPr>
        <w:t>The horror and pain of disability is</w:t>
      </w:r>
      <w:r>
        <w:rPr>
          <w:rFonts w:cstheme="minorHAnsi"/>
          <w:shd w:val="clear" w:color="auto" w:fill="FFFFFF"/>
        </w:rPr>
        <w:t xml:space="preserve"> suggested as being</w:t>
      </w:r>
      <w:r w:rsidRPr="007424CE">
        <w:rPr>
          <w:rFonts w:cstheme="minorHAnsi"/>
          <w:shd w:val="clear" w:color="auto" w:fill="FFFFFF"/>
        </w:rPr>
        <w:t xml:space="preserve"> used to show how far-reaching God’s power and how much suffering he can inflict, as well as a deterrent for others. This reinforces harmful ideas that </w:t>
      </w:r>
      <w:r w:rsidR="00191ECD">
        <w:rPr>
          <w:rFonts w:cstheme="minorHAnsi"/>
          <w:shd w:val="clear" w:color="auto" w:fill="FFFFFF"/>
        </w:rPr>
        <w:t xml:space="preserve">suffering from </w:t>
      </w:r>
      <w:r w:rsidRPr="007424CE">
        <w:rPr>
          <w:rFonts w:cstheme="minorHAnsi"/>
          <w:shd w:val="clear" w:color="auto" w:fill="FFFFFF"/>
        </w:rPr>
        <w:t>disability is God-</w:t>
      </w:r>
      <w:r w:rsidR="00191ECD">
        <w:rPr>
          <w:rFonts w:cstheme="minorHAnsi"/>
          <w:shd w:val="clear" w:color="auto" w:fill="FFFFFF"/>
        </w:rPr>
        <w:t>ordained</w:t>
      </w:r>
      <w:r>
        <w:rPr>
          <w:rFonts w:cstheme="minorHAnsi"/>
          <w:shd w:val="clear" w:color="auto" w:fill="FFFFFF"/>
        </w:rPr>
        <w:t>.</w:t>
      </w:r>
    </w:p>
    <w:p w14:paraId="51D44A71" w14:textId="32A0627A" w:rsidR="00191ECD" w:rsidRDefault="00E64EB4" w:rsidP="006065A7">
      <w:pPr>
        <w:spacing w:line="276" w:lineRule="auto"/>
        <w:rPr>
          <w:rFonts w:cstheme="minorHAnsi"/>
          <w:shd w:val="clear" w:color="auto" w:fill="FFFFFF"/>
        </w:rPr>
      </w:pPr>
      <w:r>
        <w:rPr>
          <w:rFonts w:cstheme="minorHAnsi"/>
          <w:shd w:val="clear" w:color="auto" w:fill="FFFFFF"/>
        </w:rPr>
        <w:t>When analysing the ideologies found within Deuteronomy 28, it is important to keep in mind that</w:t>
      </w:r>
      <w:r w:rsidR="00191ECD">
        <w:rPr>
          <w:rFonts w:cstheme="minorHAnsi"/>
          <w:shd w:val="clear" w:color="auto" w:fill="FFFFFF"/>
        </w:rPr>
        <w:t xml:space="preserve"> fear of suffering and pain is as inherent to the human experience as suffering itself. Therefore, the author’s use of the threat of disfigurement and disability makes logical sense as a deterrent. However, reasoning such as this must be critically examined; when disability is viewed as something to avoid and fear, this same sentiment is then projected onto those with disabilities, who become objects of fear and ostracization (as is described </w:t>
      </w:r>
      <w:r w:rsidR="00953C60">
        <w:rPr>
          <w:rFonts w:cstheme="minorHAnsi"/>
          <w:shd w:val="clear" w:color="auto" w:fill="FFFFFF"/>
        </w:rPr>
        <w:t xml:space="preserve">in 28:25 </w:t>
      </w:r>
      <w:r>
        <w:rPr>
          <w:rFonts w:cstheme="minorHAnsi"/>
          <w:shd w:val="clear" w:color="auto" w:fill="FFFFFF"/>
        </w:rPr>
        <w:t xml:space="preserve">using the curse of becoming an </w:t>
      </w:r>
      <w:r w:rsidR="00953C60">
        <w:rPr>
          <w:rFonts w:cstheme="minorHAnsi"/>
          <w:shd w:val="clear" w:color="auto" w:fill="FFFFFF"/>
        </w:rPr>
        <w:t xml:space="preserve">‘object of horror’). Secondly if disability exists as a punishment from God, then the disabled must be hated by God, a harmful idea that is shown </w:t>
      </w:r>
      <w:r>
        <w:rPr>
          <w:rFonts w:cstheme="minorHAnsi"/>
          <w:shd w:val="clear" w:color="auto" w:fill="FFFFFF"/>
        </w:rPr>
        <w:t xml:space="preserve">in </w:t>
      </w:r>
      <w:r w:rsidR="00953C60">
        <w:rPr>
          <w:rFonts w:cstheme="minorHAnsi"/>
          <w:shd w:val="clear" w:color="auto" w:fill="FFFFFF"/>
        </w:rPr>
        <w:t xml:space="preserve">the statement that ‘the Lord will take delight in bringing you to ruin and destruction,’ (28:63). Finally, there is the issue of the sin/disability conflation: if disability is a consequence of sin, then disabled people have sinned to deserve their pain. Disability therefore becomes a punishment, and those with disabilities become sinners. When sin and disability are </w:t>
      </w:r>
      <w:r w:rsidR="00953C60">
        <w:rPr>
          <w:rFonts w:cstheme="minorHAnsi"/>
          <w:shd w:val="clear" w:color="auto" w:fill="FFFFFF"/>
        </w:rPr>
        <w:lastRenderedPageBreak/>
        <w:t xml:space="preserve">conflated, disabled people no longer deserve acceptance, social </w:t>
      </w:r>
      <w:r>
        <w:rPr>
          <w:rFonts w:cstheme="minorHAnsi"/>
          <w:shd w:val="clear" w:color="auto" w:fill="FFFFFF"/>
        </w:rPr>
        <w:t>support,</w:t>
      </w:r>
      <w:r w:rsidR="00953C60">
        <w:rPr>
          <w:rFonts w:cstheme="minorHAnsi"/>
          <w:shd w:val="clear" w:color="auto" w:fill="FFFFFF"/>
        </w:rPr>
        <w:t xml:space="preserve"> or faith, and are viewed as impure, to be cast </w:t>
      </w:r>
      <w:r>
        <w:rPr>
          <w:rFonts w:cstheme="minorHAnsi"/>
          <w:shd w:val="clear" w:color="auto" w:fill="FFFFFF"/>
        </w:rPr>
        <w:t xml:space="preserve">out </w:t>
      </w:r>
      <w:r w:rsidR="00953C60">
        <w:rPr>
          <w:rFonts w:cstheme="minorHAnsi"/>
          <w:shd w:val="clear" w:color="auto" w:fill="FFFFFF"/>
        </w:rPr>
        <w:t xml:space="preserve">the community. </w:t>
      </w:r>
    </w:p>
    <w:p w14:paraId="49370F0C" w14:textId="18D16491" w:rsidR="00191ECD" w:rsidRPr="007424CE" w:rsidRDefault="00191ECD" w:rsidP="006065A7">
      <w:pPr>
        <w:spacing w:line="276" w:lineRule="auto"/>
        <w:rPr>
          <w:rFonts w:cstheme="minorHAnsi"/>
          <w:shd w:val="clear" w:color="auto" w:fill="FFFFFF"/>
        </w:rPr>
      </w:pPr>
      <w:r>
        <w:rPr>
          <w:rFonts w:cstheme="minorHAnsi"/>
          <w:shd w:val="clear" w:color="auto" w:fill="FFFFFF"/>
        </w:rPr>
        <w:t xml:space="preserve">By analysing Deuteronomy 28’s curse descriptions through a disability-focused critical lens, the harmful ableist ideologies underpinning the passage can be revealed. Understanding the stigmatisation of the suffering in the biblical text allows for both a more well-rounded analysis and uncovers the potential harm this sort of theological concept can have for disabled people. When interpreting texts such as Deuteronomy 28, the interpreter arguably has a responsibility to prevent further harm. Dismantling the ableism within both the original text and its subsequent interpretations allows for not only inclusion of disabled people but a deeper understanding of how suffering and illness were understood in the ancient world. </w:t>
      </w:r>
    </w:p>
    <w:p w14:paraId="23E296DE" w14:textId="4115E495" w:rsidR="00CF1BF6" w:rsidRDefault="00953C60" w:rsidP="006065A7">
      <w:pPr>
        <w:spacing w:line="276" w:lineRule="auto"/>
      </w:pPr>
      <w:r>
        <w:t xml:space="preserve">Next, the book of Job will be briefly analysed to explore </w:t>
      </w:r>
      <w:r w:rsidR="00CF1BF6">
        <w:t>its potential for disability criticism. One reason given as to why Job is a powerful resource for people with disability is ‘his refusal to mask or be silent about his physical impairment and social alienation.’</w:t>
      </w:r>
      <w:r w:rsidR="00CF1BF6">
        <w:rPr>
          <w:rStyle w:val="FootnoteReference"/>
        </w:rPr>
        <w:footnoteReference w:id="20"/>
      </w:r>
      <w:r w:rsidR="00CF1BF6">
        <w:t xml:space="preserve"> As well as giving a vivid description of his physical suffering, ‘Job also attests to the social effects of his disability’</w:t>
      </w:r>
      <w:r w:rsidR="00CF1BF6">
        <w:rPr>
          <w:rStyle w:val="FootnoteReference"/>
        </w:rPr>
        <w:footnoteReference w:id="21"/>
      </w:r>
      <w:r w:rsidR="00CF1BF6">
        <w:t xml:space="preserve"> and through this, ‘effectively resists the marginalisation itself.’</w:t>
      </w:r>
      <w:r w:rsidR="00CF1BF6">
        <w:rPr>
          <w:rStyle w:val="FootnoteReference"/>
        </w:rPr>
        <w:footnoteReference w:id="22"/>
      </w:r>
      <w:r w:rsidR="00CF1BF6">
        <w:t xml:space="preserve"> Hearing the character of Job speak on his experience of disability can be seen as the closest we can come to attending to disabled voices in the original context of the text. However, it is important to note that it is unlikely the scripture was written by a disabled person with a condition like one described afflicting Job</w:t>
      </w:r>
      <w:r w:rsidR="00E64EB4">
        <w:t>; t</w:t>
      </w:r>
      <w:r w:rsidR="00CF1BF6">
        <w:t>he author was likely an abled person using the voice of the disabled character Job to speak on the topic of disability. This is extremely important to note when it comes to disabled criticism</w:t>
      </w:r>
      <w:r w:rsidR="00E64EB4">
        <w:t xml:space="preserve">: </w:t>
      </w:r>
      <w:r w:rsidR="00CF1BF6">
        <w:t xml:space="preserve">we must privilege disabled voices when it comes to the topic of disability, and that means privileging modern disabled voices above disabled characters of the bible. </w:t>
      </w:r>
      <w:r w:rsidR="00E64EB4">
        <w:t xml:space="preserve">The focus should be </w:t>
      </w:r>
      <w:r w:rsidR="00CF1BF6">
        <w:t xml:space="preserve">on the disabled people that </w:t>
      </w:r>
      <w:r w:rsidR="00CF1BF6">
        <w:rPr>
          <w:i/>
          <w:iCs/>
        </w:rPr>
        <w:t xml:space="preserve">today </w:t>
      </w:r>
      <w:r w:rsidR="00CF1BF6">
        <w:t xml:space="preserve">are affected by these scriptures. </w:t>
      </w:r>
    </w:p>
    <w:p w14:paraId="7A9E3317" w14:textId="392272F6" w:rsidR="007B6B05" w:rsidRDefault="00CF1BF6" w:rsidP="006065A7">
      <w:pPr>
        <w:spacing w:line="276" w:lineRule="auto"/>
      </w:pPr>
      <w:r>
        <w:t xml:space="preserve">Job’s narrative also offers an example for interpreters to examine the intricacies of one, being disabled, and two, interacting with the disabled. </w:t>
      </w:r>
      <w:r w:rsidR="003C24A4">
        <w:t>Job describes helping the disabled in his community and complains that the ones he before would have looked down upon, now mock him (Job 30:1). Job’s lack of solidarity with his fellow disabled people could potentially complicate the perspective of disabled studies, but Davis argues that we should not shy away from problematic passages in Scripture, as they ‘can and should lead us to reflect critically on our own lives.’</w:t>
      </w:r>
      <w:r w:rsidR="003C24A4">
        <w:rPr>
          <w:rStyle w:val="FootnoteReference"/>
        </w:rPr>
        <w:footnoteReference w:id="23"/>
      </w:r>
      <w:r w:rsidR="003C24A4">
        <w:t xml:space="preserve"> From </w:t>
      </w:r>
      <w:proofErr w:type="spellStart"/>
      <w:r w:rsidR="003C24A4">
        <w:t>Davis’</w:t>
      </w:r>
      <w:proofErr w:type="spellEnd"/>
      <w:r w:rsidR="003C24A4">
        <w:t xml:space="preserve"> stance, although Job’s self-centredness may on the surface appear to be a problem for a disability reading, ‘it may be just the opposite, if this problem leads us, the readers, to stronger advocacy for people with disabilities and greater solidarity with them.’</w:t>
      </w:r>
      <w:r w:rsidR="003C24A4">
        <w:rPr>
          <w:rStyle w:val="FootnoteReference"/>
        </w:rPr>
        <w:footnoteReference w:id="24"/>
      </w:r>
      <w:r w:rsidR="003C24A4">
        <w:t xml:space="preserve"> Reading the book of Job can also be read as holding a hopeful message for those with disabilities, as ‘by meeting Job </w:t>
      </w:r>
      <w:r w:rsidR="003C24A4">
        <w:rPr>
          <w:i/>
          <w:iCs/>
        </w:rPr>
        <w:t xml:space="preserve">where </w:t>
      </w:r>
      <w:r w:rsidR="003C24A4">
        <w:t xml:space="preserve">he is and </w:t>
      </w:r>
      <w:r w:rsidR="003C24A4">
        <w:rPr>
          <w:i/>
          <w:iCs/>
        </w:rPr>
        <w:t xml:space="preserve">as </w:t>
      </w:r>
      <w:r w:rsidR="003C24A4">
        <w:t>he is, God affirms that Job’s physical condition is worthy of encounter with God.’</w:t>
      </w:r>
      <w:r w:rsidR="003C24A4">
        <w:rPr>
          <w:rStyle w:val="FootnoteReference"/>
        </w:rPr>
        <w:footnoteReference w:id="25"/>
      </w:r>
      <w:r w:rsidR="003C24A4">
        <w:t xml:space="preserve"> In summary, deeper analysis of biblical narratives involving disabled characters can unearth</w:t>
      </w:r>
      <w:r w:rsidR="007B6B05">
        <w:t xml:space="preserve"> the potential of texts to assist in </w:t>
      </w:r>
      <w:r w:rsidR="007B6B05">
        <w:lastRenderedPageBreak/>
        <w:t xml:space="preserve">reflection on harmful beliefs as well as consider the intricacies of the relationship dynamics between disabled people and God. </w:t>
      </w:r>
    </w:p>
    <w:p w14:paraId="44D2EB29" w14:textId="6BEDCA40" w:rsidR="00AA2A1D" w:rsidRDefault="002D728F" w:rsidP="006065A7">
      <w:pPr>
        <w:spacing w:line="276" w:lineRule="auto"/>
      </w:pPr>
      <w:r>
        <w:t>As Belser writes, ‘our words and symbols matter profoundly. They not only reflect our ableist assumptions; they inform and sustain them.’</w:t>
      </w:r>
      <w:r>
        <w:rPr>
          <w:rStyle w:val="FootnoteReference"/>
        </w:rPr>
        <w:footnoteReference w:id="26"/>
      </w:r>
      <w:r>
        <w:t xml:space="preserve"> When it comes to disability criticism, scholars in the field have argued for several methods that should be used when undertaking the task of a disability-focused biblical reading. Lowe argue</w:t>
      </w:r>
      <w:r w:rsidR="00AA2A1D">
        <w:t>s</w:t>
      </w:r>
      <w:r>
        <w:t xml:space="preserve"> that we should stop using certain terms to describe sin and forgiveness such as sickness and healing, blindness and sight, and brokenness and wholeness, as they serve as ‘painful reminders’ that while disabled readers may be at peace with who they are, they ‘may never be healed, sighted [or] whole.’</w:t>
      </w:r>
      <w:r>
        <w:rPr>
          <w:rStyle w:val="FootnoteReference"/>
        </w:rPr>
        <w:footnoteReference w:id="27"/>
      </w:r>
      <w:r>
        <w:t xml:space="preserve"> </w:t>
      </w:r>
      <w:r w:rsidR="00AA2A1D">
        <w:t>Reminding scholars that disability is not an inherently a negative term is key</w:t>
      </w:r>
      <w:r w:rsidR="00AA2A1D">
        <w:rPr>
          <w:rStyle w:val="FootnoteReference"/>
        </w:rPr>
        <w:footnoteReference w:id="28"/>
      </w:r>
      <w:r w:rsidR="00AA2A1D">
        <w:t>, and Martin argues that ‘euphemisms, too, are to be avoided because they try to smooth other the speaker’s discomfort with disability.’</w:t>
      </w:r>
      <w:r w:rsidR="00AA2A1D">
        <w:rPr>
          <w:rStyle w:val="FootnoteReference"/>
        </w:rPr>
        <w:footnoteReference w:id="29"/>
      </w:r>
      <w:r w:rsidR="00AA2A1D">
        <w:t xml:space="preserve"> Disability-sensitive readings should also ‘resist any association of sin with disability, physical differences, mental health or intellectual abilities.’</w:t>
      </w:r>
      <w:r w:rsidR="00AA2A1D">
        <w:rPr>
          <w:rStyle w:val="FootnoteReference"/>
        </w:rPr>
        <w:footnoteReference w:id="30"/>
      </w:r>
      <w:r w:rsidR="009A65A1">
        <w:t xml:space="preserve"> </w:t>
      </w:r>
    </w:p>
    <w:p w14:paraId="4B904B8C" w14:textId="1462C24E" w:rsidR="009A65A1" w:rsidRDefault="00E64EB4" w:rsidP="006065A7">
      <w:pPr>
        <w:spacing w:line="276" w:lineRule="auto"/>
      </w:pPr>
      <w:r>
        <w:t>Furthermore w</w:t>
      </w:r>
      <w:r w:rsidR="00707782">
        <w:t>hile the instinct may be to focus on attempted diagnosis of biblical characters, ‘i</w:t>
      </w:r>
      <w:r w:rsidR="009A65A1">
        <w:t>n both theological and medical discourses, persons with disabilities often are sinfully subjected through classification and diagnosis</w:t>
      </w:r>
      <w:r w:rsidR="009A65A1">
        <w:t>,’</w:t>
      </w:r>
      <w:r w:rsidR="009A65A1">
        <w:rPr>
          <w:rStyle w:val="FootnoteReference"/>
        </w:rPr>
        <w:footnoteReference w:id="31"/>
      </w:r>
      <w:r w:rsidR="009A65A1">
        <w:t xml:space="preserve"> and </w:t>
      </w:r>
      <w:r w:rsidR="00707782">
        <w:t xml:space="preserve">when </w:t>
      </w:r>
      <w:r w:rsidR="009A65A1">
        <w:t>r</w:t>
      </w:r>
      <w:r w:rsidR="009A65A1">
        <w:t xml:space="preserve">eading </w:t>
      </w:r>
      <w:r w:rsidR="009A65A1">
        <w:t xml:space="preserve">biblical </w:t>
      </w:r>
      <w:r w:rsidR="009A65A1">
        <w:t xml:space="preserve">passages in which a person’s only descriptor is their disability, </w:t>
      </w:r>
      <w:r w:rsidR="00707782">
        <w:t xml:space="preserve">we </w:t>
      </w:r>
      <w:r w:rsidR="009A65A1">
        <w:t>must be aware of the harm of this sort of subjection.</w:t>
      </w:r>
    </w:p>
    <w:p w14:paraId="058B3E05" w14:textId="2D22E237" w:rsidR="009A65A1" w:rsidRDefault="00AA2A1D" w:rsidP="00E64EB4">
      <w:pPr>
        <w:spacing w:line="276" w:lineRule="auto"/>
      </w:pPr>
      <w:r>
        <w:t>Lawrence, referring to the exclusive nature of biblical scholarship, argues that the ‘ivory towers of western academia have variously castigated, censored and exiled those perceived as ‘mad’ and/or other.’</w:t>
      </w:r>
      <w:r>
        <w:rPr>
          <w:rStyle w:val="FootnoteReference"/>
        </w:rPr>
        <w:footnoteReference w:id="32"/>
      </w:r>
      <w:r>
        <w:t xml:space="preserve"> Lawrence highlights the need for the initiation of dialogue and exchange between biblical interpretation and contemporary ‘mad’ voices (due to her focus on sanism in biblical scholarship),</w:t>
      </w:r>
      <w:r>
        <w:rPr>
          <w:rStyle w:val="FootnoteReference"/>
        </w:rPr>
        <w:footnoteReference w:id="33"/>
      </w:r>
      <w:r>
        <w:t xml:space="preserve"> and this sentiment should be expanded to all disabled voices. The key motivation behind disabled criticism </w:t>
      </w:r>
      <w:r w:rsidR="00E64EB4">
        <w:t xml:space="preserve">is </w:t>
      </w:r>
      <w:r>
        <w:t>to ‘constructively forefront lived experience in all its diversity</w:t>
      </w:r>
      <w:r w:rsidR="008C7408">
        <w:t>,’</w:t>
      </w:r>
      <w:r>
        <w:rPr>
          <w:rStyle w:val="FootnoteReference"/>
        </w:rPr>
        <w:footnoteReference w:id="34"/>
      </w:r>
      <w:r w:rsidR="008C7408">
        <w:t xml:space="preserve"> and th</w:t>
      </w:r>
      <w:r>
        <w:t>e disability rights movement numbers many activists and scholars who can ‘testify to the integrity and complexity of life with a disability.’</w:t>
      </w:r>
      <w:r>
        <w:rPr>
          <w:rStyle w:val="FootnoteReference"/>
        </w:rPr>
        <w:footnoteReference w:id="35"/>
      </w:r>
      <w:r>
        <w:t xml:space="preserve"> While no one voice can represent the diversity of the disabled experience, ‘raising up these contemporary voices’ can provide insight for disabled readings using a ‘rich, three-dimensional portrait of people with disabilities.’</w:t>
      </w:r>
      <w:r>
        <w:rPr>
          <w:rStyle w:val="FootnoteReference"/>
        </w:rPr>
        <w:footnoteReference w:id="36"/>
      </w:r>
      <w:r w:rsidR="00E64EB4">
        <w:t xml:space="preserve"> </w:t>
      </w:r>
      <w:r w:rsidR="009A65A1">
        <w:t xml:space="preserve">Finally, it is important that to note that when it comes to disability-focused biblical criticism, ‘there is no need to force a liberative reading when </w:t>
      </w:r>
      <w:r w:rsidR="009A65A1">
        <w:lastRenderedPageBreak/>
        <w:t>none exists.’</w:t>
      </w:r>
      <w:r w:rsidR="009A65A1">
        <w:rPr>
          <w:rStyle w:val="FootnoteReference"/>
        </w:rPr>
        <w:footnoteReference w:id="37"/>
      </w:r>
      <w:r w:rsidR="009A65A1">
        <w:t xml:space="preserve"> Belser argues that when we rush to ‘rescue the text’, the power of the text is reinscribed as ‘the true arbiter of worth and value.’</w:t>
      </w:r>
      <w:r w:rsidR="009A65A1">
        <w:rPr>
          <w:rStyle w:val="FootnoteReference"/>
        </w:rPr>
        <w:footnoteReference w:id="38"/>
      </w:r>
    </w:p>
    <w:p w14:paraId="54EE9CF7" w14:textId="2D5E95C1" w:rsidR="00A438BA" w:rsidRDefault="00A438BA" w:rsidP="00E64EB4">
      <w:pPr>
        <w:spacing w:line="276" w:lineRule="auto"/>
      </w:pPr>
      <w:r>
        <w:t>The importance of undertaking disability-focused biblical criticism has roots in both the interests of disability studies and the broader field of biblical interpretation. Disability scholar Garland-Thomson argues that “all representations [of disability] have social and political consequences,’</w:t>
      </w:r>
      <w:r>
        <w:rPr>
          <w:rStyle w:val="FootnoteReference"/>
        </w:rPr>
        <w:footnoteReference w:id="39"/>
      </w:r>
      <w:r>
        <w:t xml:space="preserve"> and Eiesland emphasised the impact of biblical readings that ‘continue to reinforce negative stereotypes, support social and environmental segregation, and mask the lived realities of people with disabilities.’</w:t>
      </w:r>
      <w:r>
        <w:rPr>
          <w:rStyle w:val="FootnoteReference"/>
        </w:rPr>
        <w:footnoteReference w:id="40"/>
      </w:r>
      <w:r>
        <w:t xml:space="preserve"> Disability-focused criticism also has great potential in the field of biblical interpretation as disability in biblical interpretation is not just a fact, but is ‘shot through with theological significance.’</w:t>
      </w:r>
      <w:r>
        <w:rPr>
          <w:rStyle w:val="FootnoteReference"/>
        </w:rPr>
        <w:footnoteReference w:id="41"/>
      </w:r>
      <w:r w:rsidR="00E64EB4">
        <w:t xml:space="preserve"> </w:t>
      </w:r>
      <w:r w:rsidR="003E6EE7">
        <w:t xml:space="preserve">Finally, </w:t>
      </w:r>
      <w:r w:rsidR="00E64EB4">
        <w:t>B</w:t>
      </w:r>
      <w:r>
        <w:t>owen-Evans, examining the disability hermeneutic of Brian Brock, argues that this sort of disability-focused analysis could have a ‘liberating effect’ – not just for the disabled but also providing ‘affirmation for anyone whose body is considered weak or inferior, disabled or deviant in their society.’</w:t>
      </w:r>
      <w:r>
        <w:rPr>
          <w:rStyle w:val="FootnoteReference"/>
        </w:rPr>
        <w:footnoteReference w:id="42"/>
      </w:r>
      <w:r>
        <w:t xml:space="preserve"> </w:t>
      </w:r>
    </w:p>
    <w:p w14:paraId="167B85EE" w14:textId="7AB5AB75" w:rsidR="00E64EB4" w:rsidRDefault="00E64EB4" w:rsidP="00521E0E">
      <w:pPr>
        <w:spacing w:line="276" w:lineRule="auto"/>
      </w:pPr>
      <w:r>
        <w:t xml:space="preserve">To conclude, disability-focused criticism of biblical texts is extremely important: to allow for better literary analysis with disability acting as a narrative prosthesis; the social implications of stigmatisation in the biblical text for people with disabilities in the modern era; and deeper understanding of attitudes towards the disabled in antiquity with the use of biblical texts as key textual sources. </w:t>
      </w:r>
      <w:r w:rsidR="00283D0F">
        <w:t>Whether introducing some aspects of disability-focused hermeneutics into biblical exegesis or doing entirely disability-focused biblical analysis, the interpreters can, in giving due attention to disability as an identity marker, show the value given to disabled lives is as high as abled life</w:t>
      </w:r>
      <w:r w:rsidR="00521E0E">
        <w:t xml:space="preserve"> within biblical scholarship, and ensure that institutional ableism and sanism are dismantled, one interpretation at a time. </w:t>
      </w:r>
    </w:p>
    <w:p w14:paraId="48BC123B" w14:textId="77777777" w:rsidR="005013C3" w:rsidRDefault="005013C3" w:rsidP="00521E0E">
      <w:pPr>
        <w:spacing w:line="276" w:lineRule="auto"/>
      </w:pPr>
    </w:p>
    <w:p w14:paraId="0D46DD33" w14:textId="77777777" w:rsidR="005013C3" w:rsidRDefault="005013C3" w:rsidP="00521E0E">
      <w:pPr>
        <w:spacing w:line="276" w:lineRule="auto"/>
      </w:pPr>
    </w:p>
    <w:p w14:paraId="18AC2543" w14:textId="77777777" w:rsidR="005013C3" w:rsidRDefault="005013C3" w:rsidP="00521E0E">
      <w:pPr>
        <w:spacing w:line="276" w:lineRule="auto"/>
      </w:pPr>
    </w:p>
    <w:p w14:paraId="634A615B" w14:textId="77777777" w:rsidR="005013C3" w:rsidRDefault="005013C3" w:rsidP="00521E0E">
      <w:pPr>
        <w:spacing w:line="276" w:lineRule="auto"/>
      </w:pPr>
    </w:p>
    <w:p w14:paraId="22B7A185" w14:textId="77777777" w:rsidR="005013C3" w:rsidRDefault="005013C3" w:rsidP="00521E0E">
      <w:pPr>
        <w:spacing w:line="276" w:lineRule="auto"/>
      </w:pPr>
    </w:p>
    <w:p w14:paraId="41C51A1B" w14:textId="77777777" w:rsidR="005013C3" w:rsidRDefault="005013C3" w:rsidP="00521E0E">
      <w:pPr>
        <w:spacing w:line="276" w:lineRule="auto"/>
      </w:pPr>
    </w:p>
    <w:p w14:paraId="01B5BBE9" w14:textId="77777777" w:rsidR="005013C3" w:rsidRDefault="005013C3" w:rsidP="00521E0E">
      <w:pPr>
        <w:spacing w:line="276" w:lineRule="auto"/>
      </w:pPr>
    </w:p>
    <w:p w14:paraId="1376FC9D" w14:textId="77777777" w:rsidR="005013C3" w:rsidRDefault="005013C3" w:rsidP="00521E0E">
      <w:pPr>
        <w:spacing w:line="276" w:lineRule="auto"/>
      </w:pPr>
    </w:p>
    <w:p w14:paraId="7D06F9A1" w14:textId="77777777" w:rsidR="005013C3" w:rsidRDefault="005013C3" w:rsidP="00521E0E">
      <w:pPr>
        <w:spacing w:line="276" w:lineRule="auto"/>
      </w:pPr>
    </w:p>
    <w:p w14:paraId="0FAFF020" w14:textId="77777777" w:rsidR="005013C3" w:rsidRDefault="005013C3" w:rsidP="00521E0E">
      <w:pPr>
        <w:spacing w:line="276" w:lineRule="auto"/>
      </w:pPr>
    </w:p>
    <w:p w14:paraId="4FD85BC3" w14:textId="77777777" w:rsidR="005013C3" w:rsidRDefault="005013C3" w:rsidP="00521E0E">
      <w:pPr>
        <w:spacing w:line="276" w:lineRule="auto"/>
      </w:pPr>
    </w:p>
    <w:p w14:paraId="4F470849" w14:textId="77777777" w:rsidR="005013C3" w:rsidRDefault="005013C3" w:rsidP="00521E0E">
      <w:pPr>
        <w:spacing w:line="276" w:lineRule="auto"/>
      </w:pPr>
    </w:p>
    <w:p w14:paraId="24063279" w14:textId="77777777" w:rsidR="005013C3" w:rsidRDefault="005013C3" w:rsidP="00521E0E">
      <w:pPr>
        <w:spacing w:line="276" w:lineRule="auto"/>
      </w:pPr>
    </w:p>
    <w:p w14:paraId="0C9F9DF2" w14:textId="77777777" w:rsidR="005013C3" w:rsidRPr="005013C3" w:rsidRDefault="005013C3" w:rsidP="005013C3">
      <w:pPr>
        <w:spacing w:after="240" w:line="360" w:lineRule="auto"/>
        <w:outlineLvl w:val="0"/>
        <w:rPr>
          <w:rFonts w:eastAsia="Times New Roman" w:cstheme="minorHAnsi"/>
          <w:b/>
          <w:bCs/>
          <w:kern w:val="36"/>
          <w:sz w:val="32"/>
          <w:szCs w:val="32"/>
          <w:lang w:eastAsia="en-GB" w:bidi="he-IL"/>
          <w14:ligatures w14:val="none"/>
        </w:rPr>
      </w:pPr>
      <w:r w:rsidRPr="005013C3">
        <w:rPr>
          <w:rFonts w:eastAsia="Times New Roman" w:cstheme="minorHAnsi"/>
          <w:b/>
          <w:bCs/>
          <w:kern w:val="36"/>
          <w:sz w:val="32"/>
          <w:szCs w:val="32"/>
          <w:lang w:eastAsia="en-GB" w:bidi="he-IL"/>
          <w14:ligatures w14:val="none"/>
        </w:rPr>
        <w:t>Bibliography</w:t>
      </w:r>
    </w:p>
    <w:p w14:paraId="627B0E66"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Avalos, Hector, Sarah J Melcher, and Jeremy Schipper, </w:t>
      </w:r>
      <w:r w:rsidRPr="005013C3">
        <w:rPr>
          <w:rFonts w:eastAsia="Times New Roman" w:cstheme="minorHAnsi"/>
          <w:i/>
          <w:iCs/>
          <w:kern w:val="0"/>
          <w:lang w:eastAsia="en-GB" w:bidi="he-IL"/>
          <w14:ligatures w14:val="none"/>
        </w:rPr>
        <w:t>This Abled Body</w:t>
      </w:r>
      <w:r w:rsidRPr="005013C3">
        <w:rPr>
          <w:rFonts w:eastAsia="Times New Roman" w:cstheme="minorHAnsi"/>
          <w:kern w:val="0"/>
          <w:lang w:eastAsia="en-GB" w:bidi="he-IL"/>
          <w14:ligatures w14:val="none"/>
        </w:rPr>
        <w:t xml:space="preserve"> (Brill Academic Publishers, 2007)</w:t>
      </w:r>
    </w:p>
    <w:p w14:paraId="25E455D1"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Belser, Julia, and Melanie S. Morrison, ‘What No Longer Serves Us: Resisting Ableism and Anti-Judaism in New Testament Healing Narratives’, </w:t>
      </w:r>
      <w:r w:rsidRPr="005013C3">
        <w:rPr>
          <w:rFonts w:eastAsia="Times New Roman" w:cstheme="minorHAnsi"/>
          <w:i/>
          <w:iCs/>
          <w:kern w:val="0"/>
          <w:lang w:eastAsia="en-GB" w:bidi="he-IL"/>
          <w14:ligatures w14:val="none"/>
        </w:rPr>
        <w:t>Journal of Feminist Studies in Religion</w:t>
      </w:r>
      <w:r w:rsidRPr="005013C3">
        <w:rPr>
          <w:rFonts w:eastAsia="Times New Roman" w:cstheme="minorHAnsi"/>
          <w:kern w:val="0"/>
          <w:lang w:eastAsia="en-GB" w:bidi="he-IL"/>
          <w14:ligatures w14:val="none"/>
        </w:rPr>
        <w:t>, 27.2 (2011), 153–</w:t>
      </w:r>
      <w:proofErr w:type="gramStart"/>
      <w:r w:rsidRPr="005013C3">
        <w:rPr>
          <w:rFonts w:eastAsia="Times New Roman" w:cstheme="minorHAnsi"/>
          <w:kern w:val="0"/>
          <w:lang w:eastAsia="en-GB" w:bidi="he-IL"/>
          <w14:ligatures w14:val="none"/>
        </w:rPr>
        <w:t>70</w:t>
      </w:r>
      <w:proofErr w:type="gramEnd"/>
    </w:p>
    <w:p w14:paraId="43BD08F2"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Bengtsson, Staffan, ‘On the Borderline – Representations of Disability in the Old Testament’, </w:t>
      </w:r>
      <w:r w:rsidRPr="005013C3">
        <w:rPr>
          <w:rFonts w:eastAsia="Times New Roman" w:cstheme="minorHAnsi"/>
          <w:i/>
          <w:iCs/>
          <w:kern w:val="0"/>
          <w:lang w:eastAsia="en-GB" w:bidi="he-IL"/>
          <w14:ligatures w14:val="none"/>
        </w:rPr>
        <w:t>Scandinavian Journal of Disability Research</w:t>
      </w:r>
      <w:r w:rsidRPr="005013C3">
        <w:rPr>
          <w:rFonts w:eastAsia="Times New Roman" w:cstheme="minorHAnsi"/>
          <w:kern w:val="0"/>
          <w:lang w:eastAsia="en-GB" w:bidi="he-IL"/>
          <w14:ligatures w14:val="none"/>
        </w:rPr>
        <w:t>, 16.3 (2014), 280–92</w:t>
      </w:r>
    </w:p>
    <w:p w14:paraId="460CF378"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Bowen-Evans, Kate, ‘How Brian Brock’s Hermeneutic of Disability Is Relevant to All Marginalised Bodies’, </w:t>
      </w:r>
      <w:r w:rsidRPr="005013C3">
        <w:rPr>
          <w:rFonts w:eastAsia="Times New Roman" w:cstheme="minorHAnsi"/>
          <w:i/>
          <w:iCs/>
          <w:kern w:val="0"/>
          <w:lang w:eastAsia="en-GB" w:bidi="he-IL"/>
          <w14:ligatures w14:val="none"/>
        </w:rPr>
        <w:t>Journal of Disability &amp; Religion</w:t>
      </w:r>
      <w:r w:rsidRPr="005013C3">
        <w:rPr>
          <w:rFonts w:eastAsia="Times New Roman" w:cstheme="minorHAnsi"/>
          <w:kern w:val="0"/>
          <w:lang w:eastAsia="en-GB" w:bidi="he-IL"/>
          <w14:ligatures w14:val="none"/>
        </w:rPr>
        <w:t>, 26.2 (2022), 165–</w:t>
      </w:r>
      <w:proofErr w:type="gramStart"/>
      <w:r w:rsidRPr="005013C3">
        <w:rPr>
          <w:rFonts w:eastAsia="Times New Roman" w:cstheme="minorHAnsi"/>
          <w:kern w:val="0"/>
          <w:lang w:eastAsia="en-GB" w:bidi="he-IL"/>
          <w14:ligatures w14:val="none"/>
        </w:rPr>
        <w:t>75</w:t>
      </w:r>
      <w:proofErr w:type="gramEnd"/>
    </w:p>
    <w:p w14:paraId="79E52E56"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Lawrence, Louise J, </w:t>
      </w:r>
      <w:proofErr w:type="gramStart"/>
      <w:r w:rsidRPr="005013C3">
        <w:rPr>
          <w:rFonts w:eastAsia="Times New Roman" w:cstheme="minorHAnsi"/>
          <w:i/>
          <w:iCs/>
          <w:kern w:val="0"/>
          <w:lang w:eastAsia="en-GB" w:bidi="he-IL"/>
          <w14:ligatures w14:val="none"/>
        </w:rPr>
        <w:t>Bible</w:t>
      </w:r>
      <w:proofErr w:type="gramEnd"/>
      <w:r w:rsidRPr="005013C3">
        <w:rPr>
          <w:rFonts w:eastAsia="Times New Roman" w:cstheme="minorHAnsi"/>
          <w:i/>
          <w:iCs/>
          <w:kern w:val="0"/>
          <w:lang w:eastAsia="en-GB" w:bidi="he-IL"/>
          <w14:ligatures w14:val="none"/>
        </w:rPr>
        <w:t xml:space="preserve"> and Bedlam</w:t>
      </w:r>
      <w:r w:rsidRPr="005013C3">
        <w:rPr>
          <w:rFonts w:eastAsia="Times New Roman" w:cstheme="minorHAnsi"/>
          <w:kern w:val="0"/>
          <w:lang w:eastAsia="en-GB" w:bidi="he-IL"/>
          <w14:ligatures w14:val="none"/>
        </w:rPr>
        <w:t xml:space="preserve"> (Bloomsbury Publishing, 2018)</w:t>
      </w:r>
    </w:p>
    <w:p w14:paraId="682FA116"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Louw, Daniel J., ‘Virtuous Suffering and the Predicament of Being Handicapped. Towards a Theology of the “Disabled God Puffing in a Wheelchair”’, </w:t>
      </w:r>
      <w:r w:rsidRPr="005013C3">
        <w:rPr>
          <w:rFonts w:eastAsia="Times New Roman" w:cstheme="minorHAnsi"/>
          <w:i/>
          <w:iCs/>
          <w:kern w:val="0"/>
          <w:lang w:eastAsia="en-GB" w:bidi="he-IL"/>
          <w14:ligatures w14:val="none"/>
        </w:rPr>
        <w:t xml:space="preserve">In Die </w:t>
      </w:r>
      <w:proofErr w:type="spellStart"/>
      <w:r w:rsidRPr="005013C3">
        <w:rPr>
          <w:rFonts w:eastAsia="Times New Roman" w:cstheme="minorHAnsi"/>
          <w:i/>
          <w:iCs/>
          <w:kern w:val="0"/>
          <w:lang w:eastAsia="en-GB" w:bidi="he-IL"/>
          <w14:ligatures w14:val="none"/>
        </w:rPr>
        <w:t>Skriflig</w:t>
      </w:r>
      <w:proofErr w:type="spellEnd"/>
      <w:r w:rsidRPr="005013C3">
        <w:rPr>
          <w:rFonts w:eastAsia="Times New Roman" w:cstheme="minorHAnsi"/>
          <w:i/>
          <w:iCs/>
          <w:kern w:val="0"/>
          <w:lang w:eastAsia="en-GB" w:bidi="he-IL"/>
          <w14:ligatures w14:val="none"/>
        </w:rPr>
        <w:t xml:space="preserve">/in Luce </w:t>
      </w:r>
      <w:proofErr w:type="spellStart"/>
      <w:r w:rsidRPr="005013C3">
        <w:rPr>
          <w:rFonts w:eastAsia="Times New Roman" w:cstheme="minorHAnsi"/>
          <w:i/>
          <w:iCs/>
          <w:kern w:val="0"/>
          <w:lang w:eastAsia="en-GB" w:bidi="he-IL"/>
          <w14:ligatures w14:val="none"/>
        </w:rPr>
        <w:t>Verbi</w:t>
      </w:r>
      <w:proofErr w:type="spellEnd"/>
      <w:r w:rsidRPr="005013C3">
        <w:rPr>
          <w:rFonts w:eastAsia="Times New Roman" w:cstheme="minorHAnsi"/>
          <w:kern w:val="0"/>
          <w:lang w:eastAsia="en-GB" w:bidi="he-IL"/>
          <w14:ligatures w14:val="none"/>
        </w:rPr>
        <w:t>, 48.1 (2014) &lt;https://doi.org/10.4102/ids.v48i1.1692&gt;</w:t>
      </w:r>
    </w:p>
    <w:p w14:paraId="0643AEF9"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Lowe, Mary Elise, ‘Rabbi, Who Sinned? Disability Theologies and Sin’, </w:t>
      </w:r>
      <w:r w:rsidRPr="005013C3">
        <w:rPr>
          <w:rFonts w:eastAsia="Times New Roman" w:cstheme="minorHAnsi"/>
          <w:i/>
          <w:iCs/>
          <w:kern w:val="0"/>
          <w:lang w:eastAsia="en-GB" w:bidi="he-IL"/>
          <w14:ligatures w14:val="none"/>
        </w:rPr>
        <w:t>Dialog: A Journal of Theology</w:t>
      </w:r>
      <w:r w:rsidRPr="005013C3">
        <w:rPr>
          <w:rFonts w:eastAsia="Times New Roman" w:cstheme="minorHAnsi"/>
          <w:kern w:val="0"/>
          <w:lang w:eastAsia="en-GB" w:bidi="he-IL"/>
          <w14:ligatures w14:val="none"/>
        </w:rPr>
        <w:t>, 51.3 (2012), 185–94</w:t>
      </w:r>
    </w:p>
    <w:p w14:paraId="6D9C4219"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Martin, Helena L., ‘Sin and Sign: Reading Disability in the Gospels’ (unpublished Thesis, 2022), pp. 1–76</w:t>
      </w:r>
    </w:p>
    <w:p w14:paraId="1EA0A967"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Marx-Wolf, Heidi, and Kristi Upson-Saia, ‘The State of the Question: Religion, Medicine, Disability, and Health in Late Antiquity’, </w:t>
      </w:r>
      <w:r w:rsidRPr="005013C3">
        <w:rPr>
          <w:rFonts w:eastAsia="Times New Roman" w:cstheme="minorHAnsi"/>
          <w:i/>
          <w:iCs/>
          <w:kern w:val="0"/>
          <w:lang w:eastAsia="en-GB" w:bidi="he-IL"/>
          <w14:ligatures w14:val="none"/>
        </w:rPr>
        <w:t>Journal of Late Antiquity</w:t>
      </w:r>
      <w:r w:rsidRPr="005013C3">
        <w:rPr>
          <w:rFonts w:eastAsia="Times New Roman" w:cstheme="minorHAnsi"/>
          <w:kern w:val="0"/>
          <w:lang w:eastAsia="en-GB" w:bidi="he-IL"/>
          <w14:ligatures w14:val="none"/>
        </w:rPr>
        <w:t>, 8.2 (2015), 257–72</w:t>
      </w:r>
    </w:p>
    <w:p w14:paraId="148F92B0"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Melcher, Sarah </w:t>
      </w:r>
      <w:proofErr w:type="gramStart"/>
      <w:r w:rsidRPr="005013C3">
        <w:rPr>
          <w:rFonts w:eastAsia="Times New Roman" w:cstheme="minorHAnsi"/>
          <w:kern w:val="0"/>
          <w:lang w:eastAsia="en-GB" w:bidi="he-IL"/>
          <w14:ligatures w14:val="none"/>
        </w:rPr>
        <w:t>J. ,</w:t>
      </w:r>
      <w:proofErr w:type="gramEnd"/>
      <w:r w:rsidRPr="005013C3">
        <w:rPr>
          <w:rFonts w:eastAsia="Times New Roman" w:cstheme="minorHAnsi"/>
          <w:kern w:val="0"/>
          <w:lang w:eastAsia="en-GB" w:bidi="he-IL"/>
          <w14:ligatures w14:val="none"/>
        </w:rPr>
        <w:t xml:space="preserve"> ‘Disability in Deuteronomy and Its Reception’, in </w:t>
      </w:r>
      <w:r w:rsidRPr="005013C3">
        <w:rPr>
          <w:rFonts w:eastAsia="Times New Roman" w:cstheme="minorHAnsi"/>
          <w:i/>
          <w:iCs/>
          <w:kern w:val="0"/>
          <w:lang w:eastAsia="en-GB" w:bidi="he-IL"/>
          <w14:ligatures w14:val="none"/>
        </w:rPr>
        <w:t>The Oxford Handbook of Deuteronomy</w:t>
      </w:r>
      <w:r w:rsidRPr="005013C3">
        <w:rPr>
          <w:rFonts w:eastAsia="Times New Roman" w:cstheme="minorHAnsi"/>
          <w:kern w:val="0"/>
          <w:lang w:eastAsia="en-GB" w:bidi="he-IL"/>
          <w14:ligatures w14:val="none"/>
        </w:rPr>
        <w:t>, ed. by Don C. Benjamin (Oxford University Press: Oxford Academic, 2020) &lt;https://academic.oup.com/edited-volume/34717&gt; [accessed 20 December 2023]</w:t>
      </w:r>
    </w:p>
    <w:p w14:paraId="62FB1B3D"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t xml:space="preserve">Roberta Sterman Sabbath, </w:t>
      </w:r>
      <w:r w:rsidRPr="005013C3">
        <w:rPr>
          <w:rFonts w:eastAsia="Times New Roman" w:cstheme="minorHAnsi"/>
          <w:i/>
          <w:iCs/>
          <w:kern w:val="0"/>
          <w:lang w:eastAsia="en-GB" w:bidi="he-IL"/>
          <w14:ligatures w14:val="none"/>
        </w:rPr>
        <w:t xml:space="preserve">Troubling Topics, Sacred </w:t>
      </w:r>
      <w:proofErr w:type="gramStart"/>
      <w:r w:rsidRPr="005013C3">
        <w:rPr>
          <w:rFonts w:eastAsia="Times New Roman" w:cstheme="minorHAnsi"/>
          <w:i/>
          <w:iCs/>
          <w:kern w:val="0"/>
          <w:lang w:eastAsia="en-GB" w:bidi="he-IL"/>
          <w14:ligatures w14:val="none"/>
        </w:rPr>
        <w:t>Texts :</w:t>
      </w:r>
      <w:proofErr w:type="gramEnd"/>
      <w:r w:rsidRPr="005013C3">
        <w:rPr>
          <w:rFonts w:eastAsia="Times New Roman" w:cstheme="minorHAnsi"/>
          <w:i/>
          <w:iCs/>
          <w:kern w:val="0"/>
          <w:lang w:eastAsia="en-GB" w:bidi="he-IL"/>
          <w14:ligatures w14:val="none"/>
        </w:rPr>
        <w:t xml:space="preserve"> Readings in Hebrew Bible, New Testament, and Qur’an</w:t>
      </w:r>
      <w:r w:rsidRPr="005013C3">
        <w:rPr>
          <w:rFonts w:eastAsia="Times New Roman" w:cstheme="minorHAnsi"/>
          <w:kern w:val="0"/>
          <w:lang w:eastAsia="en-GB" w:bidi="he-IL"/>
          <w14:ligatures w14:val="none"/>
        </w:rPr>
        <w:t xml:space="preserve"> (Berlin ; Boston: De Gruyter, 2021)</w:t>
      </w:r>
    </w:p>
    <w:p w14:paraId="5650E0EE" w14:textId="77777777" w:rsidR="005013C3" w:rsidRPr="005013C3" w:rsidRDefault="005013C3" w:rsidP="005013C3">
      <w:pPr>
        <w:spacing w:after="240" w:line="360" w:lineRule="auto"/>
        <w:ind w:hanging="720"/>
        <w:rPr>
          <w:rFonts w:eastAsia="Times New Roman" w:cstheme="minorHAnsi"/>
          <w:kern w:val="0"/>
          <w:lang w:eastAsia="en-GB" w:bidi="he-IL"/>
          <w14:ligatures w14:val="none"/>
        </w:rPr>
      </w:pPr>
      <w:r w:rsidRPr="005013C3">
        <w:rPr>
          <w:rFonts w:eastAsia="Times New Roman" w:cstheme="minorHAnsi"/>
          <w:kern w:val="0"/>
          <w:lang w:eastAsia="en-GB" w:bidi="he-IL"/>
          <w14:ligatures w14:val="none"/>
        </w:rPr>
        <w:lastRenderedPageBreak/>
        <w:t xml:space="preserve">Rose, Avi, ‘“Who Causes the Blind to See”: Disability and Quality of Religious </w:t>
      </w:r>
      <w:proofErr w:type="gramStart"/>
      <w:r w:rsidRPr="005013C3">
        <w:rPr>
          <w:rFonts w:eastAsia="Times New Roman" w:cstheme="minorHAnsi"/>
          <w:kern w:val="0"/>
          <w:lang w:eastAsia="en-GB" w:bidi="he-IL"/>
          <w14:ligatures w14:val="none"/>
        </w:rPr>
        <w:t>Life ’</w:t>
      </w:r>
      <w:proofErr w:type="gramEnd"/>
      <w:r w:rsidRPr="005013C3">
        <w:rPr>
          <w:rFonts w:eastAsia="Times New Roman" w:cstheme="minorHAnsi"/>
          <w:kern w:val="0"/>
          <w:lang w:eastAsia="en-GB" w:bidi="he-IL"/>
          <w14:ligatures w14:val="none"/>
        </w:rPr>
        <w:t xml:space="preserve">, </w:t>
      </w:r>
      <w:r w:rsidRPr="005013C3">
        <w:rPr>
          <w:rFonts w:eastAsia="Times New Roman" w:cstheme="minorHAnsi"/>
          <w:i/>
          <w:iCs/>
          <w:kern w:val="0"/>
          <w:lang w:eastAsia="en-GB" w:bidi="he-IL"/>
          <w14:ligatures w14:val="none"/>
        </w:rPr>
        <w:t>Disability &amp; Society</w:t>
      </w:r>
      <w:r w:rsidRPr="005013C3">
        <w:rPr>
          <w:rFonts w:eastAsia="Times New Roman" w:cstheme="minorHAnsi"/>
          <w:kern w:val="0"/>
          <w:lang w:eastAsia="en-GB" w:bidi="he-IL"/>
          <w14:ligatures w14:val="none"/>
        </w:rPr>
        <w:t>, 12.3 (1997), 395–405</w:t>
      </w:r>
    </w:p>
    <w:p w14:paraId="35B87456" w14:textId="77777777" w:rsidR="005013C3" w:rsidRPr="005013C3" w:rsidRDefault="005013C3" w:rsidP="00521E0E">
      <w:pPr>
        <w:spacing w:line="276" w:lineRule="auto"/>
        <w:rPr>
          <w:sz w:val="20"/>
          <w:szCs w:val="20"/>
        </w:rPr>
      </w:pPr>
    </w:p>
    <w:sectPr w:rsidR="005013C3" w:rsidRPr="005013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2CFF7" w14:textId="77777777" w:rsidR="004F7865" w:rsidRDefault="004F7865" w:rsidP="00D63CB0">
      <w:pPr>
        <w:spacing w:after="0" w:line="240" w:lineRule="auto"/>
      </w:pPr>
      <w:r>
        <w:separator/>
      </w:r>
    </w:p>
  </w:endnote>
  <w:endnote w:type="continuationSeparator" w:id="0">
    <w:p w14:paraId="3C234EFB" w14:textId="77777777" w:rsidR="004F7865" w:rsidRDefault="004F7865" w:rsidP="00D63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18C49" w14:textId="77777777" w:rsidR="004F7865" w:rsidRDefault="004F7865" w:rsidP="00D63CB0">
      <w:pPr>
        <w:spacing w:after="0" w:line="240" w:lineRule="auto"/>
      </w:pPr>
      <w:r>
        <w:separator/>
      </w:r>
    </w:p>
  </w:footnote>
  <w:footnote w:type="continuationSeparator" w:id="0">
    <w:p w14:paraId="40709934" w14:textId="77777777" w:rsidR="004F7865" w:rsidRDefault="004F7865" w:rsidP="00D63CB0">
      <w:pPr>
        <w:spacing w:after="0" w:line="240" w:lineRule="auto"/>
      </w:pPr>
      <w:r>
        <w:continuationSeparator/>
      </w:r>
    </w:p>
  </w:footnote>
  <w:footnote w:id="1">
    <w:p w14:paraId="55A2098F" w14:textId="2B2C2DD5" w:rsidR="00D63CB0" w:rsidRPr="000A3D52" w:rsidRDefault="00D63CB0">
      <w:pPr>
        <w:pStyle w:val="FootnoteText"/>
      </w:pPr>
      <w:r w:rsidRPr="000A3D52">
        <w:rPr>
          <w:rStyle w:val="FootnoteReference"/>
        </w:rPr>
        <w:footnoteRef/>
      </w:r>
      <w:r w:rsidRPr="000A3D52">
        <w:t xml:space="preserve"> </w:t>
      </w:r>
      <w:r w:rsidR="004028FF" w:rsidRPr="000A3D52">
        <w:t xml:space="preserve">Hector Avalos, Sarah J Melcher, and Jeremy Schipper, </w:t>
      </w:r>
      <w:r w:rsidR="004028FF" w:rsidRPr="000A3D52">
        <w:rPr>
          <w:i/>
          <w:iCs/>
        </w:rPr>
        <w:t>This Abled Body</w:t>
      </w:r>
      <w:r w:rsidR="004028FF" w:rsidRPr="000A3D52">
        <w:t xml:space="preserve"> (Brill Academic Publishers, 2007)</w:t>
      </w:r>
      <w:r w:rsidR="004028FF" w:rsidRPr="000A3D52">
        <w:t>, p. 2.</w:t>
      </w:r>
    </w:p>
  </w:footnote>
  <w:footnote w:id="2">
    <w:p w14:paraId="1E5D0DD8" w14:textId="02DBBDF9" w:rsidR="00D63CB0" w:rsidRPr="000A3D52" w:rsidRDefault="00D63CB0">
      <w:pPr>
        <w:pStyle w:val="FootnoteText"/>
      </w:pPr>
      <w:r w:rsidRPr="000A3D52">
        <w:rPr>
          <w:rStyle w:val="FootnoteReference"/>
        </w:rPr>
        <w:footnoteRef/>
      </w:r>
      <w:r w:rsidRPr="000A3D52">
        <w:t xml:space="preserve"> </w:t>
      </w:r>
      <w:r w:rsidR="004028FF" w:rsidRPr="000A3D52">
        <w:t>Ibid., p. 2.</w:t>
      </w:r>
    </w:p>
  </w:footnote>
  <w:footnote w:id="3">
    <w:p w14:paraId="549A3E9C" w14:textId="69659E83" w:rsidR="00D63CB0" w:rsidRPr="000A3D52" w:rsidRDefault="00D63CB0">
      <w:pPr>
        <w:pStyle w:val="FootnoteText"/>
      </w:pPr>
      <w:r w:rsidRPr="000A3D52">
        <w:rPr>
          <w:rStyle w:val="FootnoteReference"/>
        </w:rPr>
        <w:footnoteRef/>
      </w:r>
      <w:r w:rsidRPr="000A3D52">
        <w:t xml:space="preserve"> </w:t>
      </w:r>
      <w:r w:rsidR="004028FF" w:rsidRPr="000A3D52">
        <w:t>Ibid., p. 2.</w:t>
      </w:r>
    </w:p>
  </w:footnote>
  <w:footnote w:id="4">
    <w:p w14:paraId="04CA5A87" w14:textId="25812072" w:rsidR="00D63CB0" w:rsidRPr="000A3D52" w:rsidRDefault="00D63CB0">
      <w:pPr>
        <w:pStyle w:val="FootnoteText"/>
      </w:pPr>
      <w:r w:rsidRPr="000A3D52">
        <w:rPr>
          <w:rStyle w:val="FootnoteReference"/>
        </w:rPr>
        <w:footnoteRef/>
      </w:r>
      <w:r w:rsidRPr="000A3D52">
        <w:t xml:space="preserve"> </w:t>
      </w:r>
      <w:r w:rsidR="004028FF" w:rsidRPr="000A3D52">
        <w:t>Ibid., p. 2.</w:t>
      </w:r>
    </w:p>
  </w:footnote>
  <w:footnote w:id="5">
    <w:p w14:paraId="6F0FBF90" w14:textId="1F867437" w:rsidR="000C3F5C" w:rsidRPr="000A3D52" w:rsidRDefault="000C3F5C">
      <w:pPr>
        <w:pStyle w:val="FootnoteText"/>
      </w:pPr>
      <w:r w:rsidRPr="000A3D52">
        <w:rPr>
          <w:rStyle w:val="FootnoteReference"/>
        </w:rPr>
        <w:footnoteRef/>
      </w:r>
      <w:r w:rsidRPr="000A3D52">
        <w:t xml:space="preserve"> </w:t>
      </w:r>
      <w:r w:rsidR="004028FF" w:rsidRPr="000A3D52">
        <w:t xml:space="preserve">Ibid., p. </w:t>
      </w:r>
      <w:r w:rsidRPr="000A3D52">
        <w:t>3</w:t>
      </w:r>
      <w:r w:rsidR="004028FF" w:rsidRPr="000A3D52">
        <w:t>.</w:t>
      </w:r>
    </w:p>
  </w:footnote>
  <w:footnote w:id="6">
    <w:p w14:paraId="04C7D124" w14:textId="445BD4B9" w:rsidR="000C3F5C" w:rsidRPr="000A3D52" w:rsidRDefault="000C3F5C">
      <w:pPr>
        <w:pStyle w:val="FootnoteText"/>
      </w:pPr>
      <w:r w:rsidRPr="000A3D52">
        <w:rPr>
          <w:rStyle w:val="FootnoteReference"/>
        </w:rPr>
        <w:footnoteRef/>
      </w:r>
      <w:r w:rsidRPr="000A3D52">
        <w:t xml:space="preserve"> </w:t>
      </w:r>
      <w:r w:rsidR="004028FF" w:rsidRPr="000A3D52">
        <w:t xml:space="preserve">Avi Rose, ‘“Who Causes the Blind to See”: Disability and Quality of Religious </w:t>
      </w:r>
      <w:r w:rsidR="004028FF" w:rsidRPr="000A3D52">
        <w:t>Life’</w:t>
      </w:r>
      <w:r w:rsidR="004028FF" w:rsidRPr="000A3D52">
        <w:t xml:space="preserve">, </w:t>
      </w:r>
      <w:r w:rsidR="004028FF" w:rsidRPr="000A3D52">
        <w:rPr>
          <w:i/>
          <w:iCs/>
        </w:rPr>
        <w:t>Disability &amp; Society</w:t>
      </w:r>
      <w:r w:rsidR="004028FF" w:rsidRPr="000A3D52">
        <w:t xml:space="preserve">, 12.3 (1997), </w:t>
      </w:r>
      <w:r w:rsidR="004028FF" w:rsidRPr="000A3D52">
        <w:t>p.</w:t>
      </w:r>
      <w:r w:rsidRPr="000A3D52">
        <w:t xml:space="preserve"> 396</w:t>
      </w:r>
      <w:r w:rsidR="004028FF" w:rsidRPr="000A3D52">
        <w:t>.</w:t>
      </w:r>
    </w:p>
  </w:footnote>
  <w:footnote w:id="7">
    <w:p w14:paraId="65FA6999" w14:textId="508E2982" w:rsidR="000C3F5C" w:rsidRPr="000A3D52" w:rsidRDefault="000C3F5C">
      <w:pPr>
        <w:pStyle w:val="FootnoteText"/>
      </w:pPr>
      <w:r w:rsidRPr="000A3D52">
        <w:rPr>
          <w:rStyle w:val="FootnoteReference"/>
        </w:rPr>
        <w:footnoteRef/>
      </w:r>
      <w:r w:rsidRPr="000A3D52">
        <w:t xml:space="preserve"> </w:t>
      </w:r>
      <w:r w:rsidR="004028FF" w:rsidRPr="000A3D52">
        <w:t xml:space="preserve">Ibid., p. </w:t>
      </w:r>
      <w:r w:rsidRPr="000A3D52">
        <w:t>397</w:t>
      </w:r>
      <w:r w:rsidR="004028FF" w:rsidRPr="000A3D52">
        <w:t>.</w:t>
      </w:r>
    </w:p>
  </w:footnote>
  <w:footnote w:id="8">
    <w:p w14:paraId="2C7C4365" w14:textId="55E6D909" w:rsidR="000C3F5C" w:rsidRPr="000A3D52" w:rsidRDefault="000C3F5C">
      <w:pPr>
        <w:pStyle w:val="FootnoteText"/>
      </w:pPr>
      <w:r w:rsidRPr="000A3D52">
        <w:rPr>
          <w:rStyle w:val="FootnoteReference"/>
        </w:rPr>
        <w:footnoteRef/>
      </w:r>
      <w:r w:rsidRPr="000A3D52">
        <w:t xml:space="preserve"> </w:t>
      </w:r>
      <w:r w:rsidR="004028FF" w:rsidRPr="000A3D52">
        <w:t>Ibid., p. 397.</w:t>
      </w:r>
    </w:p>
  </w:footnote>
  <w:footnote w:id="9">
    <w:p w14:paraId="36011452" w14:textId="69D3AB04" w:rsidR="00343FEB" w:rsidRPr="000A3D52" w:rsidRDefault="00343FEB">
      <w:pPr>
        <w:pStyle w:val="FootnoteText"/>
      </w:pPr>
      <w:r w:rsidRPr="000A3D52">
        <w:rPr>
          <w:rStyle w:val="FootnoteReference"/>
        </w:rPr>
        <w:footnoteRef/>
      </w:r>
      <w:r w:rsidRPr="000A3D52">
        <w:t xml:space="preserve"> </w:t>
      </w:r>
      <w:r w:rsidR="004028FF" w:rsidRPr="000A3D52">
        <w:t>Helena L. Martin, ‘Sin and Sign: Reading Disability in the Gospels’ (unpublished Thesis, 2022), p</w:t>
      </w:r>
      <w:r w:rsidR="004028FF" w:rsidRPr="000A3D52">
        <w:t xml:space="preserve">. </w:t>
      </w:r>
      <w:r w:rsidRPr="000A3D52">
        <w:t>21</w:t>
      </w:r>
      <w:r w:rsidR="004028FF" w:rsidRPr="000A3D52">
        <w:t>.</w:t>
      </w:r>
    </w:p>
  </w:footnote>
  <w:footnote w:id="10">
    <w:p w14:paraId="786FAB04" w14:textId="79E88DF8" w:rsidR="00DC49E8" w:rsidRPr="000A3D52" w:rsidRDefault="00DC49E8">
      <w:pPr>
        <w:pStyle w:val="FootnoteText"/>
      </w:pPr>
      <w:r w:rsidRPr="000A3D52">
        <w:rPr>
          <w:rStyle w:val="FootnoteReference"/>
        </w:rPr>
        <w:footnoteRef/>
      </w:r>
      <w:r w:rsidRPr="000A3D52">
        <w:t xml:space="preserve"> </w:t>
      </w:r>
      <w:r w:rsidR="004028FF" w:rsidRPr="000A3D52">
        <w:t xml:space="preserve">Ibid., p. </w:t>
      </w:r>
      <w:r w:rsidRPr="000A3D52">
        <w:t>17</w:t>
      </w:r>
      <w:r w:rsidR="004028FF" w:rsidRPr="000A3D52">
        <w:t xml:space="preserve">. </w:t>
      </w:r>
    </w:p>
  </w:footnote>
  <w:footnote w:id="11">
    <w:p w14:paraId="5F6356DC" w14:textId="5763700C" w:rsidR="00DC49E8" w:rsidRPr="000A3D52" w:rsidRDefault="00DC49E8">
      <w:pPr>
        <w:pStyle w:val="FootnoteText"/>
      </w:pPr>
      <w:r w:rsidRPr="000A3D52">
        <w:rPr>
          <w:rStyle w:val="FootnoteReference"/>
        </w:rPr>
        <w:footnoteRef/>
      </w:r>
      <w:r w:rsidRPr="000A3D52">
        <w:t xml:space="preserve"> </w:t>
      </w:r>
      <w:r w:rsidR="004028FF" w:rsidRPr="000A3D52">
        <w:t xml:space="preserve">Ibid., p. </w:t>
      </w:r>
      <w:r w:rsidRPr="000A3D52">
        <w:t>17</w:t>
      </w:r>
      <w:r w:rsidR="004028FF" w:rsidRPr="000A3D52">
        <w:t xml:space="preserve">. </w:t>
      </w:r>
    </w:p>
  </w:footnote>
  <w:footnote w:id="12">
    <w:p w14:paraId="45F8BDC1" w14:textId="7B1445D6" w:rsidR="00C312D2" w:rsidRPr="000A3D52" w:rsidRDefault="00C312D2">
      <w:pPr>
        <w:pStyle w:val="FootnoteText"/>
      </w:pPr>
      <w:r w:rsidRPr="000A3D52">
        <w:rPr>
          <w:rStyle w:val="FootnoteReference"/>
        </w:rPr>
        <w:footnoteRef/>
      </w:r>
      <w:r w:rsidRPr="000A3D52">
        <w:t xml:space="preserve"> </w:t>
      </w:r>
      <w:r w:rsidR="004028FF" w:rsidRPr="000A3D52">
        <w:t xml:space="preserve">Avalos, Melcher and Schipper, </w:t>
      </w:r>
      <w:r w:rsidR="004028FF" w:rsidRPr="000A3D52">
        <w:rPr>
          <w:i/>
          <w:iCs/>
        </w:rPr>
        <w:t xml:space="preserve">This Abled Body, </w:t>
      </w:r>
      <w:r w:rsidR="004028FF" w:rsidRPr="000A3D52">
        <w:t xml:space="preserve">p. </w:t>
      </w:r>
      <w:r w:rsidRPr="000A3D52">
        <w:t>4</w:t>
      </w:r>
      <w:r w:rsidR="004028FF" w:rsidRPr="000A3D52">
        <w:t>.</w:t>
      </w:r>
    </w:p>
  </w:footnote>
  <w:footnote w:id="13">
    <w:p w14:paraId="110BCC34" w14:textId="399F8B8A" w:rsidR="00C312D2" w:rsidRPr="000A3D52" w:rsidRDefault="00C312D2">
      <w:pPr>
        <w:pStyle w:val="FootnoteText"/>
      </w:pPr>
      <w:r w:rsidRPr="000A3D52">
        <w:rPr>
          <w:rStyle w:val="FootnoteReference"/>
        </w:rPr>
        <w:footnoteRef/>
      </w:r>
      <w:r w:rsidRPr="000A3D52">
        <w:t xml:space="preserve"> </w:t>
      </w:r>
      <w:r w:rsidR="004028FF" w:rsidRPr="000A3D52">
        <w:t>Ibid., p</w:t>
      </w:r>
      <w:r w:rsidRPr="000A3D52">
        <w:t>.</w:t>
      </w:r>
      <w:r w:rsidR="004028FF" w:rsidRPr="000A3D52">
        <w:t xml:space="preserve"> </w:t>
      </w:r>
      <w:r w:rsidRPr="000A3D52">
        <w:t>4</w:t>
      </w:r>
      <w:r w:rsidR="004028FF" w:rsidRPr="000A3D52">
        <w:t>.</w:t>
      </w:r>
    </w:p>
  </w:footnote>
  <w:footnote w:id="14">
    <w:p w14:paraId="62A737ED" w14:textId="6C509812" w:rsidR="00C312D2" w:rsidRPr="000A3D52" w:rsidRDefault="00C312D2">
      <w:pPr>
        <w:pStyle w:val="FootnoteText"/>
      </w:pPr>
      <w:r w:rsidRPr="000A3D52">
        <w:rPr>
          <w:rStyle w:val="FootnoteReference"/>
        </w:rPr>
        <w:footnoteRef/>
      </w:r>
      <w:r w:rsidRPr="000A3D52">
        <w:t xml:space="preserve"> </w:t>
      </w:r>
      <w:r w:rsidR="0050162B" w:rsidRPr="000A3D52">
        <w:t xml:space="preserve">Ibid., p. </w:t>
      </w:r>
      <w:r w:rsidRPr="000A3D52">
        <w:t>5</w:t>
      </w:r>
      <w:r w:rsidR="0050162B" w:rsidRPr="000A3D52">
        <w:t xml:space="preserve">. </w:t>
      </w:r>
    </w:p>
  </w:footnote>
  <w:footnote w:id="15">
    <w:p w14:paraId="62E47746" w14:textId="6AD73767" w:rsidR="00452BA0" w:rsidRPr="000A3D52" w:rsidRDefault="00452BA0">
      <w:pPr>
        <w:pStyle w:val="FootnoteText"/>
      </w:pPr>
      <w:r w:rsidRPr="000A3D52">
        <w:rPr>
          <w:rStyle w:val="FootnoteReference"/>
        </w:rPr>
        <w:footnoteRef/>
      </w:r>
      <w:r w:rsidRPr="000A3D52">
        <w:t xml:space="preserve"> </w:t>
      </w:r>
      <w:r w:rsidR="0050162B" w:rsidRPr="000A3D52">
        <w:t xml:space="preserve">Ibid., p. </w:t>
      </w:r>
      <w:r w:rsidRPr="000A3D52">
        <w:t>5</w:t>
      </w:r>
      <w:r w:rsidR="0050162B" w:rsidRPr="000A3D52">
        <w:t xml:space="preserve">. </w:t>
      </w:r>
    </w:p>
  </w:footnote>
  <w:footnote w:id="16">
    <w:p w14:paraId="392ED719" w14:textId="56FF4195" w:rsidR="00F25EC5" w:rsidRPr="000A3D52" w:rsidRDefault="00F25EC5">
      <w:pPr>
        <w:pStyle w:val="FootnoteText"/>
      </w:pPr>
      <w:r w:rsidRPr="000A3D52">
        <w:rPr>
          <w:rStyle w:val="FootnoteReference"/>
        </w:rPr>
        <w:footnoteRef/>
      </w:r>
      <w:r w:rsidRPr="000A3D52">
        <w:t xml:space="preserve"> </w:t>
      </w:r>
      <w:r w:rsidR="0050162B" w:rsidRPr="000A3D52">
        <w:t>Martin, ‘Sin and Sign: Reading Disability in the Gospels’, p</w:t>
      </w:r>
      <w:r w:rsidRPr="000A3D52">
        <w:t>.</w:t>
      </w:r>
      <w:r w:rsidR="0050162B" w:rsidRPr="000A3D52">
        <w:t xml:space="preserve"> </w:t>
      </w:r>
      <w:r w:rsidRPr="000A3D52">
        <w:t>15</w:t>
      </w:r>
      <w:r w:rsidR="0050162B" w:rsidRPr="000A3D52">
        <w:t>.</w:t>
      </w:r>
    </w:p>
  </w:footnote>
  <w:footnote w:id="17">
    <w:p w14:paraId="185E4A52" w14:textId="3DEE4A72" w:rsidR="00C65CE2" w:rsidRPr="000A3D52" w:rsidRDefault="00C65CE2">
      <w:pPr>
        <w:pStyle w:val="FootnoteText"/>
      </w:pPr>
      <w:r w:rsidRPr="000A3D52">
        <w:rPr>
          <w:rStyle w:val="FootnoteReference"/>
        </w:rPr>
        <w:footnoteRef/>
      </w:r>
      <w:r w:rsidRPr="000A3D52">
        <w:t xml:space="preserve"> </w:t>
      </w:r>
      <w:r w:rsidR="0050162B" w:rsidRPr="000A3D52">
        <w:t>Rose, ‘“Who Causes the Blind to See”: Disability and Quality of Religious Life’</w:t>
      </w:r>
      <w:r w:rsidR="0050162B" w:rsidRPr="000A3D52">
        <w:t xml:space="preserve">, p. </w:t>
      </w:r>
      <w:r w:rsidRPr="000A3D52">
        <w:t>398</w:t>
      </w:r>
      <w:r w:rsidR="0050162B" w:rsidRPr="000A3D52">
        <w:t xml:space="preserve">. </w:t>
      </w:r>
    </w:p>
  </w:footnote>
  <w:footnote w:id="18">
    <w:p w14:paraId="62450542" w14:textId="7E4F2BEE" w:rsidR="00AE2D66" w:rsidRPr="000A3D52" w:rsidRDefault="00AE2D66">
      <w:pPr>
        <w:pStyle w:val="FootnoteText"/>
      </w:pPr>
      <w:r w:rsidRPr="000A3D52">
        <w:rPr>
          <w:rStyle w:val="FootnoteReference"/>
        </w:rPr>
        <w:footnoteRef/>
      </w:r>
      <w:r w:rsidRPr="000A3D52">
        <w:t xml:space="preserve"> </w:t>
      </w:r>
      <w:r w:rsidR="0050162B" w:rsidRPr="000A3D52">
        <w:t xml:space="preserve">Rose, ‘“Who Causes the Blind to See”: Disability and Quality of Religious Life’, p. </w:t>
      </w:r>
      <w:r w:rsidRPr="000A3D52">
        <w:t>397</w:t>
      </w:r>
      <w:r w:rsidR="0050162B" w:rsidRPr="000A3D52">
        <w:t>.</w:t>
      </w:r>
    </w:p>
  </w:footnote>
  <w:footnote w:id="19">
    <w:p w14:paraId="40037E40" w14:textId="5BF379E5" w:rsidR="00692AB2" w:rsidRPr="000A3D52" w:rsidRDefault="00692AB2">
      <w:pPr>
        <w:pStyle w:val="FootnoteText"/>
      </w:pPr>
      <w:r w:rsidRPr="000A3D52">
        <w:rPr>
          <w:rStyle w:val="FootnoteReference"/>
        </w:rPr>
        <w:footnoteRef/>
      </w:r>
      <w:r w:rsidRPr="000A3D52">
        <w:t xml:space="preserve"> </w:t>
      </w:r>
      <w:r w:rsidR="0050162B" w:rsidRPr="000A3D52">
        <w:t xml:space="preserve">Julia Belser and Melanie S. Morrison, ‘What No Longer Serves Us: Resisting Ableism and Anti-Judaism in New Testament Healing Narratives’, </w:t>
      </w:r>
      <w:r w:rsidR="0050162B" w:rsidRPr="000A3D52">
        <w:rPr>
          <w:i/>
          <w:iCs/>
        </w:rPr>
        <w:t>Journal of Feminist Studies in Religion</w:t>
      </w:r>
      <w:r w:rsidR="0050162B" w:rsidRPr="000A3D52">
        <w:t>, 27.2 (2011),</w:t>
      </w:r>
      <w:r w:rsidR="0050162B" w:rsidRPr="000A3D52">
        <w:t xml:space="preserve"> p. </w:t>
      </w:r>
      <w:r w:rsidRPr="000A3D52">
        <w:t>160</w:t>
      </w:r>
      <w:r w:rsidR="0050162B" w:rsidRPr="000A3D52">
        <w:t xml:space="preserve">. </w:t>
      </w:r>
    </w:p>
  </w:footnote>
  <w:footnote w:id="20">
    <w:p w14:paraId="0E5408D1" w14:textId="7BBA6D7C" w:rsidR="00CF1BF6" w:rsidRPr="000A3D52" w:rsidRDefault="00CF1BF6">
      <w:pPr>
        <w:pStyle w:val="FootnoteText"/>
      </w:pPr>
      <w:r w:rsidRPr="000A3D52">
        <w:rPr>
          <w:rStyle w:val="FootnoteReference"/>
        </w:rPr>
        <w:footnoteRef/>
      </w:r>
      <w:r w:rsidRPr="000A3D52">
        <w:t xml:space="preserve"> </w:t>
      </w:r>
      <w:r w:rsidR="0050162B" w:rsidRPr="000A3D52">
        <w:t xml:space="preserve">Roberta Sterman Sabbath, </w:t>
      </w:r>
      <w:r w:rsidR="0050162B" w:rsidRPr="000A3D52">
        <w:rPr>
          <w:i/>
          <w:iCs/>
        </w:rPr>
        <w:t>Troubling Topics, Sacred Texts: Readings in Hebrew Bible, New Testament, and Qur’an</w:t>
      </w:r>
      <w:r w:rsidR="0050162B" w:rsidRPr="000A3D52">
        <w:t xml:space="preserve"> (Berlin; Boston: De Gruyter, 2021)</w:t>
      </w:r>
      <w:r w:rsidR="0050162B" w:rsidRPr="000A3D52">
        <w:t>, p</w:t>
      </w:r>
      <w:r w:rsidRPr="000A3D52">
        <w:t>.</w:t>
      </w:r>
      <w:r w:rsidR="0050162B" w:rsidRPr="000A3D52">
        <w:t xml:space="preserve"> </w:t>
      </w:r>
      <w:r w:rsidRPr="000A3D52">
        <w:t>101</w:t>
      </w:r>
      <w:r w:rsidR="0050162B" w:rsidRPr="000A3D52">
        <w:t xml:space="preserve">. </w:t>
      </w:r>
    </w:p>
  </w:footnote>
  <w:footnote w:id="21">
    <w:p w14:paraId="2FB463F3" w14:textId="309914A9" w:rsidR="00CF1BF6" w:rsidRPr="000A3D52" w:rsidRDefault="00CF1BF6">
      <w:pPr>
        <w:pStyle w:val="FootnoteText"/>
      </w:pPr>
      <w:r w:rsidRPr="000A3D52">
        <w:rPr>
          <w:rStyle w:val="FootnoteReference"/>
        </w:rPr>
        <w:footnoteRef/>
      </w:r>
      <w:r w:rsidRPr="000A3D52">
        <w:t xml:space="preserve"> </w:t>
      </w:r>
      <w:r w:rsidR="0050162B" w:rsidRPr="000A3D52">
        <w:t xml:space="preserve">Ibid., p </w:t>
      </w:r>
      <w:r w:rsidRPr="000A3D52">
        <w:t>.101</w:t>
      </w:r>
      <w:r w:rsidR="0050162B" w:rsidRPr="000A3D52">
        <w:t xml:space="preserve">. </w:t>
      </w:r>
    </w:p>
  </w:footnote>
  <w:footnote w:id="22">
    <w:p w14:paraId="60ACE1C9" w14:textId="1DB85EBF" w:rsidR="00CF1BF6" w:rsidRPr="000A3D52" w:rsidRDefault="00CF1BF6">
      <w:pPr>
        <w:pStyle w:val="FootnoteText"/>
      </w:pPr>
      <w:r w:rsidRPr="000A3D52">
        <w:rPr>
          <w:rStyle w:val="FootnoteReference"/>
        </w:rPr>
        <w:footnoteRef/>
      </w:r>
      <w:r w:rsidRPr="000A3D52">
        <w:t xml:space="preserve"> </w:t>
      </w:r>
      <w:r w:rsidR="0050162B" w:rsidRPr="000A3D52">
        <w:t>Ibid, p</w:t>
      </w:r>
      <w:r w:rsidRPr="000A3D52">
        <w:t>.</w:t>
      </w:r>
      <w:r w:rsidR="0050162B" w:rsidRPr="000A3D52">
        <w:t xml:space="preserve"> </w:t>
      </w:r>
      <w:r w:rsidRPr="000A3D52">
        <w:t>101</w:t>
      </w:r>
      <w:r w:rsidR="0050162B" w:rsidRPr="000A3D52">
        <w:t xml:space="preserve">. </w:t>
      </w:r>
    </w:p>
  </w:footnote>
  <w:footnote w:id="23">
    <w:p w14:paraId="6039698A" w14:textId="16CD66E4" w:rsidR="003C24A4" w:rsidRPr="000A3D52" w:rsidRDefault="003C24A4">
      <w:pPr>
        <w:pStyle w:val="FootnoteText"/>
      </w:pPr>
      <w:r w:rsidRPr="000A3D52">
        <w:rPr>
          <w:rStyle w:val="FootnoteReference"/>
        </w:rPr>
        <w:footnoteRef/>
      </w:r>
      <w:r w:rsidRPr="000A3D52">
        <w:t xml:space="preserve"> </w:t>
      </w:r>
      <w:r w:rsidR="0050162B" w:rsidRPr="000A3D52">
        <w:t>Ibid., p</w:t>
      </w:r>
      <w:r w:rsidRPr="000A3D52">
        <w:t>.</w:t>
      </w:r>
      <w:r w:rsidR="0050162B" w:rsidRPr="000A3D52">
        <w:t xml:space="preserve"> </w:t>
      </w:r>
      <w:r w:rsidRPr="000A3D52">
        <w:t>106</w:t>
      </w:r>
      <w:r w:rsidR="0050162B" w:rsidRPr="000A3D52">
        <w:t>.</w:t>
      </w:r>
    </w:p>
  </w:footnote>
  <w:footnote w:id="24">
    <w:p w14:paraId="3EA446C4" w14:textId="78D02CAE" w:rsidR="003C24A4" w:rsidRPr="000A3D52" w:rsidRDefault="003C24A4">
      <w:pPr>
        <w:pStyle w:val="FootnoteText"/>
      </w:pPr>
      <w:r w:rsidRPr="000A3D52">
        <w:rPr>
          <w:rStyle w:val="FootnoteReference"/>
        </w:rPr>
        <w:footnoteRef/>
      </w:r>
      <w:r w:rsidRPr="000A3D52">
        <w:t xml:space="preserve"> </w:t>
      </w:r>
      <w:r w:rsidR="0050162B" w:rsidRPr="000A3D52">
        <w:t>Ibid., p</w:t>
      </w:r>
      <w:r w:rsidRPr="000A3D52">
        <w:t>.</w:t>
      </w:r>
      <w:r w:rsidR="0050162B" w:rsidRPr="000A3D52">
        <w:t xml:space="preserve"> </w:t>
      </w:r>
      <w:r w:rsidRPr="000A3D52">
        <w:t>106</w:t>
      </w:r>
      <w:r w:rsidR="0050162B" w:rsidRPr="000A3D52">
        <w:t>.</w:t>
      </w:r>
    </w:p>
  </w:footnote>
  <w:footnote w:id="25">
    <w:p w14:paraId="7593EEB1" w14:textId="05BC7874" w:rsidR="003C24A4" w:rsidRPr="000A3D52" w:rsidRDefault="003C24A4">
      <w:pPr>
        <w:pStyle w:val="FootnoteText"/>
      </w:pPr>
      <w:r w:rsidRPr="000A3D52">
        <w:rPr>
          <w:rStyle w:val="FootnoteReference"/>
        </w:rPr>
        <w:footnoteRef/>
      </w:r>
      <w:r w:rsidRPr="000A3D52">
        <w:t xml:space="preserve"> </w:t>
      </w:r>
      <w:r w:rsidR="0050162B" w:rsidRPr="000A3D52">
        <w:t xml:space="preserve">Ibid., p. </w:t>
      </w:r>
      <w:r w:rsidRPr="000A3D52">
        <w:t>102</w:t>
      </w:r>
      <w:r w:rsidR="0050162B" w:rsidRPr="000A3D52">
        <w:t>.</w:t>
      </w:r>
    </w:p>
  </w:footnote>
  <w:footnote w:id="26">
    <w:p w14:paraId="0AC9FA70" w14:textId="0048E825" w:rsidR="002D728F" w:rsidRPr="000A3D52" w:rsidRDefault="002D728F">
      <w:pPr>
        <w:pStyle w:val="FootnoteText"/>
      </w:pPr>
      <w:r w:rsidRPr="000A3D52">
        <w:rPr>
          <w:rStyle w:val="FootnoteReference"/>
        </w:rPr>
        <w:footnoteRef/>
      </w:r>
      <w:r w:rsidRPr="000A3D52">
        <w:t xml:space="preserve"> Bels</w:t>
      </w:r>
      <w:r w:rsidR="0050162B" w:rsidRPr="000A3D52">
        <w:t xml:space="preserve">er and Morrison, ‘What No Longer Serves Us: </w:t>
      </w:r>
      <w:r w:rsidR="0050162B" w:rsidRPr="000A3D52">
        <w:t>Resisting Ableism and Anti-Judaism in New Testament Healing Narratives’</w:t>
      </w:r>
      <w:r w:rsidR="0050162B" w:rsidRPr="000A3D52">
        <w:t xml:space="preserve">, p. </w:t>
      </w:r>
      <w:r w:rsidRPr="000A3D52">
        <w:t>159</w:t>
      </w:r>
      <w:r w:rsidR="0050162B" w:rsidRPr="000A3D52">
        <w:t xml:space="preserve">. </w:t>
      </w:r>
    </w:p>
  </w:footnote>
  <w:footnote w:id="27">
    <w:p w14:paraId="4C9039C1" w14:textId="089403E5" w:rsidR="002D728F" w:rsidRPr="000A3D52" w:rsidRDefault="002D728F">
      <w:pPr>
        <w:pStyle w:val="FootnoteText"/>
      </w:pPr>
      <w:r w:rsidRPr="000A3D52">
        <w:rPr>
          <w:rStyle w:val="FootnoteReference"/>
        </w:rPr>
        <w:footnoteRef/>
      </w:r>
      <w:r w:rsidRPr="000A3D52">
        <w:t xml:space="preserve"> </w:t>
      </w:r>
      <w:r w:rsidR="0050162B" w:rsidRPr="000A3D52">
        <w:t xml:space="preserve">Mary Elise Lowe, ‘Rabbi, Who Sinned? Disability Theologies and Sin’, </w:t>
      </w:r>
      <w:r w:rsidR="0050162B" w:rsidRPr="000A3D52">
        <w:rPr>
          <w:i/>
          <w:iCs/>
        </w:rPr>
        <w:t>Dialog: A Journal of Theology</w:t>
      </w:r>
      <w:r w:rsidR="0050162B" w:rsidRPr="000A3D52">
        <w:t xml:space="preserve">, 51.3 (2012), </w:t>
      </w:r>
      <w:r w:rsidR="0050162B" w:rsidRPr="000A3D52">
        <w:t xml:space="preserve">p. </w:t>
      </w:r>
      <w:r w:rsidRPr="000A3D52">
        <w:t>186</w:t>
      </w:r>
      <w:r w:rsidR="0050162B" w:rsidRPr="000A3D52">
        <w:t>.</w:t>
      </w:r>
    </w:p>
  </w:footnote>
  <w:footnote w:id="28">
    <w:p w14:paraId="45CB5FD2" w14:textId="4F7D3DF4" w:rsidR="00AA2A1D" w:rsidRPr="000A3D52" w:rsidRDefault="00AA2A1D">
      <w:pPr>
        <w:pStyle w:val="FootnoteText"/>
      </w:pPr>
      <w:r w:rsidRPr="000A3D52">
        <w:rPr>
          <w:rStyle w:val="FootnoteReference"/>
        </w:rPr>
        <w:footnoteRef/>
      </w:r>
      <w:r w:rsidRPr="000A3D52">
        <w:t xml:space="preserve"> </w:t>
      </w:r>
      <w:r w:rsidR="0050162B" w:rsidRPr="000A3D52">
        <w:t xml:space="preserve">Helena L. Martin, ‘Sin and Sign: Reading Disability in the Gospels’ (unpublished Thesis, 2022), p. </w:t>
      </w:r>
      <w:r w:rsidRPr="000A3D52">
        <w:t>13</w:t>
      </w:r>
      <w:r w:rsidR="0050162B" w:rsidRPr="000A3D52">
        <w:t>.</w:t>
      </w:r>
    </w:p>
  </w:footnote>
  <w:footnote w:id="29">
    <w:p w14:paraId="0B2C2BA2" w14:textId="5113A41E" w:rsidR="00AA2A1D" w:rsidRPr="000A3D52" w:rsidRDefault="00AA2A1D">
      <w:pPr>
        <w:pStyle w:val="FootnoteText"/>
      </w:pPr>
      <w:r w:rsidRPr="000A3D52">
        <w:rPr>
          <w:rStyle w:val="FootnoteReference"/>
        </w:rPr>
        <w:footnoteRef/>
      </w:r>
      <w:r w:rsidRPr="000A3D52">
        <w:t xml:space="preserve"> </w:t>
      </w:r>
      <w:r w:rsidR="0050162B" w:rsidRPr="000A3D52">
        <w:t xml:space="preserve">Ibid., p. </w:t>
      </w:r>
      <w:r w:rsidRPr="000A3D52">
        <w:t>14</w:t>
      </w:r>
      <w:r w:rsidR="0050162B" w:rsidRPr="000A3D52">
        <w:t xml:space="preserve">. </w:t>
      </w:r>
    </w:p>
  </w:footnote>
  <w:footnote w:id="30">
    <w:p w14:paraId="32D4B35E" w14:textId="738006E2" w:rsidR="00AA2A1D" w:rsidRPr="000A3D52" w:rsidRDefault="00AA2A1D">
      <w:pPr>
        <w:pStyle w:val="FootnoteText"/>
      </w:pPr>
      <w:r w:rsidRPr="000A3D52">
        <w:rPr>
          <w:rStyle w:val="FootnoteReference"/>
        </w:rPr>
        <w:footnoteRef/>
      </w:r>
      <w:r w:rsidRPr="000A3D52">
        <w:t xml:space="preserve"> </w:t>
      </w:r>
      <w:r w:rsidR="0050162B" w:rsidRPr="000A3D52">
        <w:t xml:space="preserve">Lowe, ‘Rabbi, Who Sinned? Disability Theologies and Sin’, p. </w:t>
      </w:r>
      <w:r w:rsidR="009A65A1" w:rsidRPr="000A3D52">
        <w:t>185</w:t>
      </w:r>
      <w:r w:rsidR="0050162B" w:rsidRPr="000A3D52">
        <w:t xml:space="preserve">. </w:t>
      </w:r>
    </w:p>
  </w:footnote>
  <w:footnote w:id="31">
    <w:p w14:paraId="39D75CBD" w14:textId="35915EDF" w:rsidR="009A65A1" w:rsidRPr="000A3D52" w:rsidRDefault="009A65A1">
      <w:pPr>
        <w:pStyle w:val="FootnoteText"/>
      </w:pPr>
      <w:r w:rsidRPr="000A3D52">
        <w:rPr>
          <w:rStyle w:val="FootnoteReference"/>
        </w:rPr>
        <w:footnoteRef/>
      </w:r>
      <w:r w:rsidRPr="000A3D52">
        <w:t xml:space="preserve"> </w:t>
      </w:r>
      <w:r w:rsidR="0050162B" w:rsidRPr="000A3D52">
        <w:t xml:space="preserve">Ibid., p. </w:t>
      </w:r>
      <w:r w:rsidRPr="000A3D52">
        <w:t>192</w:t>
      </w:r>
      <w:r w:rsidR="0050162B" w:rsidRPr="000A3D52">
        <w:t xml:space="preserve">. </w:t>
      </w:r>
    </w:p>
  </w:footnote>
  <w:footnote w:id="32">
    <w:p w14:paraId="748063D6" w14:textId="0EF9F2A4" w:rsidR="00AA2A1D" w:rsidRPr="000A3D52" w:rsidRDefault="00AA2A1D">
      <w:pPr>
        <w:pStyle w:val="FootnoteText"/>
      </w:pPr>
      <w:r w:rsidRPr="000A3D52">
        <w:rPr>
          <w:rStyle w:val="FootnoteReference"/>
        </w:rPr>
        <w:footnoteRef/>
      </w:r>
      <w:r w:rsidRPr="000A3D52">
        <w:t xml:space="preserve"> </w:t>
      </w:r>
      <w:r w:rsidR="0050162B" w:rsidRPr="000A3D52">
        <w:t xml:space="preserve">Louise J Lawrence, </w:t>
      </w:r>
      <w:proofErr w:type="gramStart"/>
      <w:r w:rsidR="0050162B" w:rsidRPr="000A3D52">
        <w:rPr>
          <w:i/>
          <w:iCs/>
        </w:rPr>
        <w:t>Bible</w:t>
      </w:r>
      <w:proofErr w:type="gramEnd"/>
      <w:r w:rsidR="0050162B" w:rsidRPr="000A3D52">
        <w:rPr>
          <w:i/>
          <w:iCs/>
        </w:rPr>
        <w:t xml:space="preserve"> and Bedlam</w:t>
      </w:r>
      <w:r w:rsidR="0050162B" w:rsidRPr="000A3D52">
        <w:t xml:space="preserve"> (Bloomsbury Publishing, 2018)</w:t>
      </w:r>
      <w:r w:rsidR="0050162B" w:rsidRPr="000A3D52">
        <w:t xml:space="preserve">, p. </w:t>
      </w:r>
      <w:r w:rsidRPr="000A3D52">
        <w:t>153</w:t>
      </w:r>
      <w:r w:rsidR="0050162B" w:rsidRPr="000A3D52">
        <w:t>.</w:t>
      </w:r>
    </w:p>
  </w:footnote>
  <w:footnote w:id="33">
    <w:p w14:paraId="17B7C8F0" w14:textId="31D5887A" w:rsidR="00AA2A1D" w:rsidRPr="000A3D52" w:rsidRDefault="00AA2A1D">
      <w:pPr>
        <w:pStyle w:val="FootnoteText"/>
      </w:pPr>
      <w:r w:rsidRPr="000A3D52">
        <w:rPr>
          <w:rStyle w:val="FootnoteReference"/>
        </w:rPr>
        <w:footnoteRef/>
      </w:r>
      <w:r w:rsidRPr="000A3D52">
        <w:t xml:space="preserve"> </w:t>
      </w:r>
      <w:r w:rsidR="0050162B" w:rsidRPr="000A3D52">
        <w:t>Ibid., p</w:t>
      </w:r>
      <w:r w:rsidRPr="000A3D52">
        <w:t>.</w:t>
      </w:r>
      <w:r w:rsidR="0050162B" w:rsidRPr="000A3D52">
        <w:t xml:space="preserve"> </w:t>
      </w:r>
      <w:r w:rsidRPr="000A3D52">
        <w:t>153</w:t>
      </w:r>
      <w:r w:rsidR="0050162B" w:rsidRPr="000A3D52">
        <w:t xml:space="preserve">. </w:t>
      </w:r>
    </w:p>
  </w:footnote>
  <w:footnote w:id="34">
    <w:p w14:paraId="7CC39FCF" w14:textId="61FC3BA5" w:rsidR="00AA2A1D" w:rsidRPr="000A3D52" w:rsidRDefault="00AA2A1D">
      <w:pPr>
        <w:pStyle w:val="FootnoteText"/>
      </w:pPr>
      <w:r w:rsidRPr="000A3D52">
        <w:rPr>
          <w:rStyle w:val="FootnoteReference"/>
        </w:rPr>
        <w:footnoteRef/>
      </w:r>
      <w:r w:rsidRPr="000A3D52">
        <w:t xml:space="preserve"> </w:t>
      </w:r>
      <w:r w:rsidR="0050162B" w:rsidRPr="000A3D52">
        <w:t>Ibid., p</w:t>
      </w:r>
      <w:r w:rsidRPr="000A3D52">
        <w:t>. 5</w:t>
      </w:r>
      <w:r w:rsidR="0050162B" w:rsidRPr="000A3D52">
        <w:t>.</w:t>
      </w:r>
    </w:p>
  </w:footnote>
  <w:footnote w:id="35">
    <w:p w14:paraId="1C75D74E" w14:textId="6FBBD27D" w:rsidR="00AA2A1D" w:rsidRPr="000A3D52" w:rsidRDefault="00AA2A1D">
      <w:pPr>
        <w:pStyle w:val="FootnoteText"/>
      </w:pPr>
      <w:r w:rsidRPr="000A3D52">
        <w:rPr>
          <w:rStyle w:val="FootnoteReference"/>
        </w:rPr>
        <w:footnoteRef/>
      </w:r>
      <w:r w:rsidRPr="000A3D52">
        <w:t xml:space="preserve"> </w:t>
      </w:r>
      <w:r w:rsidR="0050162B" w:rsidRPr="000A3D52">
        <w:t xml:space="preserve">Belser and Morrison, ‘What No Longer Serves Us: Resisting Ableism and Anti-Judaism in New Testament Healing Narratives’, p. </w:t>
      </w:r>
      <w:r w:rsidRPr="000A3D52">
        <w:t>169</w:t>
      </w:r>
      <w:r w:rsidR="0050162B" w:rsidRPr="000A3D52">
        <w:t>.</w:t>
      </w:r>
    </w:p>
  </w:footnote>
  <w:footnote w:id="36">
    <w:p w14:paraId="1CAEF9BB" w14:textId="6E908586" w:rsidR="00AA2A1D" w:rsidRPr="000A3D52" w:rsidRDefault="00AA2A1D">
      <w:pPr>
        <w:pStyle w:val="FootnoteText"/>
      </w:pPr>
      <w:r w:rsidRPr="000A3D52">
        <w:rPr>
          <w:rStyle w:val="FootnoteReference"/>
        </w:rPr>
        <w:footnoteRef/>
      </w:r>
      <w:r w:rsidRPr="000A3D52">
        <w:t xml:space="preserve"> </w:t>
      </w:r>
      <w:r w:rsidR="0050162B" w:rsidRPr="000A3D52">
        <w:t xml:space="preserve">Ibid., p. </w:t>
      </w:r>
      <w:r w:rsidRPr="000A3D52">
        <w:t>169</w:t>
      </w:r>
      <w:r w:rsidR="0050162B" w:rsidRPr="000A3D52">
        <w:t>.</w:t>
      </w:r>
    </w:p>
  </w:footnote>
  <w:footnote w:id="37">
    <w:p w14:paraId="3071E0A3" w14:textId="4ACB2446" w:rsidR="009A65A1" w:rsidRPr="000A3D52" w:rsidRDefault="009A65A1">
      <w:pPr>
        <w:pStyle w:val="FootnoteText"/>
      </w:pPr>
      <w:r w:rsidRPr="000A3D52">
        <w:rPr>
          <w:rStyle w:val="FootnoteReference"/>
        </w:rPr>
        <w:footnoteRef/>
      </w:r>
      <w:r w:rsidRPr="000A3D52">
        <w:t xml:space="preserve"> </w:t>
      </w:r>
      <w:r w:rsidR="0050162B" w:rsidRPr="000A3D52">
        <w:t>Martin, ‘Sin and Sign: Reading Disability in the Gospels’</w:t>
      </w:r>
      <w:r w:rsidR="0050162B" w:rsidRPr="000A3D52">
        <w:t>, p</w:t>
      </w:r>
      <w:r w:rsidRPr="000A3D52">
        <w:t>.</w:t>
      </w:r>
      <w:r w:rsidR="0050162B" w:rsidRPr="000A3D52">
        <w:t xml:space="preserve"> 1</w:t>
      </w:r>
      <w:r w:rsidRPr="000A3D52">
        <w:t>6</w:t>
      </w:r>
      <w:r w:rsidR="0050162B" w:rsidRPr="000A3D52">
        <w:t>.</w:t>
      </w:r>
    </w:p>
  </w:footnote>
  <w:footnote w:id="38">
    <w:p w14:paraId="7DCDFC85" w14:textId="6F8DB994" w:rsidR="009A65A1" w:rsidRPr="000A3D52" w:rsidRDefault="009A65A1">
      <w:pPr>
        <w:pStyle w:val="FootnoteText"/>
      </w:pPr>
      <w:r w:rsidRPr="000A3D52">
        <w:rPr>
          <w:rStyle w:val="FootnoteReference"/>
        </w:rPr>
        <w:footnoteRef/>
      </w:r>
      <w:r w:rsidRPr="000A3D52">
        <w:t xml:space="preserve"> </w:t>
      </w:r>
      <w:r w:rsidR="0050162B" w:rsidRPr="000A3D52">
        <w:t xml:space="preserve">Ibid., p. </w:t>
      </w:r>
      <w:r w:rsidRPr="000A3D52">
        <w:t>16</w:t>
      </w:r>
      <w:r w:rsidR="0050162B" w:rsidRPr="000A3D52">
        <w:t>.</w:t>
      </w:r>
    </w:p>
  </w:footnote>
  <w:footnote w:id="39">
    <w:p w14:paraId="6108A3B8" w14:textId="133190D3" w:rsidR="00A438BA" w:rsidRPr="000A3D52" w:rsidRDefault="00A438BA" w:rsidP="00A438BA">
      <w:pPr>
        <w:pStyle w:val="FootnoteText"/>
      </w:pPr>
      <w:r w:rsidRPr="000A3D52">
        <w:rPr>
          <w:rStyle w:val="FootnoteReference"/>
        </w:rPr>
        <w:footnoteRef/>
      </w:r>
      <w:r w:rsidR="0050162B" w:rsidRPr="000A3D52">
        <w:t xml:space="preserve"> Ibid., p</w:t>
      </w:r>
      <w:r w:rsidRPr="000A3D52">
        <w:t>.</w:t>
      </w:r>
      <w:r w:rsidR="0050162B" w:rsidRPr="000A3D52">
        <w:t xml:space="preserve"> </w:t>
      </w:r>
      <w:r w:rsidRPr="000A3D52">
        <w:t>16</w:t>
      </w:r>
      <w:r w:rsidR="0050162B" w:rsidRPr="000A3D52">
        <w:t>.</w:t>
      </w:r>
    </w:p>
  </w:footnote>
  <w:footnote w:id="40">
    <w:p w14:paraId="237DAA94" w14:textId="712D175F" w:rsidR="00A438BA" w:rsidRPr="000A3D52" w:rsidRDefault="00A438BA" w:rsidP="00A438BA">
      <w:pPr>
        <w:pStyle w:val="FootnoteText"/>
      </w:pPr>
      <w:r w:rsidRPr="000A3D52">
        <w:rPr>
          <w:rStyle w:val="FootnoteReference"/>
        </w:rPr>
        <w:footnoteRef/>
      </w:r>
      <w:r w:rsidRPr="000A3D52">
        <w:t xml:space="preserve"> </w:t>
      </w:r>
      <w:r w:rsidR="0050162B" w:rsidRPr="000A3D52">
        <w:t xml:space="preserve">Belser and Morrison, ‘What No Longer Serves Us: Resisting Ableism and Anti-Judaism in New Testament Healing Narratives’, p. </w:t>
      </w:r>
      <w:r w:rsidRPr="000A3D52">
        <w:t>154</w:t>
      </w:r>
      <w:r w:rsidR="0050162B" w:rsidRPr="000A3D52">
        <w:t>.</w:t>
      </w:r>
    </w:p>
  </w:footnote>
  <w:footnote w:id="41">
    <w:p w14:paraId="2705B65A" w14:textId="3D0618F9" w:rsidR="00A438BA" w:rsidRPr="000A3D52" w:rsidRDefault="00A438BA" w:rsidP="00A438BA">
      <w:pPr>
        <w:pStyle w:val="FootnoteText"/>
      </w:pPr>
      <w:r w:rsidRPr="000A3D52">
        <w:rPr>
          <w:rStyle w:val="FootnoteReference"/>
        </w:rPr>
        <w:footnoteRef/>
      </w:r>
      <w:r w:rsidRPr="000A3D52">
        <w:t xml:space="preserve"> </w:t>
      </w:r>
      <w:r w:rsidR="0050162B" w:rsidRPr="000A3D52">
        <w:t xml:space="preserve">Martin, ‘Sin and Sign: Reading Disability in the Gospels’, p. </w:t>
      </w:r>
      <w:r w:rsidRPr="000A3D52">
        <w:t>1</w:t>
      </w:r>
      <w:r w:rsidR="0050162B" w:rsidRPr="000A3D52">
        <w:t>.</w:t>
      </w:r>
    </w:p>
  </w:footnote>
  <w:footnote w:id="42">
    <w:p w14:paraId="21315238" w14:textId="0981E329" w:rsidR="00A438BA" w:rsidRPr="000A3D52" w:rsidRDefault="00A438BA" w:rsidP="00A438BA">
      <w:pPr>
        <w:pStyle w:val="FootnoteText"/>
      </w:pPr>
      <w:r w:rsidRPr="000A3D52">
        <w:rPr>
          <w:rStyle w:val="FootnoteReference"/>
        </w:rPr>
        <w:footnoteRef/>
      </w:r>
      <w:r w:rsidRPr="000A3D52">
        <w:t xml:space="preserve"> </w:t>
      </w:r>
      <w:r w:rsidR="0050162B" w:rsidRPr="000A3D52">
        <w:t xml:space="preserve">Ibid., p. </w:t>
      </w:r>
      <w:r w:rsidRPr="000A3D52">
        <w:t>174</w:t>
      </w:r>
      <w:r w:rsidR="0050162B" w:rsidRPr="000A3D52">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F75B0"/>
    <w:multiLevelType w:val="hybridMultilevel"/>
    <w:tmpl w:val="6AE20250"/>
    <w:lvl w:ilvl="0" w:tplc="00FE4F1C">
      <w:start w:val="16"/>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40621"/>
    <w:multiLevelType w:val="hybridMultilevel"/>
    <w:tmpl w:val="E5CC7ACE"/>
    <w:lvl w:ilvl="0" w:tplc="E72621B0">
      <w:start w:val="34"/>
      <w:numFmt w:val="bullet"/>
      <w:lvlText w:val="-"/>
      <w:lvlJc w:val="left"/>
      <w:pPr>
        <w:ind w:left="720" w:hanging="360"/>
      </w:pPr>
      <w:rPr>
        <w:rFonts w:ascii="Calibri" w:eastAsiaTheme="minorHAnsi" w:hAnsi="Calibri" w:cs="Calibri" w:hint="default"/>
        <w:b w:val="0"/>
        <w:u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8562908">
    <w:abstractNumId w:val="1"/>
  </w:num>
  <w:num w:numId="2" w16cid:durableId="1151410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B82"/>
    <w:rsid w:val="00012FFF"/>
    <w:rsid w:val="000A3D52"/>
    <w:rsid w:val="000A44AB"/>
    <w:rsid w:val="000C3F5C"/>
    <w:rsid w:val="001031CD"/>
    <w:rsid w:val="00191ECD"/>
    <w:rsid w:val="001E0B3E"/>
    <w:rsid w:val="00235952"/>
    <w:rsid w:val="00283D0F"/>
    <w:rsid w:val="002D728F"/>
    <w:rsid w:val="002F4B82"/>
    <w:rsid w:val="00343FEB"/>
    <w:rsid w:val="003C24A4"/>
    <w:rsid w:val="003D005D"/>
    <w:rsid w:val="003E6EE7"/>
    <w:rsid w:val="004028FF"/>
    <w:rsid w:val="004263A5"/>
    <w:rsid w:val="00452BA0"/>
    <w:rsid w:val="004F7865"/>
    <w:rsid w:val="005013C3"/>
    <w:rsid w:val="0050162B"/>
    <w:rsid w:val="00501F3A"/>
    <w:rsid w:val="00521E0E"/>
    <w:rsid w:val="005B620E"/>
    <w:rsid w:val="006065A7"/>
    <w:rsid w:val="00692AB2"/>
    <w:rsid w:val="00707782"/>
    <w:rsid w:val="007424CE"/>
    <w:rsid w:val="007974C8"/>
    <w:rsid w:val="007B6B05"/>
    <w:rsid w:val="00856E3E"/>
    <w:rsid w:val="008C7408"/>
    <w:rsid w:val="008F1E13"/>
    <w:rsid w:val="00953C60"/>
    <w:rsid w:val="009567BA"/>
    <w:rsid w:val="00956828"/>
    <w:rsid w:val="00994809"/>
    <w:rsid w:val="009A65A1"/>
    <w:rsid w:val="00A438BA"/>
    <w:rsid w:val="00A86E48"/>
    <w:rsid w:val="00AA2A1D"/>
    <w:rsid w:val="00AE2D66"/>
    <w:rsid w:val="00AF473C"/>
    <w:rsid w:val="00C312D2"/>
    <w:rsid w:val="00C65CE2"/>
    <w:rsid w:val="00CF1BF6"/>
    <w:rsid w:val="00D63CB0"/>
    <w:rsid w:val="00DC49E8"/>
    <w:rsid w:val="00E64EB4"/>
    <w:rsid w:val="00E85042"/>
    <w:rsid w:val="00F25EC5"/>
    <w:rsid w:val="00F3077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4E2BD"/>
  <w15:chartTrackingRefBased/>
  <w15:docId w15:val="{D73DF4C5-C91B-4FBB-8CC9-26755D28C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CB0"/>
  </w:style>
  <w:style w:type="paragraph" w:styleId="Heading1">
    <w:name w:val="heading 1"/>
    <w:basedOn w:val="Normal"/>
    <w:link w:val="Heading1Char"/>
    <w:uiPriority w:val="9"/>
    <w:qFormat/>
    <w:rsid w:val="005013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bidi="he-IL"/>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D63CB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3CB0"/>
    <w:rPr>
      <w:sz w:val="20"/>
      <w:szCs w:val="20"/>
    </w:rPr>
  </w:style>
  <w:style w:type="character" w:styleId="EndnoteReference">
    <w:name w:val="endnote reference"/>
    <w:basedOn w:val="DefaultParagraphFont"/>
    <w:uiPriority w:val="99"/>
    <w:semiHidden/>
    <w:unhideWhenUsed/>
    <w:rsid w:val="00D63CB0"/>
    <w:rPr>
      <w:vertAlign w:val="superscript"/>
    </w:rPr>
  </w:style>
  <w:style w:type="paragraph" w:styleId="FootnoteText">
    <w:name w:val="footnote text"/>
    <w:basedOn w:val="Normal"/>
    <w:link w:val="FootnoteTextChar"/>
    <w:uiPriority w:val="99"/>
    <w:semiHidden/>
    <w:unhideWhenUsed/>
    <w:rsid w:val="00D63C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3CB0"/>
    <w:rPr>
      <w:sz w:val="20"/>
      <w:szCs w:val="20"/>
    </w:rPr>
  </w:style>
  <w:style w:type="character" w:styleId="FootnoteReference">
    <w:name w:val="footnote reference"/>
    <w:basedOn w:val="DefaultParagraphFont"/>
    <w:uiPriority w:val="99"/>
    <w:semiHidden/>
    <w:unhideWhenUsed/>
    <w:rsid w:val="00D63CB0"/>
    <w:rPr>
      <w:vertAlign w:val="superscript"/>
    </w:rPr>
  </w:style>
  <w:style w:type="character" w:customStyle="1" w:styleId="hbfontsmall">
    <w:name w:val="hbfontsmall"/>
    <w:basedOn w:val="DefaultParagraphFont"/>
    <w:rsid w:val="007424CE"/>
  </w:style>
  <w:style w:type="paragraph" w:styleId="ListParagraph">
    <w:name w:val="List Paragraph"/>
    <w:basedOn w:val="Normal"/>
    <w:uiPriority w:val="34"/>
    <w:qFormat/>
    <w:rsid w:val="007424CE"/>
    <w:pPr>
      <w:ind w:left="720"/>
      <w:contextualSpacing/>
    </w:pPr>
  </w:style>
  <w:style w:type="paragraph" w:styleId="Header">
    <w:name w:val="header"/>
    <w:basedOn w:val="Normal"/>
    <w:link w:val="HeaderChar"/>
    <w:uiPriority w:val="99"/>
    <w:unhideWhenUsed/>
    <w:rsid w:val="00521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E0E"/>
  </w:style>
  <w:style w:type="paragraph" w:styleId="Footer">
    <w:name w:val="footer"/>
    <w:basedOn w:val="Normal"/>
    <w:link w:val="FooterChar"/>
    <w:uiPriority w:val="99"/>
    <w:unhideWhenUsed/>
    <w:rsid w:val="00521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E0E"/>
  </w:style>
  <w:style w:type="character" w:customStyle="1" w:styleId="Heading1Char">
    <w:name w:val="Heading 1 Char"/>
    <w:basedOn w:val="DefaultParagraphFont"/>
    <w:link w:val="Heading1"/>
    <w:uiPriority w:val="9"/>
    <w:rsid w:val="005013C3"/>
    <w:rPr>
      <w:rFonts w:ascii="Times New Roman" w:eastAsia="Times New Roman" w:hAnsi="Times New Roman" w:cs="Times New Roman"/>
      <w:b/>
      <w:bCs/>
      <w:kern w:val="36"/>
      <w:sz w:val="48"/>
      <w:szCs w:val="48"/>
      <w:lang w:eastAsia="en-GB" w:bidi="he-IL"/>
      <w14:ligatures w14:val="none"/>
    </w:rPr>
  </w:style>
  <w:style w:type="paragraph" w:styleId="NormalWeb">
    <w:name w:val="Normal (Web)"/>
    <w:basedOn w:val="Normal"/>
    <w:uiPriority w:val="99"/>
    <w:semiHidden/>
    <w:unhideWhenUsed/>
    <w:rsid w:val="005013C3"/>
    <w:pPr>
      <w:spacing w:before="100" w:beforeAutospacing="1" w:after="100" w:afterAutospacing="1" w:line="240" w:lineRule="auto"/>
    </w:pPr>
    <w:rPr>
      <w:rFonts w:ascii="Times New Roman" w:eastAsia="Times New Roman" w:hAnsi="Times New Roman" w:cs="Times New Roman"/>
      <w:kern w:val="0"/>
      <w:sz w:val="24"/>
      <w:szCs w:val="24"/>
      <w:lang w:eastAsia="en-GB" w:bidi="he-I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535203">
      <w:bodyDiv w:val="1"/>
      <w:marLeft w:val="0"/>
      <w:marRight w:val="0"/>
      <w:marTop w:val="0"/>
      <w:marBottom w:val="0"/>
      <w:divBdr>
        <w:top w:val="none" w:sz="0" w:space="0" w:color="auto"/>
        <w:left w:val="none" w:sz="0" w:space="0" w:color="auto"/>
        <w:bottom w:val="none" w:sz="0" w:space="0" w:color="auto"/>
        <w:right w:val="none" w:sz="0" w:space="0" w:color="auto"/>
      </w:divBdr>
      <w:divsChild>
        <w:div w:id="128484566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F24840-3C4C-4A83-A186-474D3C706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2956</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8</cp:revision>
  <cp:lastPrinted>2023-12-30T09:28:00Z</cp:lastPrinted>
  <dcterms:created xsi:type="dcterms:W3CDTF">2023-12-30T12:05:00Z</dcterms:created>
  <dcterms:modified xsi:type="dcterms:W3CDTF">2023-12-30T12:20:00Z</dcterms:modified>
</cp:coreProperties>
</file>