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rPr>
          <w:rFonts w:hint="eastAsia" w:eastAsiaTheme="minorEastAsia"/>
          <w:lang w:eastAsia="zh-CN"/>
        </w:rPr>
      </w:pPr>
      <w:r>
        <w:rPr>
          <w:sz w:val="21"/>
        </w:rPr>
        <mc:AlternateContent>
          <mc:Choice Requires="wps">
            <w:drawing>
              <wp:anchor distT="0" distB="0" distL="114300" distR="114300" simplePos="0" relativeHeight="251661312" behindDoc="0" locked="0" layoutInCell="1" allowOverlap="1">
                <wp:simplePos x="0" y="0"/>
                <wp:positionH relativeFrom="column">
                  <wp:posOffset>-1873885</wp:posOffset>
                </wp:positionH>
                <wp:positionV relativeFrom="paragraph">
                  <wp:posOffset>5685155</wp:posOffset>
                </wp:positionV>
                <wp:extent cx="5962650" cy="48323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5962650" cy="4832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2F2F2" w:themeColor="background1" w:themeShade="F2"/>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7.55pt;margin-top:447.65pt;height:38.05pt;width:469.5pt;z-index:251661312;mso-width-relative:page;mso-height-relative:page;" filled="f" stroked="f" coordsize="21600,21600" o:gfxdata="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cXJ594AAAAMAQAADwAAAAAAAAABACAAAAAiAAAA&#10;ZHJzL2Rvd25yZXYueG1sUEsBAhQAFAAAAAgAh07iQBWsh1I6AgAAaAQAAA4AAAAAAAAAAQAgAAAA&#10;LQEAAGRycy9lMm9Eb2MueG1sUEsFBgAAAAAGAAYAWQEAANkFAAAAAA==&#10;">
                <v:fill on="f" focussize="0,0"/>
                <v:stroke on="f" weight="0.5pt"/>
                <v:imagedata o:title=""/>
                <o:lock v:ext="edit" aspectratio="f"/>
                <v:textbox>
                  <w:txbxContent>
                    <w:p>
                      <w:pPr>
                        <w:jc w:val="right"/>
                        <w:rPr>
                          <w:rFonts w:hint="default" w:ascii="微软雅黑" w:hAnsi="微软雅黑" w:eastAsia="微软雅黑" w:cs="微软雅黑"/>
                          <w:color w:val="F2F2F2" w:themeColor="background1" w:themeShade="F2"/>
                          <w:sz w:val="24"/>
                          <w:szCs w:val="24"/>
                          <w:lang w:val="en-US" w:eastAsia="zh-CN"/>
                        </w:rPr>
                      </w:pP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1743075</wp:posOffset>
                </wp:positionH>
                <wp:positionV relativeFrom="paragraph">
                  <wp:posOffset>5227320</wp:posOffset>
                </wp:positionV>
                <wp:extent cx="2345690" cy="69215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345690" cy="692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7.25pt;margin-top:411.6pt;height:54.5pt;width:184.7pt;z-index:251660288;mso-width-relative:page;mso-height-relative:page;" filled="f" stroked="f" coordsize="21600,21600" o:gfxdata="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Y/E+c3QAAAAsBAAAPAAAAAAAAAAEAIAAAACIAAABk&#10;cnMvZG93bnJldi54bWxQSwECFAAUAAAACACHTuJAfOu3EToCAABmBAAADgAAAAAAAAABACAAAAAs&#10;AQAAZHJzL2Uyb0RvYy54bWxQSwUGAAAAAAYABgBZAQAA2AUAAAAA&#10;">
                <v:fill on="f" focussize="0,0"/>
                <v:stroke on="f" weight="0.5pt"/>
                <v:imagedata o:title=""/>
                <o:lock v:ext="edit" aspectratio="f"/>
                <v:textbox>
                  <w:txbxContent>
                    <w:p>
                      <w:pPr>
                        <w:jc w:val="right"/>
                        <w:rPr>
                          <w:rFonts w:hint="default" w:ascii="微软雅黑" w:hAnsi="微软雅黑" w:eastAsia="微软雅黑" w:cs="微软雅黑"/>
                          <w:color w:val="FFFFFF" w:themeColor="background1"/>
                          <w:sz w:val="40"/>
                          <w:szCs w:val="40"/>
                          <w:lang w:val="en-US" w:eastAsia="zh-CN"/>
                          <w14:textFill>
                            <w14:solidFill>
                              <w14:schemeClr w14:val="bg1"/>
                            </w14:solidFill>
                          </w14:textFill>
                        </w:rPr>
                      </w:pPr>
                    </w:p>
                  </w:txbxContent>
                </v:textbox>
              </v:shape>
            </w:pict>
          </mc:Fallback>
        </mc:AlternateContent>
      </w:r>
    </w:p>
    <w:p>
      <w:pPr>
        <w:pageBreakBefore w:val="0"/>
        <w:kinsoku/>
        <w:wordWrap/>
        <w:overflowPunct/>
        <w:topLinePunct w:val="0"/>
        <w:autoSpaceDE/>
        <w:autoSpaceDN/>
        <w:bidi w:val="0"/>
        <w:adjustRightInd/>
        <w:rPr>
          <w:rFonts w:hint="default"/>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sz w:val="21"/>
        </w:rPr>
        <mc:AlternateContent>
          <mc:Choice Requires="wps">
            <w:drawing>
              <wp:anchor distT="0" distB="0" distL="114300" distR="114300" simplePos="0" relativeHeight="251665408" behindDoc="0" locked="0" layoutInCell="1" allowOverlap="1">
                <wp:simplePos x="0" y="0"/>
                <wp:positionH relativeFrom="column">
                  <wp:posOffset>2084070</wp:posOffset>
                </wp:positionH>
                <wp:positionV relativeFrom="paragraph">
                  <wp:posOffset>6168390</wp:posOffset>
                </wp:positionV>
                <wp:extent cx="2108835" cy="2378075"/>
                <wp:effectExtent l="0" t="0" r="0" b="0"/>
                <wp:wrapNone/>
                <wp:docPr id="8" name="文本框 8"/>
                <wp:cNvGraphicFramePr/>
                <a:graphic xmlns:a="http://schemas.openxmlformats.org/drawingml/2006/main">
                  <a:graphicData uri="http://schemas.microsoft.com/office/word/2010/wordprocessingShape">
                    <wps:wsp>
                      <wps:cNvSpPr txBox="1"/>
                      <wps:spPr>
                        <a:xfrm>
                          <a:off x="0" y="0"/>
                          <a:ext cx="2108835" cy="23780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Number:</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Code: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Lecturer</w:t>
                            </w:r>
                            <w:r>
                              <w:rPr>
                                <w:rFonts w:hint="eastAsia" w:ascii="Arial" w:hAnsi="Arial" w:cs="Arial"/>
                                <w:b/>
                                <w:bCs/>
                                <w:color w:val="FFFFFF" w:themeColor="background1"/>
                                <w:sz w:val="32"/>
                                <w:szCs w:val="40"/>
                                <w:lang w:val="en-US" w:eastAsia="zh-CN"/>
                                <w14:textFill>
                                  <w14:solidFill>
                                    <w14:schemeClr w14:val="bg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eastAsia" w:ascii="Arial" w:hAnsi="Arial" w:cs="Arial"/>
                                <w:b/>
                                <w:bCs/>
                                <w:color w:val="FFFFFF" w:themeColor="background1"/>
                                <w:sz w:val="32"/>
                                <w:szCs w:val="40"/>
                                <w:lang w:val="en-US" w:eastAsia="zh-CN"/>
                                <w14:textFill>
                                  <w14:solidFill>
                                    <w14:schemeClr w14:val="bg1"/>
                                  </w14:solidFill>
                                </w14:textFill>
                              </w:rPr>
                              <w:t>Date: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4.1pt;margin-top:485.7pt;height:187.25pt;width:166.05pt;z-index:251665408;mso-width-relative:page;mso-height-relative:page;" filled="f" stroked="f" coordsize="21600,21600" o:gfxdata="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16Dw83QAAAAwBAAAPAAAAAAAAAAEAIAAAACIA&#10;AABkcnMvZG93bnJldi54bWxQSwECFAAUAAAACACHTuJAQoj7oz0CAABnBAAADgAAAAAAAAABACAA&#10;AAAsAQAAZHJzL2Uyb0RvYy54bWxQSwUGAAAAAAYABgBZAQAA2wU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Student Number:</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Code: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Module Name:</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Arial" w:hAnsi="Arial" w:cs="Arial"/>
                          <w:b/>
                          <w:bCs/>
                          <w:color w:val="FFFFFF" w:themeColor="background1"/>
                          <w:sz w:val="32"/>
                          <w:szCs w:val="40"/>
                          <w:lang w:val="en-US" w:eastAsia="zh-CN"/>
                          <w14:textFill>
                            <w14:solidFill>
                              <w14:schemeClr w14:val="bg1"/>
                            </w14:solidFill>
                          </w14:textFill>
                        </w:rPr>
                      </w:pPr>
                      <w:r>
                        <w:rPr>
                          <w:rFonts w:hint="default" w:ascii="Arial" w:hAnsi="Arial" w:cs="Arial"/>
                          <w:b/>
                          <w:bCs/>
                          <w:color w:val="FFFFFF" w:themeColor="background1"/>
                          <w:sz w:val="32"/>
                          <w:szCs w:val="40"/>
                          <w:lang w:val="en-US" w:eastAsia="zh-CN"/>
                          <w14:textFill>
                            <w14:solidFill>
                              <w14:schemeClr w14:val="bg1"/>
                            </w14:solidFill>
                          </w14:textFill>
                        </w:rPr>
                        <w:t>Lecturer</w:t>
                      </w:r>
                      <w:r>
                        <w:rPr>
                          <w:rFonts w:hint="eastAsia" w:ascii="Arial" w:hAnsi="Arial" w:cs="Arial"/>
                          <w:b/>
                          <w:bCs/>
                          <w:color w:val="FFFFFF" w:themeColor="background1"/>
                          <w:sz w:val="32"/>
                          <w:szCs w:val="40"/>
                          <w:lang w:val="en-US" w:eastAsia="zh-CN"/>
                          <w14:textFill>
                            <w14:solidFill>
                              <w14:schemeClr w14:val="bg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Arial" w:hAnsi="Arial" w:cs="Arial"/>
                          <w:b/>
                          <w:bCs/>
                          <w:color w:val="FFFFFF" w:themeColor="background1"/>
                          <w:sz w:val="32"/>
                          <w:szCs w:val="40"/>
                          <w:lang w:val="en-US" w:eastAsia="zh-CN"/>
                          <w14:textFill>
                            <w14:solidFill>
                              <w14:schemeClr w14:val="bg1"/>
                            </w14:solidFill>
                          </w14:textFill>
                        </w:rPr>
                      </w:pPr>
                      <w:r>
                        <w:rPr>
                          <w:rFonts w:hint="eastAsia" w:ascii="Arial" w:hAnsi="Arial" w:cs="Arial"/>
                          <w:b/>
                          <w:bCs/>
                          <w:color w:val="FFFFFF" w:themeColor="background1"/>
                          <w:sz w:val="32"/>
                          <w:szCs w:val="40"/>
                          <w:lang w:val="en-US" w:eastAsia="zh-CN"/>
                          <w14:textFill>
                            <w14:solidFill>
                              <w14:schemeClr w14:val="bg1"/>
                            </w14:solidFill>
                          </w14:textFill>
                        </w:rPr>
                        <w:t>Date:</w:t>
                      </w:r>
                    </w:p>
                  </w:txbxContent>
                </v:textbox>
              </v:shap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4224020</wp:posOffset>
                </wp:positionH>
                <wp:positionV relativeFrom="paragraph">
                  <wp:posOffset>6184265</wp:posOffset>
                </wp:positionV>
                <wp:extent cx="2035175" cy="2334260"/>
                <wp:effectExtent l="0" t="0" r="0" b="0"/>
                <wp:wrapNone/>
                <wp:docPr id="7" name="文本框 7"/>
                <wp:cNvGraphicFramePr/>
                <a:graphic xmlns:a="http://schemas.openxmlformats.org/drawingml/2006/main">
                  <a:graphicData uri="http://schemas.microsoft.com/office/word/2010/wordprocessingShape">
                    <wps:wsp>
                      <wps:cNvSpPr txBox="1"/>
                      <wps:spPr>
                        <a:xfrm>
                          <a:off x="0" y="0"/>
                          <a:ext cx="2035175" cy="23342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sz w:val="32"/>
                                <w:szCs w:val="40"/>
                                <w:lang w:val="en-US" w:eastAsia="zh-CN"/>
                              </w:rPr>
                            </w:pPr>
                            <w:r>
                              <w:rPr>
                                <w:rFonts w:hint="eastAsia" w:ascii="Arial" w:hAnsi="Arial" w:cs="Arial"/>
                                <w:b/>
                                <w:bCs/>
                                <w:sz w:val="32"/>
                                <w:szCs w:val="40"/>
                                <w:lang w:val="en-US" w:eastAsia="zh-CN"/>
                              </w:rPr>
                              <w:t>Weijia Peng</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2111315</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BMBM60</w:t>
                            </w:r>
                            <w:r>
                              <w:rPr>
                                <w:rFonts w:hint="eastAsia" w:ascii="Arial" w:hAnsi="Arial" w:cs="Arial"/>
                                <w:b/>
                                <w:bCs/>
                                <w:color w:val="000000" w:themeColor="text1"/>
                                <w:sz w:val="32"/>
                                <w:szCs w:val="32"/>
                                <w:lang w:val="en-US" w:eastAsia="zh-CN"/>
                                <w14:textFill>
                                  <w14:solidFill>
                                    <w14:schemeClr w14:val="tx1"/>
                                  </w14:solidFill>
                                </w14:textFill>
                              </w:rPr>
                              <w:t>21</w:t>
                            </w:r>
                          </w:p>
                          <w:p>
                            <w:pPr>
                              <w:keepNext w:val="0"/>
                              <w:keepLines w:val="0"/>
                              <w:pageBreakBefore w:val="0"/>
                              <w:widowControl w:val="0"/>
                              <w:kinsoku/>
                              <w:wordWrap/>
                              <w:overflowPunct/>
                              <w:topLinePunct w:val="0"/>
                              <w:autoSpaceDE/>
                              <w:autoSpaceDN/>
                              <w:bidi w:val="0"/>
                              <w:adjustRightInd/>
                              <w:snapToGrid/>
                              <w:spacing w:before="0" w:beforeLines="30" w:line="280" w:lineRule="exact"/>
                              <w:jc w:val="left"/>
                              <w:textAlignment w:val="auto"/>
                              <w:rPr>
                                <w:rFonts w:ascii="Arial" w:hAnsi="Arial" w:cs="Arial"/>
                                <w:b/>
                                <w:sz w:val="28"/>
                                <w:szCs w:val="36"/>
                              </w:rPr>
                            </w:pPr>
                            <w:r>
                              <w:rPr>
                                <w:rFonts w:hint="eastAsia" w:ascii="Arial" w:hAnsi="Arial" w:cs="Arial"/>
                                <w:b/>
                                <w:sz w:val="28"/>
                                <w:szCs w:val="36"/>
                              </w:rPr>
                              <w:t>International Business Communication</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Lisa Knight</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12/01/2023</w:t>
                            </w:r>
                          </w:p>
                        </w:txbxContent>
                      </wps:txbx>
                      <wps:bodyPr rot="0" spcFirstLastPara="0" vertOverflow="overflow" horzOverflow="overflow" vert="horz" wrap="square" lIns="36000" tIns="45720" rIns="3600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2.6pt;margin-top:486.95pt;height:183.8pt;width:160.25pt;z-index:251666432;mso-width-relative:page;mso-height-relative:page;" filled="f" stroked="f" coordsize="21600,21600" o:gfxdata="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xtGjncAAAADAEAAA8AAAAAAAAAAQAgAAAAIgAA&#10;AGRycy9kb3ducmV2LnhtbFBLAQIUABQAAAAIAIdO4kBdHbgbPQIAAGcEAAAOAAAAAAAAAAEAIAAA&#10;ACsBAABkcnMvZTJvRG9jLnhtbFBLBQYAAAAABgAGAFkBAADaBQAAAAA=&#10;">
                <v:fill on="f" focussize="0,0"/>
                <v:stroke on="f" weight="0.5pt"/>
                <v:imagedata o:title=""/>
                <o:lock v:ext="edit" aspectratio="f"/>
                <v:textbox inset="1mm,1.27mm,1mm,1.27mm">
                  <w:txbxContent>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sz w:val="32"/>
                          <w:szCs w:val="40"/>
                          <w:lang w:val="en-US" w:eastAsia="zh-CN"/>
                        </w:rPr>
                      </w:pPr>
                      <w:r>
                        <w:rPr>
                          <w:rFonts w:hint="eastAsia" w:ascii="Arial" w:hAnsi="Arial" w:cs="Arial"/>
                          <w:b/>
                          <w:bCs/>
                          <w:sz w:val="32"/>
                          <w:szCs w:val="40"/>
                          <w:lang w:val="en-US" w:eastAsia="zh-CN"/>
                        </w:rPr>
                        <w:t>Weijia Peng</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2111315</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BMBM60</w:t>
                      </w:r>
                      <w:r>
                        <w:rPr>
                          <w:rFonts w:hint="eastAsia" w:ascii="Arial" w:hAnsi="Arial" w:cs="Arial"/>
                          <w:b/>
                          <w:bCs/>
                          <w:color w:val="000000" w:themeColor="text1"/>
                          <w:sz w:val="32"/>
                          <w:szCs w:val="32"/>
                          <w:lang w:val="en-US" w:eastAsia="zh-CN"/>
                          <w14:textFill>
                            <w14:solidFill>
                              <w14:schemeClr w14:val="tx1"/>
                            </w14:solidFill>
                          </w14:textFill>
                        </w:rPr>
                        <w:t>21</w:t>
                      </w:r>
                    </w:p>
                    <w:p>
                      <w:pPr>
                        <w:keepNext w:val="0"/>
                        <w:keepLines w:val="0"/>
                        <w:pageBreakBefore w:val="0"/>
                        <w:widowControl w:val="0"/>
                        <w:kinsoku/>
                        <w:wordWrap/>
                        <w:overflowPunct/>
                        <w:topLinePunct w:val="0"/>
                        <w:autoSpaceDE/>
                        <w:autoSpaceDN/>
                        <w:bidi w:val="0"/>
                        <w:adjustRightInd/>
                        <w:snapToGrid/>
                        <w:spacing w:before="0" w:beforeLines="30" w:line="280" w:lineRule="exact"/>
                        <w:jc w:val="left"/>
                        <w:textAlignment w:val="auto"/>
                        <w:rPr>
                          <w:rFonts w:ascii="Arial" w:hAnsi="Arial" w:cs="Arial"/>
                          <w:b/>
                          <w:sz w:val="28"/>
                          <w:szCs w:val="36"/>
                        </w:rPr>
                      </w:pPr>
                      <w:r>
                        <w:rPr>
                          <w:rFonts w:hint="eastAsia" w:ascii="Arial" w:hAnsi="Arial" w:cs="Arial"/>
                          <w:b/>
                          <w:sz w:val="28"/>
                          <w:szCs w:val="36"/>
                        </w:rPr>
                        <w:t>International Business Communication</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Arial" w:hAnsi="Arial" w:cs="Arial"/>
                          <w:b/>
                          <w:bCs/>
                          <w:color w:val="000000" w:themeColor="text1"/>
                          <w:sz w:val="32"/>
                          <w:szCs w:val="32"/>
                          <w:lang w:eastAsia="zh-CN"/>
                          <w14:textFill>
                            <w14:solidFill>
                              <w14:schemeClr w14:val="tx1"/>
                            </w14:solidFill>
                          </w14:textFill>
                        </w:rPr>
                      </w:pPr>
                      <w:r>
                        <w:rPr>
                          <w:rFonts w:hint="eastAsia" w:ascii="Arial" w:hAnsi="Arial" w:cs="Arial"/>
                          <w:b/>
                          <w:bCs/>
                          <w:color w:val="000000" w:themeColor="text1"/>
                          <w:sz w:val="32"/>
                          <w:szCs w:val="32"/>
                          <w:lang w:eastAsia="zh-CN"/>
                          <w14:textFill>
                            <w14:solidFill>
                              <w14:schemeClr w14:val="tx1"/>
                            </w14:solidFill>
                          </w14:textFill>
                        </w:rPr>
                        <w:t>Lisa Knight</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Arial" w:hAnsi="Arial" w:cs="Arial"/>
                          <w:b/>
                          <w:bCs/>
                          <w:color w:val="000000" w:themeColor="text1"/>
                          <w:sz w:val="32"/>
                          <w:szCs w:val="32"/>
                          <w:lang w:val="en-US" w:eastAsia="zh-CN"/>
                          <w14:textFill>
                            <w14:solidFill>
                              <w14:schemeClr w14:val="tx1"/>
                            </w14:solidFill>
                          </w14:textFill>
                        </w:rPr>
                      </w:pPr>
                      <w:r>
                        <w:rPr>
                          <w:rFonts w:hint="eastAsia" w:ascii="Arial" w:hAnsi="Arial" w:cs="Arial"/>
                          <w:b/>
                          <w:bCs/>
                          <w:color w:val="000000" w:themeColor="text1"/>
                          <w:sz w:val="32"/>
                          <w:szCs w:val="32"/>
                          <w:lang w:val="en-US" w:eastAsia="zh-CN"/>
                          <w14:textFill>
                            <w14:solidFill>
                              <w14:schemeClr w14:val="tx1"/>
                            </w14:solidFill>
                          </w14:textFill>
                        </w:rPr>
                        <w:t>12/01/2023</w:t>
                      </w:r>
                    </w:p>
                  </w:txbxContent>
                </v:textbox>
              </v:shape>
            </w:pict>
          </mc:Fallback>
        </mc:AlternateContent>
      </w:r>
      <w:r>
        <w:rPr>
          <w:rFonts w:ascii="Arial" w:hAnsi="Arial"/>
        </w:rPr>
        <w:drawing>
          <wp:anchor distT="0" distB="0" distL="0" distR="0" simplePos="0" relativeHeight="251664384" behindDoc="0" locked="0" layoutInCell="1" allowOverlap="1">
            <wp:simplePos x="0" y="0"/>
            <wp:positionH relativeFrom="column">
              <wp:posOffset>4401820</wp:posOffset>
            </wp:positionH>
            <wp:positionV relativeFrom="paragraph">
              <wp:posOffset>-603250</wp:posOffset>
            </wp:positionV>
            <wp:extent cx="1809750" cy="723900"/>
            <wp:effectExtent l="0" t="0" r="6350" b="0"/>
            <wp:wrapNone/>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anchor>
        </w:drawing>
      </w:r>
      <w:r>
        <w:rPr>
          <w:sz w:val="21"/>
        </w:rPr>
        <mc:AlternateContent>
          <mc:Choice Requires="wps">
            <w:drawing>
              <wp:anchor distT="0" distB="0" distL="114300" distR="114300" simplePos="0" relativeHeight="251662336" behindDoc="0" locked="0" layoutInCell="1" allowOverlap="1">
                <wp:simplePos x="0" y="0"/>
                <wp:positionH relativeFrom="column">
                  <wp:posOffset>-724535</wp:posOffset>
                </wp:positionH>
                <wp:positionV relativeFrom="paragraph">
                  <wp:posOffset>-561340</wp:posOffset>
                </wp:positionV>
                <wp:extent cx="4920615" cy="9651365"/>
                <wp:effectExtent l="6350" t="6350" r="13335" b="6985"/>
                <wp:wrapNone/>
                <wp:docPr id="5" name="矩形 5"/>
                <wp:cNvGraphicFramePr/>
                <a:graphic xmlns:a="http://schemas.openxmlformats.org/drawingml/2006/main">
                  <a:graphicData uri="http://schemas.microsoft.com/office/word/2010/wordprocessingShape">
                    <wps:wsp>
                      <wps:cNvSpPr/>
                      <wps:spPr>
                        <a:xfrm>
                          <a:off x="0" y="0"/>
                          <a:ext cx="4920615" cy="9651365"/>
                        </a:xfrm>
                        <a:prstGeom prst="rect">
                          <a:avLst/>
                        </a:prstGeom>
                        <a:solidFill>
                          <a:schemeClr val="accent5">
                            <a:lumMod val="50000"/>
                          </a:schemeClr>
                        </a:solidFill>
                        <a:ln w="12700" cmpd="sng">
                          <a:solidFill>
                            <a:schemeClr val="accent5">
                              <a:lumMod val="20000"/>
                              <a:lumOff val="80000"/>
                            </a:schemeClr>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7.05pt;margin-top:-44.2pt;height:759.95pt;width:387.45pt;z-index:251662336;v-text-anchor:middle;mso-width-relative:page;mso-height-relative:page;" fillcolor="#203864 [1608]" filled="t" stroked="t" coordsize="21600,21600" o:gfxdata="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UO&#10;9BvaAAAADQEAAA8AAAAAAAAAAQAgAAAAIgAAAGRycy9kb3ducmV2LnhtbFBLAQIUABQAAAAIAIdO&#10;4kB2rqWekwIAAFAFAAAOAAAAAAAAAAEAIAAAACkBAABkcnMvZTJvRG9jLnhtbFBLBQYAAAAABgAG&#10;AFkBAAAuBgAAAAA=&#10;">
                <v:fill on="t" focussize="0,0"/>
                <v:stroke weight="1pt" color="#DAE3F3 [664]" miterlimit="8" joinstyle="miter"/>
                <v:imagedata o:title=""/>
                <o:lock v:ext="edit" aspectratio="f"/>
              </v:rect>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-699135</wp:posOffset>
                </wp:positionH>
                <wp:positionV relativeFrom="paragraph">
                  <wp:posOffset>923290</wp:posOffset>
                </wp:positionV>
                <wp:extent cx="4826635" cy="19939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4826635" cy="19939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Arial" w:hAnsi="Arial" w:eastAsia="微软雅黑" w:cs="Arial"/>
                                <w:b/>
                                <w:bCs/>
                                <w:color w:val="FFFFFF" w:themeColor="background1"/>
                                <w:sz w:val="56"/>
                                <w:szCs w:val="56"/>
                                <w:lang w:val="en-US" w:eastAsia="zh-CN"/>
                                <w14:textFill>
                                  <w14:solidFill>
                                    <w14:schemeClr w14:val="bg1"/>
                                  </w14:solidFill>
                                </w14:textFill>
                              </w:rPr>
                            </w:pPr>
                            <w:r>
                              <w:rPr>
                                <w:rFonts w:hint="default" w:ascii="Arial" w:hAnsi="Arial" w:eastAsia="微软雅黑" w:cs="Arial"/>
                                <w:b/>
                                <w:bCs/>
                                <w:color w:val="FFFFFF" w:themeColor="background1"/>
                                <w:sz w:val="56"/>
                                <w:szCs w:val="56"/>
                                <w:lang w:val="en-US" w:eastAsia="zh-CN"/>
                                <w14:textFill>
                                  <w14:solidFill>
                                    <w14:schemeClr w14:val="bg1"/>
                                  </w14:solidFill>
                                </w14:textFill>
                              </w:rPr>
                              <w:t>Intercultural Business Communications Challenges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05pt;margin-top:72.7pt;height:157pt;width:380.05pt;z-index:251663360;mso-width-relative:page;mso-height-relative:page;" filled="f" stroked="f" coordsize="21600,21600" o:gfxdata="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WZ+fF3AAAAAwBAAAPAAAAAAAAAAEAIAAAACIA&#10;AABkcnMvZG93bnJldi54bWxQSwECFAAUAAAACACHTuJAKhqrOj4CAABpBAAADgAAAAAAAAABACAA&#10;AAArAQAAZHJzL2Uyb0RvYy54bWxQSwUGAAAAAAYABgBZAQAA2wUAAAAA&#10;">
                <v:fill on="f" focussize="0,0"/>
                <v:stroke on="f" weight="0.5pt"/>
                <v:imagedata o:title=""/>
                <o:lock v:ext="edit" aspectratio="f"/>
                <v:textbox>
                  <w:txbxContent>
                    <w:p>
                      <w:pPr>
                        <w:jc w:val="center"/>
                        <w:rPr>
                          <w:rFonts w:hint="default" w:ascii="Arial" w:hAnsi="Arial" w:eastAsia="微软雅黑" w:cs="Arial"/>
                          <w:b/>
                          <w:bCs/>
                          <w:color w:val="FFFFFF" w:themeColor="background1"/>
                          <w:sz w:val="56"/>
                          <w:szCs w:val="56"/>
                          <w:lang w:val="en-US" w:eastAsia="zh-CN"/>
                          <w14:textFill>
                            <w14:solidFill>
                              <w14:schemeClr w14:val="bg1"/>
                            </w14:solidFill>
                          </w14:textFill>
                        </w:rPr>
                      </w:pPr>
                      <w:r>
                        <w:rPr>
                          <w:rFonts w:hint="default" w:ascii="Arial" w:hAnsi="Arial" w:eastAsia="微软雅黑" w:cs="Arial"/>
                          <w:b/>
                          <w:bCs/>
                          <w:color w:val="FFFFFF" w:themeColor="background1"/>
                          <w:sz w:val="56"/>
                          <w:szCs w:val="56"/>
                          <w:lang w:val="en-US" w:eastAsia="zh-CN"/>
                          <w14:textFill>
                            <w14:solidFill>
                              <w14:schemeClr w14:val="bg1"/>
                            </w14:solidFill>
                          </w14:textFill>
                        </w:rPr>
                        <w:t>Intercultural Business Communications Challenges</w:t>
                      </w:r>
                    </w:p>
                  </w:txbxContent>
                </v:textbox>
              </v:shape>
            </w:pict>
          </mc:Fallback>
        </mc:AlternateContent>
      </w:r>
    </w:p>
    <w:p>
      <w:pPr>
        <w:bidi w:val="0"/>
        <w:jc w:val="center"/>
        <w:rPr>
          <w:rFonts w:hint="default" w:ascii="Arial" w:hAnsi="Arial" w:cs="Arial"/>
          <w:b/>
          <w:bCs/>
          <w:sz w:val="32"/>
          <w:szCs w:val="40"/>
        </w:rPr>
      </w:pPr>
      <w:r>
        <w:rPr>
          <w:rFonts w:hint="default" w:ascii="Arial" w:hAnsi="Arial" w:cs="Arial"/>
          <w:b/>
          <w:bCs/>
          <w:sz w:val="32"/>
          <w:szCs w:val="40"/>
        </w:rPr>
        <w:t>Executive Summary</w:t>
      </w:r>
    </w:p>
    <w:p>
      <w:pPr>
        <w:bidi w:val="0"/>
        <w:jc w:val="center"/>
        <w:rPr>
          <w:rFonts w:hint="default" w:ascii="Arial" w:hAnsi="Arial" w:cs="Arial"/>
          <w:b/>
          <w:bCs/>
          <w:sz w:val="32"/>
          <w:szCs w:val="40"/>
        </w:rPr>
      </w:pPr>
    </w:p>
    <w:p>
      <w:pPr>
        <w:keepNext w:val="0"/>
        <w:keepLines w:val="0"/>
        <w:pageBreakBefore w:val="0"/>
        <w:widowControl w:val="0"/>
        <w:kinsoku/>
        <w:wordWrap/>
        <w:overflowPunct/>
        <w:topLinePunct w:val="0"/>
        <w:autoSpaceDE/>
        <w:autoSpaceDN/>
        <w:bidi w:val="0"/>
        <w:adjustRightInd/>
        <w:snapToGrid/>
        <w:spacing w:line="480" w:lineRule="auto"/>
        <w:ind w:firstLine="720" w:firstLineChars="300"/>
        <w:textAlignment w:val="auto"/>
        <w:rPr>
          <w:rFonts w:hint="eastAsia"/>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Arial" w:hAnsi="Arial" w:cs="Arial"/>
          <w:sz w:val="24"/>
          <w:szCs w:val="24"/>
        </w:rPr>
        <w:t xml:space="preserve">The main purpose of this report is to examine the challenges facing cross-cultural business communication. Analyze the business communication issues that British companies may face when doing business in Asia (in the case of Singapore) and select strategies to overcome the identified challenges. This report consists of six parts. The first part is the introduction, which points out that in the process of globalization, local British companies will face many difficulties in expanding business in Asia, especially in the aspects of cross-cultural communication. The second part introduces relevant theories of cross-cultural business communication, including identity negotiation theory, face negotiation theory and cultural dimension theory, and proposes that to establish effective communication, it is necessary to pay attention to and understand the deep-seated problems hidden behind culture. The third part analyzes the environment and objects of cross-cultural business communication, including the cross-cultural conflicts that may be brought by the work environment and the barriers of business communication caused by the differences in language or values in the external environment, and studies the different roles played by the partners or the government of the host country in cross-cultural communication. The fourth part takes the business activities of British companies in Singapore as an example, analyzes the challenges faced by cross-cultural business communication, and analyzes Singaporeans' communication methods, working attitudes and standards of corporate identification. The fifth part is the strategic analysis of cross-cultural business communication. It believes that business activities in Singapore should fully understand cultural differences, respect local culture, face up to cultural conflicts, and adhere to the people-oriented concept. The last part is the summary, which emphasizes that enterprises should improve cross-cultural awareness and have an international vision, and further considers the importance of efficient management team, social responsibility and keeping pace with </w:t>
      </w:r>
      <w:r>
        <w:rPr>
          <w:rFonts w:hint="eastAsia" w:ascii="Arial" w:hAnsi="Arial" w:cs="Arial"/>
          <w:sz w:val="24"/>
          <w:szCs w:val="24"/>
          <w:lang w:val="en-US" w:eastAsia="zh-CN"/>
        </w:rPr>
        <w:t>t</w:t>
      </w:r>
      <w:r>
        <w:rPr>
          <w:rFonts w:hint="default" w:ascii="Arial" w:hAnsi="Arial" w:cs="Arial"/>
          <w:sz w:val="24"/>
          <w:szCs w:val="24"/>
        </w:rPr>
        <w:t xml:space="preserve">he </w:t>
      </w:r>
      <w:r>
        <w:rPr>
          <w:rFonts w:hint="eastAsia" w:ascii="Arial" w:hAnsi="Arial" w:cs="Arial"/>
          <w:sz w:val="24"/>
          <w:szCs w:val="24"/>
          <w:lang w:val="en-US" w:eastAsia="zh-CN"/>
        </w:rPr>
        <w:t>t</w:t>
      </w:r>
      <w:r>
        <w:rPr>
          <w:rFonts w:hint="default" w:ascii="Arial" w:hAnsi="Arial" w:cs="Arial"/>
          <w:sz w:val="24"/>
          <w:szCs w:val="24"/>
        </w:rPr>
        <w:t>imes for successful enterprises.</w:t>
      </w:r>
    </w:p>
    <w:p>
      <w:pPr>
        <w:keepNext w:val="0"/>
        <w:keepLines w:val="0"/>
        <w:pageBreakBefore w:val="0"/>
        <w:widowControl w:val="0"/>
        <w:kinsoku/>
        <w:wordWrap/>
        <w:overflowPunct/>
        <w:topLinePunct w:val="0"/>
        <w:autoSpaceDE/>
        <w:autoSpaceDN/>
        <w:bidi w:val="0"/>
        <w:adjustRightInd/>
        <w:snapToGrid/>
        <w:spacing w:after="157" w:afterLines="50"/>
        <w:jc w:val="both"/>
        <w:textAlignment w:val="auto"/>
        <w:rPr>
          <w:rFonts w:hint="default" w:ascii="Arial" w:hAnsi="Arial" w:cs="Arial"/>
          <w:b/>
          <w:bCs/>
          <w:sz w:val="32"/>
          <w:szCs w:val="40"/>
        </w:rPr>
      </w:pPr>
      <w:r>
        <w:rPr>
          <w:rFonts w:hint="default" w:ascii="Arial" w:hAnsi="Arial" w:cs="Arial"/>
          <w:b/>
          <w:bCs/>
          <w:sz w:val="32"/>
          <w:szCs w:val="40"/>
        </w:rPr>
        <w:t>Contents</w:t>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840" w:leftChars="0" w:hanging="840" w:hangingChars="350"/>
        <w:textAlignment w:val="auto"/>
        <w:rPr>
          <w:rFonts w:hint="default" w:ascii="Arial" w:hAnsi="Arial" w:cs="Arial"/>
          <w:sz w:val="24"/>
          <w:szCs w:val="24"/>
        </w:rPr>
      </w:pP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TOC \o "1-3" \h \z \u </w:instrText>
      </w:r>
      <w:r>
        <w:rPr>
          <w:rFonts w:hint="default" w:ascii="Arial" w:hAnsi="Arial" w:cs="Arial"/>
          <w:b w:val="0"/>
          <w:bCs w:val="0"/>
          <w:sz w:val="24"/>
          <w:szCs w:val="24"/>
        </w:rPr>
        <w:fldChar w:fldCharType="separate"/>
      </w: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_Toc6541 </w:instrText>
      </w:r>
      <w:r>
        <w:rPr>
          <w:rFonts w:hint="default" w:ascii="Arial" w:hAnsi="Arial" w:cs="Arial"/>
          <w:bCs w:val="0"/>
          <w:sz w:val="24"/>
          <w:szCs w:val="24"/>
        </w:rPr>
        <w:fldChar w:fldCharType="separate"/>
      </w:r>
      <w:r>
        <w:rPr>
          <w:rFonts w:hint="default" w:ascii="Arial" w:hAnsi="Arial" w:cs="Arial"/>
          <w:sz w:val="24"/>
          <w:szCs w:val="24"/>
        </w:rPr>
        <w:t xml:space="preserve">1 </w:t>
      </w:r>
      <w:r>
        <w:rPr>
          <w:rFonts w:hint="default" w:ascii="Arial" w:hAnsi="Arial" w:cs="Arial"/>
          <w:sz w:val="24"/>
          <w:szCs w:val="24"/>
          <w:lang w:val="en-US" w:eastAsia="zh-CN"/>
        </w:rPr>
        <w:t>I</w:t>
      </w:r>
      <w:r>
        <w:rPr>
          <w:rFonts w:hint="default" w:ascii="Arial" w:hAnsi="Arial" w:cs="Arial"/>
          <w:sz w:val="24"/>
          <w:szCs w:val="24"/>
        </w:rPr>
        <w:t>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_Toc6541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840" w:leftChars="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_Toc17145 </w:instrText>
      </w:r>
      <w:r>
        <w:rPr>
          <w:rFonts w:hint="default" w:ascii="Arial" w:hAnsi="Arial" w:cs="Arial"/>
          <w:bCs w:val="0"/>
          <w:sz w:val="24"/>
          <w:szCs w:val="24"/>
        </w:rPr>
        <w:fldChar w:fldCharType="separate"/>
      </w:r>
      <w:r>
        <w:rPr>
          <w:rFonts w:hint="default" w:ascii="Arial" w:hAnsi="Arial" w:cs="Arial"/>
          <w:sz w:val="24"/>
          <w:szCs w:val="24"/>
        </w:rPr>
        <w:t>2 Concepts and related theories of cross-cultural business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_Toc17145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_Toc20666 </w:instrText>
      </w:r>
      <w:r>
        <w:rPr>
          <w:rFonts w:hint="default" w:ascii="Arial" w:hAnsi="Arial" w:cs="Arial"/>
          <w:bCs w:val="0"/>
          <w:sz w:val="24"/>
          <w:szCs w:val="24"/>
        </w:rPr>
        <w:fldChar w:fldCharType="separate"/>
      </w:r>
      <w:r>
        <w:rPr>
          <w:rFonts w:hint="default" w:ascii="Arial" w:hAnsi="Arial" w:cs="Arial"/>
          <w:sz w:val="24"/>
          <w:szCs w:val="24"/>
        </w:rPr>
        <w:t>2.1</w:t>
      </w:r>
      <w:r>
        <w:rPr>
          <w:rFonts w:hint="eastAsia" w:ascii="Arial" w:hAnsi="Arial" w:cs="Arial"/>
          <w:sz w:val="24"/>
          <w:szCs w:val="24"/>
          <w:lang w:val="en-US" w:eastAsia="zh-CN"/>
        </w:rPr>
        <w:t xml:space="preserve"> </w:t>
      </w:r>
      <w:r>
        <w:rPr>
          <w:rFonts w:hint="default" w:ascii="Arial" w:hAnsi="Arial" w:cs="Arial"/>
          <w:sz w:val="24"/>
          <w:szCs w:val="24"/>
          <w:lang w:val="en-US" w:eastAsia="zh-CN"/>
        </w:rPr>
        <w:t>Basic concept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_Toc20666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_Toc19867 </w:instrText>
      </w:r>
      <w:r>
        <w:rPr>
          <w:rFonts w:hint="default" w:ascii="Arial" w:hAnsi="Arial" w:cs="Arial"/>
          <w:bCs w:val="0"/>
          <w:sz w:val="24"/>
          <w:szCs w:val="24"/>
        </w:rPr>
        <w:fldChar w:fldCharType="separate"/>
      </w:r>
      <w:r>
        <w:rPr>
          <w:rFonts w:hint="default" w:ascii="Arial" w:hAnsi="Arial" w:cs="Arial"/>
          <w:sz w:val="24"/>
          <w:szCs w:val="24"/>
        </w:rPr>
        <w:t>2.2</w:t>
      </w:r>
      <w:r>
        <w:rPr>
          <w:rFonts w:hint="eastAsia" w:ascii="Arial" w:hAnsi="Arial" w:cs="Arial"/>
          <w:sz w:val="24"/>
          <w:szCs w:val="24"/>
          <w:lang w:val="en-US" w:eastAsia="zh-CN"/>
        </w:rPr>
        <w:t xml:space="preserve"> </w:t>
      </w:r>
      <w:r>
        <w:rPr>
          <w:rFonts w:hint="default" w:ascii="Arial" w:hAnsi="Arial" w:cs="Arial"/>
          <w:sz w:val="24"/>
          <w:szCs w:val="24"/>
        </w:rPr>
        <w:t>Cross-cultural communication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_Toc19867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680" w:leftChars="4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_Toc22518 </w:instrText>
      </w:r>
      <w:r>
        <w:rPr>
          <w:rFonts w:hint="default" w:ascii="Arial" w:hAnsi="Arial" w:cs="Arial"/>
          <w:bCs w:val="0"/>
          <w:sz w:val="24"/>
          <w:szCs w:val="24"/>
        </w:rPr>
        <w:fldChar w:fldCharType="separate"/>
      </w:r>
      <w:r>
        <w:rPr>
          <w:rFonts w:hint="default" w:ascii="Arial" w:hAnsi="Arial" w:cs="Arial"/>
          <w:sz w:val="24"/>
          <w:szCs w:val="24"/>
        </w:rPr>
        <w:t>2.2.1</w:t>
      </w:r>
      <w:r>
        <w:rPr>
          <w:rFonts w:hint="eastAsia" w:ascii="Arial" w:hAnsi="Arial" w:cs="Arial"/>
          <w:sz w:val="24"/>
          <w:szCs w:val="24"/>
          <w:lang w:val="en-US" w:eastAsia="zh-CN"/>
        </w:rPr>
        <w:t xml:space="preserve"> </w:t>
      </w:r>
      <w:r>
        <w:rPr>
          <w:rFonts w:hint="default" w:ascii="Arial" w:hAnsi="Arial" w:cs="Arial"/>
          <w:sz w:val="24"/>
          <w:szCs w:val="24"/>
        </w:rPr>
        <w:t>Identity negotiation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_Toc22518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680" w:leftChars="4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_Toc7068 </w:instrText>
      </w:r>
      <w:r>
        <w:rPr>
          <w:rFonts w:hint="default" w:ascii="Arial" w:hAnsi="Arial" w:cs="Arial"/>
          <w:bCs w:val="0"/>
          <w:sz w:val="24"/>
          <w:szCs w:val="24"/>
        </w:rPr>
        <w:fldChar w:fldCharType="separate"/>
      </w:r>
      <w:r>
        <w:rPr>
          <w:rFonts w:hint="default" w:ascii="Arial" w:hAnsi="Arial" w:cs="Arial"/>
          <w:sz w:val="24"/>
          <w:szCs w:val="24"/>
        </w:rPr>
        <w:t>2.2.2</w:t>
      </w:r>
      <w:r>
        <w:rPr>
          <w:rFonts w:hint="eastAsia" w:ascii="Arial" w:hAnsi="Arial" w:cs="Arial"/>
          <w:sz w:val="24"/>
          <w:szCs w:val="24"/>
          <w:lang w:val="en-US" w:eastAsia="zh-CN"/>
        </w:rPr>
        <w:t xml:space="preserve"> </w:t>
      </w:r>
      <w:r>
        <w:rPr>
          <w:rFonts w:hint="default" w:ascii="Arial" w:hAnsi="Arial" w:cs="Arial"/>
          <w:sz w:val="24"/>
          <w:szCs w:val="24"/>
        </w:rPr>
        <w:t>Face negotiation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_Toc7068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680" w:leftChars="4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_Toc14197 </w:instrText>
      </w:r>
      <w:r>
        <w:rPr>
          <w:rFonts w:hint="default" w:ascii="Arial" w:hAnsi="Arial" w:cs="Arial"/>
          <w:bCs w:val="0"/>
          <w:sz w:val="24"/>
          <w:szCs w:val="24"/>
        </w:rPr>
        <w:fldChar w:fldCharType="separate"/>
      </w:r>
      <w:r>
        <w:rPr>
          <w:rFonts w:hint="default" w:ascii="Arial" w:hAnsi="Arial" w:cs="Arial"/>
          <w:sz w:val="24"/>
          <w:szCs w:val="24"/>
        </w:rPr>
        <w:t>2.2.3</w:t>
      </w:r>
      <w:r>
        <w:rPr>
          <w:rFonts w:hint="eastAsia" w:ascii="Arial" w:hAnsi="Arial" w:cs="Arial"/>
          <w:sz w:val="24"/>
          <w:szCs w:val="24"/>
          <w:lang w:val="en-US" w:eastAsia="zh-CN"/>
        </w:rPr>
        <w:t xml:space="preserve"> </w:t>
      </w:r>
      <w:r>
        <w:rPr>
          <w:rFonts w:hint="default" w:ascii="Arial" w:hAnsi="Arial" w:cs="Arial"/>
          <w:sz w:val="24"/>
          <w:szCs w:val="24"/>
        </w:rPr>
        <w:t>Cultural dimension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_Toc14197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840" w:leftChars="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_Toc17083 </w:instrText>
      </w:r>
      <w:r>
        <w:rPr>
          <w:rFonts w:hint="default" w:ascii="Arial" w:hAnsi="Arial" w:cs="Arial"/>
          <w:bCs w:val="0"/>
          <w:sz w:val="24"/>
          <w:szCs w:val="24"/>
        </w:rPr>
        <w:fldChar w:fldCharType="separate"/>
      </w:r>
      <w:r>
        <w:rPr>
          <w:rFonts w:hint="default" w:ascii="Arial" w:hAnsi="Arial" w:cs="Arial"/>
          <w:sz w:val="24"/>
          <w:szCs w:val="24"/>
        </w:rPr>
        <w:t>3 The environment and object of cross-cultural business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_Toc17083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_Toc2796 </w:instrText>
      </w:r>
      <w:r>
        <w:rPr>
          <w:rFonts w:hint="default" w:ascii="Arial" w:hAnsi="Arial" w:cs="Arial"/>
          <w:bCs w:val="0"/>
          <w:sz w:val="24"/>
          <w:szCs w:val="24"/>
        </w:rPr>
        <w:fldChar w:fldCharType="separate"/>
      </w:r>
      <w:r>
        <w:rPr>
          <w:rFonts w:hint="default" w:ascii="Arial" w:hAnsi="Arial" w:cs="Arial"/>
          <w:sz w:val="24"/>
          <w:szCs w:val="24"/>
        </w:rPr>
        <w:t xml:space="preserve">3.1 </w:t>
      </w:r>
      <w:r>
        <w:rPr>
          <w:rFonts w:hint="default" w:ascii="Arial" w:hAnsi="Arial" w:cs="Arial"/>
          <w:sz w:val="24"/>
          <w:szCs w:val="24"/>
          <w:lang w:val="en-US" w:eastAsia="zh-CN"/>
        </w:rPr>
        <w:t>E</w:t>
      </w:r>
      <w:r>
        <w:rPr>
          <w:rFonts w:hint="default" w:ascii="Arial" w:hAnsi="Arial" w:cs="Arial"/>
          <w:sz w:val="24"/>
          <w:szCs w:val="24"/>
        </w:rPr>
        <w:t>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_Toc2796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_Toc8445 </w:instrText>
      </w:r>
      <w:r>
        <w:rPr>
          <w:rFonts w:hint="default" w:ascii="Arial" w:hAnsi="Arial" w:cs="Arial"/>
          <w:bCs w:val="0"/>
          <w:sz w:val="24"/>
          <w:szCs w:val="24"/>
        </w:rPr>
        <w:fldChar w:fldCharType="separate"/>
      </w:r>
      <w:r>
        <w:rPr>
          <w:rFonts w:hint="default" w:ascii="Arial" w:hAnsi="Arial" w:cs="Arial"/>
          <w:sz w:val="24"/>
          <w:szCs w:val="24"/>
        </w:rPr>
        <w:t xml:space="preserve">3.2 </w:t>
      </w:r>
      <w:r>
        <w:rPr>
          <w:rFonts w:hint="default" w:ascii="Arial" w:hAnsi="Arial" w:cs="Arial"/>
          <w:sz w:val="24"/>
          <w:szCs w:val="24"/>
          <w:lang w:val="en-US" w:eastAsia="zh-CN"/>
        </w:rPr>
        <w:t>O</w:t>
      </w:r>
      <w:r>
        <w:rPr>
          <w:rFonts w:hint="default" w:ascii="Arial" w:hAnsi="Arial" w:cs="Arial"/>
          <w:sz w:val="24"/>
          <w:szCs w:val="24"/>
        </w:rPr>
        <w:t>bject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_Toc8445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680" w:leftChars="4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_Toc19657 </w:instrText>
      </w:r>
      <w:r>
        <w:rPr>
          <w:rFonts w:hint="default" w:ascii="Arial" w:hAnsi="Arial" w:cs="Arial"/>
          <w:bCs w:val="0"/>
          <w:sz w:val="24"/>
          <w:szCs w:val="24"/>
        </w:rPr>
        <w:fldChar w:fldCharType="separate"/>
      </w:r>
      <w:r>
        <w:rPr>
          <w:rFonts w:hint="default" w:ascii="Arial" w:hAnsi="Arial" w:cs="Arial"/>
          <w:sz w:val="24"/>
          <w:szCs w:val="24"/>
        </w:rPr>
        <w:t>3.2.1 The impact of partners and clients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_Toc19657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680" w:leftChars="4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_Toc4505 </w:instrText>
      </w:r>
      <w:r>
        <w:rPr>
          <w:rFonts w:hint="default" w:ascii="Arial" w:hAnsi="Arial" w:cs="Arial"/>
          <w:bCs w:val="0"/>
          <w:sz w:val="24"/>
          <w:szCs w:val="24"/>
        </w:rPr>
        <w:fldChar w:fldCharType="separate"/>
      </w:r>
      <w:r>
        <w:rPr>
          <w:rFonts w:hint="default" w:ascii="Arial" w:hAnsi="Arial" w:cs="Arial"/>
          <w:sz w:val="24"/>
          <w:szCs w:val="24"/>
        </w:rPr>
        <w:t>3.2.2 Influence of host government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_Toc4505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840" w:leftChars="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_Toc29694 </w:instrText>
      </w:r>
      <w:r>
        <w:rPr>
          <w:rFonts w:hint="default" w:ascii="Arial" w:hAnsi="Arial" w:cs="Arial"/>
          <w:bCs w:val="0"/>
          <w:sz w:val="24"/>
          <w:szCs w:val="24"/>
        </w:rPr>
        <w:fldChar w:fldCharType="separate"/>
      </w:r>
      <w:r>
        <w:rPr>
          <w:rFonts w:hint="default" w:ascii="Arial" w:hAnsi="Arial" w:cs="Arial"/>
          <w:sz w:val="24"/>
          <w:szCs w:val="24"/>
        </w:rPr>
        <w:t>4 Challenges in cross-cultural business Communication - A case study of doing business in Singapore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_Toc29694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_Toc24063 </w:instrText>
      </w:r>
      <w:r>
        <w:rPr>
          <w:rFonts w:hint="default" w:ascii="Arial" w:hAnsi="Arial" w:cs="Arial"/>
          <w:bCs w:val="0"/>
          <w:sz w:val="24"/>
          <w:szCs w:val="24"/>
        </w:rPr>
        <w:fldChar w:fldCharType="separate"/>
      </w:r>
      <w:r>
        <w:rPr>
          <w:rFonts w:hint="default" w:ascii="Arial" w:hAnsi="Arial" w:cs="Arial"/>
          <w:sz w:val="24"/>
          <w:szCs w:val="24"/>
        </w:rPr>
        <w:t>4.1</w:t>
      </w:r>
      <w:r>
        <w:rPr>
          <w:rFonts w:hint="eastAsia" w:ascii="Arial" w:hAnsi="Arial" w:cs="Arial"/>
          <w:sz w:val="24"/>
          <w:szCs w:val="24"/>
          <w:lang w:val="en-US" w:eastAsia="zh-CN"/>
        </w:rPr>
        <w:t xml:space="preserve"> </w:t>
      </w:r>
      <w:r>
        <w:rPr>
          <w:rFonts w:hint="default" w:ascii="Arial" w:hAnsi="Arial" w:cs="Arial"/>
          <w:sz w:val="24"/>
          <w:szCs w:val="24"/>
        </w:rPr>
        <w:t>Communication mode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_Toc24063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_Toc16731 </w:instrText>
      </w:r>
      <w:r>
        <w:rPr>
          <w:rFonts w:hint="default" w:ascii="Arial" w:hAnsi="Arial" w:cs="Arial"/>
          <w:bCs w:val="0"/>
          <w:sz w:val="24"/>
          <w:szCs w:val="24"/>
        </w:rPr>
        <w:fldChar w:fldCharType="separate"/>
      </w:r>
      <w:r>
        <w:rPr>
          <w:rFonts w:hint="default" w:ascii="Arial" w:hAnsi="Arial" w:cs="Arial"/>
          <w:sz w:val="24"/>
          <w:szCs w:val="24"/>
        </w:rPr>
        <w:t>4.2</w:t>
      </w:r>
      <w:r>
        <w:rPr>
          <w:rFonts w:hint="eastAsia" w:ascii="Arial" w:hAnsi="Arial" w:cs="Arial"/>
          <w:sz w:val="24"/>
          <w:szCs w:val="24"/>
          <w:lang w:val="en-US" w:eastAsia="zh-CN"/>
        </w:rPr>
        <w:t xml:space="preserve"> </w:t>
      </w:r>
      <w:r>
        <w:rPr>
          <w:rFonts w:hint="default" w:ascii="Arial" w:hAnsi="Arial" w:cs="Arial"/>
          <w:sz w:val="24"/>
          <w:szCs w:val="24"/>
        </w:rPr>
        <w:t>Work attitude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_Toc16731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_Toc29787 </w:instrText>
      </w:r>
      <w:r>
        <w:rPr>
          <w:rFonts w:hint="default" w:ascii="Arial" w:hAnsi="Arial" w:cs="Arial"/>
          <w:bCs w:val="0"/>
          <w:sz w:val="24"/>
          <w:szCs w:val="24"/>
        </w:rPr>
        <w:fldChar w:fldCharType="separate"/>
      </w:r>
      <w:r>
        <w:rPr>
          <w:rFonts w:hint="default" w:ascii="Arial" w:hAnsi="Arial" w:cs="Arial"/>
          <w:sz w:val="24"/>
          <w:szCs w:val="24"/>
        </w:rPr>
        <w:t>4.3</w:t>
      </w:r>
      <w:r>
        <w:rPr>
          <w:rFonts w:hint="eastAsia" w:ascii="Arial" w:hAnsi="Arial" w:cs="Arial"/>
          <w:sz w:val="24"/>
          <w:szCs w:val="24"/>
          <w:lang w:val="en-US" w:eastAsia="zh-CN"/>
        </w:rPr>
        <w:t xml:space="preserve"> </w:t>
      </w:r>
      <w:r>
        <w:rPr>
          <w:rFonts w:hint="default" w:ascii="Arial" w:hAnsi="Arial" w:cs="Arial"/>
          <w:sz w:val="24"/>
          <w:szCs w:val="24"/>
        </w:rPr>
        <w:t>Views on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_Toc29787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840" w:leftChars="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_Toc16526 </w:instrText>
      </w:r>
      <w:r>
        <w:rPr>
          <w:rFonts w:hint="default" w:ascii="Arial" w:hAnsi="Arial" w:cs="Arial"/>
          <w:bCs w:val="0"/>
          <w:sz w:val="24"/>
          <w:szCs w:val="24"/>
        </w:rPr>
        <w:fldChar w:fldCharType="separate"/>
      </w:r>
      <w:r>
        <w:rPr>
          <w:rFonts w:hint="default" w:ascii="Arial" w:hAnsi="Arial" w:cs="Arial"/>
          <w:sz w:val="24"/>
          <w:szCs w:val="24"/>
        </w:rPr>
        <w:t>5 An analysis of cross-cultural business communication strategies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_Toc16526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_Toc30476 </w:instrText>
      </w:r>
      <w:r>
        <w:rPr>
          <w:rFonts w:hint="default" w:ascii="Arial" w:hAnsi="Arial" w:cs="Arial"/>
          <w:bCs w:val="0"/>
          <w:sz w:val="24"/>
          <w:szCs w:val="24"/>
        </w:rPr>
        <w:fldChar w:fldCharType="separate"/>
      </w:r>
      <w:r>
        <w:rPr>
          <w:rFonts w:hint="default" w:ascii="Arial" w:hAnsi="Arial" w:cs="Arial"/>
          <w:sz w:val="24"/>
          <w:szCs w:val="24"/>
        </w:rPr>
        <w:t>5.1</w:t>
      </w:r>
      <w:r>
        <w:rPr>
          <w:rFonts w:hint="eastAsia" w:ascii="Arial" w:hAnsi="Arial" w:cs="Arial"/>
          <w:sz w:val="24"/>
          <w:szCs w:val="24"/>
          <w:lang w:val="en-US" w:eastAsia="zh-CN"/>
        </w:rPr>
        <w:t xml:space="preserve"> </w:t>
      </w:r>
      <w:r>
        <w:rPr>
          <w:rFonts w:hint="default" w:ascii="Arial" w:hAnsi="Arial" w:cs="Arial"/>
          <w:sz w:val="24"/>
          <w:szCs w:val="24"/>
        </w:rPr>
        <w:t>Understand cultural differences and respect local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_Toc30476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_Toc25148 </w:instrText>
      </w:r>
      <w:r>
        <w:rPr>
          <w:rFonts w:hint="default" w:ascii="Arial" w:hAnsi="Arial" w:cs="Arial"/>
          <w:bCs w:val="0"/>
          <w:sz w:val="24"/>
          <w:szCs w:val="24"/>
        </w:rPr>
        <w:fldChar w:fldCharType="separate"/>
      </w:r>
      <w:r>
        <w:rPr>
          <w:rFonts w:hint="default" w:ascii="Arial" w:hAnsi="Arial" w:cs="Arial"/>
          <w:sz w:val="24"/>
          <w:szCs w:val="24"/>
        </w:rPr>
        <w:t>5.2</w:t>
      </w:r>
      <w:r>
        <w:rPr>
          <w:rFonts w:hint="eastAsia" w:ascii="Arial" w:hAnsi="Arial" w:cs="Arial"/>
          <w:sz w:val="24"/>
          <w:szCs w:val="24"/>
          <w:lang w:val="en-US" w:eastAsia="zh-CN"/>
        </w:rPr>
        <w:t xml:space="preserve"> </w:t>
      </w:r>
      <w:r>
        <w:rPr>
          <w:rFonts w:hint="default" w:ascii="Arial" w:hAnsi="Arial" w:cs="Arial"/>
          <w:sz w:val="24"/>
          <w:szCs w:val="24"/>
        </w:rPr>
        <w:t>Face up to cultural conflicts and make plans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_Toc25148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1260" w:leftChars="20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_Toc5342 </w:instrText>
      </w:r>
      <w:r>
        <w:rPr>
          <w:rFonts w:hint="default" w:ascii="Arial" w:hAnsi="Arial" w:cs="Arial"/>
          <w:bCs w:val="0"/>
          <w:sz w:val="24"/>
          <w:szCs w:val="24"/>
        </w:rPr>
        <w:fldChar w:fldCharType="separate"/>
      </w:r>
      <w:r>
        <w:rPr>
          <w:rFonts w:hint="default" w:ascii="Arial" w:hAnsi="Arial" w:cs="Arial"/>
          <w:sz w:val="24"/>
          <w:szCs w:val="24"/>
        </w:rPr>
        <w:t>5.3</w:t>
      </w:r>
      <w:r>
        <w:rPr>
          <w:rFonts w:hint="eastAsia" w:ascii="Arial" w:hAnsi="Arial" w:cs="Arial"/>
          <w:sz w:val="24"/>
          <w:szCs w:val="24"/>
          <w:lang w:val="en-US" w:eastAsia="zh-CN"/>
        </w:rPr>
        <w:t xml:space="preserve"> </w:t>
      </w:r>
      <w:r>
        <w:rPr>
          <w:rFonts w:hint="default" w:ascii="Arial" w:hAnsi="Arial" w:cs="Arial"/>
          <w:sz w:val="24"/>
          <w:szCs w:val="24"/>
        </w:rPr>
        <w:t>People-oriented, enhance the value of employees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_Toc5342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840" w:leftChars="0" w:hanging="840" w:hangingChars="350"/>
        <w:textAlignment w:val="auto"/>
        <w:rPr>
          <w:rFonts w:hint="default" w:ascii="Arial" w:hAnsi="Arial" w:cs="Arial"/>
          <w:sz w:val="24"/>
          <w:szCs w:val="24"/>
        </w:rPr>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_Toc32725 </w:instrText>
      </w:r>
      <w:r>
        <w:rPr>
          <w:rFonts w:hint="default" w:ascii="Arial" w:hAnsi="Arial" w:cs="Arial"/>
          <w:bCs w:val="0"/>
          <w:sz w:val="24"/>
          <w:szCs w:val="24"/>
        </w:rPr>
        <w:fldChar w:fldCharType="separate"/>
      </w:r>
      <w:r>
        <w:rPr>
          <w:rFonts w:hint="default" w:ascii="Arial" w:hAnsi="Arial" w:cs="Arial"/>
          <w:sz w:val="24"/>
          <w:szCs w:val="24"/>
        </w:rPr>
        <w:t xml:space="preserve">6 </w:t>
      </w:r>
      <w:r>
        <w:rPr>
          <w:rFonts w:hint="default" w:ascii="Arial" w:hAnsi="Arial" w:cs="Arial"/>
          <w:sz w:val="24"/>
          <w:szCs w:val="24"/>
          <w:lang w:val="en-US" w:eastAsia="zh-CN"/>
        </w:rPr>
        <w:t>Summary and discussion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_Toc32725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bCs w:val="0"/>
          <w:sz w:val="24"/>
          <w:szCs w:val="24"/>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840" w:leftChars="0" w:hanging="840" w:hangingChars="350"/>
        <w:textAlignment w:val="auto"/>
      </w:pPr>
      <w:r>
        <w:rPr>
          <w:rFonts w:hint="default" w:ascii="Arial" w:hAnsi="Arial" w:cs="Arial"/>
          <w:bCs w:val="0"/>
          <w:sz w:val="24"/>
          <w:szCs w:val="24"/>
        </w:rPr>
        <w:fldChar w:fldCharType="begin"/>
      </w:r>
      <w:r>
        <w:rPr>
          <w:rFonts w:hint="default" w:ascii="Arial" w:hAnsi="Arial" w:cs="Arial"/>
          <w:bCs w:val="0"/>
          <w:sz w:val="24"/>
          <w:szCs w:val="24"/>
        </w:rPr>
        <w:instrText xml:space="preserve"> HYPERLINK \l _Toc22538 </w:instrText>
      </w:r>
      <w:r>
        <w:rPr>
          <w:rFonts w:hint="default" w:ascii="Arial" w:hAnsi="Arial" w:cs="Arial"/>
          <w:bCs w:val="0"/>
          <w:sz w:val="24"/>
          <w:szCs w:val="24"/>
        </w:rPr>
        <w:fldChar w:fldCharType="separate"/>
      </w:r>
      <w:r>
        <w:rPr>
          <w:rFonts w:hint="default" w:ascii="Arial" w:hAnsi="Arial" w:cs="Arial"/>
          <w:sz w:val="24"/>
          <w:szCs w:val="24"/>
          <w:lang w:val="en-US" w:eastAsia="zh-CN"/>
        </w:rPr>
        <w:t>Reference list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_Toc22538 \h </w:instrText>
      </w:r>
      <w:r>
        <w:rPr>
          <w:rFonts w:hint="default" w:ascii="Arial" w:hAnsi="Arial" w:cs="Arial"/>
          <w:sz w:val="24"/>
          <w:szCs w:val="24"/>
        </w:rPr>
        <w:fldChar w:fldCharType="separate"/>
      </w:r>
      <w:r>
        <w:rPr>
          <w:rFonts w:hint="default" w:ascii="Arial" w:hAnsi="Arial" w:cs="Arial"/>
          <w:sz w:val="24"/>
          <w:szCs w:val="24"/>
        </w:rPr>
        <w:t>19</w:t>
      </w:r>
      <w:r>
        <w:rPr>
          <w:rFonts w:hint="default" w:ascii="Arial" w:hAnsi="Arial" w:cs="Arial"/>
          <w:sz w:val="24"/>
          <w:szCs w:val="24"/>
        </w:rPr>
        <w:fldChar w:fldCharType="end"/>
      </w:r>
      <w:r>
        <w:rPr>
          <w:rFonts w:hint="default" w:ascii="Arial" w:hAnsi="Arial" w:cs="Arial"/>
          <w:bCs w:val="0"/>
          <w:sz w:val="24"/>
          <w:szCs w:val="24"/>
        </w:rPr>
        <w:fldChar w:fldCharType="end"/>
      </w:r>
    </w:p>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default" w:eastAsiaTheme="minorHAnsi" w:cstheme="minorBidi"/>
          <w:b/>
          <w:bCs/>
          <w:color w:val="auto"/>
          <w:sz w:val="24"/>
          <w:szCs w:val="22"/>
          <w:lang w:val="en-GB"/>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Arial" w:hAnsi="Arial" w:cs="Arial"/>
          <w:bCs w:val="0"/>
          <w:szCs w:val="24"/>
        </w:rPr>
        <w:fldChar w:fldCharType="end"/>
      </w:r>
    </w:p>
    <w:p>
      <w:pPr>
        <w:pStyle w:val="4"/>
        <w:numPr>
          <w:ilvl w:val="2"/>
          <w:numId w:val="0"/>
        </w:numPr>
        <w:tabs>
          <w:tab w:val="left" w:pos="0"/>
        </w:tabs>
        <w:spacing w:before="20" w:after="20"/>
        <w:ind w:leftChars="0"/>
        <w:rPr>
          <w:rFonts w:ascii="Arial" w:hAnsi="Arial" w:cs="Arial"/>
        </w:rPr>
      </w:pPr>
      <w:bookmarkStart w:id="0" w:name="_Toc6541"/>
      <w:r>
        <w:rPr>
          <w:rFonts w:hint="eastAsia" w:ascii="Arial" w:hAnsi="Arial" w:cs="Arial"/>
        </w:rPr>
        <w:t>1</w:t>
      </w:r>
      <w:r>
        <w:rPr>
          <w:rFonts w:ascii="Arial" w:hAnsi="Arial" w:cs="Arial"/>
        </w:rPr>
        <w:t xml:space="preserve"> </w:t>
      </w:r>
      <w:r>
        <w:rPr>
          <w:rFonts w:hint="eastAsia" w:ascii="Arial" w:hAnsi="Arial" w:cs="Arial"/>
          <w:lang w:val="en-US" w:eastAsia="zh-CN"/>
        </w:rPr>
        <w:t>I</w:t>
      </w:r>
      <w:r>
        <w:rPr>
          <w:rFonts w:hint="eastAsia" w:ascii="Arial" w:hAnsi="Arial" w:cs="Arial"/>
        </w:rPr>
        <w:t>ntroduction</w:t>
      </w:r>
      <w:bookmarkEnd w:id="0"/>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lang w:val="en-US" w:eastAsia="zh-CN"/>
        </w:rPr>
      </w:pPr>
      <w:r>
        <w:rPr>
          <w:rFonts w:hint="default" w:ascii="Arial" w:hAnsi="Arial" w:eastAsia="宋体" w:cs="Arial"/>
          <w:sz w:val="24"/>
          <w:lang w:val="en-US" w:eastAsia="zh-CN"/>
        </w:rPr>
        <w:t>Globalization is the future trend of business development. In order to expand the company's business to the world as soon as possible, multinational enterprises urgently need to solve the problem of transnational cultural business communication in different working environments. In the expansion of business in Asia, as its geographical location is far away from Europe and America, the cultural differences increase, and multinational enterprises will face many challenges.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lang w:val="en-US" w:eastAsia="zh-CN"/>
        </w:rPr>
      </w:pPr>
      <w:r>
        <w:rPr>
          <w:rFonts w:hint="default" w:ascii="Arial" w:hAnsi="Arial" w:eastAsia="宋体" w:cs="Arial"/>
          <w:sz w:val="24"/>
          <w:lang w:val="en-US" w:eastAsia="zh-CN"/>
        </w:rPr>
        <w:t>In my first report for the International Business Communication course, I offered some sound advice to a local clothing sales agent in the UK on how to cope with the challenges they might face in expanding their business into Asia.</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In this report, Singapore will be taken as an example to try to sort out the problems that enterprises need to pay attention to in transnational business communication, mainly including the following points: (a) </w:t>
      </w:r>
      <w:r>
        <w:rPr>
          <w:rFonts w:hint="eastAsia" w:ascii="Arial" w:hAnsi="Arial" w:eastAsia="宋体" w:cs="Arial"/>
          <w:sz w:val="24"/>
          <w:lang w:val="en-US" w:eastAsia="zh-CN"/>
        </w:rPr>
        <w:t>T</w:t>
      </w:r>
      <w:r>
        <w:rPr>
          <w:rFonts w:hint="default" w:ascii="Arial" w:hAnsi="Arial" w:eastAsia="宋体" w:cs="Arial"/>
          <w:sz w:val="24"/>
          <w:lang w:val="en-US" w:eastAsia="zh-CN"/>
        </w:rPr>
        <w:t>he concept and method of cross-cultural communication; (b) The environment and object of cross-cultural business communication; (c) Challenges faced by businesses in conducting business in Singapore. Finally, some feasible strategies are given for enterprise reference.</w:t>
      </w:r>
    </w:p>
    <w:p>
      <w:pPr>
        <w:pStyle w:val="4"/>
        <w:numPr>
          <w:ilvl w:val="2"/>
          <w:numId w:val="0"/>
        </w:numPr>
        <w:tabs>
          <w:tab w:val="left" w:pos="0"/>
        </w:tabs>
        <w:spacing w:before="20" w:after="20"/>
        <w:ind w:leftChars="0"/>
        <w:rPr>
          <w:rFonts w:ascii="Arial" w:hAnsi="Arial" w:cs="Arial"/>
        </w:rPr>
      </w:pPr>
      <w:bookmarkStart w:id="1" w:name="_Toc17145"/>
      <w:r>
        <w:rPr>
          <w:rFonts w:ascii="Arial" w:hAnsi="Arial" w:cs="Arial"/>
        </w:rPr>
        <w:t xml:space="preserve">2 </w:t>
      </w:r>
      <w:r>
        <w:rPr>
          <w:rFonts w:hint="eastAsia" w:ascii="Arial" w:hAnsi="Arial" w:cs="Arial"/>
        </w:rPr>
        <w:t>Concepts and related theories of cross-cultural business communication</w:t>
      </w:r>
      <w:bookmarkEnd w:id="1"/>
    </w:p>
    <w:p>
      <w:pPr>
        <w:pStyle w:val="4"/>
        <w:numPr>
          <w:ilvl w:val="2"/>
          <w:numId w:val="0"/>
        </w:numPr>
        <w:tabs>
          <w:tab w:val="left" w:pos="0"/>
        </w:tabs>
        <w:spacing w:before="20" w:after="20"/>
        <w:ind w:leftChars="0"/>
        <w:rPr>
          <w:rFonts w:hint="eastAsia" w:ascii="Arial" w:hAnsi="Arial" w:cs="Arial" w:eastAsiaTheme="minorEastAsia"/>
          <w:sz w:val="28"/>
          <w:szCs w:val="28"/>
          <w:lang w:val="en-US" w:eastAsia="zh-CN"/>
        </w:rPr>
      </w:pPr>
      <w:bookmarkStart w:id="2" w:name="_Toc20666"/>
      <w:r>
        <w:rPr>
          <w:rFonts w:ascii="Arial" w:hAnsi="Arial" w:cs="Arial"/>
          <w:sz w:val="28"/>
          <w:szCs w:val="28"/>
        </w:rPr>
        <w:t>2.1</w:t>
      </w:r>
      <w:r>
        <w:rPr>
          <w:rFonts w:hint="eastAsia" w:ascii="Arial" w:hAnsi="Arial" w:cs="Arial"/>
          <w:sz w:val="28"/>
          <w:szCs w:val="28"/>
          <w:lang w:val="en-US" w:eastAsia="zh-CN"/>
        </w:rPr>
        <w:t xml:space="preserve"> Basic concept</w:t>
      </w:r>
      <w:bookmarkEnd w:id="2"/>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rPr>
      </w:pPr>
      <w:r>
        <w:rPr>
          <w:rFonts w:hint="default" w:ascii="Arial" w:hAnsi="Arial" w:eastAsia="宋体" w:cs="Arial"/>
          <w:sz w:val="24"/>
        </w:rPr>
        <w:t>Business communication is one of the most important competencies for international companies. In order to maintain a competitive advantage in an increasingly international environment, practitioners should consider the obstacles that cultural differences bring to business communication (Guang &amp; Kathy 2018). Having the ability of cross-cultural business communication is particularly important and often a big challenge for employees.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rPr>
      </w:pPr>
      <w:r>
        <w:rPr>
          <w:rFonts w:hint="default" w:ascii="Arial" w:hAnsi="Arial" w:eastAsia="宋体" w:cs="Arial"/>
          <w:sz w:val="24"/>
        </w:rPr>
        <w:t>My understanding is that communication is one of the essential links in business activities, and communication is an element of cultural composition. Therefore, when dealing with people from different countries and cultural backgrounds, we must face the communication problems caused by different cultural differences. In order to establish effective communication, employees need to be sensitive to cultural differences, pay attention to and understand the deep-seated issues behind the culture, such as high and low context issues, which will help promote communication and avoid the damage of brand and business cooperation caused by cultural differences.</w:t>
      </w:r>
    </w:p>
    <w:p>
      <w:pPr>
        <w:pStyle w:val="4"/>
        <w:numPr>
          <w:ilvl w:val="2"/>
          <w:numId w:val="0"/>
        </w:numPr>
        <w:tabs>
          <w:tab w:val="left" w:pos="0"/>
        </w:tabs>
        <w:spacing w:before="20" w:after="20"/>
        <w:ind w:leftChars="0"/>
        <w:rPr>
          <w:rFonts w:ascii="Arial" w:hAnsi="Arial" w:cs="Arial"/>
          <w:sz w:val="28"/>
          <w:szCs w:val="28"/>
        </w:rPr>
      </w:pPr>
      <w:bookmarkStart w:id="3" w:name="_Toc19867"/>
      <w:r>
        <w:rPr>
          <w:rFonts w:ascii="Arial" w:hAnsi="Arial" w:cs="Arial"/>
          <w:sz w:val="28"/>
          <w:szCs w:val="28"/>
        </w:rPr>
        <w:t>2.2</w:t>
      </w:r>
      <w:r>
        <w:rPr>
          <w:rFonts w:hint="eastAsia" w:ascii="Arial" w:hAnsi="Arial" w:cs="Arial"/>
          <w:sz w:val="28"/>
          <w:szCs w:val="28"/>
          <w:lang w:val="en-US" w:eastAsia="zh-CN"/>
        </w:rPr>
        <w:t xml:space="preserve"> </w:t>
      </w:r>
      <w:r>
        <w:rPr>
          <w:rFonts w:hint="eastAsia" w:ascii="Arial" w:hAnsi="Arial" w:cs="Arial"/>
          <w:sz w:val="28"/>
          <w:szCs w:val="28"/>
        </w:rPr>
        <w:t>Cross-cultural communication theory</w:t>
      </w:r>
      <w:bookmarkEnd w:id="3"/>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eastAsia="宋体"/>
          <w:sz w:val="24"/>
        </w:rPr>
      </w:pPr>
      <w:r>
        <w:rPr>
          <w:rFonts w:hint="default" w:ascii="Arial" w:hAnsi="Arial" w:eastAsia="宋体" w:cs="Arial"/>
          <w:sz w:val="24"/>
        </w:rPr>
        <w:t>Cross-cultural integration is the cornerstone of international business success. Cross-cultural business communication requires practitioners to have cross-cultural thinking ability and be able to deal with and coordinate between different factions (Schmidt &amp; Conaway et al 2007), so as to help people with different cultural affiliations develop common feelings and resonate. Eliminate cultural centralism and carry out effective two-way communication. Generally, there are three theories that can help practitioners better carry out cross-cultural communication.</w:t>
      </w:r>
    </w:p>
    <w:p>
      <w:pPr>
        <w:pStyle w:val="4"/>
        <w:numPr>
          <w:ilvl w:val="2"/>
          <w:numId w:val="0"/>
        </w:numPr>
        <w:tabs>
          <w:tab w:val="left" w:pos="0"/>
        </w:tabs>
        <w:spacing w:before="20" w:after="20"/>
        <w:ind w:leftChars="0"/>
        <w:rPr>
          <w:rFonts w:ascii="Arial" w:hAnsi="Arial" w:cs="Arial"/>
          <w:sz w:val="28"/>
          <w:szCs w:val="28"/>
        </w:rPr>
      </w:pPr>
      <w:bookmarkStart w:id="4" w:name="_Toc22518"/>
      <w:r>
        <w:rPr>
          <w:rFonts w:ascii="Arial" w:hAnsi="Arial" w:cs="Arial"/>
          <w:sz w:val="28"/>
          <w:szCs w:val="28"/>
        </w:rPr>
        <w:t>2.2.1</w:t>
      </w:r>
      <w:r>
        <w:rPr>
          <w:rFonts w:hint="eastAsia" w:ascii="Arial" w:hAnsi="Arial" w:cs="Arial"/>
          <w:sz w:val="28"/>
          <w:szCs w:val="28"/>
          <w:lang w:val="en-US" w:eastAsia="zh-CN"/>
        </w:rPr>
        <w:t xml:space="preserve"> </w:t>
      </w:r>
      <w:r>
        <w:rPr>
          <w:rFonts w:hint="eastAsia" w:ascii="Arial" w:hAnsi="Arial" w:cs="Arial"/>
          <w:sz w:val="28"/>
          <w:szCs w:val="28"/>
        </w:rPr>
        <w:t>Identity negotiation theory</w:t>
      </w:r>
      <w:bookmarkEnd w:id="4"/>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American sociologist Erving Goffman proposed in 1959 that identity should be achieved through negotiation based on the principle of social interaction to reach consensus through negotiation. This first proposed concept of identity negotiation theory has been recognized and extended by many subsequent scholars. William </w:t>
      </w:r>
      <w:r>
        <w:rPr>
          <w:rFonts w:hint="eastAsia" w:ascii="Arial" w:hAnsi="Arial" w:eastAsia="宋体" w:cs="Arial"/>
          <w:sz w:val="24"/>
          <w:lang w:val="en-US" w:eastAsia="zh-CN"/>
        </w:rPr>
        <w:t xml:space="preserve">&amp; </w:t>
      </w:r>
      <w:r>
        <w:rPr>
          <w:rFonts w:hint="default" w:ascii="Arial" w:hAnsi="Arial" w:eastAsia="宋体" w:cs="Arial"/>
          <w:sz w:val="24"/>
          <w:lang w:val="en-US" w:eastAsia="zh-CN"/>
        </w:rPr>
        <w:t>Swann</w:t>
      </w:r>
      <w:r>
        <w:rPr>
          <w:rFonts w:hint="eastAsia" w:ascii="Arial" w:hAnsi="Arial" w:eastAsia="宋体" w:cs="Arial"/>
          <w:sz w:val="24"/>
          <w:lang w:val="en-US" w:eastAsia="zh-CN"/>
        </w:rPr>
        <w:t xml:space="preserve"> (</w:t>
      </w:r>
      <w:r>
        <w:rPr>
          <w:rFonts w:hint="default" w:ascii="Arial" w:hAnsi="Arial" w:eastAsia="宋体" w:cs="Arial"/>
          <w:sz w:val="24"/>
          <w:lang w:val="en-US" w:eastAsia="zh-CN"/>
        </w:rPr>
        <w:t>2009)</w:t>
      </w:r>
      <w:r>
        <w:rPr>
          <w:rFonts w:hint="eastAsia" w:ascii="Arial" w:hAnsi="Arial" w:eastAsia="宋体" w:cs="Arial"/>
          <w:sz w:val="24"/>
          <w:lang w:val="en-US" w:eastAsia="zh-CN"/>
        </w:rPr>
        <w:t xml:space="preserve"> </w:t>
      </w:r>
      <w:r>
        <w:rPr>
          <w:rFonts w:hint="default" w:ascii="Arial" w:hAnsi="Arial" w:eastAsia="宋体" w:cs="Arial"/>
          <w:sz w:val="24"/>
          <w:lang w:val="en-US" w:eastAsia="zh-CN"/>
        </w:rPr>
        <w:t>believes that people also establish their identities during the negotiation process, and these identities determine the nature of their relationships. As for identity negotiation, Jackson (2002) attempts to explain and understand this concept with the help of cultural contract theory, and argues that the important challenge we face is to determine how to use identity to accomplish what without disagreement.</w:t>
      </w:r>
    </w:p>
    <w:p>
      <w:pPr>
        <w:pStyle w:val="4"/>
        <w:numPr>
          <w:ilvl w:val="2"/>
          <w:numId w:val="0"/>
        </w:numPr>
        <w:tabs>
          <w:tab w:val="left" w:pos="0"/>
        </w:tabs>
        <w:spacing w:before="20" w:after="20"/>
        <w:ind w:leftChars="0"/>
        <w:rPr>
          <w:rFonts w:ascii="Arial" w:hAnsi="Arial" w:cs="Arial"/>
          <w:sz w:val="28"/>
          <w:szCs w:val="28"/>
        </w:rPr>
      </w:pPr>
      <w:bookmarkStart w:id="5" w:name="_Toc7068"/>
      <w:r>
        <w:rPr>
          <w:rFonts w:ascii="Arial" w:hAnsi="Arial" w:cs="Arial"/>
          <w:sz w:val="28"/>
          <w:szCs w:val="28"/>
        </w:rPr>
        <w:t>2.2.2</w:t>
      </w:r>
      <w:r>
        <w:rPr>
          <w:rFonts w:hint="eastAsia" w:ascii="Arial" w:hAnsi="Arial" w:cs="Arial"/>
          <w:sz w:val="28"/>
          <w:szCs w:val="28"/>
          <w:lang w:val="en-US" w:eastAsia="zh-CN"/>
        </w:rPr>
        <w:t xml:space="preserve"> </w:t>
      </w:r>
      <w:r>
        <w:rPr>
          <w:rFonts w:hint="eastAsia" w:ascii="Arial" w:hAnsi="Arial" w:cs="Arial"/>
          <w:sz w:val="28"/>
          <w:szCs w:val="28"/>
        </w:rPr>
        <w:t>Face negotiation theory</w:t>
      </w:r>
      <w:bookmarkEnd w:id="5"/>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The face negotiation theory is proposed by Ting-toomey on the basis of Goffman and Brown Levinson. He believes that in social interaction, the two parties act out their roles assigned by the society under the gaze of others. And always channelling advantage to one side to maintain one's own face (Ting-toomey &amp; Kurogi 1998). A questionnaire survey was conducted on 768 participants from </w:t>
      </w:r>
      <w:r>
        <w:rPr>
          <w:rFonts w:hint="eastAsia" w:ascii="Arial" w:hAnsi="Arial" w:eastAsia="宋体" w:cs="Arial"/>
          <w:sz w:val="24"/>
          <w:lang w:val="en-US" w:eastAsia="zh-CN"/>
        </w:rPr>
        <w:t>four</w:t>
      </w:r>
      <w:r>
        <w:rPr>
          <w:rFonts w:hint="default" w:ascii="Arial" w:hAnsi="Arial" w:eastAsia="宋体" w:cs="Arial"/>
          <w:sz w:val="24"/>
          <w:lang w:val="en-US" w:eastAsia="zh-CN"/>
        </w:rPr>
        <w:t xml:space="preserve"> countries with different cultural backgrounds. The results showed that cultural individualism and collectivism had a positive correlation on the formation of conflict styles, which verified the underlying hypothesis in the face negotiation theory. That is, face can be regarded as the influence factor of culture on conflict behavior in most cases (Oetzel &amp; Ting-toomey 2003).</w:t>
      </w:r>
    </w:p>
    <w:p>
      <w:pPr>
        <w:pStyle w:val="4"/>
        <w:numPr>
          <w:ilvl w:val="2"/>
          <w:numId w:val="0"/>
        </w:numPr>
        <w:tabs>
          <w:tab w:val="left" w:pos="0"/>
        </w:tabs>
        <w:spacing w:before="20" w:after="20"/>
        <w:ind w:leftChars="0"/>
        <w:rPr>
          <w:rFonts w:ascii="Arial" w:hAnsi="Arial" w:cs="Arial"/>
          <w:sz w:val="28"/>
          <w:szCs w:val="28"/>
        </w:rPr>
      </w:pPr>
      <w:bookmarkStart w:id="6" w:name="_Toc14197"/>
      <w:r>
        <w:rPr>
          <w:rFonts w:ascii="Arial" w:hAnsi="Arial" w:cs="Arial"/>
          <w:sz w:val="28"/>
          <w:szCs w:val="28"/>
        </w:rPr>
        <w:t>2.2.3</w:t>
      </w:r>
      <w:r>
        <w:rPr>
          <w:rFonts w:hint="eastAsia" w:ascii="Arial" w:hAnsi="Arial" w:cs="Arial"/>
          <w:sz w:val="28"/>
          <w:szCs w:val="28"/>
          <w:lang w:val="en-US" w:eastAsia="zh-CN"/>
        </w:rPr>
        <w:t xml:space="preserve"> </w:t>
      </w:r>
      <w:r>
        <w:rPr>
          <w:rFonts w:hint="eastAsia" w:ascii="Arial" w:hAnsi="Arial" w:cs="Arial"/>
          <w:sz w:val="28"/>
          <w:szCs w:val="28"/>
        </w:rPr>
        <w:t>Cultural dimension theory</w:t>
      </w:r>
      <w:bookmarkEnd w:id="6"/>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The cultural dimension theory proposed by Geert Hofstede is a framework standard to measure the cultural differences of different countries. At the beginning, it includes four dimensions: power distance, uncertainty avoidance, individualism and collectivism, and male or female bias (Hofstede &amp; Bond 1984). Later, long-term and short-term orientation dimensions were added (Hofstede 1991, Hofstede &amp; Minkov 2010). In 2010, a collaborative study with Minkov et al. proposed the dimensions of indulgence and self-restraint (Hofstede, Hofstede &amp; Minkov 2010), six dimensions in total were used to describe and compare national cultural differences. Hofstede creates a new research paradigm in the field of cultural differences, and at the same time provides a mainstream method for studying cultural differences in different disciplines (Catalin 2012).</w:t>
      </w:r>
    </w:p>
    <w:p>
      <w:pPr>
        <w:pStyle w:val="4"/>
        <w:numPr>
          <w:ilvl w:val="2"/>
          <w:numId w:val="0"/>
        </w:numPr>
        <w:tabs>
          <w:tab w:val="left" w:pos="0"/>
        </w:tabs>
        <w:spacing w:before="20" w:after="20"/>
        <w:ind w:leftChars="0"/>
        <w:rPr>
          <w:rFonts w:ascii="Arial" w:hAnsi="Arial" w:cs="Arial"/>
        </w:rPr>
      </w:pPr>
      <w:bookmarkStart w:id="7" w:name="_Toc17083"/>
      <w:r>
        <w:rPr>
          <w:rFonts w:ascii="Arial" w:hAnsi="Arial" w:cs="Arial"/>
        </w:rPr>
        <w:t xml:space="preserve">3 </w:t>
      </w:r>
      <w:r>
        <w:rPr>
          <w:rFonts w:hint="eastAsia" w:ascii="Arial" w:hAnsi="Arial" w:cs="Arial"/>
        </w:rPr>
        <w:t>The environment and object of cross-cultural business communication</w:t>
      </w:r>
      <w:bookmarkEnd w:id="7"/>
    </w:p>
    <w:p>
      <w:pPr>
        <w:pStyle w:val="4"/>
        <w:numPr>
          <w:ilvl w:val="2"/>
          <w:numId w:val="0"/>
        </w:numPr>
        <w:tabs>
          <w:tab w:val="left" w:pos="0"/>
        </w:tabs>
        <w:spacing w:before="20" w:after="20"/>
        <w:ind w:leftChars="0"/>
        <w:rPr>
          <w:rFonts w:hint="eastAsia" w:ascii="Arial" w:hAnsi="Arial" w:eastAsia="宋体" w:cs="Arial"/>
          <w:b w:val="0"/>
          <w:kern w:val="2"/>
          <w:sz w:val="24"/>
          <w:szCs w:val="24"/>
          <w:lang w:val="en-US" w:eastAsia="zh-CN" w:bidi="ar-SA"/>
        </w:rPr>
      </w:pPr>
      <w:bookmarkStart w:id="8" w:name="_Toc2796"/>
      <w:r>
        <w:rPr>
          <w:rFonts w:ascii="Arial" w:hAnsi="Arial" w:cs="Arial"/>
          <w:sz w:val="28"/>
          <w:szCs w:val="28"/>
        </w:rPr>
        <w:t xml:space="preserve">3.1 </w:t>
      </w:r>
      <w:r>
        <w:rPr>
          <w:rFonts w:hint="eastAsia" w:ascii="Arial" w:hAnsi="Arial" w:cs="Arial"/>
          <w:lang w:val="en-US" w:eastAsia="zh-CN"/>
        </w:rPr>
        <w:t>E</w:t>
      </w:r>
      <w:r>
        <w:rPr>
          <w:rFonts w:hint="eastAsia" w:ascii="Arial" w:hAnsi="Arial" w:cs="Arial"/>
        </w:rPr>
        <w:t>nvironment</w:t>
      </w:r>
      <w:bookmarkEnd w:id="8"/>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Due to different working environments and ways of thinking, countries also have obvious differences in their core values. These regional differences and cultural conflicts may lead to lower work efficiency of multinational enterprises in foreign countries (Guo 2014). Therefore, practitioners must have a deep understanding of the causes of cultural conflicts in the working environment, and deal with such problems through reasonable means to achieve more effective cross-cultural communication.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Compared with domestic enterprises, the global working environment will be affected by the cultural differences between the East and the West, and the management is relatively difficult. For enterprises, the social environment that employees live in will affect how they deal with problems, which will lead to disagreements when the top management makes decisions, increasing the complexity of enterprise management. Therefore, management patterns in one culture may not be effective in another culture (Qing 2005).</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In the external environment, language difference is the basic cause of problems in cross-cultural business communication. Language has rich connotation and meaning, which can represent the cultural background of a country. Employees of multinational enterprises often have different cultural backgrounds, which leads to a lot of trouble in communication. In the study of Penbek, it is also confirmed that offering language courses can help students improve their level of cross-cultural communication (Penbek &amp; Yurdakul et al 2012). Apart from language, differences in values and racial superiority can also cause problems for multinational companies.</w:t>
      </w:r>
    </w:p>
    <w:p>
      <w:pPr>
        <w:pStyle w:val="4"/>
        <w:numPr>
          <w:ilvl w:val="2"/>
          <w:numId w:val="0"/>
        </w:numPr>
        <w:tabs>
          <w:tab w:val="left" w:pos="0"/>
        </w:tabs>
        <w:spacing w:before="20" w:after="20"/>
        <w:ind w:leftChars="0"/>
        <w:rPr>
          <w:rFonts w:ascii="Arial" w:hAnsi="Arial" w:cs="Arial"/>
          <w:sz w:val="28"/>
          <w:szCs w:val="28"/>
        </w:rPr>
      </w:pPr>
      <w:bookmarkStart w:id="9" w:name="_Toc8445"/>
      <w:r>
        <w:rPr>
          <w:rFonts w:ascii="Arial" w:hAnsi="Arial" w:cs="Arial"/>
          <w:sz w:val="28"/>
          <w:szCs w:val="28"/>
        </w:rPr>
        <w:t xml:space="preserve">3.2 </w:t>
      </w:r>
      <w:r>
        <w:rPr>
          <w:rFonts w:hint="eastAsia" w:ascii="Arial" w:hAnsi="Arial" w:cs="Arial"/>
          <w:sz w:val="28"/>
          <w:szCs w:val="28"/>
          <w:lang w:val="en-US" w:eastAsia="zh-CN"/>
        </w:rPr>
        <w:t>O</w:t>
      </w:r>
      <w:r>
        <w:rPr>
          <w:rFonts w:hint="eastAsia" w:ascii="Arial" w:hAnsi="Arial" w:cs="Arial"/>
          <w:sz w:val="28"/>
          <w:szCs w:val="28"/>
        </w:rPr>
        <w:t>bject</w:t>
      </w:r>
      <w:bookmarkEnd w:id="9"/>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Cultural conflict is the most important problem faced by global enterprises. In cross-cultural communication, employees will inevitably have conflicts due to cultural conflict and lack of common sense when working (Rajapaksha 2015). In addition, partners and host governments also play an important role in cross-cultural communication.</w:t>
      </w:r>
    </w:p>
    <w:p>
      <w:pPr>
        <w:pStyle w:val="4"/>
        <w:numPr>
          <w:ilvl w:val="2"/>
          <w:numId w:val="0"/>
        </w:numPr>
        <w:tabs>
          <w:tab w:val="left" w:pos="0"/>
        </w:tabs>
        <w:spacing w:before="20" w:after="20"/>
        <w:ind w:leftChars="0"/>
        <w:rPr>
          <w:rFonts w:hint="eastAsia" w:ascii="Arial" w:hAnsi="Arial" w:cs="Arial"/>
          <w:sz w:val="28"/>
          <w:szCs w:val="28"/>
        </w:rPr>
      </w:pPr>
      <w:bookmarkStart w:id="10" w:name="_Toc19657"/>
      <w:r>
        <w:rPr>
          <w:rFonts w:ascii="Arial" w:hAnsi="Arial" w:cs="Arial"/>
          <w:sz w:val="28"/>
          <w:szCs w:val="28"/>
        </w:rPr>
        <w:t xml:space="preserve">3.2.1 </w:t>
      </w:r>
      <w:r>
        <w:rPr>
          <w:rFonts w:hint="eastAsia" w:ascii="Arial" w:hAnsi="Arial" w:cs="Arial"/>
          <w:sz w:val="28"/>
          <w:szCs w:val="28"/>
        </w:rPr>
        <w:t>The impact of partners and clients</w:t>
      </w:r>
      <w:bookmarkEnd w:id="10"/>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Companies lack a platform to communicate with partners and customers. Practitioners may understand the importance of cultural integration, but how to break through this barrier becomes a problem. When it is difficult for multinational enterprises to seek cooperation with local well-known enterprises in the industry for various reasons, the enterprises can only stagnate and get stuck in a deadlock, unable to thoroughly understand the country's market and find their own positioning (Han &amp; Huang 2019). This will only increase the possibility of enterprise failure in cooperation, resulting in the loss of competitive advantages in the market, and even cause a serious crisis in enterprise management.</w:t>
      </w:r>
    </w:p>
    <w:p>
      <w:pPr>
        <w:pStyle w:val="4"/>
        <w:numPr>
          <w:ilvl w:val="2"/>
          <w:numId w:val="0"/>
        </w:numPr>
        <w:tabs>
          <w:tab w:val="left" w:pos="0"/>
        </w:tabs>
        <w:spacing w:before="20" w:after="20"/>
        <w:ind w:leftChars="0"/>
        <w:rPr>
          <w:rFonts w:ascii="Arial" w:hAnsi="Arial" w:cs="Arial"/>
          <w:sz w:val="28"/>
          <w:szCs w:val="28"/>
        </w:rPr>
      </w:pPr>
      <w:bookmarkStart w:id="11" w:name="_Toc4505"/>
      <w:r>
        <w:rPr>
          <w:rFonts w:ascii="Arial" w:hAnsi="Arial" w:cs="Arial"/>
          <w:sz w:val="28"/>
          <w:szCs w:val="28"/>
        </w:rPr>
        <w:t xml:space="preserve">3.2.2 </w:t>
      </w:r>
      <w:r>
        <w:rPr>
          <w:rFonts w:hint="eastAsia" w:ascii="Arial" w:hAnsi="Arial" w:cs="Arial"/>
          <w:sz w:val="28"/>
          <w:szCs w:val="28"/>
        </w:rPr>
        <w:t>Influence of host government</w:t>
      </w:r>
      <w:bookmarkEnd w:id="11"/>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The host government has sufficient resources, and due to the existence of ideology, national interests and other factors, the government has sufficient motivation to participate in the cooperation with transnational corporations, provide policy convenience, and improve the learning and adaptation ability of enterprises to different cultures (Zhao 2007). In addition, it can play a regulating role between foreign companies and domestic companies, weakening the cultural estrangement in multinational enterprises and deepening cultural exchanges.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rPr>
      </w:pPr>
      <w:r>
        <w:rPr>
          <w:rFonts w:hint="eastAsia" w:ascii="Arial" w:hAnsi="Arial" w:eastAsia="宋体" w:cs="Arial"/>
          <w:sz w:val="24"/>
          <w:lang w:val="en-US" w:eastAsia="zh-CN"/>
        </w:rPr>
        <w:t>When multinational enterprises enter a country with underdeveloped market economy and unsound system, they may need to take corresponding measures to deal with corruption, because it will increase transaction uncertainty and transaction costs. Due to the inadequate preparation of host countries in the face of market opening and the lack of relevant legal systems, the complex network among government agencies, transnational corporations and corruption (Luiz &amp; Stewart 2014) has increased the consideration of multinational enterprises in the formulation of organizational business ethics standards and solutions to cultural conflicts.</w:t>
      </w:r>
    </w:p>
    <w:p>
      <w:pPr>
        <w:pStyle w:val="4"/>
        <w:numPr>
          <w:ilvl w:val="2"/>
          <w:numId w:val="0"/>
        </w:numPr>
        <w:tabs>
          <w:tab w:val="left" w:pos="0"/>
        </w:tabs>
        <w:spacing w:before="20" w:after="20"/>
        <w:ind w:leftChars="0"/>
        <w:rPr>
          <w:rFonts w:ascii="Arial" w:hAnsi="Arial" w:cs="Arial"/>
        </w:rPr>
      </w:pPr>
      <w:bookmarkStart w:id="12" w:name="_Toc29694"/>
      <w:r>
        <w:rPr>
          <w:rFonts w:ascii="Arial" w:hAnsi="Arial" w:cs="Arial"/>
        </w:rPr>
        <w:t xml:space="preserve">4 </w:t>
      </w:r>
      <w:r>
        <w:rPr>
          <w:rFonts w:hint="eastAsia" w:ascii="Arial" w:hAnsi="Arial" w:cs="Arial"/>
        </w:rPr>
        <w:t>Challenges in cross-cultural business Communication - A case study of doing business in Singapore</w:t>
      </w:r>
      <w:bookmarkEnd w:id="12"/>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Singapore's population is 70 per cent Chinese, with Hokkien making up the majority. In addition, Singapore is a transit point from Britain to Australia (NAITO 1995), so Singapore is influenced by both Confucian and Western cultures. Singapore is a country with a medium high power distance (PD=74). Cultural differences have brought adverse effects on the management and operation of multinational enterprises. Multinational enterprises have to learn local customs if they want to establish themselves here. They also strive to overcome barriers caused by cultural and language differences and their own inherent thinking patterns (Carte &amp; Fox 2004). Taking business activities in Singapore as an example, this report analyzes and summarizes the general manifestations and causes of cultural differences in Singapore enterprises.</w:t>
      </w:r>
    </w:p>
    <w:p>
      <w:pPr>
        <w:pStyle w:val="4"/>
        <w:numPr>
          <w:ilvl w:val="2"/>
          <w:numId w:val="0"/>
        </w:numPr>
        <w:tabs>
          <w:tab w:val="left" w:pos="0"/>
        </w:tabs>
        <w:spacing w:before="20" w:after="20"/>
        <w:ind w:leftChars="0"/>
        <w:rPr>
          <w:rFonts w:ascii="Arial" w:hAnsi="Arial" w:cs="Arial"/>
          <w:sz w:val="28"/>
          <w:szCs w:val="28"/>
        </w:rPr>
      </w:pPr>
      <w:bookmarkStart w:id="13" w:name="_Toc24063"/>
      <w:r>
        <w:rPr>
          <w:rFonts w:ascii="Arial" w:hAnsi="Arial" w:cs="Arial"/>
          <w:sz w:val="28"/>
          <w:szCs w:val="28"/>
        </w:rPr>
        <w:t>4.1</w:t>
      </w:r>
      <w:r>
        <w:rPr>
          <w:rFonts w:hint="eastAsia" w:ascii="Arial" w:hAnsi="Arial" w:cs="Arial"/>
          <w:sz w:val="28"/>
          <w:szCs w:val="28"/>
          <w:lang w:val="en-US" w:eastAsia="zh-CN"/>
        </w:rPr>
        <w:t xml:space="preserve"> </w:t>
      </w:r>
      <w:r>
        <w:rPr>
          <w:rFonts w:hint="eastAsia" w:ascii="Arial" w:hAnsi="Arial" w:cs="Arial"/>
          <w:sz w:val="28"/>
          <w:szCs w:val="28"/>
        </w:rPr>
        <w:t>Communication mode</w:t>
      </w:r>
      <w:bookmarkEnd w:id="13"/>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Compared with western and Latin American countries, Singapore is a country with neutral culture. But Singaporeans are more forthright than the reserved Chinese. In addition, in the workplace, Singaporeans are more inclined to show their emotions, and they believe that it is a personal code of conduct to directly express their feelings (Su &amp; Wu 2009). Although Chinese make up more than half of Singapore's population, they have a different way of interacting with others. Singaporeans are more likely to make friends with people who share their values rather than develop through "guanxi".</w:t>
      </w:r>
    </w:p>
    <w:p>
      <w:pPr>
        <w:pStyle w:val="4"/>
        <w:numPr>
          <w:ilvl w:val="2"/>
          <w:numId w:val="0"/>
        </w:numPr>
        <w:tabs>
          <w:tab w:val="left" w:pos="0"/>
        </w:tabs>
        <w:spacing w:before="20" w:after="20"/>
        <w:ind w:leftChars="0"/>
        <w:rPr>
          <w:rFonts w:ascii="Arial" w:hAnsi="Arial" w:cs="Arial"/>
          <w:sz w:val="28"/>
          <w:szCs w:val="28"/>
        </w:rPr>
      </w:pPr>
      <w:bookmarkStart w:id="14" w:name="_Toc16731"/>
      <w:r>
        <w:rPr>
          <w:rFonts w:ascii="Arial" w:hAnsi="Arial" w:cs="Arial"/>
          <w:sz w:val="28"/>
          <w:szCs w:val="28"/>
        </w:rPr>
        <w:t>4.2</w:t>
      </w:r>
      <w:r>
        <w:rPr>
          <w:rFonts w:hint="eastAsia" w:ascii="Arial" w:hAnsi="Arial" w:cs="Arial"/>
          <w:sz w:val="28"/>
          <w:szCs w:val="28"/>
          <w:lang w:val="en-US" w:eastAsia="zh-CN"/>
        </w:rPr>
        <w:t xml:space="preserve"> </w:t>
      </w:r>
      <w:r>
        <w:rPr>
          <w:rFonts w:hint="eastAsia" w:ascii="Arial" w:hAnsi="Arial" w:cs="Arial"/>
          <w:sz w:val="28"/>
          <w:szCs w:val="28"/>
        </w:rPr>
        <w:t>Work attitude</w:t>
      </w:r>
      <w:bookmarkEnd w:id="14"/>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宋体" w:hAnsi="宋体" w:eastAsia="宋体"/>
          <w:sz w:val="24"/>
          <w:lang w:val="en-US" w:eastAsia="zh-CN"/>
        </w:rPr>
      </w:pPr>
      <w:r>
        <w:rPr>
          <w:rFonts w:hint="default" w:ascii="Arial" w:hAnsi="Arial" w:eastAsia="宋体" w:cs="Arial"/>
          <w:sz w:val="24"/>
          <w:lang w:val="en-US" w:eastAsia="zh-CN"/>
        </w:rPr>
        <w:t>The attitude of Singaporeans towards work is a combination of individualism and collectivism. In particular, the young generation is easy to accept the influence of Western ideas. Their ideas are similar to the individualism of the United States and the Netherlands. They prefer to strive for themselves in work and are satisfied with self-realization. They believe that they can control the changes of external environment through individual efforts, solve problems in an active way, and pay attention to the common development of themselves and the company, and will not change jobs frequently. This is especially true of millennials, who are more willing to work for their convictions and want guidance and supervision (Chia &amp; Here 2015). In addition, Singaporean employees are more inclined to short-term benefits, emphasizing immediate and next quarter indicators, often drawing up plans in advance to gain competitive advantages, and paying more attention to business strategy and achieving success by directly attacking rivals. An interesting study conducted by Loh &amp; Thorsteinsson (2021) shows that Singaporeans have a certain tolerance for job burnout and dissatisfaction caused by uncivilised behaviour in the workplace, have fewer negative effects, and show adaptability to the environment and a positive attitude towards work.</w:t>
      </w:r>
    </w:p>
    <w:p>
      <w:pPr>
        <w:pStyle w:val="4"/>
        <w:numPr>
          <w:ilvl w:val="2"/>
          <w:numId w:val="0"/>
        </w:numPr>
        <w:tabs>
          <w:tab w:val="left" w:pos="0"/>
        </w:tabs>
        <w:spacing w:before="20" w:after="20"/>
        <w:ind w:leftChars="0"/>
        <w:rPr>
          <w:rFonts w:hint="eastAsia" w:ascii="Arial" w:hAnsi="Arial" w:cs="Arial"/>
          <w:sz w:val="28"/>
          <w:szCs w:val="28"/>
        </w:rPr>
      </w:pPr>
      <w:bookmarkStart w:id="15" w:name="_Toc29787"/>
      <w:r>
        <w:rPr>
          <w:rFonts w:ascii="Arial" w:hAnsi="Arial" w:cs="Arial"/>
          <w:sz w:val="28"/>
          <w:szCs w:val="28"/>
        </w:rPr>
        <w:t>4.3</w:t>
      </w:r>
      <w:r>
        <w:rPr>
          <w:rFonts w:hint="eastAsia" w:ascii="Arial" w:hAnsi="Arial" w:cs="Arial"/>
          <w:sz w:val="28"/>
          <w:szCs w:val="28"/>
          <w:lang w:val="en-US" w:eastAsia="zh-CN"/>
        </w:rPr>
        <w:t xml:space="preserve"> </w:t>
      </w:r>
      <w:r>
        <w:rPr>
          <w:rFonts w:hint="eastAsia" w:ascii="Arial" w:hAnsi="Arial" w:cs="Arial"/>
          <w:sz w:val="28"/>
          <w:szCs w:val="28"/>
        </w:rPr>
        <w:t>Views on business</w:t>
      </w:r>
      <w:bookmarkEnd w:id="15"/>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As far as western leadership style is concerned, leaders do not have to do everything by themselves. They believe that modern leaders should pay attention to the big things happening in enterprises, rather than worry about trivial things (Liu &amp; Xin 1997). The cross-cultural business model is a big challenge for leaders. Cross-cultural enterprise management mode will face different forms of cultural conflicts. Studies have shown that the leader's style of doing things helps to deepen the communication between the leader and the led, shorten the distance between them, reduce job barriers, and create a more friendly working environment (Lee 2005). If the management does not show sufficient leadership, it will not handle employees with different cultural backgrounds, which will have a negative impact on the basic daily operation of the enterprise.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Influenced by Western countries, Singaporeans also believe that leaders should focus on things that affect business. And they believe that leaders should not get involved in the private affairs of subordinates, and only need to maintain a simple working relationship with employees. At the same time, Singaporeans also hope that the hierarchical gap between leaders and employees should not be too deep, and that practical skills such as integrity, respect and modesty should be used in communication, which can help to establish and maintain the trust relationship between superiors and subordinates (Charlie's Insight 2022) and create a comfortable working atmosphere.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sz w:val="24"/>
          <w:lang w:val="en-US" w:eastAsia="zh-CN"/>
        </w:rPr>
      </w:pPr>
      <w:r>
        <w:rPr>
          <w:rFonts w:hint="eastAsia" w:ascii="Arial" w:hAnsi="Arial" w:eastAsia="宋体" w:cs="Arial"/>
          <w:sz w:val="24"/>
          <w:lang w:val="en-US" w:eastAsia="zh-CN"/>
        </w:rPr>
        <w:t>In terms of organizational structure, enterprises in Singapore are more inclined to a profit-centered organizational structure, and state-owned enterprises are gradually moving towards demutualization and internationalization (Liu &amp; Chen 1996). The division of labor of each post within the enterprise is clear, and there are clear rules and regulations for the addition and subtraction of posts. Therefore, Singaporeans believe that employees should follow the rules and should not be flexible in dealing with problems. Performance appraisal should also be graded strictly according to standards. Singaporean employees hope that they can stand out from the group of employees, and their colleagues will recognize this behavior. But in some Asian cultures, strict grading can only lead to tension between subordinates.</w:t>
      </w:r>
    </w:p>
    <w:p>
      <w:pPr>
        <w:pStyle w:val="4"/>
        <w:numPr>
          <w:ilvl w:val="2"/>
          <w:numId w:val="0"/>
        </w:numPr>
        <w:tabs>
          <w:tab w:val="left" w:pos="0"/>
        </w:tabs>
        <w:spacing w:before="20" w:after="20"/>
        <w:ind w:leftChars="0"/>
        <w:rPr>
          <w:rFonts w:ascii="Arial" w:hAnsi="Arial" w:cs="Arial"/>
        </w:rPr>
      </w:pPr>
      <w:bookmarkStart w:id="16" w:name="_Toc16526"/>
      <w:r>
        <w:rPr>
          <w:rFonts w:ascii="Arial" w:hAnsi="Arial" w:cs="Arial"/>
        </w:rPr>
        <w:t>5</w:t>
      </w:r>
      <w:r>
        <w:rPr>
          <w:rFonts w:hint="eastAsia" w:ascii="Arial" w:hAnsi="Arial" w:cs="Arial"/>
        </w:rPr>
        <w:t xml:space="preserve"> An analysis of cross-cultural business communication strategies</w:t>
      </w:r>
      <w:bookmarkEnd w:id="16"/>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Through research and analysis, it is concluded that Singaporeans are mainly influenced by Chinese traditional Confucian school, but they also absorb western values and civilization achievements in the process of localization (Liao 2002), so their values integrate the thoughts of the East and the West. Having identified the cultural differences faced by doing business in Singapore, the report makes the following recommendations to deal with the impact of cultural conflict.</w:t>
      </w:r>
    </w:p>
    <w:p>
      <w:pPr>
        <w:pStyle w:val="4"/>
        <w:numPr>
          <w:ilvl w:val="2"/>
          <w:numId w:val="0"/>
        </w:numPr>
        <w:tabs>
          <w:tab w:val="left" w:pos="0"/>
        </w:tabs>
        <w:spacing w:before="20" w:after="20"/>
        <w:ind w:leftChars="0"/>
        <w:rPr>
          <w:rFonts w:ascii="Arial" w:hAnsi="Arial" w:cs="Arial"/>
          <w:sz w:val="28"/>
          <w:szCs w:val="28"/>
        </w:rPr>
      </w:pPr>
      <w:bookmarkStart w:id="17" w:name="_Toc30476"/>
      <w:r>
        <w:rPr>
          <w:rFonts w:ascii="Arial" w:hAnsi="Arial" w:cs="Arial"/>
          <w:sz w:val="28"/>
          <w:szCs w:val="28"/>
        </w:rPr>
        <w:t>5.1</w:t>
      </w:r>
      <w:r>
        <w:rPr>
          <w:rFonts w:hint="eastAsia" w:ascii="Arial" w:hAnsi="Arial" w:cs="Arial"/>
          <w:sz w:val="28"/>
          <w:szCs w:val="28"/>
          <w:lang w:val="en-US" w:eastAsia="zh-CN"/>
        </w:rPr>
        <w:t xml:space="preserve"> </w:t>
      </w:r>
      <w:r>
        <w:rPr>
          <w:rFonts w:hint="eastAsia" w:ascii="Arial" w:hAnsi="Arial" w:cs="Arial"/>
          <w:sz w:val="28"/>
          <w:szCs w:val="28"/>
        </w:rPr>
        <w:t>Understand cultural differences and respect local culture</w:t>
      </w:r>
      <w:bookmarkEnd w:id="17"/>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Overseas companies may enter the host country with a sense of ethnocentrism, using the successful management model of the country, but with a bias towards the local culture. This perception will cause the estrangement between the two countries, resulting in the development of enterprises and individuals is not realized. Therefore, enterprises need to pay attention to cultural differences, lead employees to learn and understand the cultural characteristics of Singapore through various channels, and establish the value of common development. In addition, interpersonal communication ability is closely related to cross-cultural communication (Arasaratnam &amp; Doerfel 2003). Although English is the mother tongue in Singapore, Malay and other languages are also mixed. People with different languages will feel anxious in cross-cultural communication (Wang &amp; Clegg 2020). Therefore, management and employees need to carefully learn different cultures and languages, and jointly understand the communication mode under the diversified background.</w:t>
      </w:r>
    </w:p>
    <w:p>
      <w:pPr>
        <w:pStyle w:val="4"/>
        <w:numPr>
          <w:ilvl w:val="2"/>
          <w:numId w:val="0"/>
        </w:numPr>
        <w:tabs>
          <w:tab w:val="left" w:pos="0"/>
        </w:tabs>
        <w:spacing w:before="20" w:after="20"/>
        <w:ind w:leftChars="0"/>
        <w:rPr>
          <w:rFonts w:ascii="Arial" w:hAnsi="Arial" w:cs="Arial"/>
          <w:sz w:val="28"/>
          <w:szCs w:val="28"/>
        </w:rPr>
      </w:pPr>
      <w:bookmarkStart w:id="18" w:name="_Toc25148"/>
      <w:r>
        <w:rPr>
          <w:rFonts w:ascii="Arial" w:hAnsi="Arial" w:cs="Arial"/>
          <w:sz w:val="28"/>
          <w:szCs w:val="28"/>
        </w:rPr>
        <w:t>5.2</w:t>
      </w:r>
      <w:r>
        <w:rPr>
          <w:rFonts w:hint="eastAsia" w:ascii="Arial" w:hAnsi="Arial" w:cs="Arial"/>
          <w:sz w:val="28"/>
          <w:szCs w:val="28"/>
          <w:lang w:val="en-US" w:eastAsia="zh-CN"/>
        </w:rPr>
        <w:t xml:space="preserve"> </w:t>
      </w:r>
      <w:r>
        <w:rPr>
          <w:rFonts w:hint="eastAsia" w:ascii="Arial" w:hAnsi="Arial" w:cs="Arial"/>
          <w:sz w:val="28"/>
          <w:szCs w:val="28"/>
        </w:rPr>
        <w:t>Face up to cultural conflicts and make plans</w:t>
      </w:r>
      <w:bookmarkEnd w:id="18"/>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It is precisely due to the influence of the cultural differences between the East and the West that the barriers in cross-cultural business communication are unavoidable. If the transnational operation of enterprises cannot carry out effective cross-cultural communication for cultural differences, cultural conflicts will inevitably occur (Shi &amp; Ma et al 2004). In the face of cultural conflicts in communication, enterprise personnel are reluctant to understand the cultural connotation of the other country and talk with people with a sense of ethnocentrism. Therefore, employees should not only learn the cultural background of the host country, but also face up to the cultural differences among different nationalities with an inclusive and accepting attitude, so as to understand and respect each other. In addition, enterprises should also comprehensively consider the problems of corporate culture, politics and social groups in other countries, conduct research on the problems that may occur in the operation process, and formulate the corresponding cultural conflict solution plan (He &amp; Li 2021), so as to avoid the occurrence of problems and minimize the loss caused by conflicts.</w:t>
      </w:r>
    </w:p>
    <w:p>
      <w:pPr>
        <w:pStyle w:val="4"/>
        <w:numPr>
          <w:ilvl w:val="2"/>
          <w:numId w:val="0"/>
        </w:numPr>
        <w:tabs>
          <w:tab w:val="left" w:pos="0"/>
        </w:tabs>
        <w:spacing w:before="20" w:after="20"/>
        <w:ind w:leftChars="0"/>
        <w:rPr>
          <w:rFonts w:ascii="Arial" w:hAnsi="Arial" w:cs="Arial"/>
          <w:sz w:val="28"/>
          <w:szCs w:val="28"/>
        </w:rPr>
      </w:pPr>
      <w:bookmarkStart w:id="19" w:name="_Toc5342"/>
      <w:r>
        <w:rPr>
          <w:rFonts w:ascii="Arial" w:hAnsi="Arial" w:cs="Arial"/>
          <w:sz w:val="28"/>
          <w:szCs w:val="28"/>
        </w:rPr>
        <w:t>5.3</w:t>
      </w:r>
      <w:r>
        <w:rPr>
          <w:rFonts w:hint="eastAsia" w:ascii="Arial" w:hAnsi="Arial" w:cs="Arial"/>
          <w:sz w:val="28"/>
          <w:szCs w:val="28"/>
          <w:lang w:val="en-US" w:eastAsia="zh-CN"/>
        </w:rPr>
        <w:t xml:space="preserve"> </w:t>
      </w:r>
      <w:r>
        <w:rPr>
          <w:rFonts w:hint="eastAsia" w:ascii="Arial" w:hAnsi="Arial" w:cs="Arial"/>
          <w:sz w:val="28"/>
          <w:szCs w:val="28"/>
        </w:rPr>
        <w:t>People-oriented, enhance the value of employees</w:t>
      </w:r>
      <w:bookmarkEnd w:id="19"/>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In the host country, enterprises should take corresponding measures according to the cultural characteristics. For example, Singaporeans prefer to strive for themselves in the work and realize the common development of individuals and companies. Therefore, the management of the company should respect the personality of every employee, identify the characteristics of different employees and arrange positions reasonably. And for employees to plan long-term goals, seeking the comprehensive and free development of employees, to achieve lasting development of individuals and enterprises. Secondly, in the face of conflicts brought by different cultures, joint cultural management strategies should be implemented to make employees act in strict accordance with unified standards, which is conducive to soothing cultural conflicts among employees, gradually deepening employees' understanding of corporate culture, and avoiding corporate crises caused by cultural conflicts.</w:t>
      </w:r>
    </w:p>
    <w:p>
      <w:pPr>
        <w:pStyle w:val="4"/>
        <w:numPr>
          <w:ilvl w:val="2"/>
          <w:numId w:val="0"/>
        </w:numPr>
        <w:tabs>
          <w:tab w:val="left" w:pos="0"/>
        </w:tabs>
        <w:spacing w:before="20" w:after="20"/>
        <w:ind w:leftChars="0"/>
        <w:rPr>
          <w:rFonts w:hint="default" w:ascii="Arial" w:hAnsi="Arial" w:cs="Arial" w:eastAsiaTheme="minorEastAsia"/>
          <w:lang w:val="en-US" w:eastAsia="zh-CN"/>
        </w:rPr>
      </w:pPr>
      <w:bookmarkStart w:id="20" w:name="_Toc32725"/>
      <w:r>
        <w:rPr>
          <w:rFonts w:hint="eastAsia" w:ascii="Arial" w:hAnsi="Arial" w:cs="Arial"/>
        </w:rPr>
        <w:t>6</w:t>
      </w:r>
      <w:r>
        <w:rPr>
          <w:rFonts w:ascii="Arial" w:hAnsi="Arial" w:cs="Arial"/>
        </w:rPr>
        <w:t xml:space="preserve"> </w:t>
      </w:r>
      <w:r>
        <w:rPr>
          <w:rFonts w:hint="eastAsia" w:ascii="Arial" w:hAnsi="Arial" w:cs="Arial"/>
          <w:lang w:val="en-US" w:eastAsia="zh-CN"/>
        </w:rPr>
        <w:t>Summary and discussion</w:t>
      </w:r>
      <w:bookmarkEnd w:id="20"/>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The purpose of this report is to help local companies in the UK to understand the cultural differences they need to face in a global working environment. It also provides relevant suggestions based on the research on the cultural background and values of Singapore. In the process of cross-border business expansion, enterprises need to improve their cross-cultural awareness, correctly recognize, understand and respect cultural differences, and at the same time deeply understand and recognize the defects caused by cross-cultural communication, so as to carry out cross-cultural communication with international enterprises with an inclusive attitude.</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In my opinion, cultural transcendence should not become an obstacle to effective international business, and dealing with cultural differences will promote the development of enterprises in a better direction. Faced with various challenges and uncertainties, enterprises need to develop and strengthen large management strategies and adapt to local conditions, and build an efficient team with a global perspective, cross-cultural communication skills and business ethics awareness to deal with challenges.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From reading Meyer's (2017) discussion of successful bosses, we know that business managers need to ensure that their leadership style is adapted to the culture of their host country, and that they have a clear understanding of the concepts of authority and decision-making, as well as understanding how decision-making attitudes affect international team cooperation.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Arial" w:hAnsi="Arial" w:eastAsia="宋体" w:cs="Arial"/>
          <w:sz w:val="24"/>
          <w:lang w:val="en-US" w:eastAsia="zh-CN"/>
        </w:rPr>
      </w:pPr>
      <w:r>
        <w:rPr>
          <w:rFonts w:hint="eastAsia" w:ascii="Arial" w:hAnsi="Arial" w:eastAsia="宋体" w:cs="Arial"/>
          <w:sz w:val="24"/>
          <w:lang w:val="en-US" w:eastAsia="zh-CN"/>
        </w:rPr>
        <w:t>In addition, corporate managers should have a sense of social responsibility, have an inclusive development world view, be able to focus on stakeholders, and develop challenging human resource management strategies (Zakaria &amp; Abdul-Talib et al 2020</w:t>
      </w:r>
      <w:bookmarkStart w:id="23" w:name="_GoBack"/>
      <w:bookmarkEnd w:id="23"/>
      <w:r>
        <w:rPr>
          <w:rFonts w:hint="eastAsia" w:ascii="Arial" w:hAnsi="Arial" w:eastAsia="宋体" w:cs="Arial"/>
          <w:sz w:val="24"/>
          <w:lang w:val="en-US" w:eastAsia="zh-CN"/>
        </w:rPr>
        <w:t>). To ensure that the practices and abilities of employees are consistent with the values and norms of the organization, and can adapt to local conditions and keep pace with the development of corporate strategy, to promote the success of the enterprise and sustainable development.</w:t>
      </w:r>
    </w:p>
    <w:p>
      <w:pPr>
        <w:pStyle w:val="4"/>
        <w:keepNext/>
        <w:keepLines/>
        <w:pageBreakBefore w:val="0"/>
        <w:widowControl w:val="0"/>
        <w:numPr>
          <w:ilvl w:val="2"/>
          <w:numId w:val="0"/>
        </w:numPr>
        <w:kinsoku/>
        <w:wordWrap/>
        <w:overflowPunct/>
        <w:topLinePunct w:val="0"/>
        <w:autoSpaceDE/>
        <w:autoSpaceDN/>
        <w:bidi w:val="0"/>
        <w:adjustRightInd/>
        <w:snapToGrid/>
        <w:spacing w:before="20" w:after="20" w:line="413" w:lineRule="auto"/>
        <w:ind w:leftChars="0"/>
        <w:textAlignment w:val="auto"/>
        <w:rPr>
          <w:rFonts w:hint="default" w:ascii="Arial" w:hAnsi="Arial" w:cs="Arial"/>
          <w:color w:val="auto"/>
          <w:lang w:val="en-US" w:eastAsia="zh-CN"/>
        </w:rPr>
      </w:pPr>
      <w:bookmarkStart w:id="21" w:name="_Toc20011"/>
      <w:bookmarkStart w:id="22" w:name="_Toc22538"/>
      <w:r>
        <w:rPr>
          <w:rFonts w:hint="default" w:ascii="Arial" w:hAnsi="Arial" w:cs="Arial"/>
          <w:color w:val="auto"/>
          <w:lang w:val="en-US" w:eastAsia="zh-CN"/>
        </w:rPr>
        <w:t>Reference list</w:t>
      </w:r>
      <w:bookmarkEnd w:id="21"/>
      <w:bookmarkEnd w:id="22"/>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default" w:ascii="Arial" w:hAnsi="Arial" w:eastAsia="宋体" w:cs="Arial"/>
          <w:color w:val="auto"/>
          <w:sz w:val="24"/>
          <w:lang w:val="en-US" w:eastAsia="zh-CN"/>
        </w:rPr>
      </w:pPr>
      <w:r>
        <w:rPr>
          <w:rFonts w:ascii="Arial" w:hAnsi="Arial" w:eastAsia="宋体" w:cs="Arial"/>
          <w:color w:val="auto"/>
          <w:sz w:val="24"/>
        </w:rPr>
        <w:t>Arasaratnam, L.A.</w:t>
      </w:r>
      <w:r>
        <w:rPr>
          <w:rFonts w:hint="eastAsia" w:ascii="Arial" w:hAnsi="Arial" w:eastAsia="宋体" w:cs="Arial"/>
          <w:color w:val="auto"/>
          <w:sz w:val="24"/>
          <w:lang w:val="en-US" w:eastAsia="zh-CN"/>
        </w:rPr>
        <w:t xml:space="preserve"> &amp;</w:t>
      </w:r>
      <w:r>
        <w:rPr>
          <w:rFonts w:ascii="Arial" w:hAnsi="Arial" w:eastAsia="宋体" w:cs="Arial"/>
          <w:color w:val="auto"/>
          <w:sz w:val="24"/>
        </w:rPr>
        <w:t xml:space="preserve"> Doerfel, M.L. (2003) </w:t>
      </w:r>
      <w:r>
        <w:rPr>
          <w:rFonts w:hint="default" w:ascii="Arial" w:hAnsi="Arial" w:eastAsia="宋体" w:cs="Arial"/>
          <w:color w:val="auto"/>
          <w:sz w:val="24"/>
          <w:lang w:val="en-US" w:eastAsia="zh-CN"/>
        </w:rPr>
        <w:t>‘</w:t>
      </w:r>
      <w:r>
        <w:rPr>
          <w:rFonts w:ascii="Arial" w:hAnsi="Arial" w:eastAsia="宋体" w:cs="Arial"/>
          <w:color w:val="auto"/>
          <w:sz w:val="24"/>
        </w:rPr>
        <w:t>Intercultural communication competence: Identifying key components from multicultural perspectives</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rFonts w:ascii="Arial" w:hAnsi="Arial" w:eastAsia="宋体" w:cs="Arial"/>
          <w:i/>
          <w:iCs/>
          <w:color w:val="auto"/>
          <w:sz w:val="24"/>
        </w:rPr>
        <w:t>International Journal of Intercultural Relations</w:t>
      </w:r>
      <w:r>
        <w:rPr>
          <w:rFonts w:ascii="Arial" w:hAnsi="Arial" w:eastAsia="宋体" w:cs="Arial"/>
          <w:color w:val="auto"/>
          <w:sz w:val="24"/>
        </w:rPr>
        <w:t xml:space="preserve">, </w:t>
      </w:r>
      <w:r>
        <w:rPr>
          <w:rFonts w:hint="eastAsia" w:ascii="Arial" w:hAnsi="Arial" w:eastAsia="宋体" w:cs="Arial"/>
          <w:color w:val="auto"/>
          <w:sz w:val="24"/>
          <w:lang w:val="en-US" w:eastAsia="zh-CN"/>
        </w:rPr>
        <w:t>vol.</w:t>
      </w:r>
      <w:r>
        <w:rPr>
          <w:rFonts w:ascii="Arial" w:hAnsi="Arial" w:eastAsia="宋体" w:cs="Arial"/>
          <w:color w:val="auto"/>
          <w:sz w:val="24"/>
        </w:rPr>
        <w:t>29</w:t>
      </w:r>
      <w:r>
        <w:rPr>
          <w:rFonts w:hint="eastAsia" w:ascii="Arial" w:hAnsi="Arial" w:eastAsia="宋体" w:cs="Arial"/>
          <w:color w:val="auto"/>
          <w:sz w:val="24"/>
          <w:lang w:val="en-US" w:eastAsia="zh-CN"/>
        </w:rPr>
        <w:t>, no.2</w:t>
      </w:r>
      <w:r>
        <w:rPr>
          <w:rFonts w:ascii="Arial" w:hAnsi="Arial" w:eastAsia="宋体" w:cs="Arial"/>
          <w:color w:val="auto"/>
          <w:sz w:val="24"/>
        </w:rPr>
        <w:t>, pp.137-163</w:t>
      </w:r>
      <w:r>
        <w:rPr>
          <w:rFonts w:hint="eastAsia" w:ascii="Arial" w:hAnsi="Arial" w:eastAsia="宋体" w:cs="Arial"/>
          <w:color w:val="auto"/>
          <w:sz w:val="24"/>
          <w:lang w:val="en-US" w:eastAsia="zh-CN"/>
        </w:rPr>
        <w:t>, DOI:10.1016/j.ijintrel.2004.04.001.</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ascii="Arial" w:hAnsi="Arial" w:eastAsia="宋体" w:cs="Arial"/>
          <w:color w:val="auto"/>
          <w:sz w:val="24"/>
        </w:rPr>
      </w:pPr>
      <w:r>
        <w:rPr>
          <w:rFonts w:ascii="Arial" w:hAnsi="Arial" w:eastAsia="宋体" w:cs="Arial"/>
          <w:color w:val="auto"/>
          <w:sz w:val="24"/>
        </w:rPr>
        <w:t xml:space="preserve">Carte, P. &amp; Fox, C. (2004) </w:t>
      </w:r>
      <w:r>
        <w:rPr>
          <w:rFonts w:ascii="Arial" w:hAnsi="Arial" w:eastAsia="宋体" w:cs="Arial"/>
          <w:i/>
          <w:iCs/>
          <w:color w:val="auto"/>
          <w:sz w:val="24"/>
        </w:rPr>
        <w:t>Bridging the Culture Gap: A Practical Guide to International Business Communication</w:t>
      </w:r>
      <w:r>
        <w:rPr>
          <w:rFonts w:ascii="Arial" w:hAnsi="Arial" w:eastAsia="宋体" w:cs="Arial"/>
          <w:color w:val="auto"/>
          <w:sz w:val="24"/>
        </w:rPr>
        <w:t>, London: Kogan Page</w:t>
      </w:r>
      <w:r>
        <w:rPr>
          <w:rFonts w:hint="eastAsia" w:ascii="Arial" w:hAnsi="Arial" w:eastAsia="宋体" w:cs="Arial"/>
          <w:color w:val="auto"/>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default" w:ascii="Arial" w:hAnsi="Arial" w:eastAsia="宋体" w:cs="Arial"/>
          <w:color w:val="auto"/>
          <w:sz w:val="24"/>
          <w:szCs w:val="24"/>
        </w:rPr>
      </w:pPr>
      <w:r>
        <w:rPr>
          <w:rFonts w:hint="default" w:ascii="Arial" w:hAnsi="Arial" w:eastAsia="宋体" w:cs="Arial"/>
          <w:color w:val="auto"/>
          <w:sz w:val="24"/>
          <w:szCs w:val="24"/>
        </w:rPr>
        <w:t xml:space="preserve">Catalin, </w:t>
      </w:r>
      <w:r>
        <w:rPr>
          <w:rFonts w:hint="default" w:ascii="Arial" w:hAnsi="Arial" w:eastAsia="宋体" w:cs="Arial"/>
          <w:color w:val="auto"/>
          <w:sz w:val="24"/>
          <w:szCs w:val="24"/>
          <w:lang w:val="en-US" w:eastAsia="zh-CN"/>
        </w:rPr>
        <w:t xml:space="preserve">P. </w:t>
      </w:r>
      <w:r>
        <w:rPr>
          <w:rFonts w:hint="default" w:ascii="Arial" w:hAnsi="Arial" w:eastAsia="宋体" w:cs="Arial"/>
          <w:color w:val="auto"/>
          <w:sz w:val="24"/>
          <w:szCs w:val="24"/>
        </w:rPr>
        <w:t xml:space="preserve">(2012) </w:t>
      </w:r>
      <w:r>
        <w:rPr>
          <w:rFonts w:hint="default" w:ascii="Arial" w:hAnsi="Arial" w:eastAsia="宋体" w:cs="Arial"/>
          <w:color w:val="auto"/>
          <w:sz w:val="24"/>
          <w:szCs w:val="24"/>
          <w:lang w:val="en-US" w:eastAsia="zh-CN"/>
        </w:rPr>
        <w:t>‘</w:t>
      </w:r>
      <w:r>
        <w:rPr>
          <w:rFonts w:hint="default" w:ascii="Arial" w:hAnsi="Arial" w:eastAsia="宋体" w:cs="Arial"/>
          <w:color w:val="auto"/>
          <w:sz w:val="24"/>
          <w:szCs w:val="24"/>
        </w:rPr>
        <w:t>A Critical Approach to Hofstede’s Model on Cultural Dimensions</w:t>
      </w:r>
      <w:r>
        <w:rPr>
          <w:rFonts w:hint="default" w:ascii="Arial" w:hAnsi="Arial" w:eastAsia="宋体" w:cs="Arial"/>
          <w:color w:val="auto"/>
          <w:sz w:val="24"/>
          <w:szCs w:val="24"/>
          <w:lang w:val="en-US" w:eastAsia="zh-CN"/>
        </w:rPr>
        <w:t>’,</w:t>
      </w:r>
      <w:r>
        <w:rPr>
          <w:rFonts w:hint="default" w:ascii="Arial" w:hAnsi="Arial" w:eastAsia="宋体" w:cs="Arial"/>
          <w:color w:val="auto"/>
          <w:sz w:val="24"/>
          <w:szCs w:val="24"/>
        </w:rPr>
        <w:t xml:space="preserve"> </w:t>
      </w:r>
      <w:r>
        <w:rPr>
          <w:rFonts w:hint="default" w:ascii="Arial" w:hAnsi="Arial" w:eastAsia="宋体" w:cs="Arial"/>
          <w:i/>
          <w:iCs/>
          <w:color w:val="auto"/>
          <w:sz w:val="24"/>
          <w:szCs w:val="24"/>
        </w:rPr>
        <w:t>Ovidius University Annals, Economic Sciences Series</w:t>
      </w:r>
      <w:r>
        <w:rPr>
          <w:rFonts w:hint="default" w:ascii="Arial" w:hAnsi="Arial" w:eastAsia="宋体" w:cs="Arial"/>
          <w:color w:val="auto"/>
          <w:sz w:val="24"/>
          <w:szCs w:val="24"/>
        </w:rPr>
        <w:t xml:space="preserve">, </w:t>
      </w:r>
      <w:r>
        <w:rPr>
          <w:rFonts w:hint="eastAsia" w:ascii="Arial" w:hAnsi="Arial" w:eastAsia="宋体" w:cs="Arial"/>
          <w:color w:val="auto"/>
          <w:sz w:val="24"/>
          <w:szCs w:val="24"/>
          <w:lang w:val="en-US" w:eastAsia="zh-CN"/>
        </w:rPr>
        <w:t>vol.</w:t>
      </w:r>
      <w:r>
        <w:rPr>
          <w:rFonts w:hint="default" w:ascii="Arial" w:hAnsi="Arial" w:eastAsia="宋体" w:cs="Arial"/>
          <w:color w:val="auto"/>
          <w:sz w:val="24"/>
          <w:szCs w:val="24"/>
          <w:lang w:val="en-US" w:eastAsia="zh-CN"/>
        </w:rPr>
        <w:t>12</w:t>
      </w:r>
      <w:r>
        <w:rPr>
          <w:rFonts w:hint="eastAsia" w:ascii="Arial" w:hAnsi="Arial" w:eastAsia="宋体" w:cs="Arial"/>
          <w:color w:val="auto"/>
          <w:sz w:val="24"/>
          <w:szCs w:val="24"/>
          <w:lang w:val="en-US" w:eastAsia="zh-CN"/>
        </w:rPr>
        <w:t>, no.1</w:t>
      </w:r>
      <w:r>
        <w:rPr>
          <w:rFonts w:hint="default" w:ascii="Arial" w:hAnsi="Arial" w:eastAsia="宋体" w:cs="Arial"/>
          <w:color w:val="auto"/>
          <w:sz w:val="24"/>
          <w:szCs w:val="24"/>
          <w:lang w:val="en-US" w:eastAsia="zh-CN"/>
        </w:rPr>
        <w:t>,</w:t>
      </w:r>
      <w:r>
        <w:rPr>
          <w:rFonts w:hint="default" w:ascii="Arial" w:hAnsi="Arial" w:eastAsia="宋体" w:cs="Arial"/>
          <w:color w:val="auto"/>
          <w:sz w:val="24"/>
          <w:szCs w:val="24"/>
        </w:rPr>
        <w:t xml:space="preserve"> pp.644-649.</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ascii="Arial" w:hAnsi="Arial" w:eastAsia="宋体" w:cs="Arial"/>
          <w:color w:val="auto"/>
          <w:sz w:val="24"/>
        </w:rPr>
      </w:pPr>
      <w:r>
        <w:rPr>
          <w:rFonts w:ascii="Arial" w:hAnsi="Arial" w:eastAsia="宋体" w:cs="Arial"/>
          <w:color w:val="auto"/>
          <w:sz w:val="24"/>
        </w:rPr>
        <w:t>Charlie's Insight, (2022) ‘Building Trust in International Business’</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rFonts w:hint="eastAsia" w:ascii="Arial" w:hAnsi="Arial" w:eastAsia="宋体" w:cs="Arial"/>
          <w:color w:val="auto"/>
          <w:sz w:val="24"/>
          <w:lang w:val="en-US" w:eastAsia="zh-CN"/>
        </w:rPr>
        <w:t xml:space="preserve">[Online] Available at: </w:t>
      </w:r>
      <w:r>
        <w:rPr>
          <w:rFonts w:ascii="Arial" w:hAnsi="Arial" w:eastAsia="宋体" w:cs="Arial"/>
          <w:color w:val="auto"/>
          <w:sz w:val="24"/>
        </w:rPr>
        <w:t xml:space="preserve">https://view.inews.qq.com/a/20220720A011AQ00 [Accessed </w:t>
      </w:r>
      <w:r>
        <w:rPr>
          <w:rFonts w:hint="eastAsia" w:ascii="Arial" w:hAnsi="Arial" w:eastAsia="宋体" w:cs="Arial"/>
          <w:color w:val="auto"/>
          <w:sz w:val="24"/>
          <w:lang w:val="en-US" w:eastAsia="zh-CN"/>
        </w:rPr>
        <w:t>31</w:t>
      </w:r>
      <w:r>
        <w:rPr>
          <w:rFonts w:ascii="Arial" w:hAnsi="Arial" w:eastAsia="宋体" w:cs="Arial"/>
          <w:color w:val="auto"/>
          <w:sz w:val="24"/>
        </w:rPr>
        <w:t xml:space="preserve"> Dec 2022]</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default" w:ascii="Arial" w:hAnsi="Arial" w:eastAsia="宋体" w:cs="Arial"/>
          <w:color w:val="auto"/>
          <w:sz w:val="24"/>
          <w:lang w:val="en-US" w:eastAsia="zh-CN"/>
        </w:rPr>
      </w:pPr>
      <w:r>
        <w:rPr>
          <w:rFonts w:ascii="Arial" w:hAnsi="Arial" w:eastAsia="宋体" w:cs="Arial"/>
          <w:color w:val="auto"/>
          <w:sz w:val="24"/>
        </w:rPr>
        <w:t>Chia</w:t>
      </w:r>
      <w:r>
        <w:rPr>
          <w:rFonts w:hint="eastAsia" w:ascii="Arial" w:hAnsi="Arial" w:eastAsia="宋体" w:cs="Arial"/>
          <w:color w:val="auto"/>
          <w:sz w:val="24"/>
        </w:rPr>
        <w:t>,</w:t>
      </w:r>
      <w:r>
        <w:rPr>
          <w:rFonts w:ascii="Arial" w:hAnsi="Arial" w:eastAsia="宋体" w:cs="Arial"/>
          <w:color w:val="auto"/>
          <w:sz w:val="24"/>
        </w:rPr>
        <w:t xml:space="preserve"> K.</w:t>
      </w:r>
      <w:r>
        <w:rPr>
          <w:rFonts w:hint="eastAsia" w:ascii="Arial" w:hAnsi="Arial" w:eastAsia="宋体" w:cs="Arial"/>
          <w:color w:val="auto"/>
          <w:sz w:val="24"/>
          <w:lang w:val="en-US" w:eastAsia="zh-CN"/>
        </w:rPr>
        <w:t xml:space="preserve"> &amp; </w:t>
      </w:r>
      <w:r>
        <w:rPr>
          <w:rFonts w:ascii="Arial" w:hAnsi="Arial" w:eastAsia="宋体" w:cs="Arial"/>
          <w:color w:val="auto"/>
          <w:sz w:val="24"/>
        </w:rPr>
        <w:t xml:space="preserve">Here, C. (2015) </w:t>
      </w:r>
      <w:r>
        <w:rPr>
          <w:rFonts w:ascii="Arial" w:hAnsi="Arial" w:eastAsia="宋体" w:cs="Arial"/>
          <w:i/>
          <w:iCs/>
          <w:color w:val="auto"/>
          <w:sz w:val="24"/>
        </w:rPr>
        <w:t>Work attitudes of Singaporean millennials</w:t>
      </w:r>
      <w:r>
        <w:rPr>
          <w:rFonts w:ascii="Arial" w:hAnsi="Arial" w:eastAsia="宋体" w:cs="Arial"/>
          <w:color w:val="auto"/>
          <w:sz w:val="24"/>
        </w:rPr>
        <w:t>.</w:t>
      </w:r>
      <w:r>
        <w:rPr>
          <w:rFonts w:hint="eastAsia" w:ascii="Arial" w:hAnsi="Arial" w:eastAsia="宋体" w:cs="Arial"/>
          <w:color w:val="auto"/>
          <w:sz w:val="24"/>
          <w:lang w:val="en-US" w:eastAsia="zh-CN"/>
        </w:rPr>
        <w:t xml:space="preserve"> INSEAD.</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highlight w:val="none"/>
          <w:lang w:val="en-US" w:eastAsia="zh-CN"/>
        </w:rPr>
      </w:pPr>
      <w:r>
        <w:rPr>
          <w:rFonts w:hint="eastAsia" w:ascii="Arial" w:hAnsi="Arial" w:eastAsia="宋体" w:cs="Arial"/>
          <w:color w:val="auto"/>
          <w:sz w:val="24"/>
          <w:highlight w:val="none"/>
        </w:rPr>
        <w:t>Guang, T.</w:t>
      </w:r>
      <w:r>
        <w:rPr>
          <w:rFonts w:hint="eastAsia" w:ascii="Arial" w:hAnsi="Arial" w:eastAsia="宋体" w:cs="Arial"/>
          <w:color w:val="auto"/>
          <w:sz w:val="24"/>
          <w:highlight w:val="none"/>
          <w:lang w:val="en-US" w:eastAsia="zh-CN"/>
        </w:rPr>
        <w:t xml:space="preserve"> </w:t>
      </w:r>
      <w:r>
        <w:rPr>
          <w:rFonts w:hint="eastAsia" w:ascii="Arial" w:hAnsi="Arial" w:eastAsia="宋体" w:cs="Arial"/>
          <w:color w:val="auto"/>
          <w:sz w:val="24"/>
          <w:highlight w:val="none"/>
        </w:rPr>
        <w:t xml:space="preserve">&amp; Tian, K. (2018) </w:t>
      </w:r>
      <w:r>
        <w:rPr>
          <w:rFonts w:hint="default" w:ascii="Arial" w:hAnsi="Arial" w:eastAsia="宋体" w:cs="Arial"/>
          <w:color w:val="auto"/>
          <w:sz w:val="24"/>
          <w:szCs w:val="24"/>
          <w:highlight w:val="none"/>
          <w:lang w:val="en-US" w:eastAsia="zh-CN"/>
        </w:rPr>
        <w:t>‘</w:t>
      </w:r>
      <w:r>
        <w:rPr>
          <w:rFonts w:hint="eastAsia" w:ascii="Arial" w:hAnsi="Arial" w:eastAsia="宋体" w:cs="Arial"/>
          <w:color w:val="auto"/>
          <w:sz w:val="24"/>
          <w:highlight w:val="none"/>
        </w:rPr>
        <w:t>Cross-Cultural Business Communication: An Anthropological Approach Toward Diminishing Geographic Borders</w:t>
      </w:r>
      <w:r>
        <w:rPr>
          <w:rFonts w:hint="default" w:ascii="Arial" w:hAnsi="Arial" w:eastAsia="宋体" w:cs="Arial"/>
          <w:color w:val="auto"/>
          <w:sz w:val="24"/>
          <w:highlight w:val="none"/>
          <w:lang w:val="en-US" w:eastAsia="zh-CN"/>
        </w:rPr>
        <w:t>’</w:t>
      </w:r>
      <w:r>
        <w:rPr>
          <w:rFonts w:hint="eastAsia" w:ascii="Arial" w:hAnsi="Arial" w:eastAsia="宋体" w:cs="Arial"/>
          <w:color w:val="auto"/>
          <w:sz w:val="24"/>
          <w:highlight w:val="none"/>
          <w:lang w:val="en-US" w:eastAsia="zh-CN"/>
        </w:rPr>
        <w:t>,</w:t>
      </w:r>
      <w:r>
        <w:rPr>
          <w:rFonts w:hint="eastAsia" w:ascii="Arial" w:hAnsi="Arial" w:eastAsia="宋体" w:cs="Arial"/>
          <w:color w:val="auto"/>
          <w:sz w:val="24"/>
          <w:highlight w:val="none"/>
        </w:rPr>
        <w:t xml:space="preserve"> In C. Maheshkar, &amp; V. Sharma (Ed.), </w:t>
      </w:r>
      <w:r>
        <w:rPr>
          <w:rFonts w:hint="eastAsia" w:ascii="Arial" w:hAnsi="Arial" w:eastAsia="宋体" w:cs="Arial"/>
          <w:i/>
          <w:iCs/>
          <w:color w:val="auto"/>
          <w:sz w:val="24"/>
          <w:highlight w:val="none"/>
        </w:rPr>
        <w:t>Handbook of Research on Cross-Cultural Business Education</w:t>
      </w:r>
      <w:r>
        <w:rPr>
          <w:rFonts w:hint="eastAsia" w:ascii="Arial" w:hAnsi="Arial" w:eastAsia="宋体" w:cs="Arial"/>
          <w:color w:val="auto"/>
          <w:sz w:val="24"/>
          <w:highlight w:val="none"/>
          <w:lang w:val="en-US" w:eastAsia="zh-CN"/>
        </w:rPr>
        <w:t xml:space="preserve">, </w:t>
      </w:r>
      <w:r>
        <w:rPr>
          <w:rFonts w:hint="eastAsia" w:ascii="Arial" w:hAnsi="Arial" w:eastAsia="宋体" w:cs="Arial"/>
          <w:color w:val="auto"/>
          <w:sz w:val="24"/>
          <w:highlight w:val="none"/>
        </w:rPr>
        <w:t>pp. 183-198</w:t>
      </w:r>
      <w:r>
        <w:rPr>
          <w:rFonts w:hint="eastAsia" w:ascii="Arial" w:hAnsi="Arial" w:eastAsia="宋体" w:cs="Arial"/>
          <w:color w:val="auto"/>
          <w:sz w:val="24"/>
          <w:highlight w:val="none"/>
          <w:lang w:val="en-US" w:eastAsia="zh-CN"/>
        </w:rPr>
        <w:t>,</w:t>
      </w:r>
      <w:r>
        <w:rPr>
          <w:rFonts w:hint="eastAsia" w:ascii="Arial" w:hAnsi="Arial" w:eastAsia="宋体" w:cs="Arial"/>
          <w:color w:val="auto"/>
          <w:sz w:val="24"/>
          <w:highlight w:val="none"/>
        </w:rPr>
        <w:t xml:space="preserve"> IGI Global</w:t>
      </w:r>
      <w:r>
        <w:rPr>
          <w:rFonts w:hint="eastAsia" w:ascii="Arial" w:hAnsi="Arial" w:eastAsia="宋体" w:cs="Arial"/>
          <w:color w:val="auto"/>
          <w:sz w:val="24"/>
          <w:highlight w:val="none"/>
          <w:lang w:val="en-US" w:eastAsia="zh-CN"/>
        </w:rPr>
        <w:t>, DOI: 10.4018/978-1-5225-3776-2.ch009.</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 xml:space="preserve">Guo, J. </w:t>
      </w:r>
      <w:r>
        <w:rPr>
          <w:rFonts w:ascii="Arial" w:hAnsi="Arial" w:eastAsia="宋体" w:cs="Arial"/>
          <w:color w:val="auto"/>
          <w:sz w:val="24"/>
        </w:rPr>
        <w:t xml:space="preserve">(2014) </w:t>
      </w:r>
      <w:r>
        <w:rPr>
          <w:rFonts w:hint="default" w:ascii="Arial" w:hAnsi="Arial" w:eastAsia="宋体" w:cs="Arial"/>
          <w:color w:val="auto"/>
          <w:sz w:val="24"/>
          <w:lang w:val="en-US" w:eastAsia="zh-CN"/>
        </w:rPr>
        <w:t>‘</w:t>
      </w:r>
      <w:r>
        <w:rPr>
          <w:rFonts w:hint="eastAsia" w:ascii="Arial" w:hAnsi="Arial" w:eastAsia="宋体" w:cs="Arial"/>
          <w:color w:val="auto"/>
          <w:sz w:val="24"/>
        </w:rPr>
        <w:t xml:space="preserve">On Cross </w:t>
      </w:r>
      <w:r>
        <w:rPr>
          <w:rFonts w:hint="eastAsia" w:ascii="Arial" w:hAnsi="Arial" w:eastAsia="宋体" w:cs="Arial"/>
          <w:color w:val="auto"/>
          <w:sz w:val="24"/>
          <w:lang w:val="en-US" w:eastAsia="zh-CN"/>
        </w:rPr>
        <w:t>C</w:t>
      </w:r>
      <w:r>
        <w:rPr>
          <w:rFonts w:hint="eastAsia" w:ascii="Arial" w:hAnsi="Arial" w:eastAsia="宋体" w:cs="Arial"/>
          <w:color w:val="auto"/>
          <w:sz w:val="24"/>
        </w:rPr>
        <w:t>ultural Communication in a Globalized Work Environment</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hint="eastAsia" w:ascii="Arial" w:hAnsi="Arial" w:eastAsia="宋体" w:cs="Arial"/>
          <w:color w:val="auto"/>
          <w:sz w:val="24"/>
        </w:rPr>
        <w:t xml:space="preserve"> </w:t>
      </w:r>
      <w:r>
        <w:rPr>
          <w:rFonts w:hint="eastAsia" w:ascii="Arial" w:hAnsi="Arial" w:eastAsia="宋体" w:cs="Arial"/>
          <w:i/>
          <w:iCs/>
          <w:color w:val="auto"/>
          <w:sz w:val="24"/>
        </w:rPr>
        <w:t>Intelligence</w:t>
      </w:r>
      <w:r>
        <w:rPr>
          <w:rFonts w:hint="eastAsia" w:ascii="Arial" w:hAnsi="Arial" w:eastAsia="宋体" w:cs="Arial"/>
          <w:color w:val="auto"/>
          <w:sz w:val="24"/>
        </w:rPr>
        <w:t>,</w:t>
      </w:r>
      <w:r>
        <w:rPr>
          <w:rFonts w:hint="eastAsia" w:ascii="Arial" w:hAnsi="Arial" w:eastAsia="宋体" w:cs="Arial"/>
          <w:color w:val="auto"/>
          <w:sz w:val="24"/>
          <w:lang w:val="en-US" w:eastAsia="zh-CN"/>
        </w:rPr>
        <w:t xml:space="preserve"> no.</w:t>
      </w:r>
      <w:r>
        <w:rPr>
          <w:rFonts w:hint="eastAsia" w:ascii="Arial" w:hAnsi="Arial" w:eastAsia="宋体" w:cs="Arial"/>
          <w:color w:val="auto"/>
          <w:sz w:val="24"/>
        </w:rPr>
        <w:t>23</w:t>
      </w:r>
      <w:r>
        <w:rPr>
          <w:rFonts w:ascii="Arial" w:hAnsi="Arial" w:eastAsia="宋体" w:cs="Arial"/>
          <w:color w:val="auto"/>
          <w:sz w:val="24"/>
        </w:rPr>
        <w:t>, pp.</w:t>
      </w:r>
      <w:r>
        <w:rPr>
          <w:rFonts w:hint="eastAsia" w:ascii="Arial" w:hAnsi="Arial" w:eastAsia="宋体" w:cs="Arial"/>
          <w:color w:val="auto"/>
          <w:sz w:val="24"/>
        </w:rPr>
        <w:t>325</w:t>
      </w:r>
      <w:r>
        <w:rPr>
          <w:rFonts w:ascii="Arial" w:hAnsi="Arial" w:eastAsia="宋体" w:cs="Arial"/>
          <w:color w:val="auto"/>
          <w:sz w:val="24"/>
        </w:rPr>
        <w:t>-</w:t>
      </w:r>
      <w:r>
        <w:rPr>
          <w:rFonts w:hint="eastAsia" w:ascii="Arial" w:hAnsi="Arial" w:eastAsia="宋体" w:cs="Arial"/>
          <w:color w:val="auto"/>
          <w:sz w:val="24"/>
        </w:rPr>
        <w:t>327</w:t>
      </w:r>
      <w:r>
        <w:rPr>
          <w:rFonts w:ascii="Arial" w:hAnsi="Arial" w:eastAsia="宋体" w:cs="Arial"/>
          <w:color w:val="auto"/>
          <w:sz w:val="24"/>
        </w:rPr>
        <w:t>.</w:t>
      </w:r>
      <w:r>
        <w:rPr>
          <w:rFonts w:hint="eastAsia" w:ascii="Arial" w:hAnsi="Arial" w:eastAsia="宋体" w:cs="Arial"/>
          <w:color w:val="auto"/>
          <w:sz w:val="24"/>
          <w:lang w:val="en-US" w:eastAsia="zh-CN"/>
        </w:rPr>
        <w:t xml:space="preserve"> (in Chinese)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 xml:space="preserve">Han, S.M. &amp; Huang, G.F. </w:t>
      </w:r>
      <w:r>
        <w:rPr>
          <w:rFonts w:ascii="Arial" w:hAnsi="Arial" w:eastAsia="宋体" w:cs="Arial"/>
          <w:color w:val="auto"/>
          <w:sz w:val="24"/>
        </w:rPr>
        <w:t xml:space="preserve">(2019) </w:t>
      </w:r>
      <w:r>
        <w:rPr>
          <w:rFonts w:hint="default" w:ascii="Arial" w:hAnsi="Arial" w:eastAsia="宋体" w:cs="Arial"/>
          <w:color w:val="auto"/>
          <w:sz w:val="24"/>
          <w:lang w:val="en-US" w:eastAsia="zh-CN"/>
        </w:rPr>
        <w:t>‘</w:t>
      </w:r>
      <w:r>
        <w:rPr>
          <w:rFonts w:hint="eastAsia" w:ascii="Arial" w:hAnsi="Arial" w:eastAsia="宋体" w:cs="Arial"/>
          <w:color w:val="auto"/>
          <w:sz w:val="24"/>
        </w:rPr>
        <w:t>The Difficulties and Countermeasures of Corporate Image Construction in Cross cultural Business Communication</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Home Drama</w:t>
      </w:r>
      <w:r>
        <w:rPr>
          <w:rFonts w:ascii="Arial" w:hAnsi="Arial" w:eastAsia="宋体" w:cs="Arial"/>
          <w:color w:val="auto"/>
          <w:sz w:val="24"/>
        </w:rPr>
        <w:t>, no.18, pp.217-218.</w:t>
      </w:r>
      <w:r>
        <w:rPr>
          <w:rFonts w:hint="eastAsia" w:ascii="Arial" w:hAnsi="Arial" w:eastAsia="宋体" w:cs="Arial"/>
          <w:color w:val="auto"/>
          <w:sz w:val="24"/>
          <w:lang w:val="en-US" w:eastAsia="zh-CN"/>
        </w:rPr>
        <w:t xml:space="preserve"> (in Chinese)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ascii="Arial" w:hAnsi="Arial" w:eastAsia="宋体" w:cs="Arial"/>
          <w:color w:val="auto"/>
          <w:sz w:val="24"/>
        </w:rPr>
      </w:pPr>
      <w:r>
        <w:rPr>
          <w:rFonts w:hint="eastAsia" w:ascii="Arial" w:hAnsi="Arial" w:eastAsia="宋体" w:cs="Arial"/>
          <w:color w:val="auto"/>
          <w:sz w:val="24"/>
          <w:lang w:val="en-US" w:eastAsia="zh-CN"/>
        </w:rPr>
        <w:t xml:space="preserve">He, L.L. &amp; Li, J. </w:t>
      </w:r>
      <w:r>
        <w:rPr>
          <w:rFonts w:ascii="Arial" w:hAnsi="Arial" w:eastAsia="宋体" w:cs="Arial"/>
          <w:color w:val="auto"/>
          <w:sz w:val="24"/>
        </w:rPr>
        <w:t xml:space="preserve">(2021) </w:t>
      </w:r>
      <w:r>
        <w:rPr>
          <w:rFonts w:hint="default" w:ascii="Arial" w:hAnsi="Arial" w:eastAsia="宋体" w:cs="Arial"/>
          <w:color w:val="auto"/>
          <w:sz w:val="24"/>
          <w:lang w:val="en-US" w:eastAsia="zh-CN"/>
        </w:rPr>
        <w:t>‘</w:t>
      </w:r>
      <w:r>
        <w:rPr>
          <w:rFonts w:hint="eastAsia" w:ascii="Arial" w:hAnsi="Arial" w:eastAsia="宋体" w:cs="Arial"/>
          <w:color w:val="auto"/>
          <w:sz w:val="24"/>
        </w:rPr>
        <w:t>Cultural Conflict and Integration Exploration in Multinational Enterprises</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 xml:space="preserve">Journal of Shanxi Datong University </w:t>
      </w:r>
      <w:r>
        <w:rPr>
          <w:rFonts w:hint="eastAsia" w:ascii="Arial" w:hAnsi="Arial" w:eastAsia="宋体" w:cs="Arial"/>
          <w:i w:val="0"/>
          <w:iCs w:val="0"/>
          <w:color w:val="auto"/>
          <w:sz w:val="24"/>
          <w:lang w:val="en-US" w:eastAsia="zh-CN"/>
        </w:rPr>
        <w:t>(Social Science Edition)</w:t>
      </w:r>
      <w:r>
        <w:rPr>
          <w:rFonts w:ascii="Arial" w:hAnsi="Arial" w:eastAsia="宋体" w:cs="Arial"/>
          <w:color w:val="auto"/>
          <w:sz w:val="24"/>
        </w:rPr>
        <w:t>, vol.35, no.1, pp.125-128.</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default" w:ascii="Arial" w:hAnsi="Arial" w:eastAsia="宋体" w:cs="Arial"/>
          <w:color w:val="auto"/>
          <w:sz w:val="24"/>
          <w:lang w:val="en-US" w:eastAsia="zh-CN"/>
        </w:rPr>
      </w:pPr>
      <w:r>
        <w:rPr>
          <w:rFonts w:hint="eastAsia" w:ascii="Arial" w:hAnsi="Arial" w:eastAsia="宋体" w:cs="Arial"/>
          <w:color w:val="auto"/>
          <w:sz w:val="24"/>
          <w:lang w:val="en-US" w:eastAsia="zh-CN"/>
        </w:rPr>
        <w:t xml:space="preserve">Hofstede, G. (1991) </w:t>
      </w:r>
      <w:r>
        <w:rPr>
          <w:rFonts w:hint="eastAsia" w:ascii="Arial" w:hAnsi="Arial" w:eastAsia="宋体" w:cs="Arial"/>
          <w:i/>
          <w:iCs/>
          <w:color w:val="auto"/>
          <w:sz w:val="24"/>
          <w:lang w:val="en-US" w:eastAsia="zh-CN"/>
        </w:rPr>
        <w:t>Cultures and organizations: software of the mind</w:t>
      </w:r>
      <w:r>
        <w:rPr>
          <w:rFonts w:hint="eastAsia" w:ascii="Arial" w:hAnsi="Arial" w:eastAsia="宋体" w:cs="Arial"/>
          <w:color w:val="auto"/>
          <w:sz w:val="24"/>
          <w:lang w:val="en-US" w:eastAsia="zh-CN"/>
        </w:rPr>
        <w:t>,</w:t>
      </w:r>
      <w:r>
        <w:rPr>
          <w:rFonts w:hint="default" w:ascii="Arial" w:hAnsi="Arial" w:eastAsia="宋体" w:cs="Arial"/>
          <w:color w:val="auto"/>
          <w:sz w:val="24"/>
          <w:lang w:val="en-US" w:eastAsia="zh-CN"/>
        </w:rPr>
        <w:t xml:space="preserve"> London: McGraw-Hill.</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i w:val="0"/>
          <w:iCs w:val="0"/>
          <w:color w:val="auto"/>
          <w:sz w:val="24"/>
          <w:lang w:val="en-US" w:eastAsia="zh-CN"/>
        </w:rPr>
      </w:pPr>
      <w:r>
        <w:rPr>
          <w:rFonts w:hint="default" w:ascii="Arial" w:hAnsi="Arial" w:eastAsia="宋体" w:cs="Arial"/>
          <w:i w:val="0"/>
          <w:iCs w:val="0"/>
          <w:color w:val="auto"/>
          <w:sz w:val="24"/>
          <w:lang w:val="en-US" w:eastAsia="zh-CN"/>
        </w:rPr>
        <w:t xml:space="preserve">Hofstede, G. </w:t>
      </w:r>
      <w:r>
        <w:rPr>
          <w:rFonts w:hint="eastAsia" w:ascii="Arial" w:hAnsi="Arial" w:eastAsia="宋体" w:cs="Arial"/>
          <w:i w:val="0"/>
          <w:iCs w:val="0"/>
          <w:color w:val="auto"/>
          <w:sz w:val="24"/>
          <w:lang w:val="en-US" w:eastAsia="zh-CN"/>
        </w:rPr>
        <w:t xml:space="preserve">&amp; </w:t>
      </w:r>
      <w:r>
        <w:rPr>
          <w:rFonts w:hint="default" w:ascii="Arial" w:hAnsi="Arial" w:eastAsia="宋体" w:cs="Arial"/>
          <w:i w:val="0"/>
          <w:iCs w:val="0"/>
          <w:color w:val="auto"/>
          <w:sz w:val="24"/>
          <w:lang w:val="en-US" w:eastAsia="zh-CN"/>
        </w:rPr>
        <w:t>Bond, M.H. (1984)</w:t>
      </w:r>
      <w:r>
        <w:rPr>
          <w:rFonts w:hint="eastAsia" w:ascii="Arial" w:hAnsi="Arial" w:eastAsia="宋体" w:cs="Arial"/>
          <w:i w:val="0"/>
          <w:iCs w:val="0"/>
          <w:color w:val="auto"/>
          <w:sz w:val="24"/>
          <w:lang w:val="en-US" w:eastAsia="zh-CN"/>
        </w:rPr>
        <w:t xml:space="preserve"> </w:t>
      </w:r>
      <w:r>
        <w:rPr>
          <w:rFonts w:hint="default" w:ascii="Arial" w:hAnsi="Arial" w:eastAsia="宋体" w:cs="Arial"/>
          <w:i w:val="0"/>
          <w:iCs w:val="0"/>
          <w:color w:val="auto"/>
          <w:sz w:val="24"/>
          <w:lang w:val="en-US" w:eastAsia="zh-CN"/>
        </w:rPr>
        <w:t>’Hofstede’s Culture Dimensions: An Independent Validation Using Rokeach’s Value Survey’</w:t>
      </w:r>
      <w:r>
        <w:rPr>
          <w:rFonts w:hint="eastAsia" w:ascii="Arial" w:hAnsi="Arial" w:eastAsia="宋体" w:cs="Arial"/>
          <w:i w:val="0"/>
          <w:iCs w:val="0"/>
          <w:color w:val="auto"/>
          <w:sz w:val="24"/>
          <w:lang w:val="en-US" w:eastAsia="zh-CN"/>
        </w:rPr>
        <w:t>,</w:t>
      </w:r>
      <w:r>
        <w:rPr>
          <w:rFonts w:hint="default" w:ascii="Arial" w:hAnsi="Arial" w:eastAsia="宋体" w:cs="Arial"/>
          <w:i w:val="0"/>
          <w:iCs w:val="0"/>
          <w:color w:val="auto"/>
          <w:sz w:val="24"/>
          <w:lang w:val="en-US" w:eastAsia="zh-CN"/>
        </w:rPr>
        <w:t xml:space="preserve"> </w:t>
      </w:r>
      <w:r>
        <w:rPr>
          <w:rFonts w:hint="default" w:ascii="Arial" w:hAnsi="Arial" w:eastAsia="宋体" w:cs="Arial"/>
          <w:i/>
          <w:iCs/>
          <w:color w:val="auto"/>
          <w:sz w:val="24"/>
          <w:lang w:val="en-US" w:eastAsia="zh-CN"/>
        </w:rPr>
        <w:t>Journal of Cross-Cultural Psychology</w:t>
      </w:r>
      <w:r>
        <w:rPr>
          <w:rFonts w:hint="default" w:ascii="Arial" w:hAnsi="Arial" w:eastAsia="宋体" w:cs="Arial"/>
          <w:i w:val="0"/>
          <w:iCs w:val="0"/>
          <w:color w:val="auto"/>
          <w:sz w:val="24"/>
          <w:lang w:val="en-US" w:eastAsia="zh-CN"/>
        </w:rPr>
        <w:t xml:space="preserve">, </w:t>
      </w:r>
      <w:r>
        <w:rPr>
          <w:rFonts w:hint="eastAsia" w:ascii="Arial" w:hAnsi="Arial" w:eastAsia="宋体" w:cs="Arial"/>
          <w:i w:val="0"/>
          <w:iCs w:val="0"/>
          <w:color w:val="auto"/>
          <w:sz w:val="24"/>
          <w:lang w:val="en-US" w:eastAsia="zh-CN"/>
        </w:rPr>
        <w:t>vol.</w:t>
      </w:r>
      <w:r>
        <w:rPr>
          <w:rFonts w:hint="default" w:ascii="Arial" w:hAnsi="Arial" w:eastAsia="宋体" w:cs="Arial"/>
          <w:i w:val="0"/>
          <w:iCs w:val="0"/>
          <w:color w:val="auto"/>
          <w:sz w:val="24"/>
          <w:lang w:val="en-US" w:eastAsia="zh-CN"/>
        </w:rPr>
        <w:t>15</w:t>
      </w:r>
      <w:r>
        <w:rPr>
          <w:rFonts w:hint="eastAsia" w:ascii="Arial" w:hAnsi="Arial" w:eastAsia="宋体" w:cs="Arial"/>
          <w:i w:val="0"/>
          <w:iCs w:val="0"/>
          <w:color w:val="auto"/>
          <w:sz w:val="24"/>
          <w:lang w:val="en-US" w:eastAsia="zh-CN"/>
        </w:rPr>
        <w:t>, no.</w:t>
      </w:r>
      <w:r>
        <w:rPr>
          <w:rFonts w:hint="default" w:ascii="Arial" w:hAnsi="Arial" w:eastAsia="宋体" w:cs="Arial"/>
          <w:i w:val="0"/>
          <w:iCs w:val="0"/>
          <w:color w:val="auto"/>
          <w:sz w:val="24"/>
          <w:lang w:val="en-US" w:eastAsia="zh-CN"/>
        </w:rPr>
        <w:t>4, 417</w:t>
      </w:r>
      <w:r>
        <w:rPr>
          <w:rFonts w:hint="eastAsia" w:ascii="Arial" w:hAnsi="Arial" w:eastAsia="宋体" w:cs="Arial"/>
          <w:i w:val="0"/>
          <w:iCs w:val="0"/>
          <w:color w:val="auto"/>
          <w:sz w:val="24"/>
          <w:lang w:val="en-US" w:eastAsia="zh-CN"/>
        </w:rPr>
        <w:t>-</w:t>
      </w:r>
      <w:r>
        <w:rPr>
          <w:rFonts w:hint="default" w:ascii="Arial" w:hAnsi="Arial" w:eastAsia="宋体" w:cs="Arial"/>
          <w:i w:val="0"/>
          <w:iCs w:val="0"/>
          <w:color w:val="auto"/>
          <w:sz w:val="24"/>
          <w:lang w:val="en-US" w:eastAsia="zh-CN"/>
        </w:rPr>
        <w:t>433</w:t>
      </w:r>
      <w:r>
        <w:rPr>
          <w:rFonts w:hint="eastAsia" w:ascii="Arial" w:hAnsi="Arial" w:eastAsia="宋体" w:cs="Arial"/>
          <w:i w:val="0"/>
          <w:iCs w:val="0"/>
          <w:color w:val="auto"/>
          <w:sz w:val="24"/>
          <w:lang w:val="en-US" w:eastAsia="zh-CN"/>
        </w:rPr>
        <w:t>,</w:t>
      </w:r>
      <w:r>
        <w:rPr>
          <w:rFonts w:hint="default" w:ascii="Arial" w:hAnsi="Arial" w:eastAsia="宋体" w:cs="Arial"/>
          <w:i w:val="0"/>
          <w:iCs w:val="0"/>
          <w:color w:val="auto"/>
          <w:sz w:val="24"/>
          <w:lang w:val="en-US" w:eastAsia="zh-CN"/>
        </w:rPr>
        <w:t xml:space="preserve"> </w:t>
      </w:r>
      <w:r>
        <w:rPr>
          <w:rFonts w:hint="eastAsia" w:ascii="Arial" w:hAnsi="Arial" w:eastAsia="宋体" w:cs="Arial"/>
          <w:i w:val="0"/>
          <w:iCs w:val="0"/>
          <w:color w:val="auto"/>
          <w:sz w:val="24"/>
          <w:lang w:val="en-US" w:eastAsia="zh-CN"/>
        </w:rPr>
        <w:t xml:space="preserve">DOI: </w:t>
      </w:r>
      <w:r>
        <w:rPr>
          <w:rFonts w:hint="default" w:ascii="Arial" w:hAnsi="Arial" w:eastAsia="宋体" w:cs="Arial"/>
          <w:i w:val="0"/>
          <w:iCs w:val="0"/>
          <w:color w:val="auto"/>
          <w:sz w:val="24"/>
          <w:lang w:val="en-US" w:eastAsia="zh-CN"/>
        </w:rPr>
        <w:t>10.1177/0022002184015004003</w:t>
      </w:r>
      <w:r>
        <w:rPr>
          <w:rFonts w:hint="eastAsia" w:ascii="Arial" w:hAnsi="Arial" w:eastAsia="宋体" w:cs="Arial"/>
          <w:i w:val="0"/>
          <w:iCs w:val="0"/>
          <w:color w:val="auto"/>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i w:val="0"/>
          <w:iCs w:val="0"/>
          <w:color w:val="auto"/>
          <w:sz w:val="24"/>
          <w:lang w:val="en-US" w:eastAsia="zh-CN"/>
        </w:rPr>
      </w:pPr>
      <w:r>
        <w:rPr>
          <w:rFonts w:hint="default" w:ascii="Arial" w:hAnsi="Arial" w:eastAsia="宋体" w:cs="Arial"/>
          <w:i w:val="0"/>
          <w:iCs w:val="0"/>
          <w:color w:val="auto"/>
          <w:sz w:val="24"/>
          <w:lang w:val="en-US" w:eastAsia="zh-CN"/>
        </w:rPr>
        <w:t xml:space="preserve">Hofstede, G., Hofstede, G.J., &amp; Minkov, M. (2010) </w:t>
      </w:r>
      <w:r>
        <w:rPr>
          <w:rFonts w:hint="default" w:ascii="Arial" w:hAnsi="Arial" w:eastAsia="宋体" w:cs="Arial"/>
          <w:i/>
          <w:iCs/>
          <w:color w:val="auto"/>
          <w:sz w:val="24"/>
          <w:lang w:val="en-US" w:eastAsia="zh-CN"/>
        </w:rPr>
        <w:t>Cultures and Organiza</w:t>
      </w:r>
      <w:r>
        <w:rPr>
          <w:rFonts w:hint="eastAsia" w:ascii="Arial" w:hAnsi="Arial" w:eastAsia="宋体" w:cs="Arial"/>
          <w:i/>
          <w:iCs/>
          <w:color w:val="auto"/>
          <w:sz w:val="24"/>
          <w:lang w:val="en-US" w:eastAsia="zh-CN"/>
        </w:rPr>
        <w:t>tion</w:t>
      </w:r>
      <w:r>
        <w:rPr>
          <w:rFonts w:hint="default" w:ascii="Arial" w:hAnsi="Arial" w:eastAsia="宋体" w:cs="Arial"/>
          <w:i/>
          <w:iCs/>
          <w:color w:val="auto"/>
          <w:sz w:val="24"/>
          <w:lang w:val="en-US" w:eastAsia="zh-CN"/>
        </w:rPr>
        <w:t>s: So</w:t>
      </w:r>
      <w:r>
        <w:rPr>
          <w:rFonts w:hint="eastAsia" w:ascii="Arial" w:hAnsi="Arial" w:eastAsia="宋体" w:cs="Arial"/>
          <w:i/>
          <w:iCs/>
          <w:color w:val="auto"/>
          <w:sz w:val="24"/>
          <w:lang w:val="en-US" w:eastAsia="zh-CN"/>
        </w:rPr>
        <w:t>ftw</w:t>
      </w:r>
      <w:r>
        <w:rPr>
          <w:rFonts w:hint="default" w:ascii="Arial" w:hAnsi="Arial" w:eastAsia="宋体" w:cs="Arial"/>
          <w:i/>
          <w:iCs/>
          <w:color w:val="auto"/>
          <w:sz w:val="24"/>
          <w:lang w:val="en-US" w:eastAsia="zh-CN"/>
        </w:rPr>
        <w:t>are of the Mind</w:t>
      </w:r>
      <w:r>
        <w:rPr>
          <w:rFonts w:hint="default" w:ascii="Arial" w:hAnsi="Arial" w:eastAsia="宋体" w:cs="Arial"/>
          <w:i w:val="0"/>
          <w:iCs w:val="0"/>
          <w:color w:val="auto"/>
          <w:sz w:val="24"/>
          <w:lang w:val="en-US" w:eastAsia="zh-CN"/>
        </w:rPr>
        <w:t xml:space="preserve"> (Revised </w:t>
      </w:r>
      <w:r>
        <w:rPr>
          <w:rFonts w:hint="eastAsia" w:ascii="Arial" w:hAnsi="Arial" w:eastAsia="宋体" w:cs="Arial"/>
          <w:i w:val="0"/>
          <w:iCs w:val="0"/>
          <w:color w:val="auto"/>
          <w:sz w:val="24"/>
          <w:lang w:val="en-US" w:eastAsia="zh-CN"/>
        </w:rPr>
        <w:t>3rd ed.</w:t>
      </w:r>
      <w:r>
        <w:rPr>
          <w:rFonts w:hint="default" w:ascii="Arial" w:hAnsi="Arial" w:eastAsia="宋体" w:cs="Arial"/>
          <w:i w:val="0"/>
          <w:iCs w:val="0"/>
          <w:color w:val="auto"/>
          <w:sz w:val="24"/>
          <w:lang w:val="en-US" w:eastAsia="zh-CN"/>
        </w:rPr>
        <w:t>), New York: McGraw-Hill</w:t>
      </w:r>
      <w:r>
        <w:rPr>
          <w:rFonts w:hint="eastAsia" w:ascii="Arial" w:hAnsi="Arial" w:eastAsia="宋体" w:cs="Arial"/>
          <w:i w:val="0"/>
          <w:iCs w:val="0"/>
          <w:color w:val="auto"/>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i w:val="0"/>
          <w:iCs w:val="0"/>
          <w:color w:val="auto"/>
          <w:sz w:val="24"/>
          <w:lang w:val="en-US" w:eastAsia="zh-CN"/>
        </w:rPr>
      </w:pPr>
      <w:r>
        <w:rPr>
          <w:rFonts w:hint="default" w:ascii="Arial" w:hAnsi="Arial" w:eastAsia="宋体" w:cs="Arial"/>
          <w:i w:val="0"/>
          <w:iCs w:val="0"/>
          <w:color w:val="auto"/>
          <w:sz w:val="24"/>
          <w:lang w:val="en-US" w:eastAsia="zh-CN"/>
        </w:rPr>
        <w:t>Hofstede</w:t>
      </w:r>
      <w:r>
        <w:rPr>
          <w:rFonts w:hint="eastAsia" w:ascii="Arial" w:hAnsi="Arial" w:eastAsia="宋体" w:cs="Arial"/>
          <w:i w:val="0"/>
          <w:iCs w:val="0"/>
          <w:color w:val="auto"/>
          <w:sz w:val="24"/>
          <w:lang w:val="en-US" w:eastAsia="zh-CN"/>
        </w:rPr>
        <w:t xml:space="preserve">, G. &amp; </w:t>
      </w:r>
      <w:r>
        <w:rPr>
          <w:rFonts w:hint="default" w:ascii="Arial" w:hAnsi="Arial" w:eastAsia="宋体" w:cs="Arial"/>
          <w:i w:val="0"/>
          <w:iCs w:val="0"/>
          <w:color w:val="auto"/>
          <w:sz w:val="24"/>
          <w:lang w:val="en-US" w:eastAsia="zh-CN"/>
        </w:rPr>
        <w:t>Minkov</w:t>
      </w:r>
      <w:r>
        <w:rPr>
          <w:rFonts w:hint="eastAsia" w:ascii="Arial" w:hAnsi="Arial" w:eastAsia="宋体" w:cs="Arial"/>
          <w:i w:val="0"/>
          <w:iCs w:val="0"/>
          <w:color w:val="auto"/>
          <w:sz w:val="24"/>
          <w:lang w:val="en-US" w:eastAsia="zh-CN"/>
        </w:rPr>
        <w:t>, M.</w:t>
      </w:r>
      <w:r>
        <w:rPr>
          <w:rFonts w:hint="default" w:ascii="Arial" w:hAnsi="Arial" w:eastAsia="宋体" w:cs="Arial"/>
          <w:i w:val="0"/>
          <w:iCs w:val="0"/>
          <w:color w:val="auto"/>
          <w:sz w:val="24"/>
          <w:lang w:val="en-US" w:eastAsia="zh-CN"/>
        </w:rPr>
        <w:t xml:space="preserve"> (2010) ‘Long-versus short-term orientation:</w:t>
      </w:r>
      <w:r>
        <w:rPr>
          <w:rFonts w:hint="eastAsia" w:ascii="Arial" w:hAnsi="Arial" w:eastAsia="宋体" w:cs="Arial"/>
          <w:i w:val="0"/>
          <w:iCs w:val="0"/>
          <w:color w:val="auto"/>
          <w:sz w:val="24"/>
          <w:lang w:val="en-US" w:eastAsia="zh-CN"/>
        </w:rPr>
        <w:t xml:space="preserve"> </w:t>
      </w:r>
      <w:r>
        <w:rPr>
          <w:rFonts w:hint="default" w:ascii="Arial" w:hAnsi="Arial" w:eastAsia="宋体" w:cs="Arial"/>
          <w:i w:val="0"/>
          <w:iCs w:val="0"/>
          <w:color w:val="auto"/>
          <w:sz w:val="24"/>
          <w:lang w:val="en-US" w:eastAsia="zh-CN"/>
        </w:rPr>
        <w:t xml:space="preserve">new perspectives’, </w:t>
      </w:r>
      <w:r>
        <w:rPr>
          <w:rFonts w:hint="default" w:ascii="Arial" w:hAnsi="Arial" w:eastAsia="宋体" w:cs="Arial"/>
          <w:i/>
          <w:iCs/>
          <w:color w:val="auto"/>
          <w:sz w:val="24"/>
          <w:lang w:val="en-US" w:eastAsia="zh-CN"/>
        </w:rPr>
        <w:t>Asia Pacific Business Review</w:t>
      </w:r>
      <w:r>
        <w:rPr>
          <w:rFonts w:hint="default" w:ascii="Arial" w:hAnsi="Arial" w:eastAsia="宋体" w:cs="Arial"/>
          <w:i w:val="0"/>
          <w:iCs w:val="0"/>
          <w:color w:val="auto"/>
          <w:sz w:val="24"/>
          <w:lang w:val="en-US" w:eastAsia="zh-CN"/>
        </w:rPr>
        <w:t xml:space="preserve">, </w:t>
      </w:r>
      <w:r>
        <w:rPr>
          <w:rFonts w:hint="eastAsia" w:ascii="Arial" w:hAnsi="Arial" w:eastAsia="宋体" w:cs="Arial"/>
          <w:i w:val="0"/>
          <w:iCs w:val="0"/>
          <w:color w:val="auto"/>
          <w:sz w:val="24"/>
          <w:lang w:val="en-US" w:eastAsia="zh-CN"/>
        </w:rPr>
        <w:t>vol.</w:t>
      </w:r>
      <w:r>
        <w:rPr>
          <w:rFonts w:hint="default" w:ascii="Arial" w:hAnsi="Arial" w:eastAsia="宋体" w:cs="Arial"/>
          <w:i w:val="0"/>
          <w:iCs w:val="0"/>
          <w:color w:val="auto"/>
          <w:sz w:val="24"/>
          <w:lang w:val="en-US" w:eastAsia="zh-CN"/>
        </w:rPr>
        <w:t>16</w:t>
      </w:r>
      <w:r>
        <w:rPr>
          <w:rFonts w:hint="eastAsia" w:ascii="Arial" w:hAnsi="Arial" w:eastAsia="宋体" w:cs="Arial"/>
          <w:i w:val="0"/>
          <w:iCs w:val="0"/>
          <w:color w:val="auto"/>
          <w:sz w:val="24"/>
          <w:lang w:val="en-US" w:eastAsia="zh-CN"/>
        </w:rPr>
        <w:t>, no.</w:t>
      </w:r>
      <w:r>
        <w:rPr>
          <w:rFonts w:hint="default" w:ascii="Arial" w:hAnsi="Arial" w:eastAsia="宋体" w:cs="Arial"/>
          <w:i w:val="0"/>
          <w:iCs w:val="0"/>
          <w:color w:val="auto"/>
          <w:sz w:val="24"/>
          <w:lang w:val="en-US" w:eastAsia="zh-CN"/>
        </w:rPr>
        <w:t xml:space="preserve">4, </w:t>
      </w:r>
      <w:r>
        <w:rPr>
          <w:rFonts w:hint="eastAsia" w:ascii="Arial" w:hAnsi="Arial" w:eastAsia="宋体" w:cs="Arial"/>
          <w:i w:val="0"/>
          <w:iCs w:val="0"/>
          <w:color w:val="auto"/>
          <w:sz w:val="24"/>
          <w:lang w:val="en-US" w:eastAsia="zh-CN"/>
        </w:rPr>
        <w:t>pp.</w:t>
      </w:r>
      <w:r>
        <w:rPr>
          <w:rFonts w:hint="default" w:ascii="Arial" w:hAnsi="Arial" w:eastAsia="宋体" w:cs="Arial"/>
          <w:i w:val="0"/>
          <w:iCs w:val="0"/>
          <w:color w:val="auto"/>
          <w:sz w:val="24"/>
          <w:lang w:val="en-US" w:eastAsia="zh-CN"/>
        </w:rPr>
        <w:t>493-504, DOI: 10.1080/13602381003637609</w:t>
      </w:r>
      <w:r>
        <w:rPr>
          <w:rFonts w:hint="eastAsia" w:ascii="Arial" w:hAnsi="Arial" w:eastAsia="宋体" w:cs="Arial"/>
          <w:i w:val="0"/>
          <w:iCs w:val="0"/>
          <w:color w:val="auto"/>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rPr>
        <w:t>Jackson</w:t>
      </w:r>
      <w:r>
        <w:rPr>
          <w:rFonts w:hint="eastAsia" w:ascii="Arial" w:hAnsi="Arial" w:eastAsia="宋体" w:cs="Arial"/>
          <w:color w:val="auto"/>
          <w:sz w:val="24"/>
          <w:lang w:val="en-US" w:eastAsia="zh-CN"/>
        </w:rPr>
        <w:t>, R.L.</w:t>
      </w:r>
      <w:r>
        <w:rPr>
          <w:rFonts w:hint="eastAsia" w:ascii="Arial" w:hAnsi="Arial" w:eastAsia="宋体" w:cs="Arial"/>
          <w:color w:val="auto"/>
          <w:sz w:val="24"/>
        </w:rPr>
        <w:t xml:space="preserve"> (2002) </w:t>
      </w:r>
      <w:r>
        <w:rPr>
          <w:rFonts w:hint="default" w:ascii="Arial" w:hAnsi="Arial" w:eastAsia="宋体" w:cs="Arial"/>
          <w:color w:val="auto"/>
          <w:sz w:val="24"/>
          <w:lang w:val="en-US" w:eastAsia="zh-CN"/>
        </w:rPr>
        <w:t>‘</w:t>
      </w:r>
      <w:r>
        <w:rPr>
          <w:rFonts w:hint="eastAsia" w:ascii="Arial" w:hAnsi="Arial" w:eastAsia="宋体" w:cs="Arial"/>
          <w:color w:val="auto"/>
          <w:sz w:val="24"/>
        </w:rPr>
        <w:t>Cultural contracts theory: Toward an</w:t>
      </w:r>
      <w:r>
        <w:rPr>
          <w:rFonts w:hint="eastAsia" w:ascii="Arial" w:hAnsi="Arial" w:eastAsia="宋体" w:cs="Arial"/>
          <w:color w:val="auto"/>
          <w:sz w:val="24"/>
          <w:lang w:val="en-US" w:eastAsia="zh-CN"/>
        </w:rPr>
        <w:t xml:space="preserve"> </w:t>
      </w:r>
      <w:r>
        <w:rPr>
          <w:rFonts w:hint="eastAsia" w:ascii="Arial" w:hAnsi="Arial" w:eastAsia="宋体" w:cs="Arial"/>
          <w:color w:val="auto"/>
          <w:sz w:val="24"/>
        </w:rPr>
        <w:t>understanding of identity negotiation</w:t>
      </w:r>
      <w:r>
        <w:rPr>
          <w:rFonts w:hint="default" w:ascii="Arial" w:hAnsi="Arial" w:eastAsia="宋体" w:cs="Arial"/>
          <w:color w:val="auto"/>
          <w:sz w:val="24"/>
          <w:lang w:val="en-US" w:eastAsia="zh-CN"/>
        </w:rPr>
        <w:t>’</w:t>
      </w:r>
      <w:r>
        <w:rPr>
          <w:rFonts w:hint="eastAsia" w:ascii="Arial" w:hAnsi="Arial" w:eastAsia="宋体" w:cs="Arial"/>
          <w:color w:val="auto"/>
          <w:sz w:val="24"/>
        </w:rPr>
        <w:t xml:space="preserve">, </w:t>
      </w:r>
      <w:r>
        <w:rPr>
          <w:rFonts w:hint="eastAsia" w:ascii="Arial" w:hAnsi="Arial" w:eastAsia="宋体" w:cs="Arial"/>
          <w:i/>
          <w:iCs/>
          <w:color w:val="auto"/>
          <w:sz w:val="24"/>
        </w:rPr>
        <w:t>Communication Quarterly</w:t>
      </w:r>
      <w:r>
        <w:rPr>
          <w:rFonts w:hint="eastAsia" w:ascii="Arial" w:hAnsi="Arial" w:eastAsia="宋体" w:cs="Arial"/>
          <w:color w:val="auto"/>
          <w:sz w:val="24"/>
        </w:rPr>
        <w:t xml:space="preserve">, </w:t>
      </w:r>
      <w:r>
        <w:rPr>
          <w:rFonts w:hint="eastAsia" w:ascii="Arial" w:hAnsi="Arial" w:eastAsia="宋体" w:cs="Arial"/>
          <w:color w:val="auto"/>
          <w:sz w:val="24"/>
          <w:lang w:val="en-US" w:eastAsia="zh-CN"/>
        </w:rPr>
        <w:t>vol.</w:t>
      </w:r>
      <w:r>
        <w:rPr>
          <w:rFonts w:hint="eastAsia" w:ascii="Arial" w:hAnsi="Arial" w:eastAsia="宋体" w:cs="Arial"/>
          <w:color w:val="auto"/>
          <w:sz w:val="24"/>
        </w:rPr>
        <w:t>50</w:t>
      </w:r>
      <w:r>
        <w:rPr>
          <w:rFonts w:hint="eastAsia" w:ascii="Arial" w:hAnsi="Arial" w:eastAsia="宋体" w:cs="Arial"/>
          <w:color w:val="auto"/>
          <w:sz w:val="24"/>
          <w:lang w:val="en-US" w:eastAsia="zh-CN"/>
        </w:rPr>
        <w:t>, no.</w:t>
      </w:r>
      <w:r>
        <w:rPr>
          <w:rFonts w:hint="eastAsia" w:ascii="Arial" w:hAnsi="Arial" w:eastAsia="宋体" w:cs="Arial"/>
          <w:color w:val="auto"/>
          <w:sz w:val="24"/>
        </w:rPr>
        <w:t xml:space="preserve">3-4, </w:t>
      </w:r>
      <w:r>
        <w:rPr>
          <w:rFonts w:hint="eastAsia" w:ascii="Arial" w:hAnsi="Arial" w:eastAsia="宋体" w:cs="Arial"/>
          <w:color w:val="auto"/>
          <w:sz w:val="24"/>
          <w:lang w:val="en-US" w:eastAsia="zh-CN"/>
        </w:rPr>
        <w:t>pp.</w:t>
      </w:r>
      <w:r>
        <w:rPr>
          <w:rFonts w:hint="eastAsia" w:ascii="Arial" w:hAnsi="Arial" w:eastAsia="宋体" w:cs="Arial"/>
          <w:color w:val="auto"/>
          <w:sz w:val="24"/>
        </w:rPr>
        <w:t>359-367, DOI:10.1080/01463370209385672</w:t>
      </w:r>
      <w:r>
        <w:rPr>
          <w:rFonts w:hint="eastAsia" w:ascii="Arial" w:hAnsi="Arial" w:eastAsia="宋体" w:cs="Arial"/>
          <w:color w:val="auto"/>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ascii="Arial" w:hAnsi="Arial" w:eastAsia="宋体" w:cs="Arial"/>
          <w:color w:val="auto"/>
          <w:sz w:val="24"/>
        </w:rPr>
        <w:t xml:space="preserve">Lee, J. (2005) </w:t>
      </w:r>
      <w:r>
        <w:rPr>
          <w:rFonts w:hint="default" w:ascii="Arial" w:hAnsi="Arial" w:eastAsia="宋体" w:cs="Arial"/>
          <w:color w:val="auto"/>
          <w:sz w:val="24"/>
          <w:lang w:val="en-US" w:eastAsia="zh-CN"/>
        </w:rPr>
        <w:t>‘</w:t>
      </w:r>
      <w:r>
        <w:rPr>
          <w:rFonts w:ascii="Arial" w:hAnsi="Arial" w:eastAsia="宋体" w:cs="Arial"/>
          <w:color w:val="auto"/>
          <w:sz w:val="24"/>
        </w:rPr>
        <w:t>Effects of leadership and leader</w:t>
      </w:r>
      <w:r>
        <w:rPr>
          <w:rFonts w:hint="eastAsia" w:ascii="Arial" w:hAnsi="Arial" w:eastAsia="宋体" w:cs="Arial"/>
          <w:color w:val="auto"/>
          <w:sz w:val="24"/>
        </w:rPr>
        <w:t>-</w:t>
      </w:r>
      <w:r>
        <w:rPr>
          <w:rFonts w:ascii="Arial" w:hAnsi="Arial" w:eastAsia="宋体" w:cs="Arial"/>
          <w:color w:val="auto"/>
          <w:sz w:val="24"/>
        </w:rPr>
        <w:t>member exchange on commitment</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ascii="Arial" w:hAnsi="Arial" w:eastAsia="宋体" w:cs="Arial"/>
          <w:i/>
          <w:iCs/>
          <w:color w:val="auto"/>
          <w:sz w:val="24"/>
        </w:rPr>
        <w:t xml:space="preserve"> Leadership &amp; Organization Development Journal</w:t>
      </w:r>
      <w:r>
        <w:rPr>
          <w:rFonts w:ascii="Arial" w:hAnsi="Arial" w:eastAsia="宋体" w:cs="Arial"/>
          <w:color w:val="auto"/>
          <w:sz w:val="24"/>
        </w:rPr>
        <w:t xml:space="preserve">, </w:t>
      </w:r>
      <w:r>
        <w:rPr>
          <w:rFonts w:hint="eastAsia" w:ascii="Arial" w:hAnsi="Arial" w:eastAsia="宋体" w:cs="Arial"/>
          <w:color w:val="auto"/>
          <w:sz w:val="24"/>
          <w:lang w:val="en-US" w:eastAsia="zh-CN"/>
        </w:rPr>
        <w:t>vol.</w:t>
      </w:r>
      <w:r>
        <w:rPr>
          <w:rFonts w:ascii="Arial" w:hAnsi="Arial" w:eastAsia="宋体" w:cs="Arial"/>
          <w:color w:val="auto"/>
          <w:sz w:val="24"/>
        </w:rPr>
        <w:t>26</w:t>
      </w:r>
      <w:r>
        <w:rPr>
          <w:rFonts w:hint="eastAsia" w:ascii="Arial" w:hAnsi="Arial" w:eastAsia="宋体" w:cs="Arial"/>
          <w:color w:val="auto"/>
          <w:sz w:val="24"/>
          <w:lang w:val="en-US" w:eastAsia="zh-CN"/>
        </w:rPr>
        <w:t>, no.8</w:t>
      </w:r>
      <w:r>
        <w:rPr>
          <w:rFonts w:ascii="Arial" w:hAnsi="Arial" w:eastAsia="宋体" w:cs="Arial"/>
          <w:color w:val="auto"/>
          <w:sz w:val="24"/>
        </w:rPr>
        <w:t>, pp.655-672</w:t>
      </w:r>
      <w:r>
        <w:rPr>
          <w:rFonts w:hint="eastAsia" w:ascii="Arial" w:hAnsi="Arial" w:eastAsia="宋体" w:cs="Arial"/>
          <w:color w:val="auto"/>
          <w:sz w:val="24"/>
          <w:lang w:val="en-US" w:eastAsia="zh-CN"/>
        </w:rPr>
        <w:t>, DOI:10.1108/01437730510633728.</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 xml:space="preserve">Liao, Y.P. </w:t>
      </w:r>
      <w:r>
        <w:rPr>
          <w:rFonts w:ascii="Arial" w:hAnsi="Arial" w:eastAsia="宋体" w:cs="Arial"/>
          <w:color w:val="auto"/>
          <w:sz w:val="24"/>
        </w:rPr>
        <w:t xml:space="preserve">(2002) </w:t>
      </w:r>
      <w:r>
        <w:rPr>
          <w:rFonts w:hint="default" w:ascii="Arial" w:hAnsi="Arial" w:eastAsia="宋体" w:cs="Arial"/>
          <w:color w:val="auto"/>
          <w:sz w:val="24"/>
          <w:lang w:val="en-US" w:eastAsia="zh-CN"/>
        </w:rPr>
        <w:t>‘</w:t>
      </w:r>
      <w:r>
        <w:rPr>
          <w:rFonts w:hint="eastAsia" w:ascii="Arial" w:hAnsi="Arial" w:eastAsia="宋体" w:cs="Arial"/>
          <w:color w:val="auto"/>
          <w:sz w:val="24"/>
        </w:rPr>
        <w:t>Singapore modernization and the innovation of confucianism</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rPr>
        <w:t>Theory and Rerorm</w:t>
      </w:r>
      <w:r>
        <w:rPr>
          <w:rFonts w:ascii="Arial" w:hAnsi="Arial" w:eastAsia="宋体" w:cs="Arial"/>
          <w:color w:val="auto"/>
          <w:sz w:val="24"/>
        </w:rPr>
        <w:t>,</w:t>
      </w:r>
      <w:r>
        <w:rPr>
          <w:rFonts w:hint="eastAsia" w:ascii="Arial" w:hAnsi="Arial" w:eastAsia="宋体" w:cs="Arial"/>
          <w:color w:val="auto"/>
          <w:sz w:val="24"/>
          <w:lang w:val="en-US" w:eastAsia="zh-CN"/>
        </w:rPr>
        <w:t xml:space="preserve"> no</w:t>
      </w:r>
      <w:r>
        <w:rPr>
          <w:rFonts w:ascii="Arial" w:hAnsi="Arial" w:eastAsia="宋体" w:cs="Arial"/>
          <w:color w:val="auto"/>
          <w:sz w:val="24"/>
        </w:rPr>
        <w:t>.1, pp.97-99.</w:t>
      </w:r>
      <w:r>
        <w:rPr>
          <w:rFonts w:hint="eastAsia" w:ascii="Arial" w:hAnsi="Arial" w:eastAsia="宋体" w:cs="Arial"/>
          <w:color w:val="auto"/>
          <w:sz w:val="24"/>
          <w:lang w:val="en-US" w:eastAsia="zh-CN"/>
        </w:rPr>
        <w:t xml:space="preserve"> (in Chinese)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Liu, S.E. &amp;</w:t>
      </w:r>
      <w:r>
        <w:rPr>
          <w:rFonts w:ascii="Arial" w:hAnsi="Arial" w:eastAsia="宋体" w:cs="Arial"/>
          <w:color w:val="auto"/>
          <w:sz w:val="24"/>
        </w:rPr>
        <w:t xml:space="preserve"> </w:t>
      </w:r>
      <w:r>
        <w:rPr>
          <w:rFonts w:hint="eastAsia" w:ascii="Arial" w:hAnsi="Arial" w:eastAsia="宋体" w:cs="Arial"/>
          <w:color w:val="auto"/>
          <w:sz w:val="24"/>
          <w:lang w:val="en-US" w:eastAsia="zh-CN"/>
        </w:rPr>
        <w:t>Xin, F.</w:t>
      </w:r>
      <w:r>
        <w:rPr>
          <w:rFonts w:ascii="Arial" w:hAnsi="Arial" w:eastAsia="宋体" w:cs="Arial"/>
          <w:color w:val="auto"/>
          <w:sz w:val="24"/>
        </w:rPr>
        <w:t xml:space="preserve"> (1997) </w:t>
      </w:r>
      <w:r>
        <w:rPr>
          <w:rFonts w:hint="default" w:ascii="Arial" w:hAnsi="Arial" w:eastAsia="宋体" w:cs="Arial"/>
          <w:color w:val="auto"/>
          <w:sz w:val="24"/>
          <w:lang w:val="en-US" w:eastAsia="zh-CN"/>
        </w:rPr>
        <w:t>‘</w:t>
      </w:r>
      <w:r>
        <w:rPr>
          <w:rFonts w:hint="eastAsia" w:ascii="Arial" w:hAnsi="Arial" w:eastAsia="宋体" w:cs="Arial"/>
          <w:color w:val="auto"/>
          <w:sz w:val="24"/>
        </w:rPr>
        <w:t>A Comparative Study of the Leadership Thoughts of the East and the West</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rFonts w:hint="eastAsia" w:ascii="Arial" w:hAnsi="Arial" w:eastAsia="宋体" w:cs="Arial"/>
          <w:i/>
          <w:iCs/>
          <w:color w:val="auto"/>
          <w:sz w:val="24"/>
        </w:rPr>
        <w:t>Theoretical Investigation</w:t>
      </w:r>
      <w:r>
        <w:rPr>
          <w:rFonts w:ascii="Arial" w:hAnsi="Arial" w:eastAsia="宋体" w:cs="Arial"/>
          <w:color w:val="auto"/>
          <w:sz w:val="24"/>
        </w:rPr>
        <w:t xml:space="preserve">, </w:t>
      </w:r>
      <w:r>
        <w:rPr>
          <w:rFonts w:hint="eastAsia" w:ascii="Arial" w:hAnsi="Arial" w:eastAsia="宋体" w:cs="Arial"/>
          <w:color w:val="auto"/>
          <w:sz w:val="24"/>
          <w:lang w:val="en-US" w:eastAsia="zh-CN"/>
        </w:rPr>
        <w:t>no.</w:t>
      </w:r>
      <w:r>
        <w:rPr>
          <w:rFonts w:ascii="Arial" w:hAnsi="Arial" w:eastAsia="宋体" w:cs="Arial"/>
          <w:color w:val="auto"/>
          <w:sz w:val="24"/>
        </w:rPr>
        <w:t>6, pp.</w:t>
      </w:r>
      <w:r>
        <w:rPr>
          <w:rFonts w:hint="eastAsia" w:ascii="Arial" w:hAnsi="Arial" w:eastAsia="宋体" w:cs="Arial"/>
          <w:color w:val="auto"/>
          <w:sz w:val="24"/>
          <w:lang w:val="en-US" w:eastAsia="zh-CN"/>
        </w:rPr>
        <w:t>70-75. (in Chinese)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Liu, S.J. &amp; Chen, C.L. (</w:t>
      </w:r>
      <w:r>
        <w:rPr>
          <w:rFonts w:ascii="Arial" w:hAnsi="Arial" w:eastAsia="宋体" w:cs="Arial"/>
          <w:color w:val="auto"/>
          <w:sz w:val="24"/>
        </w:rPr>
        <w:t xml:space="preserve">1996) </w:t>
      </w:r>
      <w:r>
        <w:rPr>
          <w:rFonts w:hint="default" w:ascii="Arial" w:hAnsi="Arial" w:eastAsia="宋体" w:cs="Arial"/>
          <w:color w:val="auto"/>
          <w:sz w:val="24"/>
          <w:lang w:val="en-US" w:eastAsia="zh-CN"/>
        </w:rPr>
        <w:t>‘</w:t>
      </w:r>
      <w:r>
        <w:rPr>
          <w:rFonts w:hint="eastAsia" w:ascii="Arial" w:hAnsi="Arial" w:eastAsia="宋体" w:cs="Arial"/>
          <w:color w:val="auto"/>
          <w:sz w:val="24"/>
        </w:rPr>
        <w:t>The Management Mode of Singapore and Thailand's State owned Enterprises and Its Enlightenment to China's Enterprise Reform</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Research on Economics and Management</w:t>
      </w:r>
      <w:r>
        <w:rPr>
          <w:rFonts w:ascii="Arial" w:hAnsi="Arial" w:eastAsia="宋体" w:cs="Arial"/>
          <w:color w:val="auto"/>
          <w:sz w:val="24"/>
        </w:rPr>
        <w:t xml:space="preserve">, </w:t>
      </w:r>
      <w:r>
        <w:rPr>
          <w:rFonts w:hint="eastAsia" w:ascii="Arial" w:hAnsi="Arial" w:eastAsia="宋体" w:cs="Arial"/>
          <w:color w:val="auto"/>
          <w:sz w:val="24"/>
          <w:lang w:val="en-US" w:eastAsia="zh-CN"/>
        </w:rPr>
        <w:t>no.</w:t>
      </w:r>
      <w:r>
        <w:rPr>
          <w:rFonts w:ascii="Arial" w:hAnsi="Arial" w:eastAsia="宋体" w:cs="Arial"/>
          <w:color w:val="auto"/>
          <w:sz w:val="24"/>
        </w:rPr>
        <w:t>2, pp.13-18.</w:t>
      </w:r>
      <w:r>
        <w:rPr>
          <w:rFonts w:hint="eastAsia" w:ascii="Arial" w:hAnsi="Arial" w:eastAsia="宋体" w:cs="Arial"/>
          <w:color w:val="auto"/>
          <w:sz w:val="24"/>
          <w:lang w:val="en-US" w:eastAsia="zh-CN"/>
        </w:rPr>
        <w:t xml:space="preserve"> (in Chinese)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 xml:space="preserve">Loh, J.M., Thorsteinsson, E.B., &amp; Loi, N.M. (2021) </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Workplace incivility and work outcomes: Cross‐cultural comparison between Australian and Singaporean employees</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Asia Pacific Journal of Human Resources</w:t>
      </w:r>
      <w:r>
        <w:rPr>
          <w:rFonts w:hint="eastAsia" w:ascii="Arial" w:hAnsi="Arial" w:eastAsia="宋体" w:cs="Arial"/>
          <w:color w:val="auto"/>
          <w:sz w:val="24"/>
          <w:lang w:val="en-US" w:eastAsia="zh-CN"/>
        </w:rPr>
        <w:t>, vol.59, no.2, pp.305-329, DOI: 10.1111/1744-7941.12233.</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 xml:space="preserve">Luiz, J.M. &amp; Stewart, C. (2014) </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Corruption, South African Multinational Enterprises and Institutions in Africa</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Journal of Business Ethics</w:t>
      </w:r>
      <w:r>
        <w:rPr>
          <w:rFonts w:hint="eastAsia" w:ascii="Arial" w:hAnsi="Arial" w:eastAsia="宋体" w:cs="Arial"/>
          <w:color w:val="auto"/>
          <w:sz w:val="24"/>
          <w:lang w:val="en-US" w:eastAsia="zh-CN"/>
        </w:rPr>
        <w:t>, vol.124, pp.383-398, DOI: 10.1007/s10551-013-1878-9.</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 xml:space="preserve">Meyer, E. (2017) </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Being the boss in Brussels, Boston and Beijing</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Harvard Business Review</w:t>
      </w:r>
      <w:r>
        <w:rPr>
          <w:rFonts w:hint="eastAsia" w:ascii="Arial" w:hAnsi="Arial" w:eastAsia="宋体" w:cs="Arial"/>
          <w:color w:val="auto"/>
          <w:sz w:val="24"/>
          <w:lang w:val="en-US" w:eastAsia="zh-CN"/>
        </w:rPr>
        <w:t xml:space="preserve">. [Online] Available at: </w:t>
      </w:r>
      <w:r>
        <w:rPr>
          <w:rFonts w:hint="eastAsia" w:ascii="Arial" w:hAnsi="Arial" w:eastAsia="宋体" w:cs="Arial"/>
          <w:color w:val="auto"/>
          <w:sz w:val="24"/>
          <w:u w:val="none"/>
          <w:lang w:val="en-US" w:eastAsia="zh-CN"/>
        </w:rPr>
        <w:t>https://hbr.org/2017/07/being-the- boss-in-brussels-boston-and-beijing</w:t>
      </w:r>
      <w:r>
        <w:rPr>
          <w:rFonts w:hint="eastAsia" w:ascii="Arial" w:hAnsi="Arial" w:eastAsia="宋体" w:cs="Arial"/>
          <w:color w:val="auto"/>
          <w:sz w:val="24"/>
          <w:lang w:val="en-US" w:eastAsia="zh-CN"/>
        </w:rPr>
        <w:t>. [Accessed 03 Jan 2023]</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ascii="Arial" w:hAnsi="Arial" w:eastAsia="宋体" w:cs="Arial"/>
          <w:color w:val="auto"/>
          <w:sz w:val="24"/>
        </w:rPr>
      </w:pPr>
      <w:r>
        <w:rPr>
          <w:rFonts w:ascii="Arial" w:hAnsi="Arial" w:eastAsia="宋体" w:cs="Arial"/>
          <w:color w:val="auto"/>
          <w:sz w:val="24"/>
        </w:rPr>
        <w:t>NAITO</w:t>
      </w:r>
      <w:r>
        <w:rPr>
          <w:rFonts w:hint="eastAsia" w:ascii="Arial" w:hAnsi="Arial" w:eastAsia="宋体" w:cs="Arial"/>
          <w:color w:val="auto"/>
          <w:sz w:val="24"/>
        </w:rPr>
        <w:t>,</w:t>
      </w:r>
      <w:r>
        <w:rPr>
          <w:rFonts w:hint="eastAsia" w:ascii="Arial" w:hAnsi="Arial" w:eastAsia="宋体" w:cs="Arial"/>
          <w:color w:val="auto"/>
          <w:sz w:val="24"/>
          <w:lang w:val="en-US" w:eastAsia="zh-CN"/>
        </w:rPr>
        <w:t xml:space="preserve"> Y.</w:t>
      </w:r>
      <w:r>
        <w:rPr>
          <w:rFonts w:ascii="Arial" w:hAnsi="Arial" w:eastAsia="宋体" w:cs="Arial"/>
          <w:color w:val="auto"/>
          <w:sz w:val="24"/>
        </w:rPr>
        <w:t xml:space="preserve"> (1995) </w:t>
      </w:r>
      <w:r>
        <w:rPr>
          <w:rFonts w:hint="default" w:ascii="Arial" w:hAnsi="Arial" w:eastAsia="宋体" w:cs="Arial"/>
          <w:color w:val="auto"/>
          <w:sz w:val="24"/>
          <w:lang w:val="en-US" w:eastAsia="zh-CN"/>
        </w:rPr>
        <w:t>‘</w:t>
      </w:r>
      <w:r>
        <w:rPr>
          <w:rFonts w:ascii="Arial" w:hAnsi="Arial" w:eastAsia="宋体" w:cs="Arial"/>
          <w:color w:val="auto"/>
          <w:sz w:val="24"/>
        </w:rPr>
        <w:t>Population Composition and Tourism Distinction in Singapore</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rFonts w:ascii="Arial" w:hAnsi="Arial" w:eastAsia="宋体" w:cs="Arial"/>
          <w:i/>
          <w:iCs/>
          <w:color w:val="auto"/>
          <w:sz w:val="24"/>
        </w:rPr>
        <w:t>Japanese Journal of Human Geography</w:t>
      </w:r>
      <w:r>
        <w:rPr>
          <w:rFonts w:ascii="Arial" w:hAnsi="Arial" w:eastAsia="宋体" w:cs="Arial"/>
          <w:color w:val="auto"/>
          <w:sz w:val="24"/>
        </w:rPr>
        <w:t xml:space="preserve">, </w:t>
      </w:r>
      <w:r>
        <w:rPr>
          <w:rFonts w:hint="eastAsia" w:ascii="Arial" w:hAnsi="Arial" w:eastAsia="宋体" w:cs="Arial"/>
          <w:color w:val="auto"/>
          <w:sz w:val="24"/>
          <w:lang w:val="en-US" w:eastAsia="zh-CN"/>
        </w:rPr>
        <w:t>vol.</w:t>
      </w:r>
      <w:r>
        <w:rPr>
          <w:rFonts w:ascii="Arial" w:hAnsi="Arial" w:eastAsia="宋体" w:cs="Arial"/>
          <w:color w:val="auto"/>
          <w:sz w:val="24"/>
        </w:rPr>
        <w:t>47</w:t>
      </w:r>
      <w:r>
        <w:rPr>
          <w:rFonts w:hint="eastAsia" w:ascii="Arial" w:hAnsi="Arial" w:eastAsia="宋体" w:cs="Arial"/>
          <w:color w:val="auto"/>
          <w:sz w:val="24"/>
          <w:lang w:val="en-US" w:eastAsia="zh-CN"/>
        </w:rPr>
        <w:t>, no.5</w:t>
      </w:r>
      <w:r>
        <w:rPr>
          <w:rFonts w:ascii="Arial" w:hAnsi="Arial" w:eastAsia="宋体" w:cs="Arial"/>
          <w:color w:val="auto"/>
          <w:sz w:val="24"/>
        </w:rPr>
        <w:t>, pp.501-511</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color w:val="auto"/>
        </w:rPr>
        <w:fldChar w:fldCharType="begin"/>
      </w:r>
      <w:r>
        <w:rPr>
          <w:color w:val="auto"/>
        </w:rPr>
        <w:instrText xml:space="preserve"> HYPERLINK "https://doi.org/10.4200/jjhg1948.47.501" </w:instrText>
      </w:r>
      <w:r>
        <w:rPr>
          <w:color w:val="auto"/>
        </w:rPr>
        <w:fldChar w:fldCharType="separate"/>
      </w:r>
      <w:r>
        <w:rPr>
          <w:rFonts w:hint="eastAsia" w:ascii="Arial" w:hAnsi="Arial" w:eastAsia="宋体" w:cs="Arial"/>
          <w:color w:val="auto"/>
          <w:sz w:val="24"/>
          <w:lang w:val="en-US" w:eastAsia="zh-CN"/>
        </w:rPr>
        <w:t>DOI:</w:t>
      </w:r>
      <w:r>
        <w:rPr>
          <w:rFonts w:ascii="Arial" w:hAnsi="Arial" w:eastAsia="宋体" w:cs="Arial"/>
          <w:color w:val="auto"/>
          <w:sz w:val="24"/>
        </w:rPr>
        <w:t>10.4200/jjhg1948.47.501</w:t>
      </w:r>
      <w:r>
        <w:rPr>
          <w:rFonts w:ascii="Arial" w:hAnsi="Arial" w:eastAsia="宋体" w:cs="Arial"/>
          <w:color w:val="auto"/>
          <w:sz w:val="24"/>
        </w:rPr>
        <w:fldChar w:fldCharType="end"/>
      </w:r>
      <w:r>
        <w:rPr>
          <w:rFonts w:ascii="Arial" w:hAnsi="Arial" w:eastAsia="宋体" w:cs="Arial"/>
          <w:color w:val="auto"/>
          <w:sz w:val="24"/>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rPr>
        <w:t>Oetzel, J.G.</w:t>
      </w:r>
      <w:r>
        <w:rPr>
          <w:rFonts w:hint="eastAsia" w:ascii="Arial" w:hAnsi="Arial" w:eastAsia="宋体" w:cs="Arial"/>
          <w:color w:val="auto"/>
          <w:sz w:val="24"/>
          <w:lang w:val="en-US" w:eastAsia="zh-CN"/>
        </w:rPr>
        <w:t xml:space="preserve"> &amp; </w:t>
      </w:r>
      <w:r>
        <w:rPr>
          <w:rFonts w:hint="eastAsia" w:ascii="Arial" w:hAnsi="Arial" w:eastAsia="宋体" w:cs="Arial"/>
          <w:color w:val="auto"/>
          <w:sz w:val="24"/>
        </w:rPr>
        <w:t xml:space="preserve">Ting-Toomey, S. (2003) </w:t>
      </w:r>
      <w:r>
        <w:rPr>
          <w:rFonts w:hint="default" w:ascii="Arial" w:hAnsi="Arial" w:eastAsia="宋体" w:cs="Arial"/>
          <w:color w:val="auto"/>
          <w:sz w:val="24"/>
          <w:lang w:val="en-US" w:eastAsia="zh-CN"/>
        </w:rPr>
        <w:t>‘</w:t>
      </w:r>
      <w:r>
        <w:rPr>
          <w:rFonts w:hint="eastAsia" w:ascii="Arial" w:hAnsi="Arial" w:eastAsia="宋体" w:cs="Arial"/>
          <w:color w:val="auto"/>
          <w:sz w:val="24"/>
        </w:rPr>
        <w:t>Face Concerns in Interpersonal Conflict: A Cross-Cultural Empirical Test of the Face Negotiation Theory</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hint="eastAsia" w:ascii="Arial" w:hAnsi="Arial" w:eastAsia="宋体" w:cs="Arial"/>
          <w:color w:val="auto"/>
          <w:sz w:val="24"/>
        </w:rPr>
        <w:t xml:space="preserve"> </w:t>
      </w:r>
      <w:r>
        <w:rPr>
          <w:rFonts w:hint="eastAsia" w:ascii="Arial" w:hAnsi="Arial" w:eastAsia="宋体" w:cs="Arial"/>
          <w:i/>
          <w:iCs/>
          <w:color w:val="auto"/>
          <w:sz w:val="24"/>
        </w:rPr>
        <w:t>Communication Research</w:t>
      </w:r>
      <w:r>
        <w:rPr>
          <w:rFonts w:hint="eastAsia" w:ascii="Arial" w:hAnsi="Arial" w:eastAsia="宋体" w:cs="Arial"/>
          <w:color w:val="auto"/>
          <w:sz w:val="24"/>
        </w:rPr>
        <w:t xml:space="preserve">, </w:t>
      </w:r>
      <w:r>
        <w:rPr>
          <w:rFonts w:hint="eastAsia" w:ascii="Arial" w:hAnsi="Arial" w:eastAsia="宋体" w:cs="Arial"/>
          <w:color w:val="auto"/>
          <w:sz w:val="24"/>
          <w:lang w:val="en-US" w:eastAsia="zh-CN"/>
        </w:rPr>
        <w:t>vol.</w:t>
      </w:r>
      <w:r>
        <w:rPr>
          <w:rFonts w:hint="eastAsia" w:ascii="Arial" w:hAnsi="Arial" w:eastAsia="宋体" w:cs="Arial"/>
          <w:color w:val="auto"/>
          <w:sz w:val="24"/>
        </w:rPr>
        <w:t>30</w:t>
      </w:r>
      <w:r>
        <w:rPr>
          <w:rFonts w:hint="eastAsia" w:ascii="Arial" w:hAnsi="Arial" w:eastAsia="宋体" w:cs="Arial"/>
          <w:color w:val="auto"/>
          <w:sz w:val="24"/>
          <w:lang w:val="en-US" w:eastAsia="zh-CN"/>
        </w:rPr>
        <w:t>, no.</w:t>
      </w:r>
      <w:r>
        <w:rPr>
          <w:rFonts w:hint="eastAsia" w:ascii="Arial" w:hAnsi="Arial" w:eastAsia="宋体" w:cs="Arial"/>
          <w:color w:val="auto"/>
          <w:sz w:val="24"/>
        </w:rPr>
        <w:t xml:space="preserve">6, </w:t>
      </w:r>
      <w:r>
        <w:rPr>
          <w:rFonts w:hint="eastAsia" w:ascii="Arial" w:hAnsi="Arial" w:eastAsia="宋体" w:cs="Arial"/>
          <w:color w:val="auto"/>
          <w:sz w:val="24"/>
          <w:lang w:val="en-US" w:eastAsia="zh-CN"/>
        </w:rPr>
        <w:t>pp.</w:t>
      </w:r>
      <w:r>
        <w:rPr>
          <w:rFonts w:hint="eastAsia" w:ascii="Arial" w:hAnsi="Arial" w:eastAsia="宋体" w:cs="Arial"/>
          <w:color w:val="auto"/>
          <w:sz w:val="24"/>
        </w:rPr>
        <w:t>599</w:t>
      </w:r>
      <w:r>
        <w:rPr>
          <w:rFonts w:hint="eastAsia" w:ascii="Arial" w:hAnsi="Arial" w:eastAsia="宋体" w:cs="Arial"/>
          <w:color w:val="auto"/>
          <w:sz w:val="24"/>
          <w:lang w:val="en-US" w:eastAsia="zh-CN"/>
        </w:rPr>
        <w:t>-</w:t>
      </w:r>
      <w:r>
        <w:rPr>
          <w:rFonts w:hint="eastAsia" w:ascii="Arial" w:hAnsi="Arial" w:eastAsia="宋体" w:cs="Arial"/>
          <w:color w:val="auto"/>
          <w:sz w:val="24"/>
        </w:rPr>
        <w:t xml:space="preserve">624. </w:t>
      </w:r>
      <w:r>
        <w:rPr>
          <w:rFonts w:hint="eastAsia" w:ascii="Arial" w:hAnsi="Arial" w:eastAsia="宋体" w:cs="Arial"/>
          <w:color w:val="auto"/>
          <w:sz w:val="24"/>
          <w:lang w:val="en-US" w:eastAsia="zh-CN"/>
        </w:rPr>
        <w:t xml:space="preserve">DOI: </w:t>
      </w:r>
      <w:r>
        <w:rPr>
          <w:rFonts w:hint="eastAsia" w:ascii="Arial" w:hAnsi="Arial" w:eastAsia="宋体" w:cs="Arial"/>
          <w:color w:val="auto"/>
          <w:sz w:val="24"/>
        </w:rPr>
        <w:t>10.1177/0093650203257841</w:t>
      </w:r>
      <w:r>
        <w:rPr>
          <w:rFonts w:hint="eastAsia" w:ascii="Arial" w:hAnsi="Arial" w:eastAsia="宋体" w:cs="Arial"/>
          <w:color w:val="auto"/>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ascii="Arial" w:hAnsi="Arial" w:eastAsia="宋体" w:cs="Arial"/>
          <w:color w:val="auto"/>
          <w:sz w:val="24"/>
        </w:rPr>
        <w:t>Penbek, S., Yurdakul, D.</w:t>
      </w:r>
      <w:r>
        <w:rPr>
          <w:rFonts w:hint="eastAsia" w:ascii="Arial" w:hAnsi="Arial" w:eastAsia="宋体" w:cs="Arial"/>
          <w:color w:val="auto"/>
          <w:sz w:val="24"/>
          <w:lang w:val="en-US" w:eastAsia="zh-CN"/>
        </w:rPr>
        <w:t>, &amp;</w:t>
      </w:r>
      <w:r>
        <w:rPr>
          <w:rFonts w:ascii="Arial" w:hAnsi="Arial" w:eastAsia="宋体" w:cs="Arial"/>
          <w:color w:val="auto"/>
          <w:sz w:val="24"/>
        </w:rPr>
        <w:t xml:space="preserve"> Cerit, A.G. (2012) </w:t>
      </w:r>
      <w:r>
        <w:rPr>
          <w:rFonts w:hint="default" w:ascii="Arial" w:hAnsi="Arial" w:eastAsia="宋体" w:cs="Arial"/>
          <w:color w:val="auto"/>
          <w:sz w:val="24"/>
          <w:lang w:val="en-US" w:eastAsia="zh-CN"/>
        </w:rPr>
        <w:t>‘</w:t>
      </w:r>
      <w:r>
        <w:rPr>
          <w:rFonts w:ascii="Arial" w:hAnsi="Arial" w:eastAsia="宋体" w:cs="Arial"/>
          <w:color w:val="auto"/>
          <w:sz w:val="24"/>
        </w:rPr>
        <w:t>Intercultural Communication Competence: a study about the Intercultural Sensitivity of university students based on their education and international experiences</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rFonts w:ascii="Arial" w:hAnsi="Arial" w:eastAsia="宋体" w:cs="Arial"/>
          <w:i/>
          <w:iCs/>
          <w:color w:val="auto"/>
          <w:sz w:val="24"/>
        </w:rPr>
        <w:t>International Journal of Logistics Systems &amp; Management</w:t>
      </w:r>
      <w:r>
        <w:rPr>
          <w:rFonts w:ascii="Arial" w:hAnsi="Arial" w:eastAsia="宋体" w:cs="Arial"/>
          <w:color w:val="auto"/>
          <w:sz w:val="24"/>
        </w:rPr>
        <w:t xml:space="preserve">, </w:t>
      </w:r>
      <w:r>
        <w:rPr>
          <w:rFonts w:hint="eastAsia" w:ascii="Arial" w:hAnsi="Arial" w:eastAsia="宋体" w:cs="Arial"/>
          <w:color w:val="auto"/>
          <w:sz w:val="24"/>
          <w:lang w:val="en-US" w:eastAsia="zh-CN"/>
        </w:rPr>
        <w:t>vol.</w:t>
      </w:r>
      <w:r>
        <w:rPr>
          <w:rFonts w:ascii="Arial" w:hAnsi="Arial" w:eastAsia="宋体" w:cs="Arial"/>
          <w:color w:val="auto"/>
          <w:sz w:val="24"/>
        </w:rPr>
        <w:t>11</w:t>
      </w:r>
      <w:r>
        <w:rPr>
          <w:rFonts w:hint="eastAsia" w:ascii="Arial" w:hAnsi="Arial" w:eastAsia="宋体" w:cs="Arial"/>
          <w:color w:val="auto"/>
          <w:sz w:val="24"/>
          <w:lang w:val="en-US" w:eastAsia="zh-CN"/>
        </w:rPr>
        <w:t>, no.</w:t>
      </w:r>
      <w:r>
        <w:rPr>
          <w:rFonts w:ascii="Arial" w:hAnsi="Arial" w:eastAsia="宋体" w:cs="Arial"/>
          <w:color w:val="auto"/>
          <w:sz w:val="24"/>
        </w:rPr>
        <w:t>2, pp.232</w:t>
      </w:r>
      <w:r>
        <w:rPr>
          <w:rFonts w:hint="eastAsia" w:ascii="Arial" w:hAnsi="Arial" w:eastAsia="宋体" w:cs="Arial"/>
          <w:color w:val="auto"/>
          <w:sz w:val="24"/>
          <w:lang w:val="en-US" w:eastAsia="zh-CN"/>
        </w:rPr>
        <w:t>, DOI: 10.1504/IJLSM.2012.045425.</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 xml:space="preserve">Qin, X.J. </w:t>
      </w:r>
      <w:r>
        <w:rPr>
          <w:rFonts w:ascii="Arial" w:hAnsi="Arial" w:eastAsia="宋体" w:cs="Arial"/>
          <w:color w:val="auto"/>
          <w:sz w:val="24"/>
        </w:rPr>
        <w:t xml:space="preserve">(2015) </w:t>
      </w:r>
      <w:r>
        <w:rPr>
          <w:rFonts w:hint="default" w:ascii="Arial" w:hAnsi="Arial" w:eastAsia="宋体" w:cs="Arial"/>
          <w:color w:val="auto"/>
          <w:sz w:val="24"/>
          <w:lang w:val="en-US" w:eastAsia="zh-CN"/>
        </w:rPr>
        <w:t>‘</w:t>
      </w:r>
      <w:r>
        <w:rPr>
          <w:rFonts w:hint="eastAsia" w:ascii="Arial" w:hAnsi="Arial" w:eastAsia="宋体" w:cs="Arial"/>
          <w:color w:val="auto"/>
          <w:sz w:val="24"/>
        </w:rPr>
        <w:t>Cultural Conflict and Mergence in the</w:t>
      </w:r>
      <w:r>
        <w:rPr>
          <w:rFonts w:hint="eastAsia" w:ascii="Arial" w:hAnsi="Arial" w:eastAsia="宋体" w:cs="Arial"/>
          <w:color w:val="auto"/>
          <w:sz w:val="24"/>
          <w:lang w:val="en-US" w:eastAsia="zh-CN"/>
        </w:rPr>
        <w:t xml:space="preserve"> </w:t>
      </w:r>
      <w:r>
        <w:rPr>
          <w:rFonts w:hint="eastAsia" w:ascii="Arial" w:hAnsi="Arial" w:eastAsia="宋体" w:cs="Arial"/>
          <w:color w:val="auto"/>
          <w:sz w:val="24"/>
        </w:rPr>
        <w:t>Transnational Operation of Enterprises</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Economy and Management</w:t>
      </w:r>
      <w:r>
        <w:rPr>
          <w:rFonts w:ascii="Arial" w:hAnsi="Arial" w:eastAsia="宋体" w:cs="Arial"/>
          <w:color w:val="auto"/>
          <w:sz w:val="24"/>
        </w:rPr>
        <w:t>,</w:t>
      </w:r>
      <w:r>
        <w:rPr>
          <w:rFonts w:hint="eastAsia" w:ascii="Arial" w:hAnsi="Arial" w:eastAsia="宋体" w:cs="Arial"/>
          <w:color w:val="auto"/>
          <w:sz w:val="24"/>
          <w:lang w:val="en-US" w:eastAsia="zh-CN"/>
        </w:rPr>
        <w:t xml:space="preserve"> </w:t>
      </w:r>
      <w:r>
        <w:rPr>
          <w:rFonts w:hint="eastAsia" w:ascii="Arial" w:hAnsi="Arial" w:eastAsia="宋体" w:cs="Arial"/>
          <w:color w:val="auto"/>
          <w:sz w:val="24"/>
        </w:rPr>
        <w:t>vol</w:t>
      </w:r>
      <w:r>
        <w:rPr>
          <w:rFonts w:ascii="Arial" w:hAnsi="Arial" w:eastAsia="宋体" w:cs="Arial"/>
          <w:color w:val="auto"/>
          <w:sz w:val="24"/>
        </w:rPr>
        <w:t>.</w:t>
      </w:r>
      <w:r>
        <w:rPr>
          <w:rFonts w:hint="eastAsia" w:ascii="Arial" w:hAnsi="Arial" w:eastAsia="宋体" w:cs="Arial"/>
          <w:color w:val="auto"/>
          <w:sz w:val="24"/>
          <w:lang w:val="en-US" w:eastAsia="zh-CN"/>
        </w:rPr>
        <w:t xml:space="preserve">19, no.5, </w:t>
      </w:r>
      <w:r>
        <w:rPr>
          <w:rFonts w:ascii="Arial" w:hAnsi="Arial" w:eastAsia="宋体" w:cs="Arial"/>
          <w:color w:val="auto"/>
          <w:sz w:val="24"/>
        </w:rPr>
        <w:t>pp.34-37.</w:t>
      </w:r>
      <w:r>
        <w:rPr>
          <w:rFonts w:hint="eastAsia" w:ascii="Arial" w:hAnsi="Arial" w:eastAsia="宋体" w:cs="Arial"/>
          <w:color w:val="auto"/>
          <w:sz w:val="24"/>
          <w:lang w:val="en-US" w:eastAsia="zh-CN"/>
        </w:rPr>
        <w:t xml:space="preserve"> (in Chinese)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ascii="Arial" w:hAnsi="Arial" w:eastAsia="宋体" w:cs="Arial"/>
          <w:color w:val="auto"/>
          <w:sz w:val="24"/>
        </w:rPr>
      </w:pPr>
      <w:r>
        <w:rPr>
          <w:rFonts w:ascii="Arial" w:hAnsi="Arial" w:eastAsia="宋体" w:cs="Arial"/>
          <w:color w:val="auto"/>
          <w:sz w:val="24"/>
        </w:rPr>
        <w:t xml:space="preserve">Rajapaksha, U.G., (2015) </w:t>
      </w:r>
      <w:r>
        <w:rPr>
          <w:rFonts w:hint="default" w:ascii="Arial" w:hAnsi="Arial" w:eastAsia="宋体" w:cs="Arial"/>
          <w:color w:val="auto"/>
          <w:sz w:val="24"/>
          <w:lang w:val="en-US" w:eastAsia="zh-CN"/>
        </w:rPr>
        <w:t>‘</w:t>
      </w:r>
      <w:r>
        <w:rPr>
          <w:rFonts w:hint="eastAsia" w:ascii="Arial" w:hAnsi="Arial" w:eastAsia="宋体" w:cs="Arial"/>
          <w:color w:val="auto"/>
          <w:sz w:val="24"/>
        </w:rPr>
        <w:t>The Impact of Cross Culture on Employee Performance in Multinational Companies in Sri Lanka</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hint="eastAsia" w:ascii="Arial" w:hAnsi="Arial" w:eastAsia="宋体" w:cs="Arial"/>
          <w:i/>
          <w:iCs/>
          <w:color w:val="auto"/>
          <w:sz w:val="24"/>
          <w:lang w:val="en-US" w:eastAsia="zh-CN"/>
        </w:rPr>
        <w:t xml:space="preserve"> </w:t>
      </w:r>
      <w:r>
        <w:rPr>
          <w:rFonts w:hint="eastAsia" w:ascii="Arial" w:hAnsi="Arial" w:eastAsia="宋体" w:cs="Arial"/>
          <w:i w:val="0"/>
          <w:iCs w:val="0"/>
          <w:color w:val="auto"/>
          <w:sz w:val="24"/>
          <w:lang w:val="en-US" w:eastAsia="zh-CN"/>
        </w:rPr>
        <w:t>In</w:t>
      </w:r>
      <w:r>
        <w:rPr>
          <w:rFonts w:hint="eastAsia" w:ascii="Arial" w:hAnsi="Arial" w:eastAsia="宋体" w:cs="Arial"/>
          <w:i/>
          <w:iCs/>
          <w:color w:val="auto"/>
          <w:sz w:val="24"/>
          <w:lang w:val="en-US" w:eastAsia="zh-CN"/>
        </w:rPr>
        <w:t xml:space="preserve"> 12th </w:t>
      </w:r>
      <w:r>
        <w:rPr>
          <w:rFonts w:ascii="Arial" w:hAnsi="Arial" w:eastAsia="宋体" w:cs="Arial"/>
          <w:i/>
          <w:iCs/>
          <w:color w:val="auto"/>
          <w:sz w:val="24"/>
        </w:rPr>
        <w:t>International Conference on Business Management</w:t>
      </w:r>
      <w:r>
        <w:rPr>
          <w:rFonts w:hint="eastAsia" w:ascii="Arial" w:hAnsi="Arial" w:eastAsia="宋体" w:cs="Arial"/>
          <w:i/>
          <w:iCs/>
          <w:color w:val="auto"/>
          <w:sz w:val="24"/>
          <w:lang w:val="en-US" w:eastAsia="zh-CN"/>
        </w:rPr>
        <w:t xml:space="preserve"> (ICBM)</w:t>
      </w:r>
      <w:r>
        <w:rPr>
          <w:rFonts w:ascii="Arial" w:hAnsi="Arial" w:eastAsia="宋体" w:cs="Arial"/>
          <w:color w:val="auto"/>
          <w:sz w:val="24"/>
        </w:rPr>
        <w:t>, pp.</w:t>
      </w:r>
      <w:r>
        <w:rPr>
          <w:rFonts w:hint="eastAsia" w:ascii="Arial" w:hAnsi="Arial" w:eastAsia="宋体" w:cs="Arial"/>
          <w:color w:val="auto"/>
          <w:sz w:val="24"/>
          <w:lang w:val="en-US" w:eastAsia="zh-CN"/>
        </w:rPr>
        <w:t>1-</w:t>
      </w:r>
      <w:r>
        <w:rPr>
          <w:rFonts w:ascii="Arial" w:hAnsi="Arial" w:eastAsia="宋体" w:cs="Arial"/>
          <w:color w:val="auto"/>
          <w:sz w:val="24"/>
        </w:rPr>
        <w:t>20.</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ascii="Arial" w:hAnsi="Arial" w:eastAsia="宋体" w:cs="Arial"/>
          <w:color w:val="auto"/>
          <w:sz w:val="24"/>
        </w:rPr>
      </w:pPr>
      <w:r>
        <w:rPr>
          <w:rFonts w:ascii="Arial" w:hAnsi="Arial" w:eastAsia="宋体" w:cs="Arial"/>
          <w:color w:val="auto"/>
          <w:sz w:val="24"/>
        </w:rPr>
        <w:t>Schmidt, W.V., Conaway, R.N.</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rFonts w:hint="eastAsia" w:ascii="Arial" w:hAnsi="Arial" w:eastAsia="宋体" w:cs="Arial"/>
          <w:color w:val="auto"/>
          <w:sz w:val="24"/>
          <w:lang w:val="en-US" w:eastAsia="zh-CN"/>
        </w:rPr>
        <w:t xml:space="preserve">&amp; </w:t>
      </w:r>
      <w:r>
        <w:rPr>
          <w:rFonts w:ascii="Arial" w:hAnsi="Arial" w:eastAsia="宋体" w:cs="Arial"/>
          <w:color w:val="auto"/>
          <w:sz w:val="24"/>
        </w:rPr>
        <w:t xml:space="preserve">Easton, S.S., </w:t>
      </w:r>
      <w:r>
        <w:rPr>
          <w:rFonts w:hint="eastAsia" w:ascii="Arial" w:hAnsi="Arial" w:eastAsia="宋体" w:cs="Arial"/>
          <w:color w:val="auto"/>
          <w:sz w:val="24"/>
          <w:lang w:val="en-US" w:eastAsia="zh-CN"/>
        </w:rPr>
        <w:t>et al.</w:t>
      </w:r>
      <w:r>
        <w:rPr>
          <w:rFonts w:ascii="Arial" w:hAnsi="Arial" w:eastAsia="宋体" w:cs="Arial"/>
          <w:color w:val="auto"/>
          <w:sz w:val="24"/>
        </w:rPr>
        <w:t xml:space="preserve"> (2007) </w:t>
      </w:r>
      <w:r>
        <w:rPr>
          <w:rFonts w:ascii="Arial" w:hAnsi="Arial" w:eastAsia="宋体" w:cs="Arial"/>
          <w:i/>
          <w:iCs/>
          <w:color w:val="auto"/>
          <w:sz w:val="24"/>
        </w:rPr>
        <w:t>Communicating globally: Intercultural communication and international business</w:t>
      </w:r>
      <w:r>
        <w:rPr>
          <w:rFonts w:ascii="Arial" w:hAnsi="Arial" w:eastAsia="宋体" w:cs="Arial"/>
          <w:color w:val="auto"/>
          <w:sz w:val="24"/>
        </w:rPr>
        <w:t>, Sage Publications.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ascii="Arial" w:hAnsi="Arial" w:eastAsia="宋体" w:cs="Arial"/>
          <w:color w:val="auto"/>
          <w:sz w:val="24"/>
        </w:rPr>
      </w:pPr>
      <w:r>
        <w:rPr>
          <w:rFonts w:hint="eastAsia" w:ascii="Arial" w:hAnsi="Arial" w:eastAsia="宋体" w:cs="Arial"/>
          <w:color w:val="auto"/>
          <w:sz w:val="24"/>
          <w:lang w:val="en-US" w:eastAsia="zh-CN"/>
        </w:rPr>
        <w:t xml:space="preserve">Shi, T.L., Ma, Y.X., &amp; Fan, J. (2004) </w:t>
      </w:r>
      <w:r>
        <w:rPr>
          <w:rFonts w:hint="default" w:ascii="Arial" w:hAnsi="Arial" w:eastAsia="宋体" w:cs="Arial"/>
          <w:color w:val="auto"/>
          <w:sz w:val="24"/>
          <w:lang w:val="en-US" w:eastAsia="zh-CN"/>
        </w:rPr>
        <w:t>‘</w:t>
      </w:r>
      <w:r>
        <w:rPr>
          <w:rFonts w:hint="eastAsia" w:ascii="Arial" w:hAnsi="Arial" w:eastAsia="宋体" w:cs="Arial"/>
          <w:color w:val="auto"/>
          <w:sz w:val="24"/>
        </w:rPr>
        <w:t>Cross</w:t>
      </w:r>
      <w:r>
        <w:rPr>
          <w:rFonts w:hint="eastAsia" w:ascii="Arial" w:hAnsi="Arial" w:eastAsia="宋体" w:cs="Arial"/>
          <w:color w:val="auto"/>
          <w:sz w:val="24"/>
          <w:lang w:val="en-US" w:eastAsia="zh-CN"/>
        </w:rPr>
        <w:t>-</w:t>
      </w:r>
      <w:r>
        <w:rPr>
          <w:rFonts w:hint="eastAsia" w:ascii="Arial" w:hAnsi="Arial" w:eastAsia="宋体" w:cs="Arial"/>
          <w:color w:val="auto"/>
          <w:sz w:val="24"/>
        </w:rPr>
        <w:t>Culture Management</w:t>
      </w:r>
      <w:r>
        <w:rPr>
          <w:rFonts w:hint="eastAsia" w:ascii="Arial" w:hAnsi="Arial" w:eastAsia="宋体" w:cs="Arial"/>
          <w:color w:val="auto"/>
          <w:sz w:val="24"/>
          <w:lang w:val="en-US" w:eastAsia="zh-CN"/>
        </w:rPr>
        <w:t xml:space="preserve"> </w:t>
      </w:r>
      <w:r>
        <w:rPr>
          <w:rFonts w:hint="eastAsia" w:ascii="Arial" w:hAnsi="Arial" w:eastAsia="宋体" w:cs="Arial"/>
          <w:color w:val="auto"/>
          <w:sz w:val="24"/>
        </w:rPr>
        <w:t>in Transnational</w:t>
      </w:r>
      <w:r>
        <w:rPr>
          <w:rFonts w:hint="eastAsia" w:ascii="Arial" w:hAnsi="Arial" w:eastAsia="宋体" w:cs="Arial"/>
          <w:color w:val="auto"/>
          <w:sz w:val="24"/>
          <w:lang w:val="en-US" w:eastAsia="zh-CN"/>
        </w:rPr>
        <w:t xml:space="preserve"> </w:t>
      </w:r>
      <w:r>
        <w:rPr>
          <w:rFonts w:hint="eastAsia" w:ascii="Arial" w:hAnsi="Arial" w:eastAsia="宋体" w:cs="Arial"/>
          <w:color w:val="auto"/>
          <w:sz w:val="24"/>
        </w:rPr>
        <w:t>Operation of</w:t>
      </w:r>
      <w:r>
        <w:rPr>
          <w:rFonts w:hint="eastAsia" w:ascii="Arial" w:hAnsi="Arial" w:eastAsia="宋体" w:cs="Arial"/>
          <w:color w:val="auto"/>
          <w:sz w:val="24"/>
          <w:lang w:val="en-US" w:eastAsia="zh-CN"/>
        </w:rPr>
        <w:t xml:space="preserve"> </w:t>
      </w:r>
      <w:r>
        <w:rPr>
          <w:rFonts w:hint="eastAsia" w:ascii="Arial" w:hAnsi="Arial" w:eastAsia="宋体" w:cs="Arial"/>
          <w:color w:val="auto"/>
          <w:sz w:val="24"/>
        </w:rPr>
        <w:t>Enterprises</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Journal of Shanxi Finance and Economics University</w:t>
      </w:r>
      <w:r>
        <w:rPr>
          <w:rFonts w:hint="eastAsia" w:ascii="Arial" w:hAnsi="Arial" w:eastAsia="宋体" w:cs="Arial"/>
          <w:color w:val="auto"/>
          <w:sz w:val="24"/>
          <w:lang w:val="en-US" w:eastAsia="zh-CN"/>
        </w:rPr>
        <w:t xml:space="preserve">, </w:t>
      </w:r>
      <w:r>
        <w:rPr>
          <w:rFonts w:ascii="Arial" w:hAnsi="Arial" w:eastAsia="宋体" w:cs="Arial"/>
          <w:color w:val="auto"/>
          <w:sz w:val="24"/>
        </w:rPr>
        <w:t>vol.26, no.2, pp.89-91.</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hint="eastAsia" w:ascii="Arial" w:hAnsi="Arial" w:eastAsia="宋体" w:cs="Arial"/>
          <w:color w:val="auto"/>
          <w:sz w:val="24"/>
          <w:lang w:val="en-US" w:eastAsia="zh-CN"/>
        </w:rPr>
        <w:t>Su, Z.W. &amp; Wu, Y.F.</w:t>
      </w:r>
      <w:r>
        <w:rPr>
          <w:rFonts w:ascii="Arial" w:hAnsi="Arial" w:eastAsia="宋体" w:cs="Arial"/>
          <w:color w:val="auto"/>
          <w:sz w:val="24"/>
        </w:rPr>
        <w:t xml:space="preserve"> (2009) </w:t>
      </w:r>
      <w:r>
        <w:rPr>
          <w:rFonts w:hint="default" w:ascii="Arial" w:hAnsi="Arial" w:eastAsia="宋体" w:cs="Arial"/>
          <w:color w:val="auto"/>
          <w:sz w:val="24"/>
          <w:lang w:val="en-US" w:eastAsia="zh-CN"/>
        </w:rPr>
        <w:t>‘</w:t>
      </w:r>
      <w:r>
        <w:rPr>
          <w:rFonts w:hint="eastAsia" w:ascii="Arial" w:hAnsi="Arial" w:eastAsia="宋体" w:cs="Arial"/>
          <w:color w:val="auto"/>
          <w:sz w:val="24"/>
        </w:rPr>
        <w:t>Rese</w:t>
      </w:r>
      <w:r>
        <w:rPr>
          <w:rFonts w:hint="eastAsia" w:ascii="Arial" w:hAnsi="Arial" w:eastAsia="宋体" w:cs="Arial"/>
          <w:color w:val="auto"/>
          <w:sz w:val="24"/>
          <w:lang w:val="en-US" w:eastAsia="zh-CN"/>
        </w:rPr>
        <w:t>a</w:t>
      </w:r>
      <w:r>
        <w:rPr>
          <w:rFonts w:hint="eastAsia" w:ascii="Arial" w:hAnsi="Arial" w:eastAsia="宋体" w:cs="Arial"/>
          <w:color w:val="auto"/>
          <w:sz w:val="24"/>
        </w:rPr>
        <w:t>rch on the differences and conflicts of cross-culture management of China-based Singapore companies</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lang w:val="en-US" w:eastAsia="zh-CN"/>
        </w:rPr>
        <w:t>Shanghai Management Science</w:t>
      </w:r>
      <w:r>
        <w:rPr>
          <w:rFonts w:hint="eastAsia" w:ascii="Arial" w:hAnsi="Arial" w:eastAsia="宋体" w:cs="Arial"/>
          <w:color w:val="auto"/>
          <w:sz w:val="24"/>
          <w:lang w:val="en-US" w:eastAsia="zh-CN"/>
        </w:rPr>
        <w:t>,</w:t>
      </w:r>
      <w:r>
        <w:rPr>
          <w:rFonts w:ascii="Arial" w:hAnsi="Arial" w:eastAsia="宋体" w:cs="Arial"/>
          <w:color w:val="auto"/>
          <w:sz w:val="24"/>
        </w:rPr>
        <w:t xml:space="preserve"> vol.31, no.5, pp.7-13.</w:t>
      </w:r>
      <w:r>
        <w:rPr>
          <w:rFonts w:hint="eastAsia" w:ascii="Arial" w:hAnsi="Arial" w:eastAsia="宋体" w:cs="Arial"/>
          <w:color w:val="auto"/>
          <w:sz w:val="24"/>
          <w:lang w:val="en-US" w:eastAsia="zh-CN"/>
        </w:rPr>
        <w:t xml:space="preserve"> (in Chinese)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default" w:ascii="Arial" w:hAnsi="Arial" w:eastAsia="宋体" w:cs="Arial"/>
          <w:color w:val="auto"/>
          <w:sz w:val="24"/>
          <w:szCs w:val="24"/>
        </w:rPr>
      </w:pPr>
      <w:r>
        <w:rPr>
          <w:rFonts w:hint="default" w:ascii="Arial" w:hAnsi="Arial" w:eastAsia="宋体" w:cs="Arial"/>
          <w:color w:val="auto"/>
          <w:sz w:val="24"/>
          <w:szCs w:val="24"/>
        </w:rPr>
        <w:t xml:space="preserve">Ting-toomey, </w:t>
      </w:r>
      <w:r>
        <w:rPr>
          <w:rFonts w:hint="default" w:ascii="Arial" w:hAnsi="Arial" w:eastAsia="宋体" w:cs="Arial"/>
          <w:color w:val="auto"/>
          <w:sz w:val="24"/>
          <w:szCs w:val="24"/>
          <w:lang w:val="en-US" w:eastAsia="zh-CN"/>
        </w:rPr>
        <w:t>S.</w:t>
      </w:r>
      <w:r>
        <w:rPr>
          <w:rFonts w:hint="eastAsia" w:ascii="Arial" w:hAnsi="Arial" w:eastAsia="宋体" w:cs="Arial"/>
          <w:color w:val="auto"/>
          <w:sz w:val="24"/>
          <w:szCs w:val="24"/>
          <w:lang w:val="en-US" w:eastAsia="zh-CN"/>
        </w:rPr>
        <w:t xml:space="preserve"> &amp;</w:t>
      </w:r>
      <w:r>
        <w:rPr>
          <w:rFonts w:hint="default" w:ascii="Arial" w:hAnsi="Arial" w:eastAsia="宋体" w:cs="Arial"/>
          <w:color w:val="auto"/>
          <w:sz w:val="24"/>
          <w:szCs w:val="24"/>
          <w:lang w:val="en-US" w:eastAsia="zh-CN"/>
        </w:rPr>
        <w:t xml:space="preserve"> </w:t>
      </w:r>
      <w:r>
        <w:rPr>
          <w:rFonts w:hint="default" w:ascii="Arial" w:hAnsi="Arial" w:eastAsia="宋体" w:cs="Arial"/>
          <w:color w:val="auto"/>
          <w:sz w:val="24"/>
          <w:szCs w:val="24"/>
        </w:rPr>
        <w:t>Kurogi,</w:t>
      </w:r>
      <w:r>
        <w:rPr>
          <w:rFonts w:hint="default" w:ascii="Arial" w:hAnsi="Arial" w:eastAsia="宋体" w:cs="Arial"/>
          <w:color w:val="auto"/>
          <w:sz w:val="24"/>
          <w:szCs w:val="24"/>
          <w:lang w:val="en-US" w:eastAsia="zh-CN"/>
        </w:rPr>
        <w:t xml:space="preserve"> A.</w:t>
      </w:r>
      <w:r>
        <w:rPr>
          <w:rFonts w:hint="default" w:ascii="Arial" w:hAnsi="Arial" w:eastAsia="宋体" w:cs="Arial"/>
          <w:color w:val="auto"/>
          <w:sz w:val="24"/>
          <w:szCs w:val="24"/>
        </w:rPr>
        <w:t xml:space="preserve"> (1998) </w:t>
      </w:r>
      <w:r>
        <w:rPr>
          <w:rFonts w:hint="default" w:ascii="Arial" w:hAnsi="Arial" w:eastAsia="宋体" w:cs="Arial"/>
          <w:color w:val="auto"/>
          <w:sz w:val="24"/>
          <w:szCs w:val="24"/>
          <w:lang w:val="en-US" w:eastAsia="zh-CN"/>
        </w:rPr>
        <w:t>‘</w:t>
      </w:r>
      <w:r>
        <w:rPr>
          <w:rFonts w:hint="default" w:ascii="Arial" w:hAnsi="Arial" w:eastAsia="宋体" w:cs="Arial"/>
          <w:color w:val="auto"/>
          <w:sz w:val="24"/>
          <w:szCs w:val="24"/>
        </w:rPr>
        <w:t>Facework competence in intercultural conflict: an updated face-negotiation theory</w:t>
      </w:r>
      <w:r>
        <w:rPr>
          <w:rFonts w:hint="default" w:ascii="Arial" w:hAnsi="Arial" w:eastAsia="宋体" w:cs="Arial"/>
          <w:color w:val="auto"/>
          <w:sz w:val="24"/>
          <w:szCs w:val="24"/>
          <w:lang w:val="en-US" w:eastAsia="zh-CN"/>
        </w:rPr>
        <w:t>’</w:t>
      </w:r>
      <w:r>
        <w:rPr>
          <w:rFonts w:hint="default" w:ascii="Arial" w:hAnsi="Arial" w:eastAsia="宋体" w:cs="Arial"/>
          <w:color w:val="auto"/>
          <w:sz w:val="24"/>
          <w:szCs w:val="24"/>
        </w:rPr>
        <w:t xml:space="preserve">, </w:t>
      </w:r>
      <w:r>
        <w:rPr>
          <w:rFonts w:hint="default" w:ascii="Arial" w:hAnsi="Arial" w:eastAsia="宋体" w:cs="Arial"/>
          <w:i/>
          <w:iCs/>
          <w:color w:val="auto"/>
          <w:sz w:val="24"/>
          <w:szCs w:val="24"/>
        </w:rPr>
        <w:t>International Journal of Intercultural Relations</w:t>
      </w:r>
      <w:r>
        <w:rPr>
          <w:rFonts w:hint="default" w:ascii="Arial" w:hAnsi="Arial" w:eastAsia="宋体" w:cs="Arial"/>
          <w:color w:val="auto"/>
          <w:sz w:val="24"/>
          <w:szCs w:val="24"/>
        </w:rPr>
        <w:t xml:space="preserve">, </w:t>
      </w:r>
      <w:r>
        <w:rPr>
          <w:rFonts w:hint="default" w:ascii="Arial" w:hAnsi="Arial" w:eastAsia="宋体" w:cs="Arial"/>
          <w:color w:val="auto"/>
          <w:sz w:val="24"/>
          <w:szCs w:val="24"/>
          <w:lang w:val="en-US" w:eastAsia="zh-CN"/>
        </w:rPr>
        <w:t>vol.</w:t>
      </w:r>
      <w:r>
        <w:rPr>
          <w:rFonts w:hint="default" w:ascii="Arial" w:hAnsi="Arial" w:eastAsia="宋体" w:cs="Arial"/>
          <w:color w:val="auto"/>
          <w:sz w:val="24"/>
          <w:szCs w:val="24"/>
        </w:rPr>
        <w:t>22</w:t>
      </w:r>
      <w:r>
        <w:rPr>
          <w:rFonts w:hint="default" w:ascii="Arial" w:hAnsi="Arial" w:eastAsia="宋体" w:cs="Arial"/>
          <w:color w:val="auto"/>
          <w:sz w:val="24"/>
          <w:szCs w:val="24"/>
          <w:lang w:val="en-US" w:eastAsia="zh-CN"/>
        </w:rPr>
        <w:t>, no.</w:t>
      </w:r>
      <w:r>
        <w:rPr>
          <w:rFonts w:hint="default" w:ascii="Arial" w:hAnsi="Arial" w:eastAsia="宋体" w:cs="Arial"/>
          <w:color w:val="auto"/>
          <w:sz w:val="24"/>
          <w:szCs w:val="24"/>
        </w:rPr>
        <w:t>2</w:t>
      </w:r>
      <w:r>
        <w:rPr>
          <w:rFonts w:hint="default" w:ascii="Arial" w:hAnsi="Arial" w:eastAsia="宋体" w:cs="Arial"/>
          <w:color w:val="auto"/>
          <w:sz w:val="24"/>
          <w:szCs w:val="24"/>
          <w:lang w:val="en-US" w:eastAsia="zh-CN"/>
        </w:rPr>
        <w:t xml:space="preserve">, </w:t>
      </w:r>
      <w:r>
        <w:rPr>
          <w:rFonts w:hint="default" w:ascii="Arial" w:hAnsi="Arial" w:eastAsia="宋体" w:cs="Arial"/>
          <w:color w:val="auto"/>
          <w:sz w:val="24"/>
          <w:szCs w:val="24"/>
        </w:rPr>
        <w:t xml:space="preserve">pp.187-225, </w:t>
      </w:r>
      <w:r>
        <w:rPr>
          <w:rFonts w:hint="default" w:ascii="Arial" w:hAnsi="Arial" w:eastAsia="宋体" w:cs="Arial"/>
          <w:color w:val="auto"/>
          <w:sz w:val="24"/>
          <w:szCs w:val="24"/>
          <w:lang w:val="en-US" w:eastAsia="zh-CN"/>
        </w:rPr>
        <w:t xml:space="preserve">DOI: </w:t>
      </w: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"https://doi.org/10.1016/S0147-1767(98)00004-2" </w:instrText>
      </w:r>
      <w:r>
        <w:rPr>
          <w:rFonts w:hint="default" w:ascii="Arial" w:hAnsi="Arial" w:cs="Arial"/>
          <w:color w:val="auto"/>
          <w:sz w:val="24"/>
          <w:szCs w:val="24"/>
        </w:rPr>
        <w:fldChar w:fldCharType="separate"/>
      </w:r>
      <w:r>
        <w:rPr>
          <w:rFonts w:hint="default" w:ascii="Arial" w:hAnsi="Arial" w:eastAsia="宋体" w:cs="Arial"/>
          <w:color w:val="auto"/>
          <w:sz w:val="24"/>
          <w:szCs w:val="24"/>
        </w:rPr>
        <w:t>10.1016/S0147-1767(98)00004-2</w:t>
      </w:r>
      <w:r>
        <w:rPr>
          <w:rFonts w:hint="default" w:ascii="Arial" w:hAnsi="Arial" w:eastAsia="宋体" w:cs="Arial"/>
          <w:color w:val="auto"/>
          <w:sz w:val="24"/>
          <w:szCs w:val="24"/>
        </w:rPr>
        <w:fldChar w:fldCharType="end"/>
      </w:r>
      <w:r>
        <w:rPr>
          <w:rFonts w:hint="default" w:ascii="Arial" w:hAnsi="Arial" w:eastAsia="宋体" w:cs="Arial"/>
          <w:color w:val="auto"/>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default" w:ascii="Arial" w:hAnsi="Arial" w:eastAsia="宋体" w:cs="Arial"/>
          <w:color w:val="auto"/>
          <w:sz w:val="24"/>
          <w:szCs w:val="24"/>
          <w:lang w:val="en-US" w:eastAsia="zh-CN"/>
        </w:rPr>
      </w:pPr>
      <w:r>
        <w:rPr>
          <w:rFonts w:hint="default" w:ascii="Arial" w:hAnsi="Arial" w:eastAsia="宋体" w:cs="Arial"/>
          <w:color w:val="auto"/>
          <w:sz w:val="24"/>
          <w:szCs w:val="24"/>
        </w:rPr>
        <w:t>Wang, Q., Clegg, J.</w:t>
      </w:r>
      <w:r>
        <w:rPr>
          <w:rFonts w:hint="eastAsia" w:ascii="Arial" w:hAnsi="Arial" w:eastAsia="宋体" w:cs="Arial"/>
          <w:color w:val="auto"/>
          <w:sz w:val="24"/>
          <w:szCs w:val="24"/>
          <w:lang w:val="en-US" w:eastAsia="zh-CN"/>
        </w:rPr>
        <w:t xml:space="preserve">, </w:t>
      </w:r>
      <w:r>
        <w:rPr>
          <w:rFonts w:hint="default" w:ascii="Arial" w:hAnsi="Arial" w:eastAsia="宋体" w:cs="Arial"/>
          <w:color w:val="auto"/>
          <w:sz w:val="24"/>
          <w:szCs w:val="24"/>
          <w:lang w:val="en-US" w:eastAsia="zh-CN"/>
        </w:rPr>
        <w:t xml:space="preserve">&amp; </w:t>
      </w:r>
      <w:r>
        <w:rPr>
          <w:rFonts w:hint="default" w:ascii="Arial" w:hAnsi="Arial" w:eastAsia="宋体" w:cs="Arial"/>
          <w:color w:val="auto"/>
          <w:sz w:val="24"/>
          <w:szCs w:val="24"/>
        </w:rPr>
        <w:t xml:space="preserve">Mattos, </w:t>
      </w:r>
      <w:r>
        <w:rPr>
          <w:rFonts w:hint="default" w:ascii="Arial" w:hAnsi="Arial" w:eastAsia="宋体" w:cs="Arial"/>
          <w:color w:val="auto"/>
          <w:sz w:val="24"/>
          <w:szCs w:val="24"/>
          <w:lang w:val="en-US" w:eastAsia="zh-CN"/>
        </w:rPr>
        <w:t>H.</w:t>
      </w:r>
      <w:r>
        <w:rPr>
          <w:rFonts w:hint="default" w:ascii="Arial" w:hAnsi="Arial" w:eastAsia="宋体" w:cs="Arial"/>
          <w:color w:val="auto"/>
          <w:sz w:val="24"/>
          <w:szCs w:val="24"/>
        </w:rPr>
        <w:t>G.D.</w:t>
      </w:r>
      <w:r>
        <w:rPr>
          <w:rFonts w:hint="default" w:ascii="Arial" w:hAnsi="Arial" w:eastAsia="宋体" w:cs="Arial"/>
          <w:color w:val="auto"/>
          <w:sz w:val="24"/>
          <w:szCs w:val="24"/>
          <w:lang w:val="en-US" w:eastAsia="zh-CN"/>
        </w:rPr>
        <w:t>,</w:t>
      </w:r>
      <w:r>
        <w:rPr>
          <w:rFonts w:hint="default" w:ascii="Arial" w:hAnsi="Arial" w:eastAsia="宋体" w:cs="Arial"/>
          <w:color w:val="auto"/>
          <w:sz w:val="24"/>
          <w:szCs w:val="24"/>
        </w:rPr>
        <w:t xml:space="preserve"> et al. (20</w:t>
      </w:r>
      <w:r>
        <w:rPr>
          <w:rFonts w:hint="default" w:ascii="Arial" w:hAnsi="Arial" w:eastAsia="宋体" w:cs="Arial"/>
          <w:color w:val="auto"/>
          <w:sz w:val="24"/>
          <w:szCs w:val="24"/>
          <w:lang w:val="en-US" w:eastAsia="zh-CN"/>
        </w:rPr>
        <w:t>20</w:t>
      </w:r>
      <w:r>
        <w:rPr>
          <w:rFonts w:hint="default" w:ascii="Arial" w:hAnsi="Arial" w:eastAsia="宋体" w:cs="Arial"/>
          <w:color w:val="auto"/>
          <w:sz w:val="24"/>
          <w:szCs w:val="24"/>
        </w:rPr>
        <w:t xml:space="preserve">) </w:t>
      </w:r>
      <w:r>
        <w:rPr>
          <w:rFonts w:hint="default" w:ascii="Arial" w:hAnsi="Arial" w:eastAsia="宋体" w:cs="Arial"/>
          <w:color w:val="auto"/>
          <w:sz w:val="24"/>
          <w:szCs w:val="24"/>
          <w:lang w:val="en-US" w:eastAsia="zh-CN"/>
        </w:rPr>
        <w:t>‘</w:t>
      </w:r>
      <w:r>
        <w:rPr>
          <w:rFonts w:hint="default" w:ascii="Arial" w:hAnsi="Arial" w:eastAsia="宋体" w:cs="Arial"/>
          <w:color w:val="auto"/>
          <w:sz w:val="24"/>
          <w:szCs w:val="24"/>
        </w:rPr>
        <w:t>The role of emotions in intercultural business communication: Language standardization in the context of international knowledge transfer</w:t>
      </w:r>
      <w:r>
        <w:rPr>
          <w:rFonts w:hint="default" w:ascii="Arial" w:hAnsi="Arial" w:eastAsia="宋体" w:cs="Arial"/>
          <w:color w:val="auto"/>
          <w:sz w:val="24"/>
          <w:szCs w:val="24"/>
          <w:lang w:val="en-US" w:eastAsia="zh-CN"/>
        </w:rPr>
        <w:t xml:space="preserve">’, </w:t>
      </w:r>
      <w:r>
        <w:rPr>
          <w:rFonts w:hint="default" w:ascii="Arial" w:hAnsi="Arial" w:eastAsia="宋体" w:cs="Arial"/>
          <w:i/>
          <w:iCs/>
          <w:color w:val="auto"/>
          <w:sz w:val="24"/>
          <w:szCs w:val="24"/>
        </w:rPr>
        <w:t>Journal of World Business</w:t>
      </w:r>
      <w:r>
        <w:rPr>
          <w:rFonts w:hint="default" w:ascii="Arial" w:hAnsi="Arial" w:eastAsia="宋体" w:cs="Arial"/>
          <w:color w:val="auto"/>
          <w:sz w:val="24"/>
          <w:szCs w:val="24"/>
          <w:lang w:val="en-US" w:eastAsia="zh-CN"/>
        </w:rPr>
        <w:t>, vol.</w:t>
      </w:r>
      <w:r>
        <w:rPr>
          <w:rFonts w:hint="default" w:ascii="Arial" w:hAnsi="Arial" w:eastAsia="宋体" w:cs="Arial"/>
          <w:color w:val="auto"/>
          <w:sz w:val="24"/>
          <w:szCs w:val="24"/>
        </w:rPr>
        <w:t>55</w:t>
      </w:r>
      <w:r>
        <w:rPr>
          <w:rFonts w:hint="default" w:ascii="Arial" w:hAnsi="Arial" w:eastAsia="宋体" w:cs="Arial"/>
          <w:color w:val="auto"/>
          <w:sz w:val="24"/>
          <w:szCs w:val="24"/>
          <w:lang w:val="en-US" w:eastAsia="zh-CN"/>
        </w:rPr>
        <w:t>, no.</w:t>
      </w:r>
      <w:r>
        <w:rPr>
          <w:rFonts w:hint="default" w:ascii="Arial" w:hAnsi="Arial" w:eastAsia="宋体" w:cs="Arial"/>
          <w:color w:val="auto"/>
          <w:sz w:val="24"/>
          <w:szCs w:val="24"/>
        </w:rPr>
        <w:t>6, 100973</w:t>
      </w:r>
      <w:r>
        <w:rPr>
          <w:rFonts w:hint="default" w:ascii="Arial" w:hAnsi="Arial" w:eastAsia="宋体" w:cs="Arial"/>
          <w:color w:val="auto"/>
          <w:sz w:val="24"/>
          <w:szCs w:val="24"/>
          <w:lang w:val="en-US" w:eastAsia="zh-CN"/>
        </w:rPr>
        <w:t>, DOI:10.1016/j.jwb.2018.11.003.</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ascii="Arial" w:hAnsi="Arial" w:eastAsia="宋体" w:cs="Arial"/>
          <w:color w:val="auto"/>
          <w:sz w:val="24"/>
        </w:rPr>
      </w:pPr>
      <w:r>
        <w:rPr>
          <w:rFonts w:ascii="Arial" w:hAnsi="Arial" w:eastAsia="宋体" w:cs="Arial"/>
          <w:color w:val="auto"/>
          <w:sz w:val="24"/>
        </w:rPr>
        <w:t>William, B., Swann, J.</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rFonts w:hint="eastAsia" w:ascii="Arial" w:hAnsi="Arial" w:eastAsia="宋体" w:cs="Arial"/>
          <w:color w:val="auto"/>
          <w:sz w:val="24"/>
          <w:lang w:val="en-US" w:eastAsia="zh-CN"/>
        </w:rPr>
        <w:t xml:space="preserve">&amp; </w:t>
      </w:r>
      <w:r>
        <w:rPr>
          <w:rFonts w:ascii="Arial" w:hAnsi="Arial" w:eastAsia="宋体" w:cs="Arial"/>
          <w:color w:val="auto"/>
          <w:sz w:val="24"/>
        </w:rPr>
        <w:t xml:space="preserve">Russell, E., et al. (2009) </w:t>
      </w:r>
      <w:r>
        <w:rPr>
          <w:rFonts w:hint="default" w:ascii="Arial" w:hAnsi="Arial" w:eastAsia="宋体" w:cs="Arial"/>
          <w:color w:val="auto"/>
          <w:sz w:val="24"/>
          <w:lang w:val="en-US" w:eastAsia="zh-CN"/>
        </w:rPr>
        <w:t>‘</w:t>
      </w:r>
      <w:r>
        <w:rPr>
          <w:rFonts w:ascii="Arial" w:hAnsi="Arial" w:eastAsia="宋体" w:cs="Arial"/>
          <w:color w:val="auto"/>
          <w:sz w:val="24"/>
        </w:rPr>
        <w:t>Identity negotiation at work</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w:t>
      </w:r>
      <w:r>
        <w:rPr>
          <w:rFonts w:ascii="Arial" w:hAnsi="Arial" w:eastAsia="宋体" w:cs="Arial"/>
          <w:color w:val="auto"/>
          <w:sz w:val="24"/>
        </w:rPr>
        <w:t xml:space="preserve"> Research in Organizational Behavior, </w:t>
      </w:r>
      <w:r>
        <w:rPr>
          <w:rFonts w:hint="eastAsia" w:ascii="Arial" w:hAnsi="Arial" w:eastAsia="宋体" w:cs="Arial"/>
          <w:color w:val="auto"/>
          <w:sz w:val="24"/>
          <w:lang w:val="en-US" w:eastAsia="zh-CN"/>
        </w:rPr>
        <w:t>vol.</w:t>
      </w:r>
      <w:r>
        <w:rPr>
          <w:rFonts w:ascii="Arial" w:hAnsi="Arial" w:eastAsia="宋体" w:cs="Arial"/>
          <w:color w:val="auto"/>
          <w:sz w:val="24"/>
        </w:rPr>
        <w:t xml:space="preserve">29, pp.81-109, </w:t>
      </w:r>
      <w:r>
        <w:rPr>
          <w:rFonts w:hint="eastAsia" w:ascii="Arial" w:hAnsi="Arial" w:eastAsia="宋体" w:cs="Arial"/>
          <w:color w:val="auto"/>
          <w:sz w:val="24"/>
          <w:lang w:val="en-US" w:eastAsia="zh-CN"/>
        </w:rPr>
        <w:t xml:space="preserve">DOI: </w:t>
      </w:r>
      <w:r>
        <w:rPr>
          <w:rFonts w:ascii="Arial" w:hAnsi="Arial" w:eastAsia="宋体" w:cs="Arial"/>
          <w:color w:val="auto"/>
          <w:sz w:val="24"/>
        </w:rPr>
        <w:t>10.1016/j.riob.2009.06.005.</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color w:val="auto"/>
          <w:sz w:val="24"/>
          <w:lang w:val="en-US" w:eastAsia="zh-CN"/>
        </w:rPr>
      </w:pPr>
      <w:r>
        <w:rPr>
          <w:rFonts w:ascii="Arial" w:hAnsi="Arial" w:eastAsia="宋体" w:cs="Arial"/>
          <w:color w:val="auto"/>
          <w:sz w:val="24"/>
        </w:rPr>
        <w:t xml:space="preserve">Wirtz, </w:t>
      </w:r>
      <w:r>
        <w:rPr>
          <w:rFonts w:hint="eastAsia" w:ascii="Arial" w:hAnsi="Arial" w:eastAsia="宋体" w:cs="Arial"/>
          <w:color w:val="auto"/>
          <w:sz w:val="24"/>
          <w:lang w:val="en-US" w:eastAsia="zh-CN"/>
        </w:rPr>
        <w:t xml:space="preserve">J., </w:t>
      </w:r>
      <w:r>
        <w:rPr>
          <w:rFonts w:ascii="Arial" w:hAnsi="Arial" w:eastAsia="宋体" w:cs="Arial"/>
          <w:color w:val="auto"/>
          <w:sz w:val="24"/>
        </w:rPr>
        <w:t>Keng,</w:t>
      </w:r>
      <w:r>
        <w:rPr>
          <w:rFonts w:hint="eastAsia" w:ascii="Arial" w:hAnsi="Arial" w:eastAsia="宋体" w:cs="Arial"/>
          <w:color w:val="auto"/>
          <w:sz w:val="24"/>
          <w:lang w:val="en-US" w:eastAsia="zh-CN"/>
        </w:rPr>
        <w:t xml:space="preserve"> J.A., &amp;</w:t>
      </w:r>
      <w:r>
        <w:rPr>
          <w:rFonts w:ascii="Arial" w:hAnsi="Arial" w:eastAsia="宋体" w:cs="Arial"/>
          <w:color w:val="auto"/>
          <w:sz w:val="24"/>
        </w:rPr>
        <w:t xml:space="preserve"> Jiuan,</w:t>
      </w:r>
      <w:r>
        <w:rPr>
          <w:rFonts w:hint="eastAsia" w:ascii="Arial" w:hAnsi="Arial" w:eastAsia="宋体" w:cs="Arial"/>
          <w:color w:val="auto"/>
          <w:sz w:val="24"/>
          <w:lang w:val="en-US" w:eastAsia="zh-CN"/>
        </w:rPr>
        <w:t xml:space="preserve"> T.S.</w:t>
      </w:r>
      <w:r>
        <w:rPr>
          <w:rFonts w:ascii="Arial" w:hAnsi="Arial" w:eastAsia="宋体" w:cs="Arial"/>
          <w:color w:val="auto"/>
          <w:sz w:val="24"/>
        </w:rPr>
        <w:t xml:space="preserve"> (1999) </w:t>
      </w:r>
      <w:r>
        <w:rPr>
          <w:rFonts w:hint="default" w:ascii="Arial" w:hAnsi="Arial" w:eastAsia="宋体" w:cs="Arial"/>
          <w:color w:val="auto"/>
          <w:sz w:val="24"/>
          <w:lang w:val="en-US" w:eastAsia="zh-CN"/>
        </w:rPr>
        <w:t>‘</w:t>
      </w:r>
      <w:r>
        <w:rPr>
          <w:rFonts w:ascii="Arial" w:hAnsi="Arial" w:eastAsia="宋体" w:cs="Arial"/>
          <w:color w:val="auto"/>
          <w:sz w:val="24"/>
        </w:rPr>
        <w:t>Values, attitudes and aspirations of Singaporeans-summary findings from a large-scale lifestyle study</w:t>
      </w:r>
      <w:r>
        <w:rPr>
          <w:rFonts w:hint="default" w:ascii="Arial" w:hAnsi="Arial" w:eastAsia="宋体" w:cs="Arial"/>
          <w:color w:val="auto"/>
          <w:sz w:val="24"/>
          <w:lang w:val="en-US" w:eastAsia="zh-CN"/>
        </w:rPr>
        <w:t>’</w:t>
      </w:r>
      <w:r>
        <w:rPr>
          <w:rFonts w:ascii="Arial" w:hAnsi="Arial" w:eastAsia="宋体" w:cs="Arial"/>
          <w:color w:val="auto"/>
          <w:sz w:val="24"/>
        </w:rPr>
        <w:t xml:space="preserve">, </w:t>
      </w:r>
      <w:r>
        <w:rPr>
          <w:rFonts w:ascii="Arial" w:hAnsi="Arial" w:eastAsia="宋体" w:cs="Arial"/>
          <w:i/>
          <w:iCs/>
          <w:color w:val="auto"/>
          <w:sz w:val="24"/>
        </w:rPr>
        <w:t>Journal für Marketing</w:t>
      </w:r>
      <w:r>
        <w:rPr>
          <w:rFonts w:hint="eastAsia" w:ascii="Arial" w:hAnsi="Arial" w:eastAsia="宋体" w:cs="Arial"/>
          <w:color w:val="auto"/>
          <w:sz w:val="24"/>
          <w:lang w:val="en-US" w:eastAsia="zh-CN"/>
        </w:rPr>
        <w:t>,</w:t>
      </w:r>
      <w:r>
        <w:rPr>
          <w:rFonts w:ascii="Arial" w:hAnsi="Arial" w:eastAsia="宋体" w:cs="Arial"/>
          <w:color w:val="auto"/>
          <w:sz w:val="24"/>
        </w:rPr>
        <w:t xml:space="preserve"> </w:t>
      </w:r>
      <w:r>
        <w:rPr>
          <w:rFonts w:hint="eastAsia" w:ascii="Arial" w:hAnsi="Arial" w:eastAsia="宋体" w:cs="Arial"/>
          <w:color w:val="auto"/>
          <w:sz w:val="24"/>
          <w:lang w:val="en-US" w:eastAsia="zh-CN"/>
        </w:rPr>
        <w:t>vol.</w:t>
      </w:r>
      <w:r>
        <w:rPr>
          <w:rFonts w:ascii="Arial" w:hAnsi="Arial" w:eastAsia="宋体" w:cs="Arial"/>
          <w:color w:val="auto"/>
          <w:sz w:val="24"/>
        </w:rPr>
        <w:t>38</w:t>
      </w:r>
      <w:r>
        <w:rPr>
          <w:rFonts w:hint="eastAsia" w:ascii="Arial" w:hAnsi="Arial" w:eastAsia="宋体" w:cs="Arial"/>
          <w:color w:val="auto"/>
          <w:sz w:val="24"/>
          <w:lang w:val="en-US" w:eastAsia="zh-CN"/>
        </w:rPr>
        <w:t>, pp.</w:t>
      </w:r>
      <w:r>
        <w:rPr>
          <w:rFonts w:ascii="Arial" w:hAnsi="Arial" w:eastAsia="宋体" w:cs="Arial"/>
          <w:color w:val="auto"/>
          <w:sz w:val="24"/>
        </w:rPr>
        <w:t>21</w:t>
      </w:r>
      <w:r>
        <w:rPr>
          <w:rFonts w:hint="eastAsia" w:ascii="Arial" w:hAnsi="Arial" w:eastAsia="宋体" w:cs="Arial"/>
          <w:color w:val="auto"/>
          <w:sz w:val="24"/>
          <w:lang w:val="en-US" w:eastAsia="zh-CN"/>
        </w:rPr>
        <w:t>-</w:t>
      </w:r>
      <w:r>
        <w:rPr>
          <w:rFonts w:ascii="Arial" w:hAnsi="Arial" w:eastAsia="宋体" w:cs="Arial"/>
          <w:color w:val="auto"/>
          <w:sz w:val="24"/>
        </w:rPr>
        <w:t>48</w:t>
      </w:r>
      <w:r>
        <w:rPr>
          <w:rFonts w:hint="eastAsia" w:ascii="Arial" w:hAnsi="Arial" w:eastAsia="宋体" w:cs="Arial"/>
          <w:color w:val="auto"/>
          <w:sz w:val="24"/>
          <w:lang w:val="en-US" w:eastAsia="zh-CN"/>
        </w:rPr>
        <w:t>, DOI:</w:t>
      </w:r>
      <w:r>
        <w:rPr>
          <w:rFonts w:ascii="Arial" w:hAnsi="Arial" w:eastAsia="宋体" w:cs="Arial"/>
          <w:color w:val="auto"/>
          <w:sz w:val="24"/>
        </w:rPr>
        <w:t>10.1007/BF03036919</w:t>
      </w:r>
      <w:r>
        <w:rPr>
          <w:rFonts w:hint="eastAsia" w:ascii="Arial" w:hAnsi="Arial" w:eastAsia="宋体" w:cs="Arial"/>
          <w:color w:val="auto"/>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eastAsia" w:ascii="Arial" w:hAnsi="Arial" w:eastAsia="宋体" w:cs="Arial"/>
          <w:i w:val="0"/>
          <w:iCs w:val="0"/>
          <w:color w:val="auto"/>
          <w:sz w:val="24"/>
          <w:lang w:val="en-US" w:eastAsia="zh-CN"/>
        </w:rPr>
      </w:pPr>
      <w:r>
        <w:rPr>
          <w:rFonts w:hint="default" w:ascii="Arial" w:hAnsi="Arial" w:eastAsia="宋体" w:cs="Arial"/>
          <w:i w:val="0"/>
          <w:iCs w:val="0"/>
          <w:color w:val="auto"/>
          <w:sz w:val="24"/>
          <w:lang w:val="en-US" w:eastAsia="zh-CN"/>
        </w:rPr>
        <w:t>Zakaria, N., Abdul-Talib, A.N., &amp; Amelinckx, A. (2020) ‘Advancing cultural frontiers to champion global business in emerging markets’</w:t>
      </w:r>
      <w:r>
        <w:rPr>
          <w:rFonts w:hint="eastAsia" w:ascii="Arial" w:hAnsi="Arial" w:eastAsia="宋体" w:cs="Arial"/>
          <w:i w:val="0"/>
          <w:iCs w:val="0"/>
          <w:color w:val="auto"/>
          <w:sz w:val="24"/>
          <w:lang w:val="en-US" w:eastAsia="zh-CN"/>
        </w:rPr>
        <w:t>,</w:t>
      </w:r>
      <w:r>
        <w:rPr>
          <w:rFonts w:hint="default" w:ascii="Arial" w:hAnsi="Arial" w:eastAsia="宋体" w:cs="Arial"/>
          <w:i w:val="0"/>
          <w:iCs w:val="0"/>
          <w:color w:val="auto"/>
          <w:sz w:val="24"/>
          <w:lang w:val="en-US" w:eastAsia="zh-CN"/>
        </w:rPr>
        <w:t xml:space="preserve"> In </w:t>
      </w:r>
      <w:r>
        <w:rPr>
          <w:rFonts w:hint="default" w:ascii="Arial" w:hAnsi="Arial" w:eastAsia="宋体" w:cs="Arial"/>
          <w:i/>
          <w:iCs/>
          <w:color w:val="auto"/>
          <w:sz w:val="24"/>
          <w:lang w:val="en-US" w:eastAsia="zh-CN"/>
        </w:rPr>
        <w:t>Transcending Cultural Frontiers</w:t>
      </w:r>
      <w:r>
        <w:rPr>
          <w:rFonts w:hint="eastAsia" w:ascii="Arial" w:hAnsi="Arial" w:eastAsia="宋体" w:cs="Arial"/>
          <w:i/>
          <w:iCs/>
          <w:color w:val="auto"/>
          <w:sz w:val="24"/>
          <w:lang w:val="en-US" w:eastAsia="zh-CN"/>
        </w:rPr>
        <w:t xml:space="preserve">, </w:t>
      </w:r>
      <w:r>
        <w:rPr>
          <w:rFonts w:hint="default" w:ascii="Arial" w:hAnsi="Arial" w:eastAsia="宋体" w:cs="Arial"/>
          <w:i w:val="0"/>
          <w:iCs w:val="0"/>
          <w:color w:val="auto"/>
          <w:sz w:val="24"/>
          <w:lang w:val="en-US" w:eastAsia="zh-CN"/>
        </w:rPr>
        <w:t>pp.1-10</w:t>
      </w:r>
      <w:r>
        <w:rPr>
          <w:rFonts w:hint="eastAsia" w:ascii="Arial" w:hAnsi="Arial" w:eastAsia="宋体" w:cs="Arial"/>
          <w:i w:val="0"/>
          <w:iCs w:val="0"/>
          <w:color w:val="auto"/>
          <w:sz w:val="24"/>
          <w:lang w:val="en-US" w:eastAsia="zh-CN"/>
        </w:rPr>
        <w:t>,</w:t>
      </w:r>
      <w:r>
        <w:rPr>
          <w:rFonts w:hint="default" w:ascii="Arial" w:hAnsi="Arial" w:eastAsia="宋体" w:cs="Arial"/>
          <w:i w:val="0"/>
          <w:iCs w:val="0"/>
          <w:color w:val="auto"/>
          <w:sz w:val="24"/>
          <w:lang w:val="en-US" w:eastAsia="zh-CN"/>
        </w:rPr>
        <w:t xml:space="preserve"> Singapore</w:t>
      </w:r>
      <w:r>
        <w:rPr>
          <w:rFonts w:hint="eastAsia" w:ascii="Arial" w:hAnsi="Arial" w:eastAsia="宋体" w:cs="Arial"/>
          <w:i w:val="0"/>
          <w:iCs w:val="0"/>
          <w:color w:val="auto"/>
          <w:sz w:val="24"/>
          <w:lang w:val="en-US" w:eastAsia="zh-CN"/>
        </w:rPr>
        <w:t xml:space="preserve">: </w:t>
      </w:r>
      <w:r>
        <w:rPr>
          <w:rFonts w:hint="default" w:ascii="Arial" w:hAnsi="Arial" w:eastAsia="宋体" w:cs="Arial"/>
          <w:i w:val="0"/>
          <w:iCs w:val="0"/>
          <w:color w:val="auto"/>
          <w:sz w:val="24"/>
          <w:lang w:val="en-US" w:eastAsia="zh-CN"/>
        </w:rPr>
        <w:t>Springer</w:t>
      </w:r>
      <w:r>
        <w:rPr>
          <w:rFonts w:hint="eastAsia" w:ascii="Arial" w:hAnsi="Arial" w:eastAsia="宋体" w:cs="Arial"/>
          <w:i w:val="0"/>
          <w:iCs w:val="0"/>
          <w:color w:val="auto"/>
          <w:sz w:val="24"/>
          <w:lang w:val="en-US" w:eastAsia="zh-CN"/>
        </w:rPr>
        <w:t xml:space="preserve"> Press, DOI: 10.1007/978-981-15-4454-5_1.</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textAlignment w:val="auto"/>
        <w:rPr>
          <w:rFonts w:hint="default" w:ascii="Arial" w:hAnsi="Arial" w:eastAsia="宋体" w:cs="Arial"/>
          <w:color w:val="auto"/>
          <w:sz w:val="24"/>
          <w:lang w:val="en-US" w:eastAsia="zh-CN"/>
        </w:rPr>
      </w:pPr>
      <w:r>
        <w:rPr>
          <w:rFonts w:hint="eastAsia" w:ascii="Arial" w:hAnsi="Arial" w:eastAsia="宋体" w:cs="Arial"/>
          <w:color w:val="auto"/>
          <w:sz w:val="24"/>
          <w:lang w:val="en-US" w:eastAsia="zh-CN"/>
        </w:rPr>
        <w:t xml:space="preserve">Zhao, J. </w:t>
      </w:r>
      <w:r>
        <w:rPr>
          <w:rFonts w:ascii="Arial" w:hAnsi="Arial" w:eastAsia="宋体" w:cs="Arial"/>
          <w:color w:val="auto"/>
          <w:sz w:val="24"/>
        </w:rPr>
        <w:t xml:space="preserve">(2007) </w:t>
      </w:r>
      <w:r>
        <w:rPr>
          <w:rFonts w:hint="default" w:ascii="Arial" w:hAnsi="Arial" w:eastAsia="宋体" w:cs="Arial"/>
          <w:color w:val="auto"/>
          <w:sz w:val="24"/>
          <w:lang w:val="en-US" w:eastAsia="zh-CN"/>
        </w:rPr>
        <w:t>‘</w:t>
      </w:r>
      <w:r>
        <w:rPr>
          <w:rFonts w:hint="eastAsia" w:ascii="Arial" w:hAnsi="Arial" w:eastAsia="宋体" w:cs="Arial"/>
          <w:color w:val="auto"/>
          <w:sz w:val="24"/>
        </w:rPr>
        <w:t>Cross cultural Management of Government in the Context of Globalization</w:t>
      </w:r>
      <w:r>
        <w:rPr>
          <w:rFonts w:hint="default" w:ascii="Arial" w:hAnsi="Arial" w:eastAsia="宋体" w:cs="Arial"/>
          <w:color w:val="auto"/>
          <w:sz w:val="24"/>
          <w:lang w:val="en-US" w:eastAsia="zh-CN"/>
        </w:rPr>
        <w:t>’</w:t>
      </w:r>
      <w:r>
        <w:rPr>
          <w:rFonts w:hint="eastAsia" w:ascii="Arial" w:hAnsi="Arial" w:eastAsia="宋体" w:cs="Arial"/>
          <w:color w:val="auto"/>
          <w:sz w:val="24"/>
          <w:lang w:val="en-US" w:eastAsia="zh-CN"/>
        </w:rPr>
        <w:t xml:space="preserve">, </w:t>
      </w:r>
      <w:r>
        <w:rPr>
          <w:rFonts w:hint="eastAsia" w:ascii="Arial" w:hAnsi="Arial" w:eastAsia="宋体" w:cs="Arial"/>
          <w:i/>
          <w:iCs/>
          <w:color w:val="auto"/>
          <w:sz w:val="24"/>
        </w:rPr>
        <w:t>Developing</w:t>
      </w:r>
      <w:r>
        <w:rPr>
          <w:rFonts w:ascii="Arial" w:hAnsi="Arial" w:eastAsia="宋体" w:cs="Arial"/>
          <w:color w:val="auto"/>
          <w:sz w:val="24"/>
        </w:rPr>
        <w:t>, no.1, pp.92-93.</w:t>
      </w:r>
      <w:r>
        <w:rPr>
          <w:rFonts w:hint="eastAsia" w:ascii="Arial" w:hAnsi="Arial" w:eastAsia="宋体" w:cs="Arial"/>
          <w:color w:val="auto"/>
          <w:sz w:val="24"/>
          <w:lang w:val="en-US" w:eastAsia="zh-CN"/>
        </w:rPr>
        <w:t xml:space="preserve"> (in Chinese)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rPr>
                              <w:rFonts w:hint="default" w:ascii="Arial" w:hAnsi="Arial" w:cs="Arial"/>
                              <w:sz w:val="21"/>
                              <w:szCs w:val="32"/>
                            </w:rPr>
                            <w:fldChar w:fldCharType="begin"/>
                          </w:r>
                          <w:r>
                            <w:rPr>
                              <w:rFonts w:hint="default" w:ascii="Arial" w:hAnsi="Arial" w:cs="Arial"/>
                              <w:sz w:val="21"/>
                              <w:szCs w:val="32"/>
                            </w:rPr>
                            <w:instrText xml:space="preserve"> PAGE  \* MERGEFORMAT </w:instrText>
                          </w:r>
                          <w:r>
                            <w:rPr>
                              <w:rFonts w:hint="default" w:ascii="Arial" w:hAnsi="Arial" w:cs="Arial"/>
                              <w:sz w:val="21"/>
                              <w:szCs w:val="32"/>
                            </w:rPr>
                            <w:fldChar w:fldCharType="separate"/>
                          </w:r>
                          <w:r>
                            <w:rPr>
                              <w:rFonts w:hint="default" w:ascii="Arial" w:hAnsi="Arial" w:cs="Arial"/>
                              <w:sz w:val="21"/>
                              <w:szCs w:val="32"/>
                            </w:rPr>
                            <w:t>1</w:t>
                          </w:r>
                          <w:r>
                            <w:rPr>
                              <w:rFonts w:hint="default" w:ascii="Arial" w:hAnsi="Arial" w:cs="Arial"/>
                              <w:sz w:val="21"/>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pPr>
                    <w:r>
                      <w:rPr>
                        <w:rFonts w:hint="default" w:ascii="Arial" w:hAnsi="Arial" w:cs="Arial"/>
                        <w:sz w:val="21"/>
                        <w:szCs w:val="32"/>
                      </w:rPr>
                      <w:fldChar w:fldCharType="begin"/>
                    </w:r>
                    <w:r>
                      <w:rPr>
                        <w:rFonts w:hint="default" w:ascii="Arial" w:hAnsi="Arial" w:cs="Arial"/>
                        <w:sz w:val="21"/>
                        <w:szCs w:val="32"/>
                      </w:rPr>
                      <w:instrText xml:space="preserve"> PAGE  \* MERGEFORMAT </w:instrText>
                    </w:r>
                    <w:r>
                      <w:rPr>
                        <w:rFonts w:hint="default" w:ascii="Arial" w:hAnsi="Arial" w:cs="Arial"/>
                        <w:sz w:val="21"/>
                        <w:szCs w:val="32"/>
                      </w:rPr>
                      <w:fldChar w:fldCharType="separate"/>
                    </w:r>
                    <w:r>
                      <w:rPr>
                        <w:rFonts w:hint="default" w:ascii="Arial" w:hAnsi="Arial" w:cs="Arial"/>
                        <w:sz w:val="21"/>
                        <w:szCs w:val="32"/>
                      </w:rPr>
                      <w:t>1</w:t>
                    </w:r>
                    <w:r>
                      <w:rPr>
                        <w:rFonts w:hint="default" w:ascii="Arial" w:hAnsi="Arial" w:cs="Arial"/>
                        <w:sz w:val="21"/>
                        <w:szCs w:val="3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8266B5"/>
    <w:multiLevelType w:val="multilevel"/>
    <w:tmpl w:val="408266B5"/>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5"/>
      <w:lvlText w:val="%1.%2.%3."/>
      <w:lvlJc w:val="left"/>
      <w:pPr>
        <w:ind w:left="720" w:hanging="720"/>
      </w:pPr>
      <w:rPr>
        <w:rFonts w:hint="default" w:ascii="宋体" w:hAnsi="宋体" w:eastAsia="宋体" w:cs="宋体"/>
      </w:rPr>
    </w:lvl>
    <w:lvl w:ilvl="3" w:tentative="0">
      <w:start w:val="1"/>
      <w:numFmt w:val="decimal"/>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601DC67B"/>
    <w:multiLevelType w:val="multilevel"/>
    <w:tmpl w:val="601DC67B"/>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AzYzA0YzhiYTE1ZmRlMWI0NWE5OTRjMzNkMWRlMmYifQ=="/>
  </w:docVars>
  <w:rsids>
    <w:rsidRoot w:val="2AB82313"/>
    <w:rsid w:val="00072C34"/>
    <w:rsid w:val="0020619A"/>
    <w:rsid w:val="003C5973"/>
    <w:rsid w:val="00527F43"/>
    <w:rsid w:val="007F40D8"/>
    <w:rsid w:val="00814AF2"/>
    <w:rsid w:val="00B5443F"/>
    <w:rsid w:val="00ED732E"/>
    <w:rsid w:val="01541EA9"/>
    <w:rsid w:val="01601D0B"/>
    <w:rsid w:val="01973B44"/>
    <w:rsid w:val="019B3634"/>
    <w:rsid w:val="01C867C2"/>
    <w:rsid w:val="02076F1C"/>
    <w:rsid w:val="0219303B"/>
    <w:rsid w:val="029B54FF"/>
    <w:rsid w:val="02BE582C"/>
    <w:rsid w:val="02FE20CD"/>
    <w:rsid w:val="030A373A"/>
    <w:rsid w:val="03261624"/>
    <w:rsid w:val="035E0DBD"/>
    <w:rsid w:val="036A7762"/>
    <w:rsid w:val="03710AF1"/>
    <w:rsid w:val="03946F83"/>
    <w:rsid w:val="03C424C7"/>
    <w:rsid w:val="044B7594"/>
    <w:rsid w:val="0486237A"/>
    <w:rsid w:val="04C81C0D"/>
    <w:rsid w:val="04D035F5"/>
    <w:rsid w:val="05750799"/>
    <w:rsid w:val="057A30E7"/>
    <w:rsid w:val="05832D5D"/>
    <w:rsid w:val="059D0E91"/>
    <w:rsid w:val="0601635F"/>
    <w:rsid w:val="061C410F"/>
    <w:rsid w:val="06727F90"/>
    <w:rsid w:val="06C52B48"/>
    <w:rsid w:val="06CE0008"/>
    <w:rsid w:val="06E44743"/>
    <w:rsid w:val="07EB0BE6"/>
    <w:rsid w:val="07F27B5A"/>
    <w:rsid w:val="0803185D"/>
    <w:rsid w:val="083738E4"/>
    <w:rsid w:val="084F33CB"/>
    <w:rsid w:val="08556700"/>
    <w:rsid w:val="093700E7"/>
    <w:rsid w:val="09A23581"/>
    <w:rsid w:val="09C13D1C"/>
    <w:rsid w:val="09C3197A"/>
    <w:rsid w:val="09D93F77"/>
    <w:rsid w:val="09D973F0"/>
    <w:rsid w:val="09EF6C13"/>
    <w:rsid w:val="0A410AF1"/>
    <w:rsid w:val="0A99092D"/>
    <w:rsid w:val="0AA858A3"/>
    <w:rsid w:val="0AC059D5"/>
    <w:rsid w:val="0B071B4C"/>
    <w:rsid w:val="0B416FFB"/>
    <w:rsid w:val="0B48658E"/>
    <w:rsid w:val="0B5D7BAD"/>
    <w:rsid w:val="0B865355"/>
    <w:rsid w:val="0BA6110F"/>
    <w:rsid w:val="0BD031D3"/>
    <w:rsid w:val="0BFB4332"/>
    <w:rsid w:val="0C1A1641"/>
    <w:rsid w:val="0C6E1877"/>
    <w:rsid w:val="0C9D4705"/>
    <w:rsid w:val="0CC377DE"/>
    <w:rsid w:val="0CD83138"/>
    <w:rsid w:val="0CE60D38"/>
    <w:rsid w:val="0D1424ED"/>
    <w:rsid w:val="0DA769D6"/>
    <w:rsid w:val="0E16722B"/>
    <w:rsid w:val="0ED25C64"/>
    <w:rsid w:val="0EDE5518"/>
    <w:rsid w:val="0EE6677F"/>
    <w:rsid w:val="0F011B78"/>
    <w:rsid w:val="0F53554E"/>
    <w:rsid w:val="0F7B4AA5"/>
    <w:rsid w:val="0FAB538A"/>
    <w:rsid w:val="0FAC6523"/>
    <w:rsid w:val="0FF84BE0"/>
    <w:rsid w:val="10D77AE6"/>
    <w:rsid w:val="110103B4"/>
    <w:rsid w:val="110273FB"/>
    <w:rsid w:val="1139468D"/>
    <w:rsid w:val="119F3693"/>
    <w:rsid w:val="11A01ECE"/>
    <w:rsid w:val="11B971EC"/>
    <w:rsid w:val="11D37C2D"/>
    <w:rsid w:val="12900868"/>
    <w:rsid w:val="1299424E"/>
    <w:rsid w:val="12EF21E0"/>
    <w:rsid w:val="136B627F"/>
    <w:rsid w:val="13C72D3C"/>
    <w:rsid w:val="13ED2A78"/>
    <w:rsid w:val="13F60B9E"/>
    <w:rsid w:val="14504F46"/>
    <w:rsid w:val="14537D9F"/>
    <w:rsid w:val="14A77233"/>
    <w:rsid w:val="14DA6A78"/>
    <w:rsid w:val="14E804E7"/>
    <w:rsid w:val="14F02A55"/>
    <w:rsid w:val="1506643D"/>
    <w:rsid w:val="150F4227"/>
    <w:rsid w:val="15282FD9"/>
    <w:rsid w:val="15786093"/>
    <w:rsid w:val="15973E85"/>
    <w:rsid w:val="15AC6659"/>
    <w:rsid w:val="15AE3BA0"/>
    <w:rsid w:val="15C27804"/>
    <w:rsid w:val="15C94DE8"/>
    <w:rsid w:val="16105F47"/>
    <w:rsid w:val="165C60E6"/>
    <w:rsid w:val="169F420F"/>
    <w:rsid w:val="16F614B1"/>
    <w:rsid w:val="17451C21"/>
    <w:rsid w:val="174B0F64"/>
    <w:rsid w:val="17C535DF"/>
    <w:rsid w:val="18230C17"/>
    <w:rsid w:val="189C1D14"/>
    <w:rsid w:val="18A42DDC"/>
    <w:rsid w:val="18C54F75"/>
    <w:rsid w:val="193201C6"/>
    <w:rsid w:val="194F799F"/>
    <w:rsid w:val="199663FA"/>
    <w:rsid w:val="19A647DB"/>
    <w:rsid w:val="1ADA4D29"/>
    <w:rsid w:val="1AF23E6D"/>
    <w:rsid w:val="1B506DE6"/>
    <w:rsid w:val="1B5C5497"/>
    <w:rsid w:val="1B692D1E"/>
    <w:rsid w:val="1B9B2757"/>
    <w:rsid w:val="1BAB32E5"/>
    <w:rsid w:val="1BBB516C"/>
    <w:rsid w:val="1BC11A92"/>
    <w:rsid w:val="1C454668"/>
    <w:rsid w:val="1C4E72C7"/>
    <w:rsid w:val="1C8C479F"/>
    <w:rsid w:val="1CB17BA7"/>
    <w:rsid w:val="1CBA1D23"/>
    <w:rsid w:val="1CBB2985"/>
    <w:rsid w:val="1CBC0BD7"/>
    <w:rsid w:val="1CFD4C6D"/>
    <w:rsid w:val="1D232A04"/>
    <w:rsid w:val="1D894E09"/>
    <w:rsid w:val="1E2F7B36"/>
    <w:rsid w:val="1E4055E5"/>
    <w:rsid w:val="1E795006"/>
    <w:rsid w:val="1EA57449"/>
    <w:rsid w:val="1EAF2075"/>
    <w:rsid w:val="1EB87682"/>
    <w:rsid w:val="1EBB2B9A"/>
    <w:rsid w:val="1EC04283"/>
    <w:rsid w:val="1ED16490"/>
    <w:rsid w:val="1EE14925"/>
    <w:rsid w:val="1F120F82"/>
    <w:rsid w:val="1F417171"/>
    <w:rsid w:val="1F615A66"/>
    <w:rsid w:val="1FA871F0"/>
    <w:rsid w:val="1FD05240"/>
    <w:rsid w:val="200472EA"/>
    <w:rsid w:val="200F7270"/>
    <w:rsid w:val="204D7D98"/>
    <w:rsid w:val="20F87F00"/>
    <w:rsid w:val="215D225D"/>
    <w:rsid w:val="21823A71"/>
    <w:rsid w:val="21841BE2"/>
    <w:rsid w:val="21936EC4"/>
    <w:rsid w:val="21C40A95"/>
    <w:rsid w:val="223E794B"/>
    <w:rsid w:val="22521696"/>
    <w:rsid w:val="22881BEB"/>
    <w:rsid w:val="22BA56A5"/>
    <w:rsid w:val="22D61E70"/>
    <w:rsid w:val="22E91FFA"/>
    <w:rsid w:val="22F6469D"/>
    <w:rsid w:val="23103A2A"/>
    <w:rsid w:val="23997803"/>
    <w:rsid w:val="239C52BE"/>
    <w:rsid w:val="23C30A9D"/>
    <w:rsid w:val="2423472C"/>
    <w:rsid w:val="244215B4"/>
    <w:rsid w:val="24521E21"/>
    <w:rsid w:val="24B31319"/>
    <w:rsid w:val="250638A3"/>
    <w:rsid w:val="257A162F"/>
    <w:rsid w:val="25893620"/>
    <w:rsid w:val="25983863"/>
    <w:rsid w:val="25CD79B1"/>
    <w:rsid w:val="25E44F56"/>
    <w:rsid w:val="25EC2689"/>
    <w:rsid w:val="25F72C80"/>
    <w:rsid w:val="260A1AEA"/>
    <w:rsid w:val="26762EAA"/>
    <w:rsid w:val="26F947D6"/>
    <w:rsid w:val="27542F04"/>
    <w:rsid w:val="279D7857"/>
    <w:rsid w:val="28550131"/>
    <w:rsid w:val="287A5DB9"/>
    <w:rsid w:val="28976054"/>
    <w:rsid w:val="28F72F97"/>
    <w:rsid w:val="294D2BB7"/>
    <w:rsid w:val="296050BF"/>
    <w:rsid w:val="29661ECF"/>
    <w:rsid w:val="29700F5B"/>
    <w:rsid w:val="29D25085"/>
    <w:rsid w:val="2A007C29"/>
    <w:rsid w:val="2A1015B7"/>
    <w:rsid w:val="2A3223A2"/>
    <w:rsid w:val="2A6C5514"/>
    <w:rsid w:val="2A73489F"/>
    <w:rsid w:val="2ABE3D22"/>
    <w:rsid w:val="2B024A77"/>
    <w:rsid w:val="2B3C364F"/>
    <w:rsid w:val="2B4B4B3E"/>
    <w:rsid w:val="2B6C2D45"/>
    <w:rsid w:val="2B7663F5"/>
    <w:rsid w:val="2B831F57"/>
    <w:rsid w:val="2B841D92"/>
    <w:rsid w:val="2B852D66"/>
    <w:rsid w:val="2BD83187"/>
    <w:rsid w:val="2C471B3F"/>
    <w:rsid w:val="2C853793"/>
    <w:rsid w:val="2C892158"/>
    <w:rsid w:val="2CD91782"/>
    <w:rsid w:val="2CDD3F7D"/>
    <w:rsid w:val="2D4A0300"/>
    <w:rsid w:val="2D560DCD"/>
    <w:rsid w:val="2D6D7CCB"/>
    <w:rsid w:val="2D825C1C"/>
    <w:rsid w:val="2D8D3817"/>
    <w:rsid w:val="2DF33D2D"/>
    <w:rsid w:val="2DF45CF7"/>
    <w:rsid w:val="2E0F297E"/>
    <w:rsid w:val="2E1A1B41"/>
    <w:rsid w:val="2E461EE0"/>
    <w:rsid w:val="2E8B3F18"/>
    <w:rsid w:val="2EA9088F"/>
    <w:rsid w:val="2EAB2859"/>
    <w:rsid w:val="2F331985"/>
    <w:rsid w:val="2F520237"/>
    <w:rsid w:val="2F601CB1"/>
    <w:rsid w:val="2F971030"/>
    <w:rsid w:val="2FC93BDD"/>
    <w:rsid w:val="2FD82E18"/>
    <w:rsid w:val="2FF975F4"/>
    <w:rsid w:val="30064097"/>
    <w:rsid w:val="30073ABF"/>
    <w:rsid w:val="303F5B52"/>
    <w:rsid w:val="308E7498"/>
    <w:rsid w:val="30A020EF"/>
    <w:rsid w:val="30AC6658"/>
    <w:rsid w:val="31DB2824"/>
    <w:rsid w:val="31E67F73"/>
    <w:rsid w:val="321E5509"/>
    <w:rsid w:val="32255731"/>
    <w:rsid w:val="324E00CB"/>
    <w:rsid w:val="32E519DB"/>
    <w:rsid w:val="33633703"/>
    <w:rsid w:val="3392223A"/>
    <w:rsid w:val="339C24F5"/>
    <w:rsid w:val="33D435CE"/>
    <w:rsid w:val="348156C7"/>
    <w:rsid w:val="349D2DB2"/>
    <w:rsid w:val="34A00995"/>
    <w:rsid w:val="34D10B40"/>
    <w:rsid w:val="34DE7F42"/>
    <w:rsid w:val="34EF5771"/>
    <w:rsid w:val="3546508A"/>
    <w:rsid w:val="35492DCC"/>
    <w:rsid w:val="35702107"/>
    <w:rsid w:val="358D2B89"/>
    <w:rsid w:val="36C754A9"/>
    <w:rsid w:val="36C768CB"/>
    <w:rsid w:val="36CA3A99"/>
    <w:rsid w:val="36DF2BA5"/>
    <w:rsid w:val="36EA71CE"/>
    <w:rsid w:val="36FF1994"/>
    <w:rsid w:val="371A2661"/>
    <w:rsid w:val="375251C5"/>
    <w:rsid w:val="378325C5"/>
    <w:rsid w:val="378370E7"/>
    <w:rsid w:val="379D38AD"/>
    <w:rsid w:val="37CD285C"/>
    <w:rsid w:val="37D708A0"/>
    <w:rsid w:val="385E6C11"/>
    <w:rsid w:val="38653A79"/>
    <w:rsid w:val="3899376C"/>
    <w:rsid w:val="38DD48B6"/>
    <w:rsid w:val="39860E4E"/>
    <w:rsid w:val="39953421"/>
    <w:rsid w:val="39AA1E5B"/>
    <w:rsid w:val="39C3314D"/>
    <w:rsid w:val="39C90037"/>
    <w:rsid w:val="39CF00E9"/>
    <w:rsid w:val="3A1A2180"/>
    <w:rsid w:val="3A7A45F6"/>
    <w:rsid w:val="3AA34D2C"/>
    <w:rsid w:val="3AB22CAF"/>
    <w:rsid w:val="3B0F4170"/>
    <w:rsid w:val="3B3A34F5"/>
    <w:rsid w:val="3B426FBC"/>
    <w:rsid w:val="3B4756B8"/>
    <w:rsid w:val="3B4A312C"/>
    <w:rsid w:val="3C0B2B89"/>
    <w:rsid w:val="3C8A74CC"/>
    <w:rsid w:val="3CE970C6"/>
    <w:rsid w:val="3CEC03E1"/>
    <w:rsid w:val="3D785D39"/>
    <w:rsid w:val="3D8449A1"/>
    <w:rsid w:val="3E06185A"/>
    <w:rsid w:val="3E174099"/>
    <w:rsid w:val="3E1D0952"/>
    <w:rsid w:val="3E613B53"/>
    <w:rsid w:val="3E75078E"/>
    <w:rsid w:val="3E935788"/>
    <w:rsid w:val="3EB413B2"/>
    <w:rsid w:val="3ECA6D2C"/>
    <w:rsid w:val="3F197474"/>
    <w:rsid w:val="3F2B709E"/>
    <w:rsid w:val="3F3643C1"/>
    <w:rsid w:val="3FF322B2"/>
    <w:rsid w:val="4035571D"/>
    <w:rsid w:val="403A3A3D"/>
    <w:rsid w:val="40416B7A"/>
    <w:rsid w:val="404450F3"/>
    <w:rsid w:val="40610FCA"/>
    <w:rsid w:val="406D5354"/>
    <w:rsid w:val="40986F87"/>
    <w:rsid w:val="40B05AAD"/>
    <w:rsid w:val="40C919CC"/>
    <w:rsid w:val="41006A35"/>
    <w:rsid w:val="41147AE1"/>
    <w:rsid w:val="412169AB"/>
    <w:rsid w:val="420E0ACE"/>
    <w:rsid w:val="422363B0"/>
    <w:rsid w:val="4258464E"/>
    <w:rsid w:val="426223B3"/>
    <w:rsid w:val="428B4A24"/>
    <w:rsid w:val="42994B0E"/>
    <w:rsid w:val="430343F6"/>
    <w:rsid w:val="43095949"/>
    <w:rsid w:val="43345864"/>
    <w:rsid w:val="433A3D54"/>
    <w:rsid w:val="43C743B1"/>
    <w:rsid w:val="43D10F9F"/>
    <w:rsid w:val="44377A84"/>
    <w:rsid w:val="444D6F61"/>
    <w:rsid w:val="44777C33"/>
    <w:rsid w:val="44CB7F06"/>
    <w:rsid w:val="44CC6C2E"/>
    <w:rsid w:val="44D53D34"/>
    <w:rsid w:val="44E32678"/>
    <w:rsid w:val="45464C32"/>
    <w:rsid w:val="45572B91"/>
    <w:rsid w:val="458F65D9"/>
    <w:rsid w:val="45D73ADC"/>
    <w:rsid w:val="45F25354"/>
    <w:rsid w:val="46081A17"/>
    <w:rsid w:val="466871EB"/>
    <w:rsid w:val="468E63E3"/>
    <w:rsid w:val="46EE5581"/>
    <w:rsid w:val="46F661E4"/>
    <w:rsid w:val="470D284E"/>
    <w:rsid w:val="4712301E"/>
    <w:rsid w:val="47374362"/>
    <w:rsid w:val="47434CC7"/>
    <w:rsid w:val="47490A0A"/>
    <w:rsid w:val="4766336A"/>
    <w:rsid w:val="47872377"/>
    <w:rsid w:val="48084421"/>
    <w:rsid w:val="4860600B"/>
    <w:rsid w:val="4951553F"/>
    <w:rsid w:val="497D1482"/>
    <w:rsid w:val="49F64D2F"/>
    <w:rsid w:val="4A043D0F"/>
    <w:rsid w:val="4A25750C"/>
    <w:rsid w:val="4A2D4613"/>
    <w:rsid w:val="4A5B179F"/>
    <w:rsid w:val="4AB07EAF"/>
    <w:rsid w:val="4AE45EDC"/>
    <w:rsid w:val="4B100E76"/>
    <w:rsid w:val="4B427C4A"/>
    <w:rsid w:val="4B553E21"/>
    <w:rsid w:val="4B5718FA"/>
    <w:rsid w:val="4B5E55CB"/>
    <w:rsid w:val="4B614574"/>
    <w:rsid w:val="4C122F41"/>
    <w:rsid w:val="4C5916EF"/>
    <w:rsid w:val="4C7B09D4"/>
    <w:rsid w:val="4C9A4587"/>
    <w:rsid w:val="4CCF375F"/>
    <w:rsid w:val="4D007FA1"/>
    <w:rsid w:val="4D5D25E6"/>
    <w:rsid w:val="4DB0005C"/>
    <w:rsid w:val="4DC5135A"/>
    <w:rsid w:val="4DC96400"/>
    <w:rsid w:val="4DD3727F"/>
    <w:rsid w:val="4E0B28D9"/>
    <w:rsid w:val="4E871FD5"/>
    <w:rsid w:val="4EB470B0"/>
    <w:rsid w:val="4ECB6814"/>
    <w:rsid w:val="4F965D71"/>
    <w:rsid w:val="4FB93F63"/>
    <w:rsid w:val="4FC67EAD"/>
    <w:rsid w:val="4FF135C3"/>
    <w:rsid w:val="4FFB4AB9"/>
    <w:rsid w:val="503C0FAB"/>
    <w:rsid w:val="50434CA4"/>
    <w:rsid w:val="50795EBC"/>
    <w:rsid w:val="507D3BB1"/>
    <w:rsid w:val="50A16B6F"/>
    <w:rsid w:val="50DD59ED"/>
    <w:rsid w:val="50F9704A"/>
    <w:rsid w:val="511C1AA8"/>
    <w:rsid w:val="51894111"/>
    <w:rsid w:val="519A6E4B"/>
    <w:rsid w:val="51C71966"/>
    <w:rsid w:val="51EC3DDD"/>
    <w:rsid w:val="521560B8"/>
    <w:rsid w:val="522307D5"/>
    <w:rsid w:val="522B58DB"/>
    <w:rsid w:val="526E7746"/>
    <w:rsid w:val="52727066"/>
    <w:rsid w:val="5282603C"/>
    <w:rsid w:val="52BC1043"/>
    <w:rsid w:val="537961D3"/>
    <w:rsid w:val="53872368"/>
    <w:rsid w:val="539868A8"/>
    <w:rsid w:val="53A839AB"/>
    <w:rsid w:val="53AE40CE"/>
    <w:rsid w:val="53ED0E53"/>
    <w:rsid w:val="53FC54FE"/>
    <w:rsid w:val="545C1D7C"/>
    <w:rsid w:val="54667951"/>
    <w:rsid w:val="549412E0"/>
    <w:rsid w:val="54A9774A"/>
    <w:rsid w:val="550C5D69"/>
    <w:rsid w:val="554D5B69"/>
    <w:rsid w:val="556C2493"/>
    <w:rsid w:val="559747ED"/>
    <w:rsid w:val="55A31FD5"/>
    <w:rsid w:val="55B33C1E"/>
    <w:rsid w:val="55FB7B9D"/>
    <w:rsid w:val="56092A25"/>
    <w:rsid w:val="56280EE5"/>
    <w:rsid w:val="5636524F"/>
    <w:rsid w:val="565E03C9"/>
    <w:rsid w:val="56B36D36"/>
    <w:rsid w:val="56B54C4B"/>
    <w:rsid w:val="56C422E8"/>
    <w:rsid w:val="56DE5A7D"/>
    <w:rsid w:val="57267B87"/>
    <w:rsid w:val="573C618B"/>
    <w:rsid w:val="57547AA1"/>
    <w:rsid w:val="577D36B3"/>
    <w:rsid w:val="57BA4F51"/>
    <w:rsid w:val="57DC12FD"/>
    <w:rsid w:val="57F16849"/>
    <w:rsid w:val="58156E12"/>
    <w:rsid w:val="58407472"/>
    <w:rsid w:val="58743095"/>
    <w:rsid w:val="58951D01"/>
    <w:rsid w:val="58A8306A"/>
    <w:rsid w:val="58D26555"/>
    <w:rsid w:val="58EF3777"/>
    <w:rsid w:val="594B1E26"/>
    <w:rsid w:val="595E2003"/>
    <w:rsid w:val="59C02DAD"/>
    <w:rsid w:val="59F42A57"/>
    <w:rsid w:val="5A272E2C"/>
    <w:rsid w:val="5A3F3FCC"/>
    <w:rsid w:val="5A6B0F6B"/>
    <w:rsid w:val="5ABD7FD1"/>
    <w:rsid w:val="5AC47B1D"/>
    <w:rsid w:val="5AD16915"/>
    <w:rsid w:val="5AF20C66"/>
    <w:rsid w:val="5AF77E58"/>
    <w:rsid w:val="5B5C08B4"/>
    <w:rsid w:val="5B922527"/>
    <w:rsid w:val="5BE90FC2"/>
    <w:rsid w:val="5C45746B"/>
    <w:rsid w:val="5CA249EC"/>
    <w:rsid w:val="5CAC13C7"/>
    <w:rsid w:val="5CCC1A69"/>
    <w:rsid w:val="5D380EAD"/>
    <w:rsid w:val="5D401D36"/>
    <w:rsid w:val="5D415FB3"/>
    <w:rsid w:val="5D722610"/>
    <w:rsid w:val="5DC620D2"/>
    <w:rsid w:val="5DD53C8F"/>
    <w:rsid w:val="5E1560A7"/>
    <w:rsid w:val="5E1973BD"/>
    <w:rsid w:val="5E2733FB"/>
    <w:rsid w:val="5E3176CE"/>
    <w:rsid w:val="5E785A05"/>
    <w:rsid w:val="5E8D2D9D"/>
    <w:rsid w:val="5EF6008B"/>
    <w:rsid w:val="5F125E59"/>
    <w:rsid w:val="5F9745B0"/>
    <w:rsid w:val="5FC15189"/>
    <w:rsid w:val="5FD06D8D"/>
    <w:rsid w:val="60042C2B"/>
    <w:rsid w:val="60174CA1"/>
    <w:rsid w:val="60190B65"/>
    <w:rsid w:val="60B847DE"/>
    <w:rsid w:val="60F35816"/>
    <w:rsid w:val="610B51F0"/>
    <w:rsid w:val="615E4D1E"/>
    <w:rsid w:val="6175447D"/>
    <w:rsid w:val="62377985"/>
    <w:rsid w:val="62456545"/>
    <w:rsid w:val="62774225"/>
    <w:rsid w:val="628232F6"/>
    <w:rsid w:val="628726BA"/>
    <w:rsid w:val="629E7A04"/>
    <w:rsid w:val="62D67F14"/>
    <w:rsid w:val="630F223C"/>
    <w:rsid w:val="631D1486"/>
    <w:rsid w:val="635976C3"/>
    <w:rsid w:val="6361115D"/>
    <w:rsid w:val="63B8583B"/>
    <w:rsid w:val="63CE60C7"/>
    <w:rsid w:val="63D00091"/>
    <w:rsid w:val="63FF2C0D"/>
    <w:rsid w:val="64127600"/>
    <w:rsid w:val="6468651B"/>
    <w:rsid w:val="648A05F8"/>
    <w:rsid w:val="64B82FFF"/>
    <w:rsid w:val="64BE25DF"/>
    <w:rsid w:val="65425E84"/>
    <w:rsid w:val="655B1BDC"/>
    <w:rsid w:val="655E133F"/>
    <w:rsid w:val="65BC43DC"/>
    <w:rsid w:val="65C33C1F"/>
    <w:rsid w:val="65D07B0C"/>
    <w:rsid w:val="65E031F3"/>
    <w:rsid w:val="65F04A1A"/>
    <w:rsid w:val="65F24350"/>
    <w:rsid w:val="665C3E5E"/>
    <w:rsid w:val="668230CA"/>
    <w:rsid w:val="66FE4D45"/>
    <w:rsid w:val="670C04C4"/>
    <w:rsid w:val="672C55DE"/>
    <w:rsid w:val="68007B48"/>
    <w:rsid w:val="68294487"/>
    <w:rsid w:val="682E7AFD"/>
    <w:rsid w:val="686200B4"/>
    <w:rsid w:val="68810EFB"/>
    <w:rsid w:val="68946961"/>
    <w:rsid w:val="692D388F"/>
    <w:rsid w:val="69404B6B"/>
    <w:rsid w:val="696372B1"/>
    <w:rsid w:val="69931944"/>
    <w:rsid w:val="69C266CE"/>
    <w:rsid w:val="6A1E3735"/>
    <w:rsid w:val="6A4A35D4"/>
    <w:rsid w:val="6A6E6A9E"/>
    <w:rsid w:val="6AA208C4"/>
    <w:rsid w:val="6AED110B"/>
    <w:rsid w:val="6B210E5C"/>
    <w:rsid w:val="6C8E6D3B"/>
    <w:rsid w:val="6D361187"/>
    <w:rsid w:val="6D3B3907"/>
    <w:rsid w:val="6D5A453F"/>
    <w:rsid w:val="6D736D4F"/>
    <w:rsid w:val="6DC074CE"/>
    <w:rsid w:val="6DC31F17"/>
    <w:rsid w:val="6E207FE3"/>
    <w:rsid w:val="6EC136B6"/>
    <w:rsid w:val="6EEF3FF9"/>
    <w:rsid w:val="6EFA64E2"/>
    <w:rsid w:val="6F0B285F"/>
    <w:rsid w:val="6F1A3BE3"/>
    <w:rsid w:val="6F42021D"/>
    <w:rsid w:val="6F467459"/>
    <w:rsid w:val="7006178B"/>
    <w:rsid w:val="70616401"/>
    <w:rsid w:val="70CD7E32"/>
    <w:rsid w:val="71051663"/>
    <w:rsid w:val="711671B3"/>
    <w:rsid w:val="71211781"/>
    <w:rsid w:val="718129CA"/>
    <w:rsid w:val="718F50E7"/>
    <w:rsid w:val="71B40FF2"/>
    <w:rsid w:val="71C8099B"/>
    <w:rsid w:val="71F535F3"/>
    <w:rsid w:val="72102F85"/>
    <w:rsid w:val="721F4C73"/>
    <w:rsid w:val="728F1117"/>
    <w:rsid w:val="72E529EE"/>
    <w:rsid w:val="732C709D"/>
    <w:rsid w:val="73373C88"/>
    <w:rsid w:val="7381605E"/>
    <w:rsid w:val="73AA4D53"/>
    <w:rsid w:val="73AB69EF"/>
    <w:rsid w:val="73B346D8"/>
    <w:rsid w:val="73F63CFC"/>
    <w:rsid w:val="7480288E"/>
    <w:rsid w:val="74A25132"/>
    <w:rsid w:val="74FF0984"/>
    <w:rsid w:val="75091655"/>
    <w:rsid w:val="755D63BE"/>
    <w:rsid w:val="75A117B2"/>
    <w:rsid w:val="75AE311E"/>
    <w:rsid w:val="768014A2"/>
    <w:rsid w:val="76BB1D8E"/>
    <w:rsid w:val="76FF51D4"/>
    <w:rsid w:val="77B21DD0"/>
    <w:rsid w:val="77FA34D6"/>
    <w:rsid w:val="78763AEB"/>
    <w:rsid w:val="78A21BA4"/>
    <w:rsid w:val="78B418D7"/>
    <w:rsid w:val="79393B8B"/>
    <w:rsid w:val="79711576"/>
    <w:rsid w:val="7975059E"/>
    <w:rsid w:val="79A951B4"/>
    <w:rsid w:val="79B1126E"/>
    <w:rsid w:val="79FA6EFF"/>
    <w:rsid w:val="7A0B19CB"/>
    <w:rsid w:val="7A3915EB"/>
    <w:rsid w:val="7AD5178A"/>
    <w:rsid w:val="7B737A6B"/>
    <w:rsid w:val="7B9E5B5D"/>
    <w:rsid w:val="7C5C650E"/>
    <w:rsid w:val="7CA659DB"/>
    <w:rsid w:val="7CFA1F62"/>
    <w:rsid w:val="7D3A16E9"/>
    <w:rsid w:val="7D935490"/>
    <w:rsid w:val="7DC3549A"/>
    <w:rsid w:val="7DD069C8"/>
    <w:rsid w:val="7DD87365"/>
    <w:rsid w:val="7DE44A0D"/>
    <w:rsid w:val="7DEE6983"/>
    <w:rsid w:val="7E096221"/>
    <w:rsid w:val="7E3E7C2C"/>
    <w:rsid w:val="7E416CFB"/>
    <w:rsid w:val="7E5C27F5"/>
    <w:rsid w:val="7EA5419C"/>
    <w:rsid w:val="7F4D2F44"/>
    <w:rsid w:val="7F5A2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link w:val="24"/>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2"/>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semiHidden/>
    <w:unhideWhenUsed/>
    <w:qFormat/>
    <w:uiPriority w:val="0"/>
    <w:pPr>
      <w:keepNext/>
      <w:keepLines/>
      <w:numPr>
        <w:ilvl w:val="2"/>
        <w:numId w:val="1"/>
      </w:numPr>
      <w:spacing w:before="280" w:beforeLines="0" w:beforeAutospacing="0" w:after="290" w:afterLines="0" w:afterAutospacing="0" w:line="372" w:lineRule="auto"/>
      <w:ind w:left="720" w:hanging="72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11">
    <w:name w:val="toc 3"/>
    <w:basedOn w:val="1"/>
    <w:next w:val="1"/>
    <w:qFormat/>
    <w:uiPriority w:val="0"/>
    <w:pPr>
      <w:ind w:left="840" w:leftChars="4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unhideWhenUsed/>
    <w:qFormat/>
    <w:uiPriority w:val="39"/>
    <w:pPr>
      <w:spacing w:after="100"/>
    </w:pPr>
  </w:style>
  <w:style w:type="paragraph" w:styleId="15">
    <w:name w:val="toc 2"/>
    <w:basedOn w:val="1"/>
    <w:next w:val="1"/>
    <w:unhideWhenUsed/>
    <w:qFormat/>
    <w:uiPriority w:val="39"/>
    <w:pPr>
      <w:spacing w:after="100"/>
      <w:ind w:left="24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Emphasis"/>
    <w:basedOn w:val="20"/>
    <w:qFormat/>
    <w:uiPriority w:val="0"/>
    <w:rPr>
      <w:i/>
    </w:rPr>
  </w:style>
  <w:style w:type="character" w:styleId="23">
    <w:name w:val="Hyperlink"/>
    <w:basedOn w:val="20"/>
    <w:qFormat/>
    <w:uiPriority w:val="0"/>
    <w:rPr>
      <w:color w:val="0000FF"/>
      <w:u w:val="single"/>
    </w:rPr>
  </w:style>
  <w:style w:type="character" w:customStyle="1" w:styleId="24">
    <w:name w:val="标题 2 Char"/>
    <w:link w:val="3"/>
    <w:qFormat/>
    <w:uiPriority w:val="0"/>
    <w:rPr>
      <w:rFonts w:ascii="Arial" w:hAnsi="Arial" w:eastAsia="黑体"/>
      <w:b/>
      <w:sz w:val="32"/>
    </w:rPr>
  </w:style>
  <w:style w:type="paragraph" w:styleId="25">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paragraph" w:customStyle="1" w:styleId="26">
    <w:name w:val="TOC Heading"/>
    <w:basedOn w:val="2"/>
    <w:next w:val="1"/>
    <w:unhideWhenUsed/>
    <w:qFormat/>
    <w:uiPriority w:val="39"/>
    <w:pPr>
      <w:outlineLvl w:val="9"/>
    </w:pPr>
    <w:rPr>
      <w:lang w:val="en-US"/>
    </w:rPr>
  </w:style>
  <w:style w:type="paragraph" w:styleId="2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4289</Words>
  <Characters>26418</Characters>
  <Lines>0</Lines>
  <Paragraphs>0</Paragraphs>
  <TotalTime>6</TotalTime>
  <ScaleCrop>false</ScaleCrop>
  <LinksUpToDate>false</LinksUpToDate>
  <CharactersWithSpaces>30593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  </dc:creator>
  <cp:lastModifiedBy>J.PENG</cp:lastModifiedBy>
  <dcterms:modified xsi:type="dcterms:W3CDTF">2023-01-12T15:18:50Z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A78DDDE2FE23469ABED35F70442D4FD7</vt:lpwstr>
  </property>
</Properties>
</file>