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4D4BF1E" w14:textId="192BA863" w:rsidR="007A539A" w:rsidRPr="007A539A" w:rsidRDefault="007A539A" w:rsidP="007A539A">
      <w:pPr>
        <w:jc w:val="center"/>
        <w:rPr>
          <w:lang w:val="en-IN"/>
        </w:rPr>
      </w:pPr>
      <w:r w:rsidRPr="007A539A">
        <w:rPr>
          <w:lang w:val="en-IN"/>
        </w:rPr>
        <w:drawing>
          <wp:inline distT="0" distB="0" distL="0" distR="0" wp14:anchorId="3AE7A778" wp14:editId="641087B3">
            <wp:extent cx="2876698" cy="971600"/>
            <wp:effectExtent l="0" t="0" r="0" b="0"/>
            <wp:docPr id="206598103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5981037" name=""/>
                    <pic:cNvPicPr/>
                  </pic:nvPicPr>
                  <pic:blipFill>
                    <a:blip r:embed="rId8"/>
                    <a:stretch>
                      <a:fillRect/>
                    </a:stretch>
                  </pic:blipFill>
                  <pic:spPr>
                    <a:xfrm>
                      <a:off x="0" y="0"/>
                      <a:ext cx="2876698" cy="971600"/>
                    </a:xfrm>
                    <a:prstGeom prst="rect">
                      <a:avLst/>
                    </a:prstGeom>
                  </pic:spPr>
                </pic:pic>
              </a:graphicData>
            </a:graphic>
          </wp:inline>
        </w:drawing>
      </w:r>
    </w:p>
    <w:tbl>
      <w:tblPr>
        <w:tblW w:w="10211" w:type="dxa"/>
        <w:jc w:val="center"/>
        <w:tblCellMar>
          <w:left w:w="10" w:type="dxa"/>
          <w:right w:w="10" w:type="dxa"/>
        </w:tblCellMar>
        <w:tblLook w:val="04A0" w:firstRow="1" w:lastRow="0" w:firstColumn="1" w:lastColumn="0" w:noHBand="0" w:noVBand="1"/>
      </w:tblPr>
      <w:tblGrid>
        <w:gridCol w:w="2151"/>
        <w:gridCol w:w="3553"/>
        <w:gridCol w:w="2347"/>
        <w:gridCol w:w="2160"/>
      </w:tblGrid>
      <w:tr w:rsidR="007A539A" w:rsidRPr="007A539A" w14:paraId="0FA63A5D" w14:textId="77777777" w:rsidTr="007A539A">
        <w:trPr>
          <w:trHeight w:val="532"/>
          <w:jc w:val="center"/>
        </w:trPr>
        <w:tc>
          <w:tcPr>
            <w:tcW w:w="2151" w:type="dxa"/>
            <w:tcBorders>
              <w:top w:val="single" w:sz="4" w:space="0" w:color="000000"/>
              <w:left w:val="single" w:sz="4" w:space="0" w:color="000000"/>
              <w:bottom w:val="single" w:sz="4" w:space="0" w:color="000000"/>
              <w:right w:val="single" w:sz="4" w:space="0" w:color="000000"/>
            </w:tcBorders>
            <w:shd w:val="clear" w:color="auto" w:fill="D9D9D9"/>
            <w:tcMar>
              <w:top w:w="50" w:type="dxa"/>
              <w:left w:w="106" w:type="dxa"/>
              <w:bottom w:w="0" w:type="dxa"/>
              <w:right w:w="42" w:type="dxa"/>
            </w:tcMar>
            <w:vAlign w:val="center"/>
            <w:hideMark/>
          </w:tcPr>
          <w:p w14:paraId="50B4CC72" w14:textId="77777777" w:rsidR="007A539A" w:rsidRPr="007A539A" w:rsidRDefault="007A539A" w:rsidP="007A539A">
            <w:pPr>
              <w:rPr>
                <w:lang w:val="en-GB"/>
              </w:rPr>
            </w:pPr>
            <w:r w:rsidRPr="007A539A">
              <w:rPr>
                <w:b/>
                <w:lang w:val="en-GB"/>
              </w:rPr>
              <w:t xml:space="preserve">Student name: </w:t>
            </w:r>
          </w:p>
        </w:tc>
        <w:tc>
          <w:tcPr>
            <w:tcW w:w="3553" w:type="dxa"/>
            <w:tcBorders>
              <w:top w:val="single" w:sz="4" w:space="0" w:color="000000"/>
              <w:left w:val="single" w:sz="4" w:space="0" w:color="000000"/>
              <w:bottom w:val="single" w:sz="4" w:space="0" w:color="000000"/>
              <w:right w:val="single" w:sz="4" w:space="0" w:color="000000"/>
            </w:tcBorders>
            <w:tcMar>
              <w:top w:w="50" w:type="dxa"/>
              <w:left w:w="106" w:type="dxa"/>
              <w:bottom w:w="0" w:type="dxa"/>
              <w:right w:w="42" w:type="dxa"/>
            </w:tcMar>
            <w:vAlign w:val="center"/>
            <w:hideMark/>
          </w:tcPr>
          <w:p w14:paraId="4314167E" w14:textId="77777777" w:rsidR="007A539A" w:rsidRPr="007A539A" w:rsidRDefault="007A539A" w:rsidP="007A539A">
            <w:pPr>
              <w:rPr>
                <w:lang w:val="en-GB"/>
              </w:rPr>
            </w:pPr>
            <w:r w:rsidRPr="007A539A">
              <w:rPr>
                <w:b/>
                <w:lang w:val="en-GB"/>
              </w:rPr>
              <w:t xml:space="preserve">  Sri Ram Vijayaragunathan</w:t>
            </w:r>
          </w:p>
        </w:tc>
        <w:tc>
          <w:tcPr>
            <w:tcW w:w="2347" w:type="dxa"/>
            <w:tcBorders>
              <w:top w:val="single" w:sz="4" w:space="0" w:color="000000"/>
              <w:left w:val="single" w:sz="4" w:space="0" w:color="000000"/>
              <w:bottom w:val="single" w:sz="4" w:space="0" w:color="000000"/>
              <w:right w:val="single" w:sz="4" w:space="0" w:color="000000"/>
            </w:tcBorders>
            <w:shd w:val="clear" w:color="auto" w:fill="D9D9D9"/>
            <w:tcMar>
              <w:top w:w="50" w:type="dxa"/>
              <w:left w:w="106" w:type="dxa"/>
              <w:bottom w:w="0" w:type="dxa"/>
              <w:right w:w="42" w:type="dxa"/>
            </w:tcMar>
            <w:vAlign w:val="center"/>
            <w:hideMark/>
          </w:tcPr>
          <w:p w14:paraId="74AFBAE2" w14:textId="77777777" w:rsidR="007A539A" w:rsidRPr="007A539A" w:rsidRDefault="007A539A" w:rsidP="007A539A">
            <w:pPr>
              <w:rPr>
                <w:lang w:val="en-GB"/>
              </w:rPr>
            </w:pPr>
            <w:r w:rsidRPr="007A539A">
              <w:rPr>
                <w:b/>
                <w:lang w:val="en-GB"/>
              </w:rPr>
              <w:t xml:space="preserve">Student ID number: </w:t>
            </w:r>
          </w:p>
        </w:tc>
        <w:tc>
          <w:tcPr>
            <w:tcW w:w="2160" w:type="dxa"/>
            <w:tcBorders>
              <w:top w:val="single" w:sz="4" w:space="0" w:color="000000"/>
              <w:left w:val="single" w:sz="4" w:space="0" w:color="000000"/>
              <w:bottom w:val="single" w:sz="4" w:space="0" w:color="000000"/>
              <w:right w:val="single" w:sz="4" w:space="0" w:color="000000"/>
            </w:tcBorders>
            <w:tcMar>
              <w:top w:w="50" w:type="dxa"/>
              <w:left w:w="106" w:type="dxa"/>
              <w:bottom w:w="0" w:type="dxa"/>
              <w:right w:w="42" w:type="dxa"/>
            </w:tcMar>
            <w:vAlign w:val="center"/>
            <w:hideMark/>
          </w:tcPr>
          <w:p w14:paraId="14A16B83" w14:textId="77777777" w:rsidR="007A539A" w:rsidRPr="007A539A" w:rsidRDefault="007A539A" w:rsidP="007A539A">
            <w:pPr>
              <w:rPr>
                <w:lang w:val="en-GB"/>
              </w:rPr>
            </w:pPr>
            <w:r w:rsidRPr="007A539A">
              <w:rPr>
                <w:b/>
                <w:lang w:val="en-GB"/>
              </w:rPr>
              <w:t xml:space="preserve"> 2432875</w:t>
            </w:r>
          </w:p>
        </w:tc>
      </w:tr>
      <w:tr w:rsidR="007A539A" w:rsidRPr="007A539A" w14:paraId="4826D90A" w14:textId="77777777" w:rsidTr="007A539A">
        <w:trPr>
          <w:trHeight w:val="532"/>
          <w:jc w:val="center"/>
        </w:trPr>
        <w:tc>
          <w:tcPr>
            <w:tcW w:w="2151" w:type="dxa"/>
            <w:tcBorders>
              <w:top w:val="single" w:sz="4" w:space="0" w:color="000000"/>
              <w:left w:val="single" w:sz="4" w:space="0" w:color="000000"/>
              <w:bottom w:val="single" w:sz="4" w:space="0" w:color="000000"/>
              <w:right w:val="single" w:sz="4" w:space="0" w:color="000000"/>
            </w:tcBorders>
            <w:shd w:val="clear" w:color="auto" w:fill="D9D9D9"/>
            <w:tcMar>
              <w:top w:w="50" w:type="dxa"/>
              <w:left w:w="106" w:type="dxa"/>
              <w:bottom w:w="0" w:type="dxa"/>
              <w:right w:w="42" w:type="dxa"/>
            </w:tcMar>
            <w:vAlign w:val="center"/>
            <w:hideMark/>
          </w:tcPr>
          <w:p w14:paraId="7719B6FB" w14:textId="77777777" w:rsidR="007A539A" w:rsidRPr="007A539A" w:rsidRDefault="007A539A" w:rsidP="007A539A">
            <w:pPr>
              <w:rPr>
                <w:lang w:val="en-GB"/>
              </w:rPr>
            </w:pPr>
            <w:r w:rsidRPr="007A539A">
              <w:rPr>
                <w:b/>
                <w:lang w:val="en-GB"/>
              </w:rPr>
              <w:t xml:space="preserve">Programme: </w:t>
            </w:r>
          </w:p>
        </w:tc>
        <w:tc>
          <w:tcPr>
            <w:tcW w:w="8060" w:type="dxa"/>
            <w:gridSpan w:val="3"/>
            <w:tcBorders>
              <w:top w:val="single" w:sz="4" w:space="0" w:color="000000"/>
              <w:left w:val="single" w:sz="4" w:space="0" w:color="000000"/>
              <w:bottom w:val="single" w:sz="4" w:space="0" w:color="000000"/>
              <w:right w:val="single" w:sz="4" w:space="0" w:color="000000"/>
            </w:tcBorders>
            <w:tcMar>
              <w:top w:w="50" w:type="dxa"/>
              <w:left w:w="106" w:type="dxa"/>
              <w:bottom w:w="0" w:type="dxa"/>
              <w:right w:w="42" w:type="dxa"/>
            </w:tcMar>
            <w:vAlign w:val="center"/>
            <w:hideMark/>
          </w:tcPr>
          <w:p w14:paraId="308DBA0A" w14:textId="77777777" w:rsidR="007A539A" w:rsidRPr="007A539A" w:rsidRDefault="007A539A" w:rsidP="007A539A">
            <w:pPr>
              <w:rPr>
                <w:lang w:val="en-GB"/>
              </w:rPr>
            </w:pPr>
            <w:r w:rsidRPr="007A539A">
              <w:rPr>
                <w:b/>
                <w:lang w:val="en-GB"/>
              </w:rPr>
              <w:t xml:space="preserve">Master of Business Administration </w:t>
            </w:r>
          </w:p>
        </w:tc>
      </w:tr>
      <w:tr w:rsidR="007A539A" w:rsidRPr="007A539A" w14:paraId="3C4C4B15" w14:textId="77777777" w:rsidTr="007A539A">
        <w:trPr>
          <w:trHeight w:val="532"/>
          <w:jc w:val="center"/>
        </w:trPr>
        <w:tc>
          <w:tcPr>
            <w:tcW w:w="2151" w:type="dxa"/>
            <w:tcBorders>
              <w:top w:val="single" w:sz="4" w:space="0" w:color="000000"/>
              <w:left w:val="single" w:sz="4" w:space="0" w:color="000000"/>
              <w:bottom w:val="single" w:sz="4" w:space="0" w:color="000000"/>
              <w:right w:val="single" w:sz="4" w:space="0" w:color="000000"/>
            </w:tcBorders>
            <w:shd w:val="clear" w:color="auto" w:fill="D9D9D9"/>
            <w:tcMar>
              <w:top w:w="50" w:type="dxa"/>
              <w:left w:w="106" w:type="dxa"/>
              <w:bottom w:w="0" w:type="dxa"/>
              <w:right w:w="42" w:type="dxa"/>
            </w:tcMar>
            <w:vAlign w:val="center"/>
            <w:hideMark/>
          </w:tcPr>
          <w:p w14:paraId="15613272" w14:textId="77777777" w:rsidR="007A539A" w:rsidRPr="007A539A" w:rsidRDefault="007A539A" w:rsidP="007A539A">
            <w:pPr>
              <w:rPr>
                <w:lang w:val="en-GB"/>
              </w:rPr>
            </w:pPr>
            <w:r w:rsidRPr="007A539A">
              <w:rPr>
                <w:b/>
                <w:lang w:val="en-GB"/>
              </w:rPr>
              <w:t xml:space="preserve">Module: </w:t>
            </w:r>
          </w:p>
        </w:tc>
        <w:tc>
          <w:tcPr>
            <w:tcW w:w="8060" w:type="dxa"/>
            <w:gridSpan w:val="3"/>
            <w:tcBorders>
              <w:top w:val="single" w:sz="4" w:space="0" w:color="000000"/>
              <w:left w:val="single" w:sz="4" w:space="0" w:color="000000"/>
              <w:bottom w:val="single" w:sz="4" w:space="0" w:color="000000"/>
              <w:right w:val="single" w:sz="4" w:space="0" w:color="000000"/>
            </w:tcBorders>
            <w:tcMar>
              <w:top w:w="50" w:type="dxa"/>
              <w:left w:w="106" w:type="dxa"/>
              <w:bottom w:w="0" w:type="dxa"/>
              <w:right w:w="42" w:type="dxa"/>
            </w:tcMar>
            <w:vAlign w:val="center"/>
            <w:hideMark/>
          </w:tcPr>
          <w:p w14:paraId="4CD902C6" w14:textId="77777777" w:rsidR="007A539A" w:rsidRPr="007A539A" w:rsidRDefault="007A539A" w:rsidP="007A539A">
            <w:pPr>
              <w:rPr>
                <w:b/>
                <w:bCs/>
                <w:lang w:val="en-GB"/>
              </w:rPr>
            </w:pPr>
            <w:r w:rsidRPr="007A539A">
              <w:rPr>
                <w:b/>
                <w:bCs/>
                <w:lang w:val="en-GB"/>
              </w:rPr>
              <w:t>Business development proposal</w:t>
            </w:r>
          </w:p>
        </w:tc>
      </w:tr>
      <w:tr w:rsidR="007A539A" w:rsidRPr="007A539A" w14:paraId="27F213B3" w14:textId="77777777" w:rsidTr="007A539A">
        <w:trPr>
          <w:trHeight w:val="814"/>
          <w:jc w:val="center"/>
        </w:trPr>
        <w:tc>
          <w:tcPr>
            <w:tcW w:w="2151" w:type="dxa"/>
            <w:tcBorders>
              <w:top w:val="single" w:sz="4" w:space="0" w:color="000000"/>
              <w:left w:val="single" w:sz="4" w:space="0" w:color="000000"/>
              <w:bottom w:val="single" w:sz="4" w:space="0" w:color="000000"/>
              <w:right w:val="single" w:sz="4" w:space="0" w:color="000000"/>
            </w:tcBorders>
            <w:shd w:val="clear" w:color="auto" w:fill="D9D9D9"/>
            <w:tcMar>
              <w:top w:w="50" w:type="dxa"/>
              <w:left w:w="106" w:type="dxa"/>
              <w:bottom w:w="0" w:type="dxa"/>
              <w:right w:w="42" w:type="dxa"/>
            </w:tcMar>
            <w:vAlign w:val="center"/>
            <w:hideMark/>
          </w:tcPr>
          <w:p w14:paraId="55E946B6" w14:textId="77777777" w:rsidR="007A539A" w:rsidRPr="007A539A" w:rsidRDefault="007A539A" w:rsidP="007A539A">
            <w:pPr>
              <w:rPr>
                <w:lang w:val="en-GB"/>
              </w:rPr>
            </w:pPr>
            <w:r w:rsidRPr="007A539A">
              <w:rPr>
                <w:b/>
                <w:lang w:val="en-GB"/>
              </w:rPr>
              <w:t xml:space="preserve">Module code: </w:t>
            </w:r>
          </w:p>
        </w:tc>
        <w:tc>
          <w:tcPr>
            <w:tcW w:w="3553" w:type="dxa"/>
            <w:tcBorders>
              <w:top w:val="single" w:sz="4" w:space="0" w:color="000000"/>
              <w:left w:val="single" w:sz="4" w:space="0" w:color="000000"/>
              <w:bottom w:val="single" w:sz="4" w:space="0" w:color="000000"/>
              <w:right w:val="single" w:sz="4" w:space="0" w:color="000000"/>
            </w:tcBorders>
            <w:tcMar>
              <w:top w:w="50" w:type="dxa"/>
              <w:left w:w="106" w:type="dxa"/>
              <w:bottom w:w="0" w:type="dxa"/>
              <w:right w:w="42" w:type="dxa"/>
            </w:tcMar>
            <w:vAlign w:val="center"/>
            <w:hideMark/>
          </w:tcPr>
          <w:p w14:paraId="714A8509" w14:textId="77777777" w:rsidR="007A539A" w:rsidRPr="007A539A" w:rsidRDefault="007A539A" w:rsidP="007A539A">
            <w:pPr>
              <w:rPr>
                <w:b/>
                <w:bCs/>
                <w:lang w:val="en-GB"/>
              </w:rPr>
            </w:pPr>
            <w:r w:rsidRPr="007A539A">
              <w:rPr>
                <w:b/>
                <w:bCs/>
                <w:lang w:val="en-GB"/>
              </w:rPr>
              <w:t>LCMB7037</w:t>
            </w:r>
          </w:p>
        </w:tc>
        <w:tc>
          <w:tcPr>
            <w:tcW w:w="2347" w:type="dxa"/>
            <w:tcBorders>
              <w:top w:val="single" w:sz="4" w:space="0" w:color="000000"/>
              <w:left w:val="single" w:sz="4" w:space="0" w:color="000000"/>
              <w:bottom w:val="single" w:sz="4" w:space="0" w:color="000000"/>
              <w:right w:val="single" w:sz="4" w:space="0" w:color="000000"/>
            </w:tcBorders>
            <w:shd w:val="clear" w:color="auto" w:fill="D9D9D9"/>
            <w:tcMar>
              <w:top w:w="50" w:type="dxa"/>
              <w:left w:w="106" w:type="dxa"/>
              <w:bottom w:w="0" w:type="dxa"/>
              <w:right w:w="42" w:type="dxa"/>
            </w:tcMar>
            <w:hideMark/>
          </w:tcPr>
          <w:p w14:paraId="52DEB111" w14:textId="77777777" w:rsidR="007A539A" w:rsidRPr="007A539A" w:rsidRDefault="007A539A" w:rsidP="007A539A">
            <w:pPr>
              <w:rPr>
                <w:lang w:val="en-GB"/>
              </w:rPr>
            </w:pPr>
            <w:r w:rsidRPr="007A539A">
              <w:rPr>
                <w:b/>
                <w:lang w:val="en-GB"/>
              </w:rPr>
              <w:t xml:space="preserve">Contribution to Overall Module </w:t>
            </w:r>
          </w:p>
          <w:p w14:paraId="443BAA53" w14:textId="77777777" w:rsidR="007A539A" w:rsidRPr="007A539A" w:rsidRDefault="007A539A" w:rsidP="007A539A">
            <w:pPr>
              <w:rPr>
                <w:lang w:val="en-GB"/>
              </w:rPr>
            </w:pPr>
            <w:r w:rsidRPr="007A539A">
              <w:rPr>
                <w:b/>
                <w:lang w:val="en-GB"/>
              </w:rPr>
              <w:t xml:space="preserve">Assessment (%): </w:t>
            </w:r>
          </w:p>
        </w:tc>
        <w:tc>
          <w:tcPr>
            <w:tcW w:w="2160" w:type="dxa"/>
            <w:tcBorders>
              <w:top w:val="single" w:sz="4" w:space="0" w:color="000000"/>
              <w:left w:val="single" w:sz="4" w:space="0" w:color="000000"/>
              <w:bottom w:val="single" w:sz="4" w:space="0" w:color="000000"/>
              <w:right w:val="single" w:sz="4" w:space="0" w:color="000000"/>
            </w:tcBorders>
            <w:tcMar>
              <w:top w:w="50" w:type="dxa"/>
              <w:left w:w="106" w:type="dxa"/>
              <w:bottom w:w="0" w:type="dxa"/>
              <w:right w:w="42" w:type="dxa"/>
            </w:tcMar>
            <w:vAlign w:val="center"/>
            <w:hideMark/>
          </w:tcPr>
          <w:p w14:paraId="40020121" w14:textId="77777777" w:rsidR="007A539A" w:rsidRPr="007A539A" w:rsidRDefault="007A539A" w:rsidP="007A539A">
            <w:pPr>
              <w:rPr>
                <w:lang w:val="en-GB"/>
              </w:rPr>
            </w:pPr>
            <w:r w:rsidRPr="007A539A">
              <w:rPr>
                <w:b/>
                <w:lang w:val="en-GB"/>
              </w:rPr>
              <w:t xml:space="preserve">100% </w:t>
            </w:r>
          </w:p>
        </w:tc>
      </w:tr>
      <w:tr w:rsidR="007A539A" w:rsidRPr="007A539A" w14:paraId="64ED9964" w14:textId="77777777" w:rsidTr="007A539A">
        <w:trPr>
          <w:trHeight w:val="1195"/>
          <w:jc w:val="center"/>
        </w:trPr>
        <w:tc>
          <w:tcPr>
            <w:tcW w:w="2151" w:type="dxa"/>
            <w:tcBorders>
              <w:top w:val="single" w:sz="4" w:space="0" w:color="000000"/>
              <w:left w:val="single" w:sz="4" w:space="0" w:color="000000"/>
              <w:bottom w:val="single" w:sz="4" w:space="0" w:color="000000"/>
              <w:right w:val="single" w:sz="4" w:space="0" w:color="000000"/>
            </w:tcBorders>
            <w:shd w:val="clear" w:color="auto" w:fill="D9D9D9"/>
            <w:tcMar>
              <w:top w:w="50" w:type="dxa"/>
              <w:left w:w="106" w:type="dxa"/>
              <w:bottom w:w="0" w:type="dxa"/>
              <w:right w:w="42" w:type="dxa"/>
            </w:tcMar>
            <w:vAlign w:val="center"/>
            <w:hideMark/>
          </w:tcPr>
          <w:p w14:paraId="0CEA8329" w14:textId="77777777" w:rsidR="007A539A" w:rsidRPr="007A539A" w:rsidRDefault="007A539A" w:rsidP="007A539A">
            <w:pPr>
              <w:rPr>
                <w:lang w:val="en-GB"/>
              </w:rPr>
            </w:pPr>
            <w:r w:rsidRPr="007A539A">
              <w:rPr>
                <w:b/>
                <w:lang w:val="en-GB"/>
              </w:rPr>
              <w:t xml:space="preserve">Lecturer: </w:t>
            </w:r>
          </w:p>
        </w:tc>
        <w:tc>
          <w:tcPr>
            <w:tcW w:w="3553" w:type="dxa"/>
            <w:tcBorders>
              <w:top w:val="single" w:sz="4" w:space="0" w:color="000000"/>
              <w:left w:val="single" w:sz="4" w:space="0" w:color="000000"/>
              <w:bottom w:val="single" w:sz="4" w:space="0" w:color="000000"/>
              <w:right w:val="single" w:sz="4" w:space="0" w:color="000000"/>
            </w:tcBorders>
            <w:tcMar>
              <w:top w:w="50" w:type="dxa"/>
              <w:left w:w="106" w:type="dxa"/>
              <w:bottom w:w="0" w:type="dxa"/>
              <w:right w:w="42" w:type="dxa"/>
            </w:tcMar>
            <w:vAlign w:val="center"/>
          </w:tcPr>
          <w:p w14:paraId="1BB67A2A" w14:textId="77777777" w:rsidR="007A539A" w:rsidRPr="007A539A" w:rsidRDefault="007A539A" w:rsidP="007A539A">
            <w:pPr>
              <w:rPr>
                <w:b/>
                <w:bCs/>
                <w:lang w:val="en-GB"/>
              </w:rPr>
            </w:pPr>
            <w:r w:rsidRPr="007A539A">
              <w:rPr>
                <w:b/>
                <w:bCs/>
                <w:lang w:val="en-GB"/>
              </w:rPr>
              <w:t>Balendran Kandasamy</w:t>
            </w:r>
          </w:p>
          <w:p w14:paraId="42794E90" w14:textId="77777777" w:rsidR="007A539A" w:rsidRPr="007A539A" w:rsidRDefault="007A539A" w:rsidP="007A539A">
            <w:pPr>
              <w:rPr>
                <w:b/>
                <w:bCs/>
                <w:lang w:val="en-GB"/>
              </w:rPr>
            </w:pPr>
          </w:p>
        </w:tc>
        <w:tc>
          <w:tcPr>
            <w:tcW w:w="2347" w:type="dxa"/>
            <w:tcBorders>
              <w:top w:val="single" w:sz="4" w:space="0" w:color="000000"/>
              <w:left w:val="single" w:sz="4" w:space="0" w:color="000000"/>
              <w:bottom w:val="single" w:sz="4" w:space="0" w:color="000000"/>
              <w:right w:val="single" w:sz="4" w:space="0" w:color="000000"/>
            </w:tcBorders>
            <w:shd w:val="clear" w:color="auto" w:fill="D9D9D9"/>
            <w:tcMar>
              <w:top w:w="50" w:type="dxa"/>
              <w:left w:w="106" w:type="dxa"/>
              <w:bottom w:w="0" w:type="dxa"/>
              <w:right w:w="42" w:type="dxa"/>
            </w:tcMar>
            <w:vAlign w:val="center"/>
            <w:hideMark/>
          </w:tcPr>
          <w:p w14:paraId="42C7B1B8" w14:textId="77777777" w:rsidR="007A539A" w:rsidRPr="007A539A" w:rsidRDefault="007A539A" w:rsidP="007A539A">
            <w:pPr>
              <w:rPr>
                <w:lang w:val="en-GB"/>
              </w:rPr>
            </w:pPr>
            <w:r w:rsidRPr="007A539A">
              <w:rPr>
                <w:b/>
                <w:lang w:val="en-GB"/>
              </w:rPr>
              <w:t xml:space="preserve">Internal Verifier: </w:t>
            </w:r>
          </w:p>
        </w:tc>
        <w:tc>
          <w:tcPr>
            <w:tcW w:w="2160" w:type="dxa"/>
            <w:tcBorders>
              <w:top w:val="single" w:sz="4" w:space="0" w:color="000000"/>
              <w:left w:val="single" w:sz="4" w:space="0" w:color="000000"/>
              <w:bottom w:val="single" w:sz="4" w:space="0" w:color="000000"/>
              <w:right w:val="single" w:sz="4" w:space="0" w:color="000000"/>
            </w:tcBorders>
            <w:tcMar>
              <w:top w:w="50" w:type="dxa"/>
              <w:left w:w="106" w:type="dxa"/>
              <w:bottom w:w="0" w:type="dxa"/>
              <w:right w:w="42" w:type="dxa"/>
            </w:tcMar>
            <w:vAlign w:val="center"/>
            <w:hideMark/>
          </w:tcPr>
          <w:p w14:paraId="01F9BDA8" w14:textId="77777777" w:rsidR="007A539A" w:rsidRPr="007A539A" w:rsidRDefault="007A539A" w:rsidP="007A539A">
            <w:pPr>
              <w:rPr>
                <w:lang w:val="en-GB"/>
              </w:rPr>
            </w:pPr>
            <w:r w:rsidRPr="007A539A">
              <w:rPr>
                <w:b/>
                <w:lang w:val="en-GB"/>
              </w:rPr>
              <w:t>Dr Suresh George Dr Nathan Subramanian</w:t>
            </w:r>
          </w:p>
        </w:tc>
      </w:tr>
    </w:tbl>
    <w:p w14:paraId="0A22767D" w14:textId="77777777" w:rsidR="007A539A" w:rsidRPr="007A539A" w:rsidRDefault="007A539A" w:rsidP="007A539A">
      <w:pPr>
        <w:rPr>
          <w:b/>
          <w:lang w:val="en-IN"/>
        </w:rPr>
      </w:pPr>
    </w:p>
    <w:p w14:paraId="672845C4" w14:textId="77777777" w:rsidR="007A539A" w:rsidRPr="007A539A" w:rsidRDefault="007A539A" w:rsidP="007A539A">
      <w:pPr>
        <w:rPr>
          <w:b/>
          <w:lang w:val="en-IN"/>
        </w:rPr>
      </w:pPr>
    </w:p>
    <w:p w14:paraId="0F095E6D" w14:textId="77777777" w:rsidR="007A539A" w:rsidRPr="007A539A" w:rsidRDefault="007A539A" w:rsidP="007A539A">
      <w:pPr>
        <w:rPr>
          <w:b/>
          <w:lang w:val="en-IN"/>
        </w:rPr>
      </w:pPr>
    </w:p>
    <w:p w14:paraId="7578367D" w14:textId="77777777" w:rsidR="007A539A" w:rsidRPr="007A539A" w:rsidRDefault="007A539A" w:rsidP="007A539A">
      <w:pPr>
        <w:rPr>
          <w:lang w:val="en-IN"/>
        </w:rPr>
      </w:pPr>
    </w:p>
    <w:p w14:paraId="1FCF50C6" w14:textId="77777777" w:rsidR="007A539A" w:rsidRPr="007A539A" w:rsidRDefault="007A539A" w:rsidP="007A539A">
      <w:pPr>
        <w:rPr>
          <w:b/>
          <w:bCs/>
          <w:lang w:val="en-IN"/>
        </w:rPr>
      </w:pPr>
    </w:p>
    <w:p w14:paraId="6F5A7D0A" w14:textId="77777777" w:rsidR="007A539A" w:rsidRPr="007A539A" w:rsidRDefault="007A539A" w:rsidP="007A539A">
      <w:pPr>
        <w:rPr>
          <w:b/>
          <w:bCs/>
          <w:lang w:val="en-IN"/>
        </w:rPr>
      </w:pPr>
    </w:p>
    <w:p w14:paraId="7D7BE2EA" w14:textId="77777777" w:rsidR="007A539A" w:rsidRPr="007A539A" w:rsidRDefault="007A539A" w:rsidP="007A539A">
      <w:pPr>
        <w:rPr>
          <w:b/>
          <w:bCs/>
          <w:lang w:val="en-IN"/>
        </w:rPr>
      </w:pPr>
    </w:p>
    <w:p w14:paraId="14BD15A2" w14:textId="77777777" w:rsidR="007A539A" w:rsidRPr="007A539A" w:rsidRDefault="007A539A" w:rsidP="007A539A">
      <w:pPr>
        <w:rPr>
          <w:b/>
          <w:bCs/>
          <w:lang w:val="en-IN"/>
        </w:rPr>
      </w:pPr>
    </w:p>
    <w:p w14:paraId="34F3AD9C" w14:textId="77777777" w:rsidR="007A539A" w:rsidRPr="007A539A" w:rsidRDefault="007A539A" w:rsidP="007A539A">
      <w:pPr>
        <w:rPr>
          <w:lang w:val="en-IN"/>
        </w:rPr>
      </w:pPr>
    </w:p>
    <w:p w14:paraId="58438386" w14:textId="77777777" w:rsidR="00EA6A3F" w:rsidRDefault="00EA6A3F" w:rsidP="007A539A"/>
    <w:p w14:paraId="7C195264" w14:textId="77777777" w:rsidR="00EA6A3F" w:rsidRDefault="00EA6A3F" w:rsidP="007A539A">
      <w:pPr>
        <w:rPr>
          <w:b/>
          <w:bCs/>
          <w:i/>
          <w:iCs/>
          <w:sz w:val="32"/>
          <w:szCs w:val="32"/>
        </w:rPr>
      </w:pPr>
    </w:p>
    <w:p w14:paraId="5C1A766B" w14:textId="77777777" w:rsidR="007A539A" w:rsidRDefault="007A539A" w:rsidP="007A539A">
      <w:pPr>
        <w:rPr>
          <w:b/>
          <w:bCs/>
          <w:i/>
          <w:iCs/>
          <w:sz w:val="32"/>
          <w:szCs w:val="32"/>
        </w:rPr>
      </w:pPr>
    </w:p>
    <w:p w14:paraId="0D18FEDB" w14:textId="125E8AF4" w:rsidR="00C71CDB" w:rsidRPr="007A539A" w:rsidRDefault="00000000">
      <w:pPr>
        <w:jc w:val="center"/>
        <w:rPr>
          <w:b/>
          <w:bCs/>
          <w:i/>
          <w:iCs/>
          <w:sz w:val="40"/>
          <w:szCs w:val="40"/>
        </w:rPr>
      </w:pPr>
      <w:r w:rsidRPr="007A539A">
        <w:rPr>
          <w:b/>
          <w:bCs/>
          <w:i/>
          <w:iCs/>
          <w:sz w:val="40"/>
          <w:szCs w:val="40"/>
        </w:rPr>
        <w:t>“Developing a Sustainable Packaging Solutions Company for E-commerce SMEs: A Business Development Proposal”</w:t>
      </w:r>
    </w:p>
    <w:p w14:paraId="50055B1A" w14:textId="77777777" w:rsidR="00C71CDB" w:rsidRDefault="00C71CDB">
      <w:pPr>
        <w:rPr>
          <w:b/>
          <w:bCs/>
          <w:i/>
          <w:iCs/>
          <w:sz w:val="32"/>
          <w:szCs w:val="32"/>
        </w:rPr>
      </w:pPr>
      <w:r>
        <w:rPr>
          <w:b/>
          <w:bCs/>
          <w:i/>
          <w:iCs/>
          <w:sz w:val="32"/>
          <w:szCs w:val="32"/>
        </w:rPr>
        <w:br w:type="page"/>
      </w:r>
    </w:p>
    <w:p w14:paraId="41E80B29" w14:textId="77777777" w:rsidR="00C71CDB" w:rsidRPr="00C71CDB" w:rsidRDefault="00C71CDB" w:rsidP="00FB7622">
      <w:pPr>
        <w:pStyle w:val="Heading1"/>
        <w:jc w:val="center"/>
      </w:pPr>
      <w:bookmarkStart w:id="0" w:name="_Toc241008199"/>
      <w:r w:rsidRPr="00C71CDB">
        <w:lastRenderedPageBreak/>
        <w:t>Declaration</w:t>
      </w:r>
      <w:bookmarkEnd w:id="0"/>
    </w:p>
    <w:p w14:paraId="7E0103E0" w14:textId="09EB28EF" w:rsidR="00C71CDB" w:rsidRDefault="00C71CDB" w:rsidP="00C71CDB">
      <w:pPr>
        <w:rPr>
          <w:color w:val="222222"/>
        </w:rPr>
      </w:pPr>
      <w:r>
        <w:rPr>
          <w:color w:val="222222"/>
        </w:rPr>
        <w:t xml:space="preserve">I </w:t>
      </w:r>
      <w:r w:rsidR="00AE7BB1">
        <w:rPr>
          <w:color w:val="222222"/>
        </w:rPr>
        <w:t>declare</w:t>
      </w:r>
      <w:r>
        <w:rPr>
          <w:color w:val="222222"/>
        </w:rPr>
        <w:t xml:space="preserve"> that this Business Development Proposal is my own academic work and has been undertaken as part of the requirements. All of the analysis, arguments, financial assumptions and recommendations herein are generated for this business concept and are for academic evaluation purposes only. Ideas, theories, models, data or evidence which has been sourced from academic publications, professional sources or other materials, etc., has been acknowledged and referenced appropriately. I certify that the work was prepared in compliance with academic integrity and assessment requirements of the institution. The financial forecast and assumption provided are planning estimates only and do not reflect future performance in business.</w:t>
      </w:r>
    </w:p>
    <w:p w14:paraId="07FE9C5E" w14:textId="77777777" w:rsidR="00C71CDB" w:rsidRDefault="00C71CDB" w:rsidP="00C71CDB">
      <w:pPr>
        <w:rPr>
          <w:color w:val="222222"/>
        </w:rPr>
      </w:pPr>
    </w:p>
    <w:p w14:paraId="4DC17C84" w14:textId="77777777" w:rsidR="00C71CDB" w:rsidRDefault="00C71CDB" w:rsidP="00C71CDB">
      <w:pPr>
        <w:rPr>
          <w:color w:val="222222"/>
        </w:rPr>
      </w:pPr>
    </w:p>
    <w:p w14:paraId="12D2C0E7" w14:textId="77777777" w:rsidR="00C71CDB" w:rsidRDefault="00C71CDB" w:rsidP="00C71CDB">
      <w:pPr>
        <w:rPr>
          <w:color w:val="222222"/>
        </w:rPr>
      </w:pPr>
      <w:r>
        <w:rPr>
          <w:color w:val="222222"/>
        </w:rPr>
        <w:br w:type="page"/>
      </w:r>
    </w:p>
    <w:p w14:paraId="3A3F1571" w14:textId="77777777" w:rsidR="00C71CDB" w:rsidRPr="00C71CDB" w:rsidRDefault="00C71CDB" w:rsidP="00FB7622">
      <w:pPr>
        <w:pStyle w:val="Heading1"/>
        <w:jc w:val="center"/>
      </w:pPr>
      <w:bookmarkStart w:id="1" w:name="_Toc241008200"/>
      <w:r w:rsidRPr="00C71CDB">
        <w:lastRenderedPageBreak/>
        <w:t>Acknowledgement</w:t>
      </w:r>
      <w:bookmarkEnd w:id="1"/>
    </w:p>
    <w:p w14:paraId="21265A62" w14:textId="69277520" w:rsidR="00C71CDB" w:rsidRDefault="00C71CDB" w:rsidP="00C71CDB">
      <w:pPr>
        <w:rPr>
          <w:b/>
          <w:bCs/>
          <w:i/>
          <w:iCs/>
          <w:sz w:val="32"/>
          <w:szCs w:val="32"/>
        </w:rPr>
      </w:pPr>
      <w:r>
        <w:rPr>
          <w:color w:val="222222"/>
        </w:rPr>
        <w:t>I would like to thank my lecturer and supervisor for guiding, providing feedback and assisting me with academic work during the preparation of this Business Development Proposal. I would also like to thank the University for granting the academic resources and learning environment that was needed to complete this project. Thanks to the authors, researchers and organisations that published the research, reports and industry information that supported the analysis by EcoPack Solutions and helped to develop the proposal. Last but not least, I would like to express my gratitude to my family, friends and colleagues for their encouragement, patience and support given during the preparation of this work. Their encouragement and knowledge enabled me to stay on track and dedicated to doing this project to the required academic standard.</w:t>
      </w:r>
    </w:p>
    <w:p w14:paraId="718CCED7" w14:textId="77777777" w:rsidR="00C71CDB" w:rsidRDefault="00C71CDB">
      <w:pPr>
        <w:rPr>
          <w:b/>
          <w:bCs/>
        </w:rPr>
      </w:pPr>
      <w:r>
        <w:rPr>
          <w:b/>
          <w:bCs/>
        </w:rPr>
        <w:br w:type="page"/>
      </w:r>
    </w:p>
    <w:p w14:paraId="3C75E853" w14:textId="1BD26581" w:rsidR="00E65D77" w:rsidRPr="00C71CDB" w:rsidRDefault="00C71CDB" w:rsidP="00FB7622">
      <w:pPr>
        <w:pStyle w:val="Heading1"/>
        <w:jc w:val="center"/>
      </w:pPr>
      <w:bookmarkStart w:id="2" w:name="_Toc241008201"/>
      <w:r w:rsidRPr="00C71CDB">
        <w:lastRenderedPageBreak/>
        <w:t>Abstract</w:t>
      </w:r>
      <w:bookmarkEnd w:id="2"/>
    </w:p>
    <w:p w14:paraId="6DA015F6" w14:textId="77777777" w:rsidR="00AE7BB1" w:rsidRDefault="00C71CDB" w:rsidP="00C71CDB">
      <w:pPr>
        <w:rPr>
          <w:color w:val="222222"/>
        </w:rPr>
      </w:pPr>
      <w:r>
        <w:rPr>
          <w:color w:val="222222"/>
        </w:rPr>
        <w:t xml:space="preserve">This Business Development Proposal involves a assessment and commercial viability study of the proposed sustainable packaging provider EcoPack Solutions for European e-commerce small and medium-sized businesses (SMEs). Proposal meets the growing need for relevant, sustainable packaging solutions as well as the changing packaging and environmental demands in the EU. The study uses well-defined business and strategic concepts such as PESTLE analysis, Porter's Five Forces analysis, Resource-Based View (RBV) and VRIO, Business Model Canvas and Customer Value Proposition analysis. </w:t>
      </w:r>
    </w:p>
    <w:p w14:paraId="4BF79C87" w14:textId="1D8E0D47" w:rsidR="00C71CDB" w:rsidRDefault="00C71CDB" w:rsidP="00C71CDB">
      <w:pPr>
        <w:rPr>
          <w:color w:val="222222"/>
        </w:rPr>
      </w:pPr>
      <w:r>
        <w:rPr>
          <w:color w:val="222222"/>
        </w:rPr>
        <w:t>These frameworks evaluate the external environment, the competitive structure and their business model, internal resources and customer value. The business model will focus on an asset-light approach with customer support focused on sustainability alongside partnerships with European suppliers and digital ordering, while the fulfilment will be outsourced. The forecasts are that the revenue will increase from €105,000 in Year 1 to €608,000 in Year 3, while the company will become profitable in Year 2. The proposed finding is that controlled market entry, cash-flow management and supplier resiliency and compliance monitoring are all necessary for commercialization of EcoPack Solutions.</w:t>
      </w:r>
    </w:p>
    <w:p w14:paraId="753CD3B0" w14:textId="77777777" w:rsidR="00C71CDB" w:rsidRDefault="00C71CDB" w:rsidP="00C71CDB">
      <w:pPr>
        <w:rPr>
          <w:color w:val="222222"/>
        </w:rPr>
      </w:pPr>
    </w:p>
    <w:p w14:paraId="3991EF50" w14:textId="77777777" w:rsidR="00C71CDB" w:rsidRDefault="00C71CDB" w:rsidP="00C71CDB">
      <w:pPr>
        <w:rPr>
          <w:color w:val="222222"/>
        </w:rPr>
      </w:pPr>
    </w:p>
    <w:p w14:paraId="7CEAADE0" w14:textId="03576587" w:rsidR="00E65D77" w:rsidRPr="00C71CDB" w:rsidRDefault="00C71CDB">
      <w:pPr>
        <w:rPr>
          <w:color w:val="222222"/>
        </w:rPr>
      </w:pPr>
      <w:r>
        <w:rPr>
          <w:color w:val="222222"/>
        </w:rPr>
        <w:br w:type="page"/>
      </w:r>
    </w:p>
    <w:sdt>
      <w:sdtPr>
        <w:rPr>
          <w:rFonts w:ascii="Times New Roman" w:eastAsia="Times New Roman" w:hAnsi="Times New Roman" w:cs="Times New Roman"/>
          <w:color w:val="auto"/>
          <w:sz w:val="24"/>
          <w:szCs w:val="24"/>
          <w:lang w:val="en" w:eastAsia="en-IN"/>
        </w:rPr>
        <w:id w:val="1183705723"/>
        <w:docPartObj>
          <w:docPartGallery w:val="Table of Contents"/>
          <w:docPartUnique/>
        </w:docPartObj>
      </w:sdtPr>
      <w:sdtEndPr>
        <w:rPr>
          <w:b/>
          <w:bCs/>
          <w:noProof/>
        </w:rPr>
      </w:sdtEndPr>
      <w:sdtContent>
        <w:p w14:paraId="41658543" w14:textId="733DC1F6" w:rsidR="00E65D77" w:rsidRPr="00E65D77" w:rsidRDefault="00E65D77" w:rsidP="00E65D77">
          <w:pPr>
            <w:pStyle w:val="TOCHeading"/>
            <w:jc w:val="center"/>
            <w:rPr>
              <w:rFonts w:ascii="Times New Roman" w:hAnsi="Times New Roman" w:cs="Times New Roman"/>
              <w:b/>
              <w:bCs/>
              <w:color w:val="auto"/>
              <w:sz w:val="24"/>
              <w:szCs w:val="24"/>
            </w:rPr>
          </w:pPr>
          <w:r w:rsidRPr="00E65D77">
            <w:rPr>
              <w:rFonts w:ascii="Times New Roman" w:hAnsi="Times New Roman" w:cs="Times New Roman"/>
              <w:b/>
              <w:bCs/>
              <w:color w:val="auto"/>
              <w:sz w:val="24"/>
              <w:szCs w:val="24"/>
            </w:rPr>
            <w:t>Table of Contents</w:t>
          </w:r>
        </w:p>
        <w:p w14:paraId="16125393" w14:textId="29EFD35C" w:rsidR="00716CED" w:rsidRDefault="00E65D77">
          <w:pPr>
            <w:pStyle w:val="TOC1"/>
            <w:tabs>
              <w:tab w:val="right" w:leader="dot" w:pos="9350"/>
            </w:tabs>
            <w:rPr>
              <w:rFonts w:asciiTheme="minorHAnsi" w:eastAsiaTheme="minorEastAsia" w:hAnsiTheme="minorHAnsi" w:cstheme="minorBidi"/>
              <w:noProof/>
              <w:kern w:val="2"/>
              <w:lang w:val="en-IN"/>
              <w14:ligatures w14:val="standardContextual"/>
            </w:rPr>
          </w:pPr>
          <w:r>
            <w:fldChar w:fldCharType="begin"/>
          </w:r>
          <w:r>
            <w:instrText xml:space="preserve"> TOC \o "1-3" \h \z \u </w:instrText>
          </w:r>
          <w:r>
            <w:fldChar w:fldCharType="separate"/>
          </w:r>
          <w:hyperlink w:anchor="_Toc241008199" w:history="1">
            <w:r w:rsidR="00716CED" w:rsidRPr="00854E9B">
              <w:rPr>
                <w:rStyle w:val="Hyperlink"/>
                <w:noProof/>
              </w:rPr>
              <w:t>Declaration</w:t>
            </w:r>
            <w:r w:rsidR="00716CED">
              <w:rPr>
                <w:noProof/>
                <w:webHidden/>
              </w:rPr>
              <w:tab/>
            </w:r>
            <w:r w:rsidR="00716CED">
              <w:rPr>
                <w:noProof/>
                <w:webHidden/>
              </w:rPr>
              <w:fldChar w:fldCharType="begin"/>
            </w:r>
            <w:r w:rsidR="00716CED">
              <w:rPr>
                <w:noProof/>
                <w:webHidden/>
              </w:rPr>
              <w:instrText xml:space="preserve"> PAGEREF _Toc241008199 \h </w:instrText>
            </w:r>
            <w:r w:rsidR="00716CED">
              <w:rPr>
                <w:noProof/>
                <w:webHidden/>
              </w:rPr>
            </w:r>
            <w:r w:rsidR="00716CED">
              <w:rPr>
                <w:noProof/>
                <w:webHidden/>
              </w:rPr>
              <w:fldChar w:fldCharType="separate"/>
            </w:r>
            <w:r w:rsidR="005803CC">
              <w:rPr>
                <w:noProof/>
                <w:webHidden/>
              </w:rPr>
              <w:t>3</w:t>
            </w:r>
            <w:r w:rsidR="00716CED">
              <w:rPr>
                <w:noProof/>
                <w:webHidden/>
              </w:rPr>
              <w:fldChar w:fldCharType="end"/>
            </w:r>
          </w:hyperlink>
        </w:p>
        <w:p w14:paraId="581CE6AC" w14:textId="4DF34193" w:rsidR="00716CED" w:rsidRDefault="00716CED">
          <w:pPr>
            <w:pStyle w:val="TOC1"/>
            <w:tabs>
              <w:tab w:val="right" w:leader="dot" w:pos="9350"/>
            </w:tabs>
            <w:rPr>
              <w:rFonts w:asciiTheme="minorHAnsi" w:eastAsiaTheme="minorEastAsia" w:hAnsiTheme="minorHAnsi" w:cstheme="minorBidi"/>
              <w:noProof/>
              <w:kern w:val="2"/>
              <w:lang w:val="en-IN"/>
              <w14:ligatures w14:val="standardContextual"/>
            </w:rPr>
          </w:pPr>
          <w:hyperlink w:anchor="_Toc241008200" w:history="1">
            <w:r w:rsidRPr="00854E9B">
              <w:rPr>
                <w:rStyle w:val="Hyperlink"/>
                <w:noProof/>
              </w:rPr>
              <w:t>Acknowledgement</w:t>
            </w:r>
            <w:r>
              <w:rPr>
                <w:noProof/>
                <w:webHidden/>
              </w:rPr>
              <w:tab/>
            </w:r>
            <w:r>
              <w:rPr>
                <w:noProof/>
                <w:webHidden/>
              </w:rPr>
              <w:fldChar w:fldCharType="begin"/>
            </w:r>
            <w:r>
              <w:rPr>
                <w:noProof/>
                <w:webHidden/>
              </w:rPr>
              <w:instrText xml:space="preserve"> PAGEREF _Toc241008200 \h </w:instrText>
            </w:r>
            <w:r>
              <w:rPr>
                <w:noProof/>
                <w:webHidden/>
              </w:rPr>
            </w:r>
            <w:r>
              <w:rPr>
                <w:noProof/>
                <w:webHidden/>
              </w:rPr>
              <w:fldChar w:fldCharType="separate"/>
            </w:r>
            <w:r w:rsidR="005803CC">
              <w:rPr>
                <w:noProof/>
                <w:webHidden/>
              </w:rPr>
              <w:t>4</w:t>
            </w:r>
            <w:r>
              <w:rPr>
                <w:noProof/>
                <w:webHidden/>
              </w:rPr>
              <w:fldChar w:fldCharType="end"/>
            </w:r>
          </w:hyperlink>
        </w:p>
        <w:p w14:paraId="67CA3E22" w14:textId="7130BF04" w:rsidR="00716CED" w:rsidRDefault="00716CED">
          <w:pPr>
            <w:pStyle w:val="TOC1"/>
            <w:tabs>
              <w:tab w:val="right" w:leader="dot" w:pos="9350"/>
            </w:tabs>
            <w:rPr>
              <w:rFonts w:asciiTheme="minorHAnsi" w:eastAsiaTheme="minorEastAsia" w:hAnsiTheme="minorHAnsi" w:cstheme="minorBidi"/>
              <w:noProof/>
              <w:kern w:val="2"/>
              <w:lang w:val="en-IN"/>
              <w14:ligatures w14:val="standardContextual"/>
            </w:rPr>
          </w:pPr>
          <w:hyperlink w:anchor="_Toc241008201" w:history="1">
            <w:r w:rsidRPr="00854E9B">
              <w:rPr>
                <w:rStyle w:val="Hyperlink"/>
                <w:noProof/>
              </w:rPr>
              <w:t>Abstract</w:t>
            </w:r>
            <w:r>
              <w:rPr>
                <w:noProof/>
                <w:webHidden/>
              </w:rPr>
              <w:tab/>
            </w:r>
            <w:r>
              <w:rPr>
                <w:noProof/>
                <w:webHidden/>
              </w:rPr>
              <w:fldChar w:fldCharType="begin"/>
            </w:r>
            <w:r>
              <w:rPr>
                <w:noProof/>
                <w:webHidden/>
              </w:rPr>
              <w:instrText xml:space="preserve"> PAGEREF _Toc241008201 \h </w:instrText>
            </w:r>
            <w:r>
              <w:rPr>
                <w:noProof/>
                <w:webHidden/>
              </w:rPr>
            </w:r>
            <w:r>
              <w:rPr>
                <w:noProof/>
                <w:webHidden/>
              </w:rPr>
              <w:fldChar w:fldCharType="separate"/>
            </w:r>
            <w:r w:rsidR="005803CC">
              <w:rPr>
                <w:noProof/>
                <w:webHidden/>
              </w:rPr>
              <w:t>5</w:t>
            </w:r>
            <w:r>
              <w:rPr>
                <w:noProof/>
                <w:webHidden/>
              </w:rPr>
              <w:fldChar w:fldCharType="end"/>
            </w:r>
          </w:hyperlink>
        </w:p>
        <w:p w14:paraId="54BE7C89" w14:textId="4FC25A0A" w:rsidR="00716CED" w:rsidRDefault="00716CED">
          <w:pPr>
            <w:pStyle w:val="TOC1"/>
            <w:tabs>
              <w:tab w:val="right" w:leader="dot" w:pos="9350"/>
            </w:tabs>
            <w:rPr>
              <w:rFonts w:asciiTheme="minorHAnsi" w:eastAsiaTheme="minorEastAsia" w:hAnsiTheme="minorHAnsi" w:cstheme="minorBidi"/>
              <w:noProof/>
              <w:kern w:val="2"/>
              <w:lang w:val="en-IN"/>
              <w14:ligatures w14:val="standardContextual"/>
            </w:rPr>
          </w:pPr>
          <w:hyperlink w:anchor="_Toc241008202" w:history="1">
            <w:r w:rsidRPr="00854E9B">
              <w:rPr>
                <w:rStyle w:val="Hyperlink"/>
                <w:noProof/>
              </w:rPr>
              <w:t>List of Figures</w:t>
            </w:r>
            <w:r>
              <w:rPr>
                <w:noProof/>
                <w:webHidden/>
              </w:rPr>
              <w:tab/>
            </w:r>
            <w:r>
              <w:rPr>
                <w:noProof/>
                <w:webHidden/>
              </w:rPr>
              <w:fldChar w:fldCharType="begin"/>
            </w:r>
            <w:r>
              <w:rPr>
                <w:noProof/>
                <w:webHidden/>
              </w:rPr>
              <w:instrText xml:space="preserve"> PAGEREF _Toc241008202 \h </w:instrText>
            </w:r>
            <w:r>
              <w:rPr>
                <w:noProof/>
                <w:webHidden/>
              </w:rPr>
            </w:r>
            <w:r>
              <w:rPr>
                <w:noProof/>
                <w:webHidden/>
              </w:rPr>
              <w:fldChar w:fldCharType="separate"/>
            </w:r>
            <w:r w:rsidR="005803CC">
              <w:rPr>
                <w:noProof/>
                <w:webHidden/>
              </w:rPr>
              <w:t>12</w:t>
            </w:r>
            <w:r>
              <w:rPr>
                <w:noProof/>
                <w:webHidden/>
              </w:rPr>
              <w:fldChar w:fldCharType="end"/>
            </w:r>
          </w:hyperlink>
        </w:p>
        <w:p w14:paraId="2ABC79F9" w14:textId="51B5BCB7" w:rsidR="00716CED" w:rsidRDefault="00716CED">
          <w:pPr>
            <w:pStyle w:val="TOC1"/>
            <w:tabs>
              <w:tab w:val="right" w:leader="dot" w:pos="9350"/>
            </w:tabs>
            <w:rPr>
              <w:rFonts w:asciiTheme="minorHAnsi" w:eastAsiaTheme="minorEastAsia" w:hAnsiTheme="minorHAnsi" w:cstheme="minorBidi"/>
              <w:noProof/>
              <w:kern w:val="2"/>
              <w:lang w:val="en-IN"/>
              <w14:ligatures w14:val="standardContextual"/>
            </w:rPr>
          </w:pPr>
          <w:hyperlink w:anchor="_Toc241008203" w:history="1">
            <w:r w:rsidRPr="00854E9B">
              <w:rPr>
                <w:rStyle w:val="Hyperlink"/>
                <w:noProof/>
              </w:rPr>
              <w:t>Chapter 1: Introduction</w:t>
            </w:r>
            <w:r>
              <w:rPr>
                <w:noProof/>
                <w:webHidden/>
              </w:rPr>
              <w:tab/>
            </w:r>
            <w:r>
              <w:rPr>
                <w:noProof/>
                <w:webHidden/>
              </w:rPr>
              <w:fldChar w:fldCharType="begin"/>
            </w:r>
            <w:r>
              <w:rPr>
                <w:noProof/>
                <w:webHidden/>
              </w:rPr>
              <w:instrText xml:space="preserve"> PAGEREF _Toc241008203 \h </w:instrText>
            </w:r>
            <w:r>
              <w:rPr>
                <w:noProof/>
                <w:webHidden/>
              </w:rPr>
            </w:r>
            <w:r>
              <w:rPr>
                <w:noProof/>
                <w:webHidden/>
              </w:rPr>
              <w:fldChar w:fldCharType="separate"/>
            </w:r>
            <w:r w:rsidR="005803CC">
              <w:rPr>
                <w:noProof/>
                <w:webHidden/>
              </w:rPr>
              <w:t>15</w:t>
            </w:r>
            <w:r>
              <w:rPr>
                <w:noProof/>
                <w:webHidden/>
              </w:rPr>
              <w:fldChar w:fldCharType="end"/>
            </w:r>
          </w:hyperlink>
        </w:p>
        <w:p w14:paraId="1BA01602" w14:textId="0CB78D27" w:rsidR="00716CED" w:rsidRDefault="00716CED">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41008204" w:history="1">
            <w:r w:rsidRPr="00854E9B">
              <w:rPr>
                <w:rStyle w:val="Hyperlink"/>
                <w:noProof/>
              </w:rPr>
              <w:t>1.1 Background and Context</w:t>
            </w:r>
            <w:r>
              <w:rPr>
                <w:noProof/>
                <w:webHidden/>
              </w:rPr>
              <w:tab/>
            </w:r>
            <w:r>
              <w:rPr>
                <w:noProof/>
                <w:webHidden/>
              </w:rPr>
              <w:fldChar w:fldCharType="begin"/>
            </w:r>
            <w:r>
              <w:rPr>
                <w:noProof/>
                <w:webHidden/>
              </w:rPr>
              <w:instrText xml:space="preserve"> PAGEREF _Toc241008204 \h </w:instrText>
            </w:r>
            <w:r>
              <w:rPr>
                <w:noProof/>
                <w:webHidden/>
              </w:rPr>
            </w:r>
            <w:r>
              <w:rPr>
                <w:noProof/>
                <w:webHidden/>
              </w:rPr>
              <w:fldChar w:fldCharType="separate"/>
            </w:r>
            <w:r w:rsidR="005803CC">
              <w:rPr>
                <w:noProof/>
                <w:webHidden/>
              </w:rPr>
              <w:t>15</w:t>
            </w:r>
            <w:r>
              <w:rPr>
                <w:noProof/>
                <w:webHidden/>
              </w:rPr>
              <w:fldChar w:fldCharType="end"/>
            </w:r>
          </w:hyperlink>
        </w:p>
        <w:p w14:paraId="67790851" w14:textId="628A0D52" w:rsidR="00716CED" w:rsidRDefault="00716CED">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41008205" w:history="1">
            <w:r w:rsidRPr="00854E9B">
              <w:rPr>
                <w:rStyle w:val="Hyperlink"/>
                <w:noProof/>
              </w:rPr>
              <w:t>1.2 Problem or Opportunity Statement</w:t>
            </w:r>
            <w:r>
              <w:rPr>
                <w:noProof/>
                <w:webHidden/>
              </w:rPr>
              <w:tab/>
            </w:r>
            <w:r>
              <w:rPr>
                <w:noProof/>
                <w:webHidden/>
              </w:rPr>
              <w:fldChar w:fldCharType="begin"/>
            </w:r>
            <w:r>
              <w:rPr>
                <w:noProof/>
                <w:webHidden/>
              </w:rPr>
              <w:instrText xml:space="preserve"> PAGEREF _Toc241008205 \h </w:instrText>
            </w:r>
            <w:r>
              <w:rPr>
                <w:noProof/>
                <w:webHidden/>
              </w:rPr>
            </w:r>
            <w:r>
              <w:rPr>
                <w:noProof/>
                <w:webHidden/>
              </w:rPr>
              <w:fldChar w:fldCharType="separate"/>
            </w:r>
            <w:r w:rsidR="005803CC">
              <w:rPr>
                <w:noProof/>
                <w:webHidden/>
              </w:rPr>
              <w:t>16</w:t>
            </w:r>
            <w:r>
              <w:rPr>
                <w:noProof/>
                <w:webHidden/>
              </w:rPr>
              <w:fldChar w:fldCharType="end"/>
            </w:r>
          </w:hyperlink>
        </w:p>
        <w:p w14:paraId="2940F11B" w14:textId="2D9DC555" w:rsidR="00716CED" w:rsidRDefault="00716CED">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41008206" w:history="1">
            <w:r w:rsidRPr="00854E9B">
              <w:rPr>
                <w:rStyle w:val="Hyperlink"/>
                <w:noProof/>
              </w:rPr>
              <w:t>1.3 Initial Observation of Demand</w:t>
            </w:r>
            <w:r>
              <w:rPr>
                <w:noProof/>
                <w:webHidden/>
              </w:rPr>
              <w:tab/>
            </w:r>
            <w:r>
              <w:rPr>
                <w:noProof/>
                <w:webHidden/>
              </w:rPr>
              <w:fldChar w:fldCharType="begin"/>
            </w:r>
            <w:r>
              <w:rPr>
                <w:noProof/>
                <w:webHidden/>
              </w:rPr>
              <w:instrText xml:space="preserve"> PAGEREF _Toc241008206 \h </w:instrText>
            </w:r>
            <w:r>
              <w:rPr>
                <w:noProof/>
                <w:webHidden/>
              </w:rPr>
            </w:r>
            <w:r>
              <w:rPr>
                <w:noProof/>
                <w:webHidden/>
              </w:rPr>
              <w:fldChar w:fldCharType="separate"/>
            </w:r>
            <w:r w:rsidR="005803CC">
              <w:rPr>
                <w:noProof/>
                <w:webHidden/>
              </w:rPr>
              <w:t>16</w:t>
            </w:r>
            <w:r>
              <w:rPr>
                <w:noProof/>
                <w:webHidden/>
              </w:rPr>
              <w:fldChar w:fldCharType="end"/>
            </w:r>
          </w:hyperlink>
        </w:p>
        <w:p w14:paraId="3B6E5EF1" w14:textId="025F79AE" w:rsidR="00716CED" w:rsidRDefault="00716CED">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41008207" w:history="1">
            <w:r w:rsidRPr="00854E9B">
              <w:rPr>
                <w:rStyle w:val="Hyperlink"/>
                <w:noProof/>
              </w:rPr>
              <w:t>1.4 Aim, Objectives and Research Questions</w:t>
            </w:r>
            <w:r>
              <w:rPr>
                <w:noProof/>
                <w:webHidden/>
              </w:rPr>
              <w:tab/>
            </w:r>
            <w:r>
              <w:rPr>
                <w:noProof/>
                <w:webHidden/>
              </w:rPr>
              <w:fldChar w:fldCharType="begin"/>
            </w:r>
            <w:r>
              <w:rPr>
                <w:noProof/>
                <w:webHidden/>
              </w:rPr>
              <w:instrText xml:space="preserve"> PAGEREF _Toc241008207 \h </w:instrText>
            </w:r>
            <w:r>
              <w:rPr>
                <w:noProof/>
                <w:webHidden/>
              </w:rPr>
            </w:r>
            <w:r>
              <w:rPr>
                <w:noProof/>
                <w:webHidden/>
              </w:rPr>
              <w:fldChar w:fldCharType="separate"/>
            </w:r>
            <w:r w:rsidR="005803CC">
              <w:rPr>
                <w:noProof/>
                <w:webHidden/>
              </w:rPr>
              <w:t>17</w:t>
            </w:r>
            <w:r>
              <w:rPr>
                <w:noProof/>
                <w:webHidden/>
              </w:rPr>
              <w:fldChar w:fldCharType="end"/>
            </w:r>
          </w:hyperlink>
        </w:p>
        <w:p w14:paraId="143D1DFE" w14:textId="59F7A018" w:rsidR="00716CED" w:rsidRDefault="00716CED">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41008208" w:history="1">
            <w:r w:rsidRPr="00854E9B">
              <w:rPr>
                <w:rStyle w:val="Hyperlink"/>
                <w:noProof/>
              </w:rPr>
              <w:t>1.5 Scope and Boundaries</w:t>
            </w:r>
            <w:r>
              <w:rPr>
                <w:noProof/>
                <w:webHidden/>
              </w:rPr>
              <w:tab/>
            </w:r>
            <w:r>
              <w:rPr>
                <w:noProof/>
                <w:webHidden/>
              </w:rPr>
              <w:fldChar w:fldCharType="begin"/>
            </w:r>
            <w:r>
              <w:rPr>
                <w:noProof/>
                <w:webHidden/>
              </w:rPr>
              <w:instrText xml:space="preserve"> PAGEREF _Toc241008208 \h </w:instrText>
            </w:r>
            <w:r>
              <w:rPr>
                <w:noProof/>
                <w:webHidden/>
              </w:rPr>
            </w:r>
            <w:r>
              <w:rPr>
                <w:noProof/>
                <w:webHidden/>
              </w:rPr>
              <w:fldChar w:fldCharType="separate"/>
            </w:r>
            <w:r w:rsidR="005803CC">
              <w:rPr>
                <w:noProof/>
                <w:webHidden/>
              </w:rPr>
              <w:t>17</w:t>
            </w:r>
            <w:r>
              <w:rPr>
                <w:noProof/>
                <w:webHidden/>
              </w:rPr>
              <w:fldChar w:fldCharType="end"/>
            </w:r>
          </w:hyperlink>
        </w:p>
        <w:p w14:paraId="07B455F8" w14:textId="367D1F26" w:rsidR="00716CED" w:rsidRDefault="00716CED">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41008209" w:history="1">
            <w:r w:rsidRPr="00854E9B">
              <w:rPr>
                <w:rStyle w:val="Hyperlink"/>
                <w:noProof/>
              </w:rPr>
              <w:t>1.6 Structure of the Report</w:t>
            </w:r>
            <w:r>
              <w:rPr>
                <w:noProof/>
                <w:webHidden/>
              </w:rPr>
              <w:tab/>
            </w:r>
            <w:r>
              <w:rPr>
                <w:noProof/>
                <w:webHidden/>
              </w:rPr>
              <w:fldChar w:fldCharType="begin"/>
            </w:r>
            <w:r>
              <w:rPr>
                <w:noProof/>
                <w:webHidden/>
              </w:rPr>
              <w:instrText xml:space="preserve"> PAGEREF _Toc241008209 \h </w:instrText>
            </w:r>
            <w:r>
              <w:rPr>
                <w:noProof/>
                <w:webHidden/>
              </w:rPr>
            </w:r>
            <w:r>
              <w:rPr>
                <w:noProof/>
                <w:webHidden/>
              </w:rPr>
              <w:fldChar w:fldCharType="separate"/>
            </w:r>
            <w:r w:rsidR="005803CC">
              <w:rPr>
                <w:noProof/>
                <w:webHidden/>
              </w:rPr>
              <w:t>18</w:t>
            </w:r>
            <w:r>
              <w:rPr>
                <w:noProof/>
                <w:webHidden/>
              </w:rPr>
              <w:fldChar w:fldCharType="end"/>
            </w:r>
          </w:hyperlink>
        </w:p>
        <w:p w14:paraId="2C52C384" w14:textId="768B30D0" w:rsidR="00716CED" w:rsidRDefault="00716CED">
          <w:pPr>
            <w:pStyle w:val="TOC1"/>
            <w:tabs>
              <w:tab w:val="right" w:leader="dot" w:pos="9350"/>
            </w:tabs>
            <w:rPr>
              <w:rFonts w:asciiTheme="minorHAnsi" w:eastAsiaTheme="minorEastAsia" w:hAnsiTheme="minorHAnsi" w:cstheme="minorBidi"/>
              <w:noProof/>
              <w:kern w:val="2"/>
              <w:lang w:val="en-IN"/>
              <w14:ligatures w14:val="standardContextual"/>
            </w:rPr>
          </w:pPr>
          <w:hyperlink w:anchor="_Toc241008210" w:history="1">
            <w:r w:rsidRPr="00854E9B">
              <w:rPr>
                <w:rStyle w:val="Hyperlink"/>
                <w:noProof/>
              </w:rPr>
              <w:t>Chapter 2: Company Description</w:t>
            </w:r>
            <w:r>
              <w:rPr>
                <w:noProof/>
                <w:webHidden/>
              </w:rPr>
              <w:tab/>
            </w:r>
            <w:r>
              <w:rPr>
                <w:noProof/>
                <w:webHidden/>
              </w:rPr>
              <w:fldChar w:fldCharType="begin"/>
            </w:r>
            <w:r>
              <w:rPr>
                <w:noProof/>
                <w:webHidden/>
              </w:rPr>
              <w:instrText xml:space="preserve"> PAGEREF _Toc241008210 \h </w:instrText>
            </w:r>
            <w:r>
              <w:rPr>
                <w:noProof/>
                <w:webHidden/>
              </w:rPr>
            </w:r>
            <w:r>
              <w:rPr>
                <w:noProof/>
                <w:webHidden/>
              </w:rPr>
              <w:fldChar w:fldCharType="separate"/>
            </w:r>
            <w:r w:rsidR="005803CC">
              <w:rPr>
                <w:noProof/>
                <w:webHidden/>
              </w:rPr>
              <w:t>19</w:t>
            </w:r>
            <w:r>
              <w:rPr>
                <w:noProof/>
                <w:webHidden/>
              </w:rPr>
              <w:fldChar w:fldCharType="end"/>
            </w:r>
          </w:hyperlink>
        </w:p>
        <w:p w14:paraId="7E23702C" w14:textId="2F75B2C3" w:rsidR="00716CED" w:rsidRDefault="00716CED">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41008211" w:history="1">
            <w:r w:rsidRPr="00854E9B">
              <w:rPr>
                <w:rStyle w:val="Hyperlink"/>
                <w:noProof/>
              </w:rPr>
              <w:t>2.1 Business Identity and Legal Structure</w:t>
            </w:r>
            <w:r>
              <w:rPr>
                <w:noProof/>
                <w:webHidden/>
              </w:rPr>
              <w:tab/>
            </w:r>
            <w:r>
              <w:rPr>
                <w:noProof/>
                <w:webHidden/>
              </w:rPr>
              <w:fldChar w:fldCharType="begin"/>
            </w:r>
            <w:r>
              <w:rPr>
                <w:noProof/>
                <w:webHidden/>
              </w:rPr>
              <w:instrText xml:space="preserve"> PAGEREF _Toc241008211 \h </w:instrText>
            </w:r>
            <w:r>
              <w:rPr>
                <w:noProof/>
                <w:webHidden/>
              </w:rPr>
            </w:r>
            <w:r>
              <w:rPr>
                <w:noProof/>
                <w:webHidden/>
              </w:rPr>
              <w:fldChar w:fldCharType="separate"/>
            </w:r>
            <w:r w:rsidR="005803CC">
              <w:rPr>
                <w:noProof/>
                <w:webHidden/>
              </w:rPr>
              <w:t>19</w:t>
            </w:r>
            <w:r>
              <w:rPr>
                <w:noProof/>
                <w:webHidden/>
              </w:rPr>
              <w:fldChar w:fldCharType="end"/>
            </w:r>
          </w:hyperlink>
        </w:p>
        <w:p w14:paraId="3093444B" w14:textId="2967C501" w:rsidR="00716CED" w:rsidRDefault="00716CED">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41008212" w:history="1">
            <w:r w:rsidRPr="00854E9B">
              <w:rPr>
                <w:rStyle w:val="Hyperlink"/>
                <w:noProof/>
              </w:rPr>
              <w:t>2.2 Product or Service and the Problem Solved</w:t>
            </w:r>
            <w:r>
              <w:rPr>
                <w:noProof/>
                <w:webHidden/>
              </w:rPr>
              <w:tab/>
            </w:r>
            <w:r>
              <w:rPr>
                <w:noProof/>
                <w:webHidden/>
              </w:rPr>
              <w:fldChar w:fldCharType="begin"/>
            </w:r>
            <w:r>
              <w:rPr>
                <w:noProof/>
                <w:webHidden/>
              </w:rPr>
              <w:instrText xml:space="preserve"> PAGEREF _Toc241008212 \h </w:instrText>
            </w:r>
            <w:r>
              <w:rPr>
                <w:noProof/>
                <w:webHidden/>
              </w:rPr>
            </w:r>
            <w:r>
              <w:rPr>
                <w:noProof/>
                <w:webHidden/>
              </w:rPr>
              <w:fldChar w:fldCharType="separate"/>
            </w:r>
            <w:r w:rsidR="005803CC">
              <w:rPr>
                <w:noProof/>
                <w:webHidden/>
              </w:rPr>
              <w:t>19</w:t>
            </w:r>
            <w:r>
              <w:rPr>
                <w:noProof/>
                <w:webHidden/>
              </w:rPr>
              <w:fldChar w:fldCharType="end"/>
            </w:r>
          </w:hyperlink>
        </w:p>
        <w:p w14:paraId="1CAFB1E9" w14:textId="72939948" w:rsidR="00716CED" w:rsidRDefault="00716CED">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41008213" w:history="1">
            <w:r w:rsidRPr="00854E9B">
              <w:rPr>
                <w:rStyle w:val="Hyperlink"/>
                <w:noProof/>
              </w:rPr>
              <w:t>2.3 Founding Idea and Brief History</w:t>
            </w:r>
            <w:r>
              <w:rPr>
                <w:noProof/>
                <w:webHidden/>
              </w:rPr>
              <w:tab/>
            </w:r>
            <w:r>
              <w:rPr>
                <w:noProof/>
                <w:webHidden/>
              </w:rPr>
              <w:fldChar w:fldCharType="begin"/>
            </w:r>
            <w:r>
              <w:rPr>
                <w:noProof/>
                <w:webHidden/>
              </w:rPr>
              <w:instrText xml:space="preserve"> PAGEREF _Toc241008213 \h </w:instrText>
            </w:r>
            <w:r>
              <w:rPr>
                <w:noProof/>
                <w:webHidden/>
              </w:rPr>
            </w:r>
            <w:r>
              <w:rPr>
                <w:noProof/>
                <w:webHidden/>
              </w:rPr>
              <w:fldChar w:fldCharType="separate"/>
            </w:r>
            <w:r w:rsidR="005803CC">
              <w:rPr>
                <w:noProof/>
                <w:webHidden/>
              </w:rPr>
              <w:t>19</w:t>
            </w:r>
            <w:r>
              <w:rPr>
                <w:noProof/>
                <w:webHidden/>
              </w:rPr>
              <w:fldChar w:fldCharType="end"/>
            </w:r>
          </w:hyperlink>
        </w:p>
        <w:p w14:paraId="1B49081F" w14:textId="0D6E16CC" w:rsidR="00716CED" w:rsidRDefault="00716CED">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41008214" w:history="1">
            <w:r w:rsidRPr="00854E9B">
              <w:rPr>
                <w:rStyle w:val="Hyperlink"/>
                <w:noProof/>
              </w:rPr>
              <w:t>2.4 Mission, Vision and Values</w:t>
            </w:r>
            <w:r>
              <w:rPr>
                <w:noProof/>
                <w:webHidden/>
              </w:rPr>
              <w:tab/>
            </w:r>
            <w:r>
              <w:rPr>
                <w:noProof/>
                <w:webHidden/>
              </w:rPr>
              <w:fldChar w:fldCharType="begin"/>
            </w:r>
            <w:r>
              <w:rPr>
                <w:noProof/>
                <w:webHidden/>
              </w:rPr>
              <w:instrText xml:space="preserve"> PAGEREF _Toc241008214 \h </w:instrText>
            </w:r>
            <w:r>
              <w:rPr>
                <w:noProof/>
                <w:webHidden/>
              </w:rPr>
            </w:r>
            <w:r>
              <w:rPr>
                <w:noProof/>
                <w:webHidden/>
              </w:rPr>
              <w:fldChar w:fldCharType="separate"/>
            </w:r>
            <w:r w:rsidR="005803CC">
              <w:rPr>
                <w:noProof/>
                <w:webHidden/>
              </w:rPr>
              <w:t>20</w:t>
            </w:r>
            <w:r>
              <w:rPr>
                <w:noProof/>
                <w:webHidden/>
              </w:rPr>
              <w:fldChar w:fldCharType="end"/>
            </w:r>
          </w:hyperlink>
        </w:p>
        <w:p w14:paraId="5BC943E2" w14:textId="24AF21AC" w:rsidR="00716CED" w:rsidRDefault="00716CED">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41008215" w:history="1">
            <w:r w:rsidRPr="00854E9B">
              <w:rPr>
                <w:rStyle w:val="Hyperlink"/>
                <w:noProof/>
              </w:rPr>
              <w:t>2.5 Business Objectives and Goals</w:t>
            </w:r>
            <w:r>
              <w:rPr>
                <w:noProof/>
                <w:webHidden/>
              </w:rPr>
              <w:tab/>
            </w:r>
            <w:r>
              <w:rPr>
                <w:noProof/>
                <w:webHidden/>
              </w:rPr>
              <w:fldChar w:fldCharType="begin"/>
            </w:r>
            <w:r>
              <w:rPr>
                <w:noProof/>
                <w:webHidden/>
              </w:rPr>
              <w:instrText xml:space="preserve"> PAGEREF _Toc241008215 \h </w:instrText>
            </w:r>
            <w:r>
              <w:rPr>
                <w:noProof/>
                <w:webHidden/>
              </w:rPr>
            </w:r>
            <w:r>
              <w:rPr>
                <w:noProof/>
                <w:webHidden/>
              </w:rPr>
              <w:fldChar w:fldCharType="separate"/>
            </w:r>
            <w:r w:rsidR="005803CC">
              <w:rPr>
                <w:noProof/>
                <w:webHidden/>
              </w:rPr>
              <w:t>20</w:t>
            </w:r>
            <w:r>
              <w:rPr>
                <w:noProof/>
                <w:webHidden/>
              </w:rPr>
              <w:fldChar w:fldCharType="end"/>
            </w:r>
          </w:hyperlink>
        </w:p>
        <w:p w14:paraId="533E1EE6" w14:textId="66F3E20B" w:rsidR="00716CED" w:rsidRDefault="00716CED">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41008216" w:history="1">
            <w:r w:rsidRPr="00854E9B">
              <w:rPr>
                <w:rStyle w:val="Hyperlink"/>
                <w:noProof/>
              </w:rPr>
              <w:t>2.6 Alignment with Trends and Opportunity</w:t>
            </w:r>
            <w:r>
              <w:rPr>
                <w:noProof/>
                <w:webHidden/>
              </w:rPr>
              <w:tab/>
            </w:r>
            <w:r>
              <w:rPr>
                <w:noProof/>
                <w:webHidden/>
              </w:rPr>
              <w:fldChar w:fldCharType="begin"/>
            </w:r>
            <w:r>
              <w:rPr>
                <w:noProof/>
                <w:webHidden/>
              </w:rPr>
              <w:instrText xml:space="preserve"> PAGEREF _Toc241008216 \h </w:instrText>
            </w:r>
            <w:r>
              <w:rPr>
                <w:noProof/>
                <w:webHidden/>
              </w:rPr>
            </w:r>
            <w:r>
              <w:rPr>
                <w:noProof/>
                <w:webHidden/>
              </w:rPr>
              <w:fldChar w:fldCharType="separate"/>
            </w:r>
            <w:r w:rsidR="005803CC">
              <w:rPr>
                <w:noProof/>
                <w:webHidden/>
              </w:rPr>
              <w:t>21</w:t>
            </w:r>
            <w:r>
              <w:rPr>
                <w:noProof/>
                <w:webHidden/>
              </w:rPr>
              <w:fldChar w:fldCharType="end"/>
            </w:r>
          </w:hyperlink>
        </w:p>
        <w:p w14:paraId="113449AE" w14:textId="1C923F83" w:rsidR="00716CED" w:rsidRDefault="00716CED">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41008217" w:history="1">
            <w:r w:rsidRPr="00854E9B">
              <w:rPr>
                <w:rStyle w:val="Hyperlink"/>
                <w:noProof/>
              </w:rPr>
              <w:t>Chapter 3: Literature Review</w:t>
            </w:r>
            <w:r>
              <w:rPr>
                <w:noProof/>
                <w:webHidden/>
              </w:rPr>
              <w:tab/>
            </w:r>
            <w:r>
              <w:rPr>
                <w:noProof/>
                <w:webHidden/>
              </w:rPr>
              <w:fldChar w:fldCharType="begin"/>
            </w:r>
            <w:r>
              <w:rPr>
                <w:noProof/>
                <w:webHidden/>
              </w:rPr>
              <w:instrText xml:space="preserve"> PAGEREF _Toc241008217 \h </w:instrText>
            </w:r>
            <w:r>
              <w:rPr>
                <w:noProof/>
                <w:webHidden/>
              </w:rPr>
            </w:r>
            <w:r>
              <w:rPr>
                <w:noProof/>
                <w:webHidden/>
              </w:rPr>
              <w:fldChar w:fldCharType="separate"/>
            </w:r>
            <w:r w:rsidR="005803CC">
              <w:rPr>
                <w:noProof/>
                <w:webHidden/>
              </w:rPr>
              <w:t>22</w:t>
            </w:r>
            <w:r>
              <w:rPr>
                <w:noProof/>
                <w:webHidden/>
              </w:rPr>
              <w:fldChar w:fldCharType="end"/>
            </w:r>
          </w:hyperlink>
        </w:p>
        <w:p w14:paraId="1DFB4FCF" w14:textId="2EEA4600" w:rsidR="00716CED" w:rsidRPr="000A6F3B" w:rsidRDefault="00716CED" w:rsidP="000A6F3B">
          <w:pPr>
            <w:pStyle w:val="TOC3"/>
            <w:rPr>
              <w:rFonts w:asciiTheme="minorHAnsi" w:eastAsiaTheme="minorEastAsia" w:hAnsiTheme="minorHAnsi" w:cstheme="minorBidi"/>
              <w:kern w:val="2"/>
              <w:lang w:val="en-IN"/>
              <w14:ligatures w14:val="standardContextual"/>
            </w:rPr>
          </w:pPr>
          <w:hyperlink w:anchor="_Toc241008218" w:history="1">
            <w:r w:rsidRPr="000A6F3B">
              <w:rPr>
                <w:rStyle w:val="Hyperlink"/>
              </w:rPr>
              <w:t>3.1 Introduction</w:t>
            </w:r>
            <w:r w:rsidRPr="000A6F3B">
              <w:rPr>
                <w:webHidden/>
              </w:rPr>
              <w:tab/>
            </w:r>
            <w:r w:rsidRPr="000A6F3B">
              <w:rPr>
                <w:webHidden/>
              </w:rPr>
              <w:fldChar w:fldCharType="begin"/>
            </w:r>
            <w:r w:rsidRPr="000A6F3B">
              <w:rPr>
                <w:webHidden/>
              </w:rPr>
              <w:instrText xml:space="preserve"> PAGEREF _Toc241008218 \h </w:instrText>
            </w:r>
            <w:r w:rsidRPr="000A6F3B">
              <w:rPr>
                <w:webHidden/>
              </w:rPr>
            </w:r>
            <w:r w:rsidRPr="000A6F3B">
              <w:rPr>
                <w:webHidden/>
              </w:rPr>
              <w:fldChar w:fldCharType="separate"/>
            </w:r>
            <w:r w:rsidR="005803CC">
              <w:rPr>
                <w:webHidden/>
              </w:rPr>
              <w:t>22</w:t>
            </w:r>
            <w:r w:rsidRPr="000A6F3B">
              <w:rPr>
                <w:webHidden/>
              </w:rPr>
              <w:fldChar w:fldCharType="end"/>
            </w:r>
          </w:hyperlink>
        </w:p>
        <w:p w14:paraId="4D31897F" w14:textId="585186F4" w:rsidR="00716CED" w:rsidRPr="000A6F3B" w:rsidRDefault="00716CED" w:rsidP="000A6F3B">
          <w:pPr>
            <w:pStyle w:val="TOC3"/>
            <w:rPr>
              <w:rFonts w:asciiTheme="minorHAnsi" w:eastAsiaTheme="minorEastAsia" w:hAnsiTheme="minorHAnsi" w:cstheme="minorBidi"/>
              <w:kern w:val="2"/>
              <w:lang w:val="en-IN"/>
              <w14:ligatures w14:val="standardContextual"/>
            </w:rPr>
          </w:pPr>
          <w:hyperlink w:anchor="_Toc241008219" w:history="1">
            <w:r w:rsidRPr="000A6F3B">
              <w:rPr>
                <w:rStyle w:val="Hyperlink"/>
              </w:rPr>
              <w:t>3.2 Customer Value Proposition</w:t>
            </w:r>
            <w:r w:rsidRPr="000A6F3B">
              <w:rPr>
                <w:webHidden/>
              </w:rPr>
              <w:tab/>
            </w:r>
            <w:r w:rsidRPr="000A6F3B">
              <w:rPr>
                <w:webHidden/>
              </w:rPr>
              <w:fldChar w:fldCharType="begin"/>
            </w:r>
            <w:r w:rsidRPr="000A6F3B">
              <w:rPr>
                <w:webHidden/>
              </w:rPr>
              <w:instrText xml:space="preserve"> PAGEREF _Toc241008219 \h </w:instrText>
            </w:r>
            <w:r w:rsidRPr="000A6F3B">
              <w:rPr>
                <w:webHidden/>
              </w:rPr>
            </w:r>
            <w:r w:rsidRPr="000A6F3B">
              <w:rPr>
                <w:webHidden/>
              </w:rPr>
              <w:fldChar w:fldCharType="separate"/>
            </w:r>
            <w:r w:rsidR="005803CC">
              <w:rPr>
                <w:webHidden/>
              </w:rPr>
              <w:t>22</w:t>
            </w:r>
            <w:r w:rsidRPr="000A6F3B">
              <w:rPr>
                <w:webHidden/>
              </w:rPr>
              <w:fldChar w:fldCharType="end"/>
            </w:r>
          </w:hyperlink>
        </w:p>
        <w:p w14:paraId="0074AA0D" w14:textId="579BCBDE" w:rsidR="00716CED" w:rsidRPr="000A6F3B" w:rsidRDefault="00716CED" w:rsidP="000A6F3B">
          <w:pPr>
            <w:pStyle w:val="TOC3"/>
            <w:rPr>
              <w:rFonts w:asciiTheme="minorHAnsi" w:eastAsiaTheme="minorEastAsia" w:hAnsiTheme="minorHAnsi" w:cstheme="minorBidi"/>
              <w:kern w:val="2"/>
              <w:lang w:val="en-IN"/>
              <w14:ligatures w14:val="standardContextual"/>
            </w:rPr>
          </w:pPr>
          <w:hyperlink w:anchor="_Toc241008220" w:history="1">
            <w:r w:rsidRPr="000A6F3B">
              <w:rPr>
                <w:rStyle w:val="Hyperlink"/>
              </w:rPr>
              <w:t>3.3 PESTLE and Porter's Five Forces</w:t>
            </w:r>
            <w:r w:rsidRPr="000A6F3B">
              <w:rPr>
                <w:webHidden/>
              </w:rPr>
              <w:tab/>
            </w:r>
            <w:r w:rsidRPr="000A6F3B">
              <w:rPr>
                <w:webHidden/>
              </w:rPr>
              <w:fldChar w:fldCharType="begin"/>
            </w:r>
            <w:r w:rsidRPr="000A6F3B">
              <w:rPr>
                <w:webHidden/>
              </w:rPr>
              <w:instrText xml:space="preserve"> PAGEREF _Toc241008220 \h </w:instrText>
            </w:r>
            <w:r w:rsidRPr="000A6F3B">
              <w:rPr>
                <w:webHidden/>
              </w:rPr>
            </w:r>
            <w:r w:rsidRPr="000A6F3B">
              <w:rPr>
                <w:webHidden/>
              </w:rPr>
              <w:fldChar w:fldCharType="separate"/>
            </w:r>
            <w:r w:rsidR="005803CC">
              <w:rPr>
                <w:webHidden/>
              </w:rPr>
              <w:t>22</w:t>
            </w:r>
            <w:r w:rsidRPr="000A6F3B">
              <w:rPr>
                <w:webHidden/>
              </w:rPr>
              <w:fldChar w:fldCharType="end"/>
            </w:r>
          </w:hyperlink>
        </w:p>
        <w:p w14:paraId="16AC7131" w14:textId="16B993C2" w:rsidR="00716CED" w:rsidRPr="000A6F3B" w:rsidRDefault="00716CED" w:rsidP="000A6F3B">
          <w:pPr>
            <w:pStyle w:val="TOC3"/>
            <w:rPr>
              <w:rFonts w:asciiTheme="minorHAnsi" w:eastAsiaTheme="minorEastAsia" w:hAnsiTheme="minorHAnsi" w:cstheme="minorBidi"/>
              <w:kern w:val="2"/>
              <w:lang w:val="en-IN"/>
              <w14:ligatures w14:val="standardContextual"/>
            </w:rPr>
          </w:pPr>
          <w:hyperlink w:anchor="_Toc241008221" w:history="1">
            <w:r w:rsidRPr="000A6F3B">
              <w:rPr>
                <w:rStyle w:val="Hyperlink"/>
              </w:rPr>
              <w:t>3.4 Resource-Based View and VRIO</w:t>
            </w:r>
            <w:r w:rsidRPr="000A6F3B">
              <w:rPr>
                <w:webHidden/>
              </w:rPr>
              <w:tab/>
            </w:r>
            <w:r w:rsidRPr="000A6F3B">
              <w:rPr>
                <w:webHidden/>
              </w:rPr>
              <w:fldChar w:fldCharType="begin"/>
            </w:r>
            <w:r w:rsidRPr="000A6F3B">
              <w:rPr>
                <w:webHidden/>
              </w:rPr>
              <w:instrText xml:space="preserve"> PAGEREF _Toc241008221 \h </w:instrText>
            </w:r>
            <w:r w:rsidRPr="000A6F3B">
              <w:rPr>
                <w:webHidden/>
              </w:rPr>
            </w:r>
            <w:r w:rsidRPr="000A6F3B">
              <w:rPr>
                <w:webHidden/>
              </w:rPr>
              <w:fldChar w:fldCharType="separate"/>
            </w:r>
            <w:r w:rsidR="005803CC">
              <w:rPr>
                <w:webHidden/>
              </w:rPr>
              <w:t>23</w:t>
            </w:r>
            <w:r w:rsidRPr="000A6F3B">
              <w:rPr>
                <w:webHidden/>
              </w:rPr>
              <w:fldChar w:fldCharType="end"/>
            </w:r>
          </w:hyperlink>
        </w:p>
        <w:p w14:paraId="707F2EAE" w14:textId="3327DAB1" w:rsidR="00716CED" w:rsidRPr="000A6F3B" w:rsidRDefault="00716CED" w:rsidP="000A6F3B">
          <w:pPr>
            <w:pStyle w:val="TOC3"/>
            <w:rPr>
              <w:rFonts w:asciiTheme="minorHAnsi" w:eastAsiaTheme="minorEastAsia" w:hAnsiTheme="minorHAnsi" w:cstheme="minorBidi"/>
              <w:kern w:val="2"/>
              <w:lang w:val="en-IN"/>
              <w14:ligatures w14:val="standardContextual"/>
            </w:rPr>
          </w:pPr>
          <w:hyperlink w:anchor="_Toc241008222" w:history="1">
            <w:r w:rsidRPr="000A6F3B">
              <w:rPr>
                <w:rStyle w:val="Hyperlink"/>
              </w:rPr>
              <w:t>3.5 Business Model Canvas</w:t>
            </w:r>
            <w:r w:rsidRPr="000A6F3B">
              <w:rPr>
                <w:webHidden/>
              </w:rPr>
              <w:tab/>
            </w:r>
            <w:r w:rsidRPr="000A6F3B">
              <w:rPr>
                <w:webHidden/>
              </w:rPr>
              <w:fldChar w:fldCharType="begin"/>
            </w:r>
            <w:r w:rsidRPr="000A6F3B">
              <w:rPr>
                <w:webHidden/>
              </w:rPr>
              <w:instrText xml:space="preserve"> PAGEREF _Toc241008222 \h </w:instrText>
            </w:r>
            <w:r w:rsidRPr="000A6F3B">
              <w:rPr>
                <w:webHidden/>
              </w:rPr>
            </w:r>
            <w:r w:rsidRPr="000A6F3B">
              <w:rPr>
                <w:webHidden/>
              </w:rPr>
              <w:fldChar w:fldCharType="separate"/>
            </w:r>
            <w:r w:rsidR="005803CC">
              <w:rPr>
                <w:webHidden/>
              </w:rPr>
              <w:t>24</w:t>
            </w:r>
            <w:r w:rsidRPr="000A6F3B">
              <w:rPr>
                <w:webHidden/>
              </w:rPr>
              <w:fldChar w:fldCharType="end"/>
            </w:r>
          </w:hyperlink>
        </w:p>
        <w:p w14:paraId="5A2EB24C" w14:textId="0CBF820C" w:rsidR="00716CED" w:rsidRDefault="00716CED">
          <w:pPr>
            <w:pStyle w:val="TOC1"/>
            <w:tabs>
              <w:tab w:val="right" w:leader="dot" w:pos="9350"/>
            </w:tabs>
            <w:rPr>
              <w:rFonts w:asciiTheme="minorHAnsi" w:eastAsiaTheme="minorEastAsia" w:hAnsiTheme="minorHAnsi" w:cstheme="minorBidi"/>
              <w:noProof/>
              <w:kern w:val="2"/>
              <w:lang w:val="en-IN"/>
              <w14:ligatures w14:val="standardContextual"/>
            </w:rPr>
          </w:pPr>
          <w:hyperlink w:anchor="_Toc241008223" w:history="1">
            <w:r w:rsidRPr="00854E9B">
              <w:rPr>
                <w:rStyle w:val="Hyperlink"/>
                <w:noProof/>
              </w:rPr>
              <w:t>Chapter 4: Research Methodology</w:t>
            </w:r>
            <w:r>
              <w:rPr>
                <w:noProof/>
                <w:webHidden/>
              </w:rPr>
              <w:tab/>
            </w:r>
            <w:r>
              <w:rPr>
                <w:noProof/>
                <w:webHidden/>
              </w:rPr>
              <w:fldChar w:fldCharType="begin"/>
            </w:r>
            <w:r>
              <w:rPr>
                <w:noProof/>
                <w:webHidden/>
              </w:rPr>
              <w:instrText xml:space="preserve"> PAGEREF _Toc241008223 \h </w:instrText>
            </w:r>
            <w:r>
              <w:rPr>
                <w:noProof/>
                <w:webHidden/>
              </w:rPr>
            </w:r>
            <w:r>
              <w:rPr>
                <w:noProof/>
                <w:webHidden/>
              </w:rPr>
              <w:fldChar w:fldCharType="separate"/>
            </w:r>
            <w:r w:rsidR="005803CC">
              <w:rPr>
                <w:noProof/>
                <w:webHidden/>
              </w:rPr>
              <w:t>26</w:t>
            </w:r>
            <w:r>
              <w:rPr>
                <w:noProof/>
                <w:webHidden/>
              </w:rPr>
              <w:fldChar w:fldCharType="end"/>
            </w:r>
          </w:hyperlink>
        </w:p>
        <w:p w14:paraId="4C7AF130" w14:textId="79FE1446" w:rsidR="00716CED" w:rsidRDefault="00716CED">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41008224" w:history="1">
            <w:r w:rsidRPr="00854E9B">
              <w:rPr>
                <w:rStyle w:val="Hyperlink"/>
                <w:noProof/>
              </w:rPr>
              <w:t>4.1 Methodological Approach and Opportunity Identification</w:t>
            </w:r>
            <w:r>
              <w:rPr>
                <w:noProof/>
                <w:webHidden/>
              </w:rPr>
              <w:tab/>
            </w:r>
            <w:r>
              <w:rPr>
                <w:noProof/>
                <w:webHidden/>
              </w:rPr>
              <w:fldChar w:fldCharType="begin"/>
            </w:r>
            <w:r>
              <w:rPr>
                <w:noProof/>
                <w:webHidden/>
              </w:rPr>
              <w:instrText xml:space="preserve"> PAGEREF _Toc241008224 \h </w:instrText>
            </w:r>
            <w:r>
              <w:rPr>
                <w:noProof/>
                <w:webHidden/>
              </w:rPr>
            </w:r>
            <w:r>
              <w:rPr>
                <w:noProof/>
                <w:webHidden/>
              </w:rPr>
              <w:fldChar w:fldCharType="separate"/>
            </w:r>
            <w:r w:rsidR="005803CC">
              <w:rPr>
                <w:noProof/>
                <w:webHidden/>
              </w:rPr>
              <w:t>26</w:t>
            </w:r>
            <w:r>
              <w:rPr>
                <w:noProof/>
                <w:webHidden/>
              </w:rPr>
              <w:fldChar w:fldCharType="end"/>
            </w:r>
          </w:hyperlink>
        </w:p>
        <w:p w14:paraId="2383A7A4" w14:textId="35E81358" w:rsidR="00716CED" w:rsidRDefault="00716CED">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41008225" w:history="1">
            <w:r w:rsidRPr="00854E9B">
              <w:rPr>
                <w:rStyle w:val="Hyperlink"/>
                <w:noProof/>
              </w:rPr>
              <w:t>4.2 Market Insight and Data Collection</w:t>
            </w:r>
            <w:r>
              <w:rPr>
                <w:noProof/>
                <w:webHidden/>
              </w:rPr>
              <w:tab/>
            </w:r>
            <w:r>
              <w:rPr>
                <w:noProof/>
                <w:webHidden/>
              </w:rPr>
              <w:fldChar w:fldCharType="begin"/>
            </w:r>
            <w:r>
              <w:rPr>
                <w:noProof/>
                <w:webHidden/>
              </w:rPr>
              <w:instrText xml:space="preserve"> PAGEREF _Toc241008225 \h </w:instrText>
            </w:r>
            <w:r>
              <w:rPr>
                <w:noProof/>
                <w:webHidden/>
              </w:rPr>
            </w:r>
            <w:r>
              <w:rPr>
                <w:noProof/>
                <w:webHidden/>
              </w:rPr>
              <w:fldChar w:fldCharType="separate"/>
            </w:r>
            <w:r w:rsidR="005803CC">
              <w:rPr>
                <w:noProof/>
                <w:webHidden/>
              </w:rPr>
              <w:t>26</w:t>
            </w:r>
            <w:r>
              <w:rPr>
                <w:noProof/>
                <w:webHidden/>
              </w:rPr>
              <w:fldChar w:fldCharType="end"/>
            </w:r>
          </w:hyperlink>
        </w:p>
        <w:p w14:paraId="0CC2F2F5" w14:textId="267FEF05" w:rsidR="00716CED" w:rsidRDefault="00716CED">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41008226" w:history="1">
            <w:r w:rsidRPr="00854E9B">
              <w:rPr>
                <w:rStyle w:val="Hyperlink"/>
                <w:noProof/>
              </w:rPr>
              <w:t>4.3 Quantitative and Qualitative Evidence</w:t>
            </w:r>
            <w:r>
              <w:rPr>
                <w:noProof/>
                <w:webHidden/>
              </w:rPr>
              <w:tab/>
            </w:r>
            <w:r>
              <w:rPr>
                <w:noProof/>
                <w:webHidden/>
              </w:rPr>
              <w:fldChar w:fldCharType="begin"/>
            </w:r>
            <w:r>
              <w:rPr>
                <w:noProof/>
                <w:webHidden/>
              </w:rPr>
              <w:instrText xml:space="preserve"> PAGEREF _Toc241008226 \h </w:instrText>
            </w:r>
            <w:r>
              <w:rPr>
                <w:noProof/>
                <w:webHidden/>
              </w:rPr>
            </w:r>
            <w:r>
              <w:rPr>
                <w:noProof/>
                <w:webHidden/>
              </w:rPr>
              <w:fldChar w:fldCharType="separate"/>
            </w:r>
            <w:r w:rsidR="005803CC">
              <w:rPr>
                <w:noProof/>
                <w:webHidden/>
              </w:rPr>
              <w:t>27</w:t>
            </w:r>
            <w:r>
              <w:rPr>
                <w:noProof/>
                <w:webHidden/>
              </w:rPr>
              <w:fldChar w:fldCharType="end"/>
            </w:r>
          </w:hyperlink>
        </w:p>
        <w:p w14:paraId="2DEF5335" w14:textId="714AEADE" w:rsidR="00716CED" w:rsidRDefault="00716CED">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41008227" w:history="1">
            <w:r w:rsidRPr="00854E9B">
              <w:rPr>
                <w:rStyle w:val="Hyperlink"/>
                <w:noProof/>
              </w:rPr>
              <w:t>4.4 Data-Analysis Methods</w:t>
            </w:r>
            <w:r>
              <w:rPr>
                <w:noProof/>
                <w:webHidden/>
              </w:rPr>
              <w:tab/>
            </w:r>
            <w:r>
              <w:rPr>
                <w:noProof/>
                <w:webHidden/>
              </w:rPr>
              <w:fldChar w:fldCharType="begin"/>
            </w:r>
            <w:r>
              <w:rPr>
                <w:noProof/>
                <w:webHidden/>
              </w:rPr>
              <w:instrText xml:space="preserve"> PAGEREF _Toc241008227 \h </w:instrText>
            </w:r>
            <w:r>
              <w:rPr>
                <w:noProof/>
                <w:webHidden/>
              </w:rPr>
            </w:r>
            <w:r>
              <w:rPr>
                <w:noProof/>
                <w:webHidden/>
              </w:rPr>
              <w:fldChar w:fldCharType="separate"/>
            </w:r>
            <w:r w:rsidR="005803CC">
              <w:rPr>
                <w:noProof/>
                <w:webHidden/>
              </w:rPr>
              <w:t>27</w:t>
            </w:r>
            <w:r>
              <w:rPr>
                <w:noProof/>
                <w:webHidden/>
              </w:rPr>
              <w:fldChar w:fldCharType="end"/>
            </w:r>
          </w:hyperlink>
        </w:p>
        <w:p w14:paraId="5157E68E" w14:textId="2E4C7189" w:rsidR="00716CED" w:rsidRDefault="00716CED">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41008228" w:history="1">
            <w:r w:rsidRPr="00854E9B">
              <w:rPr>
                <w:rStyle w:val="Hyperlink"/>
                <w:noProof/>
              </w:rPr>
              <w:t>4.5 Application and Integration of Frameworks</w:t>
            </w:r>
            <w:r>
              <w:rPr>
                <w:noProof/>
                <w:webHidden/>
              </w:rPr>
              <w:tab/>
            </w:r>
            <w:r>
              <w:rPr>
                <w:noProof/>
                <w:webHidden/>
              </w:rPr>
              <w:fldChar w:fldCharType="begin"/>
            </w:r>
            <w:r>
              <w:rPr>
                <w:noProof/>
                <w:webHidden/>
              </w:rPr>
              <w:instrText xml:space="preserve"> PAGEREF _Toc241008228 \h </w:instrText>
            </w:r>
            <w:r>
              <w:rPr>
                <w:noProof/>
                <w:webHidden/>
              </w:rPr>
            </w:r>
            <w:r>
              <w:rPr>
                <w:noProof/>
                <w:webHidden/>
              </w:rPr>
              <w:fldChar w:fldCharType="separate"/>
            </w:r>
            <w:r w:rsidR="005803CC">
              <w:rPr>
                <w:noProof/>
                <w:webHidden/>
              </w:rPr>
              <w:t>28</w:t>
            </w:r>
            <w:r>
              <w:rPr>
                <w:noProof/>
                <w:webHidden/>
              </w:rPr>
              <w:fldChar w:fldCharType="end"/>
            </w:r>
          </w:hyperlink>
        </w:p>
        <w:p w14:paraId="3434A84F" w14:textId="03BA413C" w:rsidR="00716CED" w:rsidRDefault="00716CED">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41008229" w:history="1">
            <w:r w:rsidRPr="00854E9B">
              <w:rPr>
                <w:rStyle w:val="Hyperlink"/>
                <w:noProof/>
              </w:rPr>
              <w:t>4.6 Reliability, Validity, Limitations and Ethics</w:t>
            </w:r>
            <w:r>
              <w:rPr>
                <w:noProof/>
                <w:webHidden/>
              </w:rPr>
              <w:tab/>
            </w:r>
            <w:r>
              <w:rPr>
                <w:noProof/>
                <w:webHidden/>
              </w:rPr>
              <w:fldChar w:fldCharType="begin"/>
            </w:r>
            <w:r>
              <w:rPr>
                <w:noProof/>
                <w:webHidden/>
              </w:rPr>
              <w:instrText xml:space="preserve"> PAGEREF _Toc241008229 \h </w:instrText>
            </w:r>
            <w:r>
              <w:rPr>
                <w:noProof/>
                <w:webHidden/>
              </w:rPr>
            </w:r>
            <w:r>
              <w:rPr>
                <w:noProof/>
                <w:webHidden/>
              </w:rPr>
              <w:fldChar w:fldCharType="separate"/>
            </w:r>
            <w:r w:rsidR="005803CC">
              <w:rPr>
                <w:noProof/>
                <w:webHidden/>
              </w:rPr>
              <w:t>28</w:t>
            </w:r>
            <w:r>
              <w:rPr>
                <w:noProof/>
                <w:webHidden/>
              </w:rPr>
              <w:fldChar w:fldCharType="end"/>
            </w:r>
          </w:hyperlink>
        </w:p>
        <w:p w14:paraId="6329A68E" w14:textId="18EE7FCD" w:rsidR="00716CED" w:rsidRDefault="00716CED">
          <w:pPr>
            <w:pStyle w:val="TOC1"/>
            <w:tabs>
              <w:tab w:val="right" w:leader="dot" w:pos="9350"/>
            </w:tabs>
            <w:rPr>
              <w:rFonts w:asciiTheme="minorHAnsi" w:eastAsiaTheme="minorEastAsia" w:hAnsiTheme="minorHAnsi" w:cstheme="minorBidi"/>
              <w:noProof/>
              <w:kern w:val="2"/>
              <w:lang w:val="en-IN"/>
              <w14:ligatures w14:val="standardContextual"/>
            </w:rPr>
          </w:pPr>
          <w:hyperlink w:anchor="_Toc241008230" w:history="1">
            <w:r w:rsidRPr="00854E9B">
              <w:rPr>
                <w:rStyle w:val="Hyperlink"/>
                <w:noProof/>
              </w:rPr>
              <w:t>Chapter 5: Market Opportunity Analysis</w:t>
            </w:r>
            <w:r>
              <w:rPr>
                <w:noProof/>
                <w:webHidden/>
              </w:rPr>
              <w:tab/>
            </w:r>
            <w:r>
              <w:rPr>
                <w:noProof/>
                <w:webHidden/>
              </w:rPr>
              <w:fldChar w:fldCharType="begin"/>
            </w:r>
            <w:r>
              <w:rPr>
                <w:noProof/>
                <w:webHidden/>
              </w:rPr>
              <w:instrText xml:space="preserve"> PAGEREF _Toc241008230 \h </w:instrText>
            </w:r>
            <w:r>
              <w:rPr>
                <w:noProof/>
                <w:webHidden/>
              </w:rPr>
            </w:r>
            <w:r>
              <w:rPr>
                <w:noProof/>
                <w:webHidden/>
              </w:rPr>
              <w:fldChar w:fldCharType="separate"/>
            </w:r>
            <w:r w:rsidR="005803CC">
              <w:rPr>
                <w:noProof/>
                <w:webHidden/>
              </w:rPr>
              <w:t>30</w:t>
            </w:r>
            <w:r>
              <w:rPr>
                <w:noProof/>
                <w:webHidden/>
              </w:rPr>
              <w:fldChar w:fldCharType="end"/>
            </w:r>
          </w:hyperlink>
        </w:p>
        <w:p w14:paraId="4FE776D8" w14:textId="57394B48" w:rsidR="00716CED" w:rsidRDefault="00716CED">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41008231" w:history="1">
            <w:r w:rsidRPr="00854E9B">
              <w:rPr>
                <w:rStyle w:val="Hyperlink"/>
                <w:noProof/>
              </w:rPr>
              <w:t>5.1 Scope and Market Definition</w:t>
            </w:r>
            <w:r>
              <w:rPr>
                <w:noProof/>
                <w:webHidden/>
              </w:rPr>
              <w:tab/>
            </w:r>
            <w:r>
              <w:rPr>
                <w:noProof/>
                <w:webHidden/>
              </w:rPr>
              <w:fldChar w:fldCharType="begin"/>
            </w:r>
            <w:r>
              <w:rPr>
                <w:noProof/>
                <w:webHidden/>
              </w:rPr>
              <w:instrText xml:space="preserve"> PAGEREF _Toc241008231 \h </w:instrText>
            </w:r>
            <w:r>
              <w:rPr>
                <w:noProof/>
                <w:webHidden/>
              </w:rPr>
            </w:r>
            <w:r>
              <w:rPr>
                <w:noProof/>
                <w:webHidden/>
              </w:rPr>
              <w:fldChar w:fldCharType="separate"/>
            </w:r>
            <w:r w:rsidR="005803CC">
              <w:rPr>
                <w:noProof/>
                <w:webHidden/>
              </w:rPr>
              <w:t>30</w:t>
            </w:r>
            <w:r>
              <w:rPr>
                <w:noProof/>
                <w:webHidden/>
              </w:rPr>
              <w:fldChar w:fldCharType="end"/>
            </w:r>
          </w:hyperlink>
        </w:p>
        <w:p w14:paraId="7DC70D76" w14:textId="31958AF9" w:rsidR="00716CED" w:rsidRDefault="00716CED">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41008232" w:history="1">
            <w:r w:rsidRPr="00854E9B">
              <w:rPr>
                <w:rStyle w:val="Hyperlink"/>
                <w:noProof/>
              </w:rPr>
              <w:t>5.2 Market Size and Growth</w:t>
            </w:r>
            <w:r>
              <w:rPr>
                <w:noProof/>
                <w:webHidden/>
              </w:rPr>
              <w:tab/>
            </w:r>
            <w:r>
              <w:rPr>
                <w:noProof/>
                <w:webHidden/>
              </w:rPr>
              <w:fldChar w:fldCharType="begin"/>
            </w:r>
            <w:r>
              <w:rPr>
                <w:noProof/>
                <w:webHidden/>
              </w:rPr>
              <w:instrText xml:space="preserve"> PAGEREF _Toc241008232 \h </w:instrText>
            </w:r>
            <w:r>
              <w:rPr>
                <w:noProof/>
                <w:webHidden/>
              </w:rPr>
            </w:r>
            <w:r>
              <w:rPr>
                <w:noProof/>
                <w:webHidden/>
              </w:rPr>
              <w:fldChar w:fldCharType="separate"/>
            </w:r>
            <w:r w:rsidR="005803CC">
              <w:rPr>
                <w:noProof/>
                <w:webHidden/>
              </w:rPr>
              <w:t>30</w:t>
            </w:r>
            <w:r>
              <w:rPr>
                <w:noProof/>
                <w:webHidden/>
              </w:rPr>
              <w:fldChar w:fldCharType="end"/>
            </w:r>
          </w:hyperlink>
        </w:p>
        <w:p w14:paraId="585C75A1" w14:textId="3AE9E4FF" w:rsidR="00716CED" w:rsidRDefault="00716CED">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41008233" w:history="1">
            <w:r w:rsidRPr="00854E9B">
              <w:rPr>
                <w:rStyle w:val="Hyperlink"/>
                <w:noProof/>
              </w:rPr>
              <w:t>5.3 Segmentation and Target Customer</w:t>
            </w:r>
            <w:r>
              <w:rPr>
                <w:noProof/>
                <w:webHidden/>
              </w:rPr>
              <w:tab/>
            </w:r>
            <w:r>
              <w:rPr>
                <w:noProof/>
                <w:webHidden/>
              </w:rPr>
              <w:fldChar w:fldCharType="begin"/>
            </w:r>
            <w:r>
              <w:rPr>
                <w:noProof/>
                <w:webHidden/>
              </w:rPr>
              <w:instrText xml:space="preserve"> PAGEREF _Toc241008233 \h </w:instrText>
            </w:r>
            <w:r>
              <w:rPr>
                <w:noProof/>
                <w:webHidden/>
              </w:rPr>
            </w:r>
            <w:r>
              <w:rPr>
                <w:noProof/>
                <w:webHidden/>
              </w:rPr>
              <w:fldChar w:fldCharType="separate"/>
            </w:r>
            <w:r w:rsidR="005803CC">
              <w:rPr>
                <w:noProof/>
                <w:webHidden/>
              </w:rPr>
              <w:t>33</w:t>
            </w:r>
            <w:r>
              <w:rPr>
                <w:noProof/>
                <w:webHidden/>
              </w:rPr>
              <w:fldChar w:fldCharType="end"/>
            </w:r>
          </w:hyperlink>
        </w:p>
        <w:p w14:paraId="6E1994CD" w14:textId="1AC4DC5A" w:rsidR="00716CED" w:rsidRDefault="00716CED">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41008234" w:history="1">
            <w:r w:rsidRPr="00854E9B">
              <w:rPr>
                <w:rStyle w:val="Hyperlink"/>
                <w:noProof/>
              </w:rPr>
              <w:t>5.4 Pain Points, Unmet Needs and Demand</w:t>
            </w:r>
            <w:r>
              <w:rPr>
                <w:noProof/>
                <w:webHidden/>
              </w:rPr>
              <w:tab/>
            </w:r>
            <w:r>
              <w:rPr>
                <w:noProof/>
                <w:webHidden/>
              </w:rPr>
              <w:fldChar w:fldCharType="begin"/>
            </w:r>
            <w:r>
              <w:rPr>
                <w:noProof/>
                <w:webHidden/>
              </w:rPr>
              <w:instrText xml:space="preserve"> PAGEREF _Toc241008234 \h </w:instrText>
            </w:r>
            <w:r>
              <w:rPr>
                <w:noProof/>
                <w:webHidden/>
              </w:rPr>
            </w:r>
            <w:r>
              <w:rPr>
                <w:noProof/>
                <w:webHidden/>
              </w:rPr>
              <w:fldChar w:fldCharType="separate"/>
            </w:r>
            <w:r w:rsidR="005803CC">
              <w:rPr>
                <w:noProof/>
                <w:webHidden/>
              </w:rPr>
              <w:t>34</w:t>
            </w:r>
            <w:r>
              <w:rPr>
                <w:noProof/>
                <w:webHidden/>
              </w:rPr>
              <w:fldChar w:fldCharType="end"/>
            </w:r>
          </w:hyperlink>
        </w:p>
        <w:p w14:paraId="666E6B37" w14:textId="55323B7A" w:rsidR="00716CED" w:rsidRDefault="00716CED">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41008235" w:history="1">
            <w:r w:rsidRPr="00854E9B">
              <w:rPr>
                <w:rStyle w:val="Hyperlink"/>
                <w:noProof/>
              </w:rPr>
              <w:t>5.5 Economic and Geographic Conditions</w:t>
            </w:r>
            <w:r>
              <w:rPr>
                <w:noProof/>
                <w:webHidden/>
              </w:rPr>
              <w:tab/>
            </w:r>
            <w:r>
              <w:rPr>
                <w:noProof/>
                <w:webHidden/>
              </w:rPr>
              <w:fldChar w:fldCharType="begin"/>
            </w:r>
            <w:r>
              <w:rPr>
                <w:noProof/>
                <w:webHidden/>
              </w:rPr>
              <w:instrText xml:space="preserve"> PAGEREF _Toc241008235 \h </w:instrText>
            </w:r>
            <w:r>
              <w:rPr>
                <w:noProof/>
                <w:webHidden/>
              </w:rPr>
            </w:r>
            <w:r>
              <w:rPr>
                <w:noProof/>
                <w:webHidden/>
              </w:rPr>
              <w:fldChar w:fldCharType="separate"/>
            </w:r>
            <w:r w:rsidR="005803CC">
              <w:rPr>
                <w:noProof/>
                <w:webHidden/>
              </w:rPr>
              <w:t>36</w:t>
            </w:r>
            <w:r>
              <w:rPr>
                <w:noProof/>
                <w:webHidden/>
              </w:rPr>
              <w:fldChar w:fldCharType="end"/>
            </w:r>
          </w:hyperlink>
        </w:p>
        <w:p w14:paraId="351408CE" w14:textId="12680F57" w:rsidR="00716CED" w:rsidRDefault="00716CED">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41008236" w:history="1">
            <w:r w:rsidRPr="00854E9B">
              <w:rPr>
                <w:rStyle w:val="Hyperlink"/>
                <w:noProof/>
              </w:rPr>
              <w:t>5.6 Research Findings and Synthesis</w:t>
            </w:r>
            <w:r>
              <w:rPr>
                <w:noProof/>
                <w:webHidden/>
              </w:rPr>
              <w:tab/>
            </w:r>
            <w:r>
              <w:rPr>
                <w:noProof/>
                <w:webHidden/>
              </w:rPr>
              <w:fldChar w:fldCharType="begin"/>
            </w:r>
            <w:r>
              <w:rPr>
                <w:noProof/>
                <w:webHidden/>
              </w:rPr>
              <w:instrText xml:space="preserve"> PAGEREF _Toc241008236 \h </w:instrText>
            </w:r>
            <w:r>
              <w:rPr>
                <w:noProof/>
                <w:webHidden/>
              </w:rPr>
            </w:r>
            <w:r>
              <w:rPr>
                <w:noProof/>
                <w:webHidden/>
              </w:rPr>
              <w:fldChar w:fldCharType="separate"/>
            </w:r>
            <w:r w:rsidR="005803CC">
              <w:rPr>
                <w:noProof/>
                <w:webHidden/>
              </w:rPr>
              <w:t>37</w:t>
            </w:r>
            <w:r>
              <w:rPr>
                <w:noProof/>
                <w:webHidden/>
              </w:rPr>
              <w:fldChar w:fldCharType="end"/>
            </w:r>
          </w:hyperlink>
        </w:p>
        <w:p w14:paraId="5CA288EC" w14:textId="3BE2ADF4" w:rsidR="00716CED" w:rsidRDefault="00716CED">
          <w:pPr>
            <w:pStyle w:val="TOC1"/>
            <w:tabs>
              <w:tab w:val="right" w:leader="dot" w:pos="9350"/>
            </w:tabs>
            <w:rPr>
              <w:rFonts w:asciiTheme="minorHAnsi" w:eastAsiaTheme="minorEastAsia" w:hAnsiTheme="minorHAnsi" w:cstheme="minorBidi"/>
              <w:noProof/>
              <w:kern w:val="2"/>
              <w:lang w:val="en-IN"/>
              <w14:ligatures w14:val="standardContextual"/>
            </w:rPr>
          </w:pPr>
          <w:hyperlink w:anchor="_Toc241008237" w:history="1">
            <w:r w:rsidRPr="00854E9B">
              <w:rPr>
                <w:rStyle w:val="Hyperlink"/>
                <w:noProof/>
              </w:rPr>
              <w:t>Chapter 6: Competitive Environment Analysis</w:t>
            </w:r>
            <w:r>
              <w:rPr>
                <w:noProof/>
                <w:webHidden/>
              </w:rPr>
              <w:tab/>
            </w:r>
            <w:r>
              <w:rPr>
                <w:noProof/>
                <w:webHidden/>
              </w:rPr>
              <w:fldChar w:fldCharType="begin"/>
            </w:r>
            <w:r>
              <w:rPr>
                <w:noProof/>
                <w:webHidden/>
              </w:rPr>
              <w:instrText xml:space="preserve"> PAGEREF _Toc241008237 \h </w:instrText>
            </w:r>
            <w:r>
              <w:rPr>
                <w:noProof/>
                <w:webHidden/>
              </w:rPr>
            </w:r>
            <w:r>
              <w:rPr>
                <w:noProof/>
                <w:webHidden/>
              </w:rPr>
              <w:fldChar w:fldCharType="separate"/>
            </w:r>
            <w:r w:rsidR="005803CC">
              <w:rPr>
                <w:noProof/>
                <w:webHidden/>
              </w:rPr>
              <w:t>38</w:t>
            </w:r>
            <w:r>
              <w:rPr>
                <w:noProof/>
                <w:webHidden/>
              </w:rPr>
              <w:fldChar w:fldCharType="end"/>
            </w:r>
          </w:hyperlink>
        </w:p>
        <w:p w14:paraId="626BA784" w14:textId="4211A7E9" w:rsidR="00716CED" w:rsidRDefault="00716CED">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41008238" w:history="1">
            <w:r w:rsidRPr="00854E9B">
              <w:rPr>
                <w:rStyle w:val="Hyperlink"/>
                <w:noProof/>
              </w:rPr>
              <w:t>6.1 Scope, Frameworks and Competitive Set</w:t>
            </w:r>
            <w:r>
              <w:rPr>
                <w:noProof/>
                <w:webHidden/>
              </w:rPr>
              <w:tab/>
            </w:r>
            <w:r>
              <w:rPr>
                <w:noProof/>
                <w:webHidden/>
              </w:rPr>
              <w:fldChar w:fldCharType="begin"/>
            </w:r>
            <w:r>
              <w:rPr>
                <w:noProof/>
                <w:webHidden/>
              </w:rPr>
              <w:instrText xml:space="preserve"> PAGEREF _Toc241008238 \h </w:instrText>
            </w:r>
            <w:r>
              <w:rPr>
                <w:noProof/>
                <w:webHidden/>
              </w:rPr>
            </w:r>
            <w:r>
              <w:rPr>
                <w:noProof/>
                <w:webHidden/>
              </w:rPr>
              <w:fldChar w:fldCharType="separate"/>
            </w:r>
            <w:r w:rsidR="005803CC">
              <w:rPr>
                <w:noProof/>
                <w:webHidden/>
              </w:rPr>
              <w:t>38</w:t>
            </w:r>
            <w:r>
              <w:rPr>
                <w:noProof/>
                <w:webHidden/>
              </w:rPr>
              <w:fldChar w:fldCharType="end"/>
            </w:r>
          </w:hyperlink>
        </w:p>
        <w:p w14:paraId="57064E5D" w14:textId="1237A20E" w:rsidR="00716CED" w:rsidRDefault="00716CED">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41008239" w:history="1">
            <w:r w:rsidRPr="00854E9B">
              <w:rPr>
                <w:rStyle w:val="Hyperlink"/>
                <w:noProof/>
              </w:rPr>
              <w:t>6.2 Key Success Factors</w:t>
            </w:r>
            <w:r>
              <w:rPr>
                <w:noProof/>
                <w:webHidden/>
              </w:rPr>
              <w:tab/>
            </w:r>
            <w:r>
              <w:rPr>
                <w:noProof/>
                <w:webHidden/>
              </w:rPr>
              <w:fldChar w:fldCharType="begin"/>
            </w:r>
            <w:r>
              <w:rPr>
                <w:noProof/>
                <w:webHidden/>
              </w:rPr>
              <w:instrText xml:space="preserve"> PAGEREF _Toc241008239 \h </w:instrText>
            </w:r>
            <w:r>
              <w:rPr>
                <w:noProof/>
                <w:webHidden/>
              </w:rPr>
            </w:r>
            <w:r>
              <w:rPr>
                <w:noProof/>
                <w:webHidden/>
              </w:rPr>
              <w:fldChar w:fldCharType="separate"/>
            </w:r>
            <w:r w:rsidR="005803CC">
              <w:rPr>
                <w:noProof/>
                <w:webHidden/>
              </w:rPr>
              <w:t>38</w:t>
            </w:r>
            <w:r>
              <w:rPr>
                <w:noProof/>
                <w:webHidden/>
              </w:rPr>
              <w:fldChar w:fldCharType="end"/>
            </w:r>
          </w:hyperlink>
        </w:p>
        <w:p w14:paraId="27F936B4" w14:textId="60EA4A49" w:rsidR="00716CED" w:rsidRDefault="00716CED">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41008240" w:history="1">
            <w:r w:rsidRPr="00854E9B">
              <w:rPr>
                <w:rStyle w:val="Hyperlink"/>
                <w:noProof/>
              </w:rPr>
              <w:t>6.3 Main Competitors and Positioning</w:t>
            </w:r>
            <w:r>
              <w:rPr>
                <w:noProof/>
                <w:webHidden/>
              </w:rPr>
              <w:tab/>
            </w:r>
            <w:r>
              <w:rPr>
                <w:noProof/>
                <w:webHidden/>
              </w:rPr>
              <w:fldChar w:fldCharType="begin"/>
            </w:r>
            <w:r>
              <w:rPr>
                <w:noProof/>
                <w:webHidden/>
              </w:rPr>
              <w:instrText xml:space="preserve"> PAGEREF _Toc241008240 \h </w:instrText>
            </w:r>
            <w:r>
              <w:rPr>
                <w:noProof/>
                <w:webHidden/>
              </w:rPr>
            </w:r>
            <w:r>
              <w:rPr>
                <w:noProof/>
                <w:webHidden/>
              </w:rPr>
              <w:fldChar w:fldCharType="separate"/>
            </w:r>
            <w:r w:rsidR="005803CC">
              <w:rPr>
                <w:noProof/>
                <w:webHidden/>
              </w:rPr>
              <w:t>39</w:t>
            </w:r>
            <w:r>
              <w:rPr>
                <w:noProof/>
                <w:webHidden/>
              </w:rPr>
              <w:fldChar w:fldCharType="end"/>
            </w:r>
          </w:hyperlink>
        </w:p>
        <w:p w14:paraId="1EB466F8" w14:textId="40EF5B7E" w:rsidR="00716CED" w:rsidRDefault="00716CED">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41008241" w:history="1">
            <w:r w:rsidRPr="00854E9B">
              <w:rPr>
                <w:rStyle w:val="Hyperlink"/>
                <w:noProof/>
              </w:rPr>
              <w:t>6.4 Porter’s Five Forces</w:t>
            </w:r>
            <w:r>
              <w:rPr>
                <w:noProof/>
                <w:webHidden/>
              </w:rPr>
              <w:tab/>
            </w:r>
            <w:r>
              <w:rPr>
                <w:noProof/>
                <w:webHidden/>
              </w:rPr>
              <w:fldChar w:fldCharType="begin"/>
            </w:r>
            <w:r>
              <w:rPr>
                <w:noProof/>
                <w:webHidden/>
              </w:rPr>
              <w:instrText xml:space="preserve"> PAGEREF _Toc241008241 \h </w:instrText>
            </w:r>
            <w:r>
              <w:rPr>
                <w:noProof/>
                <w:webHidden/>
              </w:rPr>
            </w:r>
            <w:r>
              <w:rPr>
                <w:noProof/>
                <w:webHidden/>
              </w:rPr>
              <w:fldChar w:fldCharType="separate"/>
            </w:r>
            <w:r w:rsidR="005803CC">
              <w:rPr>
                <w:noProof/>
                <w:webHidden/>
              </w:rPr>
              <w:t>40</w:t>
            </w:r>
            <w:r>
              <w:rPr>
                <w:noProof/>
                <w:webHidden/>
              </w:rPr>
              <w:fldChar w:fldCharType="end"/>
            </w:r>
          </w:hyperlink>
        </w:p>
        <w:p w14:paraId="09DEE7D4" w14:textId="4079D281" w:rsidR="00716CED" w:rsidRDefault="00716CED">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41008242" w:history="1">
            <w:r w:rsidRPr="00854E9B">
              <w:rPr>
                <w:rStyle w:val="Hyperlink"/>
                <w:noProof/>
              </w:rPr>
              <w:t>6.5 PESTLE Analysis</w:t>
            </w:r>
            <w:r>
              <w:rPr>
                <w:noProof/>
                <w:webHidden/>
              </w:rPr>
              <w:tab/>
            </w:r>
            <w:r>
              <w:rPr>
                <w:noProof/>
                <w:webHidden/>
              </w:rPr>
              <w:fldChar w:fldCharType="begin"/>
            </w:r>
            <w:r>
              <w:rPr>
                <w:noProof/>
                <w:webHidden/>
              </w:rPr>
              <w:instrText xml:space="preserve"> PAGEREF _Toc241008242 \h </w:instrText>
            </w:r>
            <w:r>
              <w:rPr>
                <w:noProof/>
                <w:webHidden/>
              </w:rPr>
            </w:r>
            <w:r>
              <w:rPr>
                <w:noProof/>
                <w:webHidden/>
              </w:rPr>
              <w:fldChar w:fldCharType="separate"/>
            </w:r>
            <w:r w:rsidR="005803CC">
              <w:rPr>
                <w:noProof/>
                <w:webHidden/>
              </w:rPr>
              <w:t>42</w:t>
            </w:r>
            <w:r>
              <w:rPr>
                <w:noProof/>
                <w:webHidden/>
              </w:rPr>
              <w:fldChar w:fldCharType="end"/>
            </w:r>
          </w:hyperlink>
        </w:p>
        <w:p w14:paraId="4770582D" w14:textId="78F2335B" w:rsidR="00716CED" w:rsidRDefault="00716CED">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41008243" w:history="1">
            <w:r w:rsidRPr="00854E9B">
              <w:rPr>
                <w:rStyle w:val="Hyperlink"/>
                <w:noProof/>
              </w:rPr>
              <w:t>6.6 Industry Attractiveness, Gaps and Synthesis</w:t>
            </w:r>
            <w:r>
              <w:rPr>
                <w:noProof/>
                <w:webHidden/>
              </w:rPr>
              <w:tab/>
            </w:r>
            <w:r>
              <w:rPr>
                <w:noProof/>
                <w:webHidden/>
              </w:rPr>
              <w:fldChar w:fldCharType="begin"/>
            </w:r>
            <w:r>
              <w:rPr>
                <w:noProof/>
                <w:webHidden/>
              </w:rPr>
              <w:instrText xml:space="preserve"> PAGEREF _Toc241008243 \h </w:instrText>
            </w:r>
            <w:r>
              <w:rPr>
                <w:noProof/>
                <w:webHidden/>
              </w:rPr>
            </w:r>
            <w:r>
              <w:rPr>
                <w:noProof/>
                <w:webHidden/>
              </w:rPr>
              <w:fldChar w:fldCharType="separate"/>
            </w:r>
            <w:r w:rsidR="005803CC">
              <w:rPr>
                <w:noProof/>
                <w:webHidden/>
              </w:rPr>
              <w:t>44</w:t>
            </w:r>
            <w:r>
              <w:rPr>
                <w:noProof/>
                <w:webHidden/>
              </w:rPr>
              <w:fldChar w:fldCharType="end"/>
            </w:r>
          </w:hyperlink>
        </w:p>
        <w:p w14:paraId="3BF39DF9" w14:textId="3809BDA5" w:rsidR="00716CED" w:rsidRDefault="00716CED">
          <w:pPr>
            <w:pStyle w:val="TOC1"/>
            <w:tabs>
              <w:tab w:val="right" w:leader="dot" w:pos="9350"/>
            </w:tabs>
            <w:rPr>
              <w:rFonts w:asciiTheme="minorHAnsi" w:eastAsiaTheme="minorEastAsia" w:hAnsiTheme="minorHAnsi" w:cstheme="minorBidi"/>
              <w:noProof/>
              <w:kern w:val="2"/>
              <w:lang w:val="en-IN"/>
              <w14:ligatures w14:val="standardContextual"/>
            </w:rPr>
          </w:pPr>
          <w:hyperlink w:anchor="_Toc241008244" w:history="1">
            <w:r w:rsidRPr="00854E9B">
              <w:rPr>
                <w:rStyle w:val="Hyperlink"/>
                <w:noProof/>
              </w:rPr>
              <w:t>Chapter 7: Business Strategy</w:t>
            </w:r>
            <w:r>
              <w:rPr>
                <w:noProof/>
                <w:webHidden/>
              </w:rPr>
              <w:tab/>
            </w:r>
            <w:r>
              <w:rPr>
                <w:noProof/>
                <w:webHidden/>
              </w:rPr>
              <w:fldChar w:fldCharType="begin"/>
            </w:r>
            <w:r>
              <w:rPr>
                <w:noProof/>
                <w:webHidden/>
              </w:rPr>
              <w:instrText xml:space="preserve"> PAGEREF _Toc241008244 \h </w:instrText>
            </w:r>
            <w:r>
              <w:rPr>
                <w:noProof/>
                <w:webHidden/>
              </w:rPr>
            </w:r>
            <w:r>
              <w:rPr>
                <w:noProof/>
                <w:webHidden/>
              </w:rPr>
              <w:fldChar w:fldCharType="separate"/>
            </w:r>
            <w:r w:rsidR="005803CC">
              <w:rPr>
                <w:noProof/>
                <w:webHidden/>
              </w:rPr>
              <w:t>46</w:t>
            </w:r>
            <w:r>
              <w:rPr>
                <w:noProof/>
                <w:webHidden/>
              </w:rPr>
              <w:fldChar w:fldCharType="end"/>
            </w:r>
          </w:hyperlink>
        </w:p>
        <w:p w14:paraId="0C003B51" w14:textId="3B453F32" w:rsidR="00716CED" w:rsidRDefault="00716CED">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41008245" w:history="1">
            <w:r w:rsidRPr="00854E9B">
              <w:rPr>
                <w:rStyle w:val="Hyperlink"/>
                <w:noProof/>
              </w:rPr>
              <w:t>7.1 Strategic Situation and Frameworks</w:t>
            </w:r>
            <w:r>
              <w:rPr>
                <w:noProof/>
                <w:webHidden/>
              </w:rPr>
              <w:tab/>
            </w:r>
            <w:r>
              <w:rPr>
                <w:noProof/>
                <w:webHidden/>
              </w:rPr>
              <w:fldChar w:fldCharType="begin"/>
            </w:r>
            <w:r>
              <w:rPr>
                <w:noProof/>
                <w:webHidden/>
              </w:rPr>
              <w:instrText xml:space="preserve"> PAGEREF _Toc241008245 \h </w:instrText>
            </w:r>
            <w:r>
              <w:rPr>
                <w:noProof/>
                <w:webHidden/>
              </w:rPr>
            </w:r>
            <w:r>
              <w:rPr>
                <w:noProof/>
                <w:webHidden/>
              </w:rPr>
              <w:fldChar w:fldCharType="separate"/>
            </w:r>
            <w:r w:rsidR="005803CC">
              <w:rPr>
                <w:noProof/>
                <w:webHidden/>
              </w:rPr>
              <w:t>46</w:t>
            </w:r>
            <w:r>
              <w:rPr>
                <w:noProof/>
                <w:webHidden/>
              </w:rPr>
              <w:fldChar w:fldCharType="end"/>
            </w:r>
          </w:hyperlink>
        </w:p>
        <w:p w14:paraId="7FF04E71" w14:textId="2000AB6F" w:rsidR="00716CED" w:rsidRDefault="00716CED">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41008246" w:history="1">
            <w:r w:rsidRPr="00854E9B">
              <w:rPr>
                <w:rStyle w:val="Hyperlink"/>
                <w:noProof/>
              </w:rPr>
              <w:t>7.2 Internal Analysis Using VRIO</w:t>
            </w:r>
            <w:r>
              <w:rPr>
                <w:noProof/>
                <w:webHidden/>
              </w:rPr>
              <w:tab/>
            </w:r>
            <w:r>
              <w:rPr>
                <w:noProof/>
                <w:webHidden/>
              </w:rPr>
              <w:fldChar w:fldCharType="begin"/>
            </w:r>
            <w:r>
              <w:rPr>
                <w:noProof/>
                <w:webHidden/>
              </w:rPr>
              <w:instrText xml:space="preserve"> PAGEREF _Toc241008246 \h </w:instrText>
            </w:r>
            <w:r>
              <w:rPr>
                <w:noProof/>
                <w:webHidden/>
              </w:rPr>
            </w:r>
            <w:r>
              <w:rPr>
                <w:noProof/>
                <w:webHidden/>
              </w:rPr>
              <w:fldChar w:fldCharType="separate"/>
            </w:r>
            <w:r w:rsidR="005803CC">
              <w:rPr>
                <w:noProof/>
                <w:webHidden/>
              </w:rPr>
              <w:t>46</w:t>
            </w:r>
            <w:r>
              <w:rPr>
                <w:noProof/>
                <w:webHidden/>
              </w:rPr>
              <w:fldChar w:fldCharType="end"/>
            </w:r>
          </w:hyperlink>
        </w:p>
        <w:p w14:paraId="40FE31D9" w14:textId="06E583BB" w:rsidR="00716CED" w:rsidRDefault="00716CED">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41008247" w:history="1">
            <w:r w:rsidRPr="00854E9B">
              <w:rPr>
                <w:rStyle w:val="Hyperlink"/>
                <w:noProof/>
              </w:rPr>
              <w:t>7.3 SWOT and Strategic Issues</w:t>
            </w:r>
            <w:r>
              <w:rPr>
                <w:noProof/>
                <w:webHidden/>
              </w:rPr>
              <w:tab/>
            </w:r>
            <w:r>
              <w:rPr>
                <w:noProof/>
                <w:webHidden/>
              </w:rPr>
              <w:fldChar w:fldCharType="begin"/>
            </w:r>
            <w:r>
              <w:rPr>
                <w:noProof/>
                <w:webHidden/>
              </w:rPr>
              <w:instrText xml:space="preserve"> PAGEREF _Toc241008247 \h </w:instrText>
            </w:r>
            <w:r>
              <w:rPr>
                <w:noProof/>
                <w:webHidden/>
              </w:rPr>
            </w:r>
            <w:r>
              <w:rPr>
                <w:noProof/>
                <w:webHidden/>
              </w:rPr>
              <w:fldChar w:fldCharType="separate"/>
            </w:r>
            <w:r w:rsidR="005803CC">
              <w:rPr>
                <w:noProof/>
                <w:webHidden/>
              </w:rPr>
              <w:t>48</w:t>
            </w:r>
            <w:r>
              <w:rPr>
                <w:noProof/>
                <w:webHidden/>
              </w:rPr>
              <w:fldChar w:fldCharType="end"/>
            </w:r>
          </w:hyperlink>
        </w:p>
        <w:p w14:paraId="72CB21C7" w14:textId="1BDE6E1D" w:rsidR="00716CED" w:rsidRDefault="00716CED">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41008248" w:history="1">
            <w:r w:rsidRPr="00854E9B">
              <w:rPr>
                <w:rStyle w:val="Hyperlink"/>
                <w:noProof/>
              </w:rPr>
              <w:t>7.4 Strategic Alternatives and Strategic Choice</w:t>
            </w:r>
            <w:r>
              <w:rPr>
                <w:noProof/>
                <w:webHidden/>
              </w:rPr>
              <w:tab/>
            </w:r>
            <w:r>
              <w:rPr>
                <w:noProof/>
                <w:webHidden/>
              </w:rPr>
              <w:fldChar w:fldCharType="begin"/>
            </w:r>
            <w:r>
              <w:rPr>
                <w:noProof/>
                <w:webHidden/>
              </w:rPr>
              <w:instrText xml:space="preserve"> PAGEREF _Toc241008248 \h </w:instrText>
            </w:r>
            <w:r>
              <w:rPr>
                <w:noProof/>
                <w:webHidden/>
              </w:rPr>
            </w:r>
            <w:r>
              <w:rPr>
                <w:noProof/>
                <w:webHidden/>
              </w:rPr>
              <w:fldChar w:fldCharType="separate"/>
            </w:r>
            <w:r w:rsidR="005803CC">
              <w:rPr>
                <w:noProof/>
                <w:webHidden/>
              </w:rPr>
              <w:t>50</w:t>
            </w:r>
            <w:r>
              <w:rPr>
                <w:noProof/>
                <w:webHidden/>
              </w:rPr>
              <w:fldChar w:fldCharType="end"/>
            </w:r>
          </w:hyperlink>
        </w:p>
        <w:p w14:paraId="75DBC839" w14:textId="25E35C1B" w:rsidR="00716CED" w:rsidRPr="000A6F3B" w:rsidRDefault="00716CED" w:rsidP="000A6F3B">
          <w:pPr>
            <w:pStyle w:val="TOC3"/>
            <w:rPr>
              <w:rFonts w:asciiTheme="minorHAnsi" w:eastAsiaTheme="minorEastAsia" w:hAnsiTheme="minorHAnsi" w:cstheme="minorBidi"/>
              <w:kern w:val="2"/>
              <w:lang w:val="en-IN"/>
              <w14:ligatures w14:val="standardContextual"/>
            </w:rPr>
          </w:pPr>
          <w:hyperlink w:anchor="_Toc241008249" w:history="1">
            <w:r w:rsidRPr="000A6F3B">
              <w:rPr>
                <w:rStyle w:val="Hyperlink"/>
              </w:rPr>
              <w:t>Alternative 1: Digital Sustainable Packaging Marketplace</w:t>
            </w:r>
            <w:r w:rsidRPr="000A6F3B">
              <w:rPr>
                <w:webHidden/>
              </w:rPr>
              <w:tab/>
            </w:r>
            <w:r w:rsidRPr="000A6F3B">
              <w:rPr>
                <w:webHidden/>
              </w:rPr>
              <w:fldChar w:fldCharType="begin"/>
            </w:r>
            <w:r w:rsidRPr="000A6F3B">
              <w:rPr>
                <w:webHidden/>
              </w:rPr>
              <w:instrText xml:space="preserve"> PAGEREF _Toc241008249 \h </w:instrText>
            </w:r>
            <w:r w:rsidRPr="000A6F3B">
              <w:rPr>
                <w:webHidden/>
              </w:rPr>
            </w:r>
            <w:r w:rsidRPr="000A6F3B">
              <w:rPr>
                <w:webHidden/>
              </w:rPr>
              <w:fldChar w:fldCharType="separate"/>
            </w:r>
            <w:r w:rsidR="005803CC">
              <w:rPr>
                <w:webHidden/>
              </w:rPr>
              <w:t>50</w:t>
            </w:r>
            <w:r w:rsidRPr="000A6F3B">
              <w:rPr>
                <w:webHidden/>
              </w:rPr>
              <w:fldChar w:fldCharType="end"/>
            </w:r>
          </w:hyperlink>
        </w:p>
        <w:p w14:paraId="0B9D3982" w14:textId="2C1B9400" w:rsidR="00716CED" w:rsidRPr="000A6F3B" w:rsidRDefault="00716CED" w:rsidP="000A6F3B">
          <w:pPr>
            <w:pStyle w:val="TOC3"/>
            <w:rPr>
              <w:rFonts w:asciiTheme="minorHAnsi" w:eastAsiaTheme="minorEastAsia" w:hAnsiTheme="minorHAnsi" w:cstheme="minorBidi"/>
              <w:kern w:val="2"/>
              <w:lang w:val="en-IN"/>
              <w14:ligatures w14:val="standardContextual"/>
            </w:rPr>
          </w:pPr>
          <w:hyperlink w:anchor="_Toc241008250" w:history="1">
            <w:r w:rsidRPr="000A6F3B">
              <w:rPr>
                <w:rStyle w:val="Hyperlink"/>
              </w:rPr>
              <w:t>Alternative 2: SME Sustainable Packaging Partner</w:t>
            </w:r>
            <w:r w:rsidRPr="000A6F3B">
              <w:rPr>
                <w:webHidden/>
              </w:rPr>
              <w:tab/>
            </w:r>
            <w:r w:rsidRPr="000A6F3B">
              <w:rPr>
                <w:webHidden/>
              </w:rPr>
              <w:fldChar w:fldCharType="begin"/>
            </w:r>
            <w:r w:rsidRPr="000A6F3B">
              <w:rPr>
                <w:webHidden/>
              </w:rPr>
              <w:instrText xml:space="preserve"> PAGEREF _Toc241008250 \h </w:instrText>
            </w:r>
            <w:r w:rsidRPr="000A6F3B">
              <w:rPr>
                <w:webHidden/>
              </w:rPr>
            </w:r>
            <w:r w:rsidRPr="000A6F3B">
              <w:rPr>
                <w:webHidden/>
              </w:rPr>
              <w:fldChar w:fldCharType="separate"/>
            </w:r>
            <w:r w:rsidR="005803CC">
              <w:rPr>
                <w:webHidden/>
              </w:rPr>
              <w:t>50</w:t>
            </w:r>
            <w:r w:rsidRPr="000A6F3B">
              <w:rPr>
                <w:webHidden/>
              </w:rPr>
              <w:fldChar w:fldCharType="end"/>
            </w:r>
          </w:hyperlink>
        </w:p>
        <w:p w14:paraId="29B3DB03" w14:textId="412710B5" w:rsidR="00716CED" w:rsidRPr="000A6F3B" w:rsidRDefault="00716CED" w:rsidP="000A6F3B">
          <w:pPr>
            <w:pStyle w:val="TOC3"/>
            <w:rPr>
              <w:rFonts w:asciiTheme="minorHAnsi" w:eastAsiaTheme="minorEastAsia" w:hAnsiTheme="minorHAnsi" w:cstheme="minorBidi"/>
              <w:kern w:val="2"/>
              <w:lang w:val="en-IN"/>
              <w14:ligatures w14:val="standardContextual"/>
            </w:rPr>
          </w:pPr>
          <w:hyperlink w:anchor="_Toc241008251" w:history="1">
            <w:r w:rsidRPr="000A6F3B">
              <w:rPr>
                <w:rStyle w:val="Hyperlink"/>
              </w:rPr>
              <w:t>Alternative 3: Rapid Pan-European Packaging Platform</w:t>
            </w:r>
            <w:r w:rsidRPr="000A6F3B">
              <w:rPr>
                <w:webHidden/>
              </w:rPr>
              <w:tab/>
            </w:r>
            <w:r w:rsidRPr="000A6F3B">
              <w:rPr>
                <w:webHidden/>
              </w:rPr>
              <w:fldChar w:fldCharType="begin"/>
            </w:r>
            <w:r w:rsidRPr="000A6F3B">
              <w:rPr>
                <w:webHidden/>
              </w:rPr>
              <w:instrText xml:space="preserve"> PAGEREF _Toc241008251 \h </w:instrText>
            </w:r>
            <w:r w:rsidRPr="000A6F3B">
              <w:rPr>
                <w:webHidden/>
              </w:rPr>
            </w:r>
            <w:r w:rsidRPr="000A6F3B">
              <w:rPr>
                <w:webHidden/>
              </w:rPr>
              <w:fldChar w:fldCharType="separate"/>
            </w:r>
            <w:r w:rsidR="005803CC">
              <w:rPr>
                <w:webHidden/>
              </w:rPr>
              <w:t>51</w:t>
            </w:r>
            <w:r w:rsidRPr="000A6F3B">
              <w:rPr>
                <w:webHidden/>
              </w:rPr>
              <w:fldChar w:fldCharType="end"/>
            </w:r>
          </w:hyperlink>
        </w:p>
        <w:p w14:paraId="73E5D110" w14:textId="57A74C0B" w:rsidR="00716CED" w:rsidRPr="000A6F3B" w:rsidRDefault="00716CED" w:rsidP="000A6F3B">
          <w:pPr>
            <w:pStyle w:val="TOC3"/>
            <w:rPr>
              <w:rFonts w:asciiTheme="minorHAnsi" w:eastAsiaTheme="minorEastAsia" w:hAnsiTheme="minorHAnsi" w:cstheme="minorBidi"/>
              <w:kern w:val="2"/>
              <w:lang w:val="en-IN"/>
              <w14:ligatures w14:val="standardContextual"/>
            </w:rPr>
          </w:pPr>
          <w:hyperlink w:anchor="_Toc241008252" w:history="1">
            <w:r w:rsidRPr="000A6F3B">
              <w:rPr>
                <w:rStyle w:val="Hyperlink"/>
              </w:rPr>
              <w:t>Strategy Statement</w:t>
            </w:r>
            <w:r w:rsidRPr="000A6F3B">
              <w:rPr>
                <w:webHidden/>
              </w:rPr>
              <w:tab/>
            </w:r>
            <w:r w:rsidRPr="000A6F3B">
              <w:rPr>
                <w:webHidden/>
              </w:rPr>
              <w:fldChar w:fldCharType="begin"/>
            </w:r>
            <w:r w:rsidRPr="000A6F3B">
              <w:rPr>
                <w:webHidden/>
              </w:rPr>
              <w:instrText xml:space="preserve"> PAGEREF _Toc241008252 \h </w:instrText>
            </w:r>
            <w:r w:rsidRPr="000A6F3B">
              <w:rPr>
                <w:webHidden/>
              </w:rPr>
            </w:r>
            <w:r w:rsidRPr="000A6F3B">
              <w:rPr>
                <w:webHidden/>
              </w:rPr>
              <w:fldChar w:fldCharType="separate"/>
            </w:r>
            <w:r w:rsidR="005803CC">
              <w:rPr>
                <w:webHidden/>
              </w:rPr>
              <w:t>52</w:t>
            </w:r>
            <w:r w:rsidRPr="000A6F3B">
              <w:rPr>
                <w:webHidden/>
              </w:rPr>
              <w:fldChar w:fldCharType="end"/>
            </w:r>
          </w:hyperlink>
        </w:p>
        <w:p w14:paraId="52923DE2" w14:textId="20B3278E" w:rsidR="00716CED" w:rsidRDefault="00716CED">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41008253" w:history="1">
            <w:r w:rsidRPr="00854E9B">
              <w:rPr>
                <w:rStyle w:val="Hyperlink"/>
                <w:noProof/>
              </w:rPr>
              <w:t>7.5 USP, Value Proposition and Positioning</w:t>
            </w:r>
            <w:r>
              <w:rPr>
                <w:noProof/>
                <w:webHidden/>
              </w:rPr>
              <w:tab/>
            </w:r>
            <w:r>
              <w:rPr>
                <w:noProof/>
                <w:webHidden/>
              </w:rPr>
              <w:fldChar w:fldCharType="begin"/>
            </w:r>
            <w:r>
              <w:rPr>
                <w:noProof/>
                <w:webHidden/>
              </w:rPr>
              <w:instrText xml:space="preserve"> PAGEREF _Toc241008253 \h </w:instrText>
            </w:r>
            <w:r>
              <w:rPr>
                <w:noProof/>
                <w:webHidden/>
              </w:rPr>
            </w:r>
            <w:r>
              <w:rPr>
                <w:noProof/>
                <w:webHidden/>
              </w:rPr>
              <w:fldChar w:fldCharType="separate"/>
            </w:r>
            <w:r w:rsidR="005803CC">
              <w:rPr>
                <w:noProof/>
                <w:webHidden/>
              </w:rPr>
              <w:t>52</w:t>
            </w:r>
            <w:r>
              <w:rPr>
                <w:noProof/>
                <w:webHidden/>
              </w:rPr>
              <w:fldChar w:fldCharType="end"/>
            </w:r>
          </w:hyperlink>
        </w:p>
        <w:p w14:paraId="4F5CF6AB" w14:textId="0AEA47D1" w:rsidR="00716CED" w:rsidRPr="000A6F3B" w:rsidRDefault="00716CED" w:rsidP="000A6F3B">
          <w:pPr>
            <w:pStyle w:val="TOC3"/>
            <w:rPr>
              <w:rFonts w:asciiTheme="minorHAnsi" w:eastAsiaTheme="minorEastAsia" w:hAnsiTheme="minorHAnsi" w:cstheme="minorBidi"/>
              <w:kern w:val="2"/>
              <w:lang w:val="en-IN"/>
              <w14:ligatures w14:val="standardContextual"/>
            </w:rPr>
          </w:pPr>
          <w:hyperlink w:anchor="_Toc241008254" w:history="1">
            <w:r w:rsidRPr="000A6F3B">
              <w:rPr>
                <w:rStyle w:val="Hyperlink"/>
              </w:rPr>
              <w:t>Value Proposition</w:t>
            </w:r>
            <w:r w:rsidRPr="000A6F3B">
              <w:rPr>
                <w:webHidden/>
              </w:rPr>
              <w:tab/>
            </w:r>
            <w:r w:rsidRPr="000A6F3B">
              <w:rPr>
                <w:webHidden/>
              </w:rPr>
              <w:fldChar w:fldCharType="begin"/>
            </w:r>
            <w:r w:rsidRPr="000A6F3B">
              <w:rPr>
                <w:webHidden/>
              </w:rPr>
              <w:instrText xml:space="preserve"> PAGEREF _Toc241008254 \h </w:instrText>
            </w:r>
            <w:r w:rsidRPr="000A6F3B">
              <w:rPr>
                <w:webHidden/>
              </w:rPr>
            </w:r>
            <w:r w:rsidRPr="000A6F3B">
              <w:rPr>
                <w:webHidden/>
              </w:rPr>
              <w:fldChar w:fldCharType="separate"/>
            </w:r>
            <w:r w:rsidR="005803CC">
              <w:rPr>
                <w:webHidden/>
              </w:rPr>
              <w:t>53</w:t>
            </w:r>
            <w:r w:rsidRPr="000A6F3B">
              <w:rPr>
                <w:webHidden/>
              </w:rPr>
              <w:fldChar w:fldCharType="end"/>
            </w:r>
          </w:hyperlink>
        </w:p>
        <w:p w14:paraId="3C6FE9B8" w14:textId="03C1D644" w:rsidR="00716CED" w:rsidRDefault="00716CED">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41008255" w:history="1">
            <w:r w:rsidRPr="00854E9B">
              <w:rPr>
                <w:rStyle w:val="Hyperlink"/>
                <w:noProof/>
              </w:rPr>
              <w:t>7.6 Competitive Advantage and Key Success Factors</w:t>
            </w:r>
            <w:r>
              <w:rPr>
                <w:noProof/>
                <w:webHidden/>
              </w:rPr>
              <w:tab/>
            </w:r>
            <w:r>
              <w:rPr>
                <w:noProof/>
                <w:webHidden/>
              </w:rPr>
              <w:fldChar w:fldCharType="begin"/>
            </w:r>
            <w:r>
              <w:rPr>
                <w:noProof/>
                <w:webHidden/>
              </w:rPr>
              <w:instrText xml:space="preserve"> PAGEREF _Toc241008255 \h </w:instrText>
            </w:r>
            <w:r>
              <w:rPr>
                <w:noProof/>
                <w:webHidden/>
              </w:rPr>
            </w:r>
            <w:r>
              <w:rPr>
                <w:noProof/>
                <w:webHidden/>
              </w:rPr>
              <w:fldChar w:fldCharType="separate"/>
            </w:r>
            <w:r w:rsidR="005803CC">
              <w:rPr>
                <w:noProof/>
                <w:webHidden/>
              </w:rPr>
              <w:t>53</w:t>
            </w:r>
            <w:r>
              <w:rPr>
                <w:noProof/>
                <w:webHidden/>
              </w:rPr>
              <w:fldChar w:fldCharType="end"/>
            </w:r>
          </w:hyperlink>
        </w:p>
        <w:p w14:paraId="2C660B64" w14:textId="120F3D81" w:rsidR="00716CED" w:rsidRPr="000A6F3B" w:rsidRDefault="00716CED" w:rsidP="000A6F3B">
          <w:pPr>
            <w:pStyle w:val="TOC3"/>
            <w:rPr>
              <w:rFonts w:asciiTheme="minorHAnsi" w:eastAsiaTheme="minorEastAsia" w:hAnsiTheme="minorHAnsi" w:cstheme="minorBidi"/>
              <w:kern w:val="2"/>
              <w:lang w:val="en-IN"/>
              <w14:ligatures w14:val="standardContextual"/>
            </w:rPr>
          </w:pPr>
          <w:hyperlink w:anchor="_Toc241008256" w:history="1">
            <w:r w:rsidRPr="000A6F3B">
              <w:rPr>
                <w:rStyle w:val="Hyperlink"/>
              </w:rPr>
              <w:t>1. Supplier capability</w:t>
            </w:r>
            <w:r w:rsidRPr="000A6F3B">
              <w:rPr>
                <w:webHidden/>
              </w:rPr>
              <w:tab/>
            </w:r>
            <w:r w:rsidRPr="000A6F3B">
              <w:rPr>
                <w:webHidden/>
              </w:rPr>
              <w:fldChar w:fldCharType="begin"/>
            </w:r>
            <w:r w:rsidRPr="000A6F3B">
              <w:rPr>
                <w:webHidden/>
              </w:rPr>
              <w:instrText xml:space="preserve"> PAGEREF _Toc241008256 \h </w:instrText>
            </w:r>
            <w:r w:rsidRPr="000A6F3B">
              <w:rPr>
                <w:webHidden/>
              </w:rPr>
            </w:r>
            <w:r w:rsidRPr="000A6F3B">
              <w:rPr>
                <w:webHidden/>
              </w:rPr>
              <w:fldChar w:fldCharType="separate"/>
            </w:r>
            <w:r w:rsidR="005803CC">
              <w:rPr>
                <w:webHidden/>
              </w:rPr>
              <w:t>53</w:t>
            </w:r>
            <w:r w:rsidRPr="000A6F3B">
              <w:rPr>
                <w:webHidden/>
              </w:rPr>
              <w:fldChar w:fldCharType="end"/>
            </w:r>
          </w:hyperlink>
        </w:p>
        <w:p w14:paraId="61CFC31C" w14:textId="29AD141B" w:rsidR="00716CED" w:rsidRPr="000A6F3B" w:rsidRDefault="00716CED" w:rsidP="000A6F3B">
          <w:pPr>
            <w:pStyle w:val="TOC3"/>
            <w:rPr>
              <w:rFonts w:asciiTheme="minorHAnsi" w:eastAsiaTheme="minorEastAsia" w:hAnsiTheme="minorHAnsi" w:cstheme="minorBidi"/>
              <w:kern w:val="2"/>
              <w:lang w:val="en-IN"/>
              <w14:ligatures w14:val="standardContextual"/>
            </w:rPr>
          </w:pPr>
          <w:hyperlink w:anchor="_Toc241008257" w:history="1">
            <w:r w:rsidRPr="000A6F3B">
              <w:rPr>
                <w:rStyle w:val="Hyperlink"/>
              </w:rPr>
              <w:t>2. Regulatory capability</w:t>
            </w:r>
            <w:r w:rsidRPr="000A6F3B">
              <w:rPr>
                <w:webHidden/>
              </w:rPr>
              <w:tab/>
            </w:r>
            <w:r w:rsidRPr="000A6F3B">
              <w:rPr>
                <w:webHidden/>
              </w:rPr>
              <w:fldChar w:fldCharType="begin"/>
            </w:r>
            <w:r w:rsidRPr="000A6F3B">
              <w:rPr>
                <w:webHidden/>
              </w:rPr>
              <w:instrText xml:space="preserve"> PAGEREF _Toc241008257 \h </w:instrText>
            </w:r>
            <w:r w:rsidRPr="000A6F3B">
              <w:rPr>
                <w:webHidden/>
              </w:rPr>
            </w:r>
            <w:r w:rsidRPr="000A6F3B">
              <w:rPr>
                <w:webHidden/>
              </w:rPr>
              <w:fldChar w:fldCharType="separate"/>
            </w:r>
            <w:r w:rsidR="005803CC">
              <w:rPr>
                <w:webHidden/>
              </w:rPr>
              <w:t>54</w:t>
            </w:r>
            <w:r w:rsidRPr="000A6F3B">
              <w:rPr>
                <w:webHidden/>
              </w:rPr>
              <w:fldChar w:fldCharType="end"/>
            </w:r>
          </w:hyperlink>
        </w:p>
        <w:p w14:paraId="7A7CE375" w14:textId="5A88C9AC" w:rsidR="00716CED" w:rsidRPr="000A6F3B" w:rsidRDefault="00716CED" w:rsidP="000A6F3B">
          <w:pPr>
            <w:pStyle w:val="TOC3"/>
            <w:rPr>
              <w:rFonts w:asciiTheme="minorHAnsi" w:eastAsiaTheme="minorEastAsia" w:hAnsiTheme="minorHAnsi" w:cstheme="minorBidi"/>
              <w:kern w:val="2"/>
              <w:lang w:val="en-IN"/>
              <w14:ligatures w14:val="standardContextual"/>
            </w:rPr>
          </w:pPr>
          <w:hyperlink w:anchor="_Toc241008258" w:history="1">
            <w:r w:rsidRPr="000A6F3B">
              <w:rPr>
                <w:rStyle w:val="Hyperlink"/>
              </w:rPr>
              <w:t>3. Customer-data capability</w:t>
            </w:r>
            <w:r w:rsidRPr="000A6F3B">
              <w:rPr>
                <w:webHidden/>
              </w:rPr>
              <w:tab/>
            </w:r>
            <w:r w:rsidRPr="000A6F3B">
              <w:rPr>
                <w:webHidden/>
              </w:rPr>
              <w:fldChar w:fldCharType="begin"/>
            </w:r>
            <w:r w:rsidRPr="000A6F3B">
              <w:rPr>
                <w:webHidden/>
              </w:rPr>
              <w:instrText xml:space="preserve"> PAGEREF _Toc241008258 \h </w:instrText>
            </w:r>
            <w:r w:rsidRPr="000A6F3B">
              <w:rPr>
                <w:webHidden/>
              </w:rPr>
            </w:r>
            <w:r w:rsidRPr="000A6F3B">
              <w:rPr>
                <w:webHidden/>
              </w:rPr>
              <w:fldChar w:fldCharType="separate"/>
            </w:r>
            <w:r w:rsidR="005803CC">
              <w:rPr>
                <w:webHidden/>
              </w:rPr>
              <w:t>54</w:t>
            </w:r>
            <w:r w:rsidRPr="000A6F3B">
              <w:rPr>
                <w:webHidden/>
              </w:rPr>
              <w:fldChar w:fldCharType="end"/>
            </w:r>
          </w:hyperlink>
        </w:p>
        <w:p w14:paraId="242EFAFD" w14:textId="3D41AC1A" w:rsidR="00716CED" w:rsidRPr="000A6F3B" w:rsidRDefault="00716CED" w:rsidP="000A6F3B">
          <w:pPr>
            <w:pStyle w:val="TOC3"/>
            <w:rPr>
              <w:rFonts w:asciiTheme="minorHAnsi" w:eastAsiaTheme="minorEastAsia" w:hAnsiTheme="minorHAnsi" w:cstheme="minorBidi"/>
              <w:kern w:val="2"/>
              <w:lang w:val="en-IN"/>
              <w14:ligatures w14:val="standardContextual"/>
            </w:rPr>
          </w:pPr>
          <w:hyperlink w:anchor="_Toc241008259" w:history="1">
            <w:r w:rsidRPr="000A6F3B">
              <w:rPr>
                <w:rStyle w:val="Hyperlink"/>
              </w:rPr>
              <w:t>4. Cost discipline</w:t>
            </w:r>
            <w:r w:rsidRPr="000A6F3B">
              <w:rPr>
                <w:webHidden/>
              </w:rPr>
              <w:tab/>
            </w:r>
            <w:r w:rsidRPr="000A6F3B">
              <w:rPr>
                <w:webHidden/>
              </w:rPr>
              <w:fldChar w:fldCharType="begin"/>
            </w:r>
            <w:r w:rsidRPr="000A6F3B">
              <w:rPr>
                <w:webHidden/>
              </w:rPr>
              <w:instrText xml:space="preserve"> PAGEREF _Toc241008259 \h </w:instrText>
            </w:r>
            <w:r w:rsidRPr="000A6F3B">
              <w:rPr>
                <w:webHidden/>
              </w:rPr>
            </w:r>
            <w:r w:rsidRPr="000A6F3B">
              <w:rPr>
                <w:webHidden/>
              </w:rPr>
              <w:fldChar w:fldCharType="separate"/>
            </w:r>
            <w:r w:rsidR="005803CC">
              <w:rPr>
                <w:webHidden/>
              </w:rPr>
              <w:t>54</w:t>
            </w:r>
            <w:r w:rsidRPr="000A6F3B">
              <w:rPr>
                <w:webHidden/>
              </w:rPr>
              <w:fldChar w:fldCharType="end"/>
            </w:r>
          </w:hyperlink>
        </w:p>
        <w:p w14:paraId="395F7C93" w14:textId="51A398C4" w:rsidR="00716CED" w:rsidRDefault="00716CED">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41008260" w:history="1">
            <w:r w:rsidRPr="00854E9B">
              <w:rPr>
                <w:rStyle w:val="Hyperlink"/>
                <w:noProof/>
              </w:rPr>
              <w:t>7.7 Strategic Synthesis</w:t>
            </w:r>
            <w:r>
              <w:rPr>
                <w:noProof/>
                <w:webHidden/>
              </w:rPr>
              <w:tab/>
            </w:r>
            <w:r>
              <w:rPr>
                <w:noProof/>
                <w:webHidden/>
              </w:rPr>
              <w:fldChar w:fldCharType="begin"/>
            </w:r>
            <w:r>
              <w:rPr>
                <w:noProof/>
                <w:webHidden/>
              </w:rPr>
              <w:instrText xml:space="preserve"> PAGEREF _Toc241008260 \h </w:instrText>
            </w:r>
            <w:r>
              <w:rPr>
                <w:noProof/>
                <w:webHidden/>
              </w:rPr>
            </w:r>
            <w:r>
              <w:rPr>
                <w:noProof/>
                <w:webHidden/>
              </w:rPr>
              <w:fldChar w:fldCharType="separate"/>
            </w:r>
            <w:r w:rsidR="005803CC">
              <w:rPr>
                <w:noProof/>
                <w:webHidden/>
              </w:rPr>
              <w:t>56</w:t>
            </w:r>
            <w:r>
              <w:rPr>
                <w:noProof/>
                <w:webHidden/>
              </w:rPr>
              <w:fldChar w:fldCharType="end"/>
            </w:r>
          </w:hyperlink>
        </w:p>
        <w:p w14:paraId="1F3AE3E1" w14:textId="05B68DFC" w:rsidR="00716CED" w:rsidRDefault="00716CED">
          <w:pPr>
            <w:pStyle w:val="TOC1"/>
            <w:tabs>
              <w:tab w:val="right" w:leader="dot" w:pos="9350"/>
            </w:tabs>
            <w:rPr>
              <w:rFonts w:asciiTheme="minorHAnsi" w:eastAsiaTheme="minorEastAsia" w:hAnsiTheme="minorHAnsi" w:cstheme="minorBidi"/>
              <w:noProof/>
              <w:kern w:val="2"/>
              <w:lang w:val="en-IN"/>
              <w14:ligatures w14:val="standardContextual"/>
            </w:rPr>
          </w:pPr>
          <w:hyperlink w:anchor="_Toc241008261" w:history="1">
            <w:r w:rsidRPr="00854E9B">
              <w:rPr>
                <w:rStyle w:val="Hyperlink"/>
                <w:noProof/>
              </w:rPr>
              <w:t>Chapter 8: Business Model Canvas</w:t>
            </w:r>
            <w:r>
              <w:rPr>
                <w:noProof/>
                <w:webHidden/>
              </w:rPr>
              <w:tab/>
            </w:r>
            <w:r>
              <w:rPr>
                <w:noProof/>
                <w:webHidden/>
              </w:rPr>
              <w:fldChar w:fldCharType="begin"/>
            </w:r>
            <w:r>
              <w:rPr>
                <w:noProof/>
                <w:webHidden/>
              </w:rPr>
              <w:instrText xml:space="preserve"> PAGEREF _Toc241008261 \h </w:instrText>
            </w:r>
            <w:r>
              <w:rPr>
                <w:noProof/>
                <w:webHidden/>
              </w:rPr>
            </w:r>
            <w:r>
              <w:rPr>
                <w:noProof/>
                <w:webHidden/>
              </w:rPr>
              <w:fldChar w:fldCharType="separate"/>
            </w:r>
            <w:r w:rsidR="005803CC">
              <w:rPr>
                <w:noProof/>
                <w:webHidden/>
              </w:rPr>
              <w:t>57</w:t>
            </w:r>
            <w:r>
              <w:rPr>
                <w:noProof/>
                <w:webHidden/>
              </w:rPr>
              <w:fldChar w:fldCharType="end"/>
            </w:r>
          </w:hyperlink>
        </w:p>
        <w:p w14:paraId="3144E55D" w14:textId="6DE27A37" w:rsidR="00716CED" w:rsidRDefault="00716CED">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41008262" w:history="1">
            <w:r w:rsidRPr="00854E9B">
              <w:rPr>
                <w:rStyle w:val="Hyperlink"/>
                <w:noProof/>
              </w:rPr>
              <w:t>8.1 Business Model Overview</w:t>
            </w:r>
            <w:r>
              <w:rPr>
                <w:noProof/>
                <w:webHidden/>
              </w:rPr>
              <w:tab/>
            </w:r>
            <w:r>
              <w:rPr>
                <w:noProof/>
                <w:webHidden/>
              </w:rPr>
              <w:fldChar w:fldCharType="begin"/>
            </w:r>
            <w:r>
              <w:rPr>
                <w:noProof/>
                <w:webHidden/>
              </w:rPr>
              <w:instrText xml:space="preserve"> PAGEREF _Toc241008262 \h </w:instrText>
            </w:r>
            <w:r>
              <w:rPr>
                <w:noProof/>
                <w:webHidden/>
              </w:rPr>
            </w:r>
            <w:r>
              <w:rPr>
                <w:noProof/>
                <w:webHidden/>
              </w:rPr>
              <w:fldChar w:fldCharType="separate"/>
            </w:r>
            <w:r w:rsidR="005803CC">
              <w:rPr>
                <w:noProof/>
                <w:webHidden/>
              </w:rPr>
              <w:t>57</w:t>
            </w:r>
            <w:r>
              <w:rPr>
                <w:noProof/>
                <w:webHidden/>
              </w:rPr>
              <w:fldChar w:fldCharType="end"/>
            </w:r>
          </w:hyperlink>
        </w:p>
        <w:p w14:paraId="3B1FE439" w14:textId="1587DF01" w:rsidR="00716CED" w:rsidRDefault="00716CED">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41008263" w:history="1">
            <w:r w:rsidRPr="00854E9B">
              <w:rPr>
                <w:rStyle w:val="Hyperlink"/>
                <w:noProof/>
              </w:rPr>
              <w:t>8.2 Customer Segments and Value Proposition</w:t>
            </w:r>
            <w:r>
              <w:rPr>
                <w:noProof/>
                <w:webHidden/>
              </w:rPr>
              <w:tab/>
            </w:r>
            <w:r>
              <w:rPr>
                <w:noProof/>
                <w:webHidden/>
              </w:rPr>
              <w:fldChar w:fldCharType="begin"/>
            </w:r>
            <w:r>
              <w:rPr>
                <w:noProof/>
                <w:webHidden/>
              </w:rPr>
              <w:instrText xml:space="preserve"> PAGEREF _Toc241008263 \h </w:instrText>
            </w:r>
            <w:r>
              <w:rPr>
                <w:noProof/>
                <w:webHidden/>
              </w:rPr>
            </w:r>
            <w:r>
              <w:rPr>
                <w:noProof/>
                <w:webHidden/>
              </w:rPr>
              <w:fldChar w:fldCharType="separate"/>
            </w:r>
            <w:r w:rsidR="005803CC">
              <w:rPr>
                <w:noProof/>
                <w:webHidden/>
              </w:rPr>
              <w:t>57</w:t>
            </w:r>
            <w:r>
              <w:rPr>
                <w:noProof/>
                <w:webHidden/>
              </w:rPr>
              <w:fldChar w:fldCharType="end"/>
            </w:r>
          </w:hyperlink>
        </w:p>
        <w:p w14:paraId="51832477" w14:textId="6E819FBC" w:rsidR="00716CED" w:rsidRDefault="00716CED">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41008264" w:history="1">
            <w:r w:rsidRPr="00854E9B">
              <w:rPr>
                <w:rStyle w:val="Hyperlink"/>
                <w:noProof/>
              </w:rPr>
              <w:t>8.3 Channels and Customer Relationships</w:t>
            </w:r>
            <w:r>
              <w:rPr>
                <w:noProof/>
                <w:webHidden/>
              </w:rPr>
              <w:tab/>
            </w:r>
            <w:r>
              <w:rPr>
                <w:noProof/>
                <w:webHidden/>
              </w:rPr>
              <w:fldChar w:fldCharType="begin"/>
            </w:r>
            <w:r>
              <w:rPr>
                <w:noProof/>
                <w:webHidden/>
              </w:rPr>
              <w:instrText xml:space="preserve"> PAGEREF _Toc241008264 \h </w:instrText>
            </w:r>
            <w:r>
              <w:rPr>
                <w:noProof/>
                <w:webHidden/>
              </w:rPr>
            </w:r>
            <w:r>
              <w:rPr>
                <w:noProof/>
                <w:webHidden/>
              </w:rPr>
              <w:fldChar w:fldCharType="separate"/>
            </w:r>
            <w:r w:rsidR="005803CC">
              <w:rPr>
                <w:noProof/>
                <w:webHidden/>
              </w:rPr>
              <w:t>58</w:t>
            </w:r>
            <w:r>
              <w:rPr>
                <w:noProof/>
                <w:webHidden/>
              </w:rPr>
              <w:fldChar w:fldCharType="end"/>
            </w:r>
          </w:hyperlink>
        </w:p>
        <w:p w14:paraId="2F1AC731" w14:textId="28846430" w:rsidR="00716CED" w:rsidRDefault="00716CED">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41008265" w:history="1">
            <w:r w:rsidRPr="00854E9B">
              <w:rPr>
                <w:rStyle w:val="Hyperlink"/>
                <w:noProof/>
              </w:rPr>
              <w:t>8.4 Revenue Streams and Cost Structure</w:t>
            </w:r>
            <w:r>
              <w:rPr>
                <w:noProof/>
                <w:webHidden/>
              </w:rPr>
              <w:tab/>
            </w:r>
            <w:r>
              <w:rPr>
                <w:noProof/>
                <w:webHidden/>
              </w:rPr>
              <w:fldChar w:fldCharType="begin"/>
            </w:r>
            <w:r>
              <w:rPr>
                <w:noProof/>
                <w:webHidden/>
              </w:rPr>
              <w:instrText xml:space="preserve"> PAGEREF _Toc241008265 \h </w:instrText>
            </w:r>
            <w:r>
              <w:rPr>
                <w:noProof/>
                <w:webHidden/>
              </w:rPr>
            </w:r>
            <w:r>
              <w:rPr>
                <w:noProof/>
                <w:webHidden/>
              </w:rPr>
              <w:fldChar w:fldCharType="separate"/>
            </w:r>
            <w:r w:rsidR="005803CC">
              <w:rPr>
                <w:noProof/>
                <w:webHidden/>
              </w:rPr>
              <w:t>58</w:t>
            </w:r>
            <w:r>
              <w:rPr>
                <w:noProof/>
                <w:webHidden/>
              </w:rPr>
              <w:fldChar w:fldCharType="end"/>
            </w:r>
          </w:hyperlink>
        </w:p>
        <w:p w14:paraId="31587419" w14:textId="13130C20" w:rsidR="00716CED" w:rsidRDefault="00716CED">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41008266" w:history="1">
            <w:r w:rsidRPr="00854E9B">
              <w:rPr>
                <w:rStyle w:val="Hyperlink"/>
                <w:noProof/>
              </w:rPr>
              <w:t>8.5 Key Resources, Activities and Partnerships</w:t>
            </w:r>
            <w:r>
              <w:rPr>
                <w:noProof/>
                <w:webHidden/>
              </w:rPr>
              <w:tab/>
            </w:r>
            <w:r>
              <w:rPr>
                <w:noProof/>
                <w:webHidden/>
              </w:rPr>
              <w:fldChar w:fldCharType="begin"/>
            </w:r>
            <w:r>
              <w:rPr>
                <w:noProof/>
                <w:webHidden/>
              </w:rPr>
              <w:instrText xml:space="preserve"> PAGEREF _Toc241008266 \h </w:instrText>
            </w:r>
            <w:r>
              <w:rPr>
                <w:noProof/>
                <w:webHidden/>
              </w:rPr>
            </w:r>
            <w:r>
              <w:rPr>
                <w:noProof/>
                <w:webHidden/>
              </w:rPr>
              <w:fldChar w:fldCharType="separate"/>
            </w:r>
            <w:r w:rsidR="005803CC">
              <w:rPr>
                <w:noProof/>
                <w:webHidden/>
              </w:rPr>
              <w:t>58</w:t>
            </w:r>
            <w:r>
              <w:rPr>
                <w:noProof/>
                <w:webHidden/>
              </w:rPr>
              <w:fldChar w:fldCharType="end"/>
            </w:r>
          </w:hyperlink>
        </w:p>
        <w:p w14:paraId="296ABFFF" w14:textId="08EDB0E9" w:rsidR="00716CED" w:rsidRDefault="00716CED">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41008267" w:history="1">
            <w:r w:rsidRPr="00854E9B">
              <w:rPr>
                <w:rStyle w:val="Hyperlink"/>
                <w:noProof/>
              </w:rPr>
              <w:t>8.6 Model Integration and Viability</w:t>
            </w:r>
            <w:r>
              <w:rPr>
                <w:noProof/>
                <w:webHidden/>
              </w:rPr>
              <w:tab/>
            </w:r>
            <w:r>
              <w:rPr>
                <w:noProof/>
                <w:webHidden/>
              </w:rPr>
              <w:fldChar w:fldCharType="begin"/>
            </w:r>
            <w:r>
              <w:rPr>
                <w:noProof/>
                <w:webHidden/>
              </w:rPr>
              <w:instrText xml:space="preserve"> PAGEREF _Toc241008267 \h </w:instrText>
            </w:r>
            <w:r>
              <w:rPr>
                <w:noProof/>
                <w:webHidden/>
              </w:rPr>
            </w:r>
            <w:r>
              <w:rPr>
                <w:noProof/>
                <w:webHidden/>
              </w:rPr>
              <w:fldChar w:fldCharType="separate"/>
            </w:r>
            <w:r w:rsidR="005803CC">
              <w:rPr>
                <w:noProof/>
                <w:webHidden/>
              </w:rPr>
              <w:t>59</w:t>
            </w:r>
            <w:r>
              <w:rPr>
                <w:noProof/>
                <w:webHidden/>
              </w:rPr>
              <w:fldChar w:fldCharType="end"/>
            </w:r>
          </w:hyperlink>
        </w:p>
        <w:p w14:paraId="7F54561A" w14:textId="5C83345C" w:rsidR="00716CED" w:rsidRDefault="00716CED">
          <w:pPr>
            <w:pStyle w:val="TOC1"/>
            <w:tabs>
              <w:tab w:val="right" w:leader="dot" w:pos="9350"/>
            </w:tabs>
            <w:rPr>
              <w:rFonts w:asciiTheme="minorHAnsi" w:eastAsiaTheme="minorEastAsia" w:hAnsiTheme="minorHAnsi" w:cstheme="minorBidi"/>
              <w:noProof/>
              <w:kern w:val="2"/>
              <w:lang w:val="en-IN"/>
              <w14:ligatures w14:val="standardContextual"/>
            </w:rPr>
          </w:pPr>
          <w:hyperlink w:anchor="_Toc241008268" w:history="1">
            <w:r w:rsidRPr="00854E9B">
              <w:rPr>
                <w:rStyle w:val="Hyperlink"/>
                <w:noProof/>
              </w:rPr>
              <w:t>Chapter 9: Financial, Marketing and Sales, and Human Capital Management Plan</w:t>
            </w:r>
            <w:r>
              <w:rPr>
                <w:noProof/>
                <w:webHidden/>
              </w:rPr>
              <w:tab/>
            </w:r>
            <w:r>
              <w:rPr>
                <w:noProof/>
                <w:webHidden/>
              </w:rPr>
              <w:fldChar w:fldCharType="begin"/>
            </w:r>
            <w:r>
              <w:rPr>
                <w:noProof/>
                <w:webHidden/>
              </w:rPr>
              <w:instrText xml:space="preserve"> PAGEREF _Toc241008268 \h </w:instrText>
            </w:r>
            <w:r>
              <w:rPr>
                <w:noProof/>
                <w:webHidden/>
              </w:rPr>
            </w:r>
            <w:r>
              <w:rPr>
                <w:noProof/>
                <w:webHidden/>
              </w:rPr>
              <w:fldChar w:fldCharType="separate"/>
            </w:r>
            <w:r w:rsidR="005803CC">
              <w:rPr>
                <w:noProof/>
                <w:webHidden/>
              </w:rPr>
              <w:t>62</w:t>
            </w:r>
            <w:r>
              <w:rPr>
                <w:noProof/>
                <w:webHidden/>
              </w:rPr>
              <w:fldChar w:fldCharType="end"/>
            </w:r>
          </w:hyperlink>
        </w:p>
        <w:p w14:paraId="617813B0" w14:textId="37B0C0BB" w:rsidR="00716CED" w:rsidRDefault="00716CED">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41008269" w:history="1">
            <w:r w:rsidRPr="00854E9B">
              <w:rPr>
                <w:rStyle w:val="Hyperlink"/>
                <w:noProof/>
              </w:rPr>
              <w:t>9.1 Integrated Plan Overview</w:t>
            </w:r>
            <w:r>
              <w:rPr>
                <w:noProof/>
                <w:webHidden/>
              </w:rPr>
              <w:tab/>
            </w:r>
            <w:r>
              <w:rPr>
                <w:noProof/>
                <w:webHidden/>
              </w:rPr>
              <w:fldChar w:fldCharType="begin"/>
            </w:r>
            <w:r>
              <w:rPr>
                <w:noProof/>
                <w:webHidden/>
              </w:rPr>
              <w:instrText xml:space="preserve"> PAGEREF _Toc241008269 \h </w:instrText>
            </w:r>
            <w:r>
              <w:rPr>
                <w:noProof/>
                <w:webHidden/>
              </w:rPr>
            </w:r>
            <w:r>
              <w:rPr>
                <w:noProof/>
                <w:webHidden/>
              </w:rPr>
              <w:fldChar w:fldCharType="separate"/>
            </w:r>
            <w:r w:rsidR="005803CC">
              <w:rPr>
                <w:noProof/>
                <w:webHidden/>
              </w:rPr>
              <w:t>62</w:t>
            </w:r>
            <w:r>
              <w:rPr>
                <w:noProof/>
                <w:webHidden/>
              </w:rPr>
              <w:fldChar w:fldCharType="end"/>
            </w:r>
          </w:hyperlink>
        </w:p>
        <w:p w14:paraId="569824AC" w14:textId="02BDF3EF" w:rsidR="00716CED" w:rsidRDefault="00716CED">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41008270" w:history="1">
            <w:r w:rsidRPr="00854E9B">
              <w:rPr>
                <w:rStyle w:val="Hyperlink"/>
                <w:noProof/>
              </w:rPr>
              <w:t>9.2 Financial Plan</w:t>
            </w:r>
            <w:r>
              <w:rPr>
                <w:noProof/>
                <w:webHidden/>
              </w:rPr>
              <w:tab/>
            </w:r>
            <w:r>
              <w:rPr>
                <w:noProof/>
                <w:webHidden/>
              </w:rPr>
              <w:fldChar w:fldCharType="begin"/>
            </w:r>
            <w:r>
              <w:rPr>
                <w:noProof/>
                <w:webHidden/>
              </w:rPr>
              <w:instrText xml:space="preserve"> PAGEREF _Toc241008270 \h </w:instrText>
            </w:r>
            <w:r>
              <w:rPr>
                <w:noProof/>
                <w:webHidden/>
              </w:rPr>
            </w:r>
            <w:r>
              <w:rPr>
                <w:noProof/>
                <w:webHidden/>
              </w:rPr>
              <w:fldChar w:fldCharType="separate"/>
            </w:r>
            <w:r w:rsidR="005803CC">
              <w:rPr>
                <w:noProof/>
                <w:webHidden/>
              </w:rPr>
              <w:t>62</w:t>
            </w:r>
            <w:r>
              <w:rPr>
                <w:noProof/>
                <w:webHidden/>
              </w:rPr>
              <w:fldChar w:fldCharType="end"/>
            </w:r>
          </w:hyperlink>
        </w:p>
        <w:p w14:paraId="25C3BD3E" w14:textId="5CC1BE57" w:rsidR="00716CED" w:rsidRPr="000A6F3B" w:rsidRDefault="00716CED" w:rsidP="000A6F3B">
          <w:pPr>
            <w:pStyle w:val="TOC3"/>
            <w:rPr>
              <w:rFonts w:asciiTheme="minorHAnsi" w:eastAsiaTheme="minorEastAsia" w:hAnsiTheme="minorHAnsi" w:cstheme="minorBidi"/>
              <w:kern w:val="2"/>
              <w:lang w:val="en-IN"/>
              <w14:ligatures w14:val="standardContextual"/>
            </w:rPr>
          </w:pPr>
          <w:hyperlink w:anchor="_Toc241008271" w:history="1">
            <w:r w:rsidRPr="000A6F3B">
              <w:rPr>
                <w:rStyle w:val="Hyperlink"/>
              </w:rPr>
              <w:t>9.2.1 Product range and pricing strategy</w:t>
            </w:r>
            <w:r w:rsidRPr="000A6F3B">
              <w:rPr>
                <w:webHidden/>
              </w:rPr>
              <w:tab/>
            </w:r>
            <w:r w:rsidRPr="000A6F3B">
              <w:rPr>
                <w:webHidden/>
              </w:rPr>
              <w:fldChar w:fldCharType="begin"/>
            </w:r>
            <w:r w:rsidRPr="000A6F3B">
              <w:rPr>
                <w:webHidden/>
              </w:rPr>
              <w:instrText xml:space="preserve"> PAGEREF _Toc241008271 \h </w:instrText>
            </w:r>
            <w:r w:rsidRPr="000A6F3B">
              <w:rPr>
                <w:webHidden/>
              </w:rPr>
            </w:r>
            <w:r w:rsidRPr="000A6F3B">
              <w:rPr>
                <w:webHidden/>
              </w:rPr>
              <w:fldChar w:fldCharType="separate"/>
            </w:r>
            <w:r w:rsidR="005803CC">
              <w:rPr>
                <w:webHidden/>
              </w:rPr>
              <w:t>62</w:t>
            </w:r>
            <w:r w:rsidRPr="000A6F3B">
              <w:rPr>
                <w:webHidden/>
              </w:rPr>
              <w:fldChar w:fldCharType="end"/>
            </w:r>
          </w:hyperlink>
        </w:p>
        <w:p w14:paraId="613FB66F" w14:textId="6BF75C6F" w:rsidR="00716CED" w:rsidRPr="000A6F3B" w:rsidRDefault="00716CED" w:rsidP="000A6F3B">
          <w:pPr>
            <w:pStyle w:val="TOC3"/>
            <w:rPr>
              <w:rFonts w:asciiTheme="minorHAnsi" w:eastAsiaTheme="minorEastAsia" w:hAnsiTheme="minorHAnsi" w:cstheme="minorBidi"/>
              <w:kern w:val="2"/>
              <w:lang w:val="en-IN"/>
              <w14:ligatures w14:val="standardContextual"/>
            </w:rPr>
          </w:pPr>
          <w:hyperlink w:anchor="_Toc241008272" w:history="1">
            <w:r w:rsidRPr="000A6F3B">
              <w:rPr>
                <w:rStyle w:val="Hyperlink"/>
              </w:rPr>
              <w:t>9.2.2 Revenue model and assumptions</w:t>
            </w:r>
            <w:r w:rsidRPr="000A6F3B">
              <w:rPr>
                <w:webHidden/>
              </w:rPr>
              <w:tab/>
            </w:r>
            <w:r w:rsidRPr="000A6F3B">
              <w:rPr>
                <w:webHidden/>
              </w:rPr>
              <w:fldChar w:fldCharType="begin"/>
            </w:r>
            <w:r w:rsidRPr="000A6F3B">
              <w:rPr>
                <w:webHidden/>
              </w:rPr>
              <w:instrText xml:space="preserve"> PAGEREF _Toc241008272 \h </w:instrText>
            </w:r>
            <w:r w:rsidRPr="000A6F3B">
              <w:rPr>
                <w:webHidden/>
              </w:rPr>
            </w:r>
            <w:r w:rsidRPr="000A6F3B">
              <w:rPr>
                <w:webHidden/>
              </w:rPr>
              <w:fldChar w:fldCharType="separate"/>
            </w:r>
            <w:r w:rsidR="005803CC">
              <w:rPr>
                <w:webHidden/>
              </w:rPr>
              <w:t>64</w:t>
            </w:r>
            <w:r w:rsidRPr="000A6F3B">
              <w:rPr>
                <w:webHidden/>
              </w:rPr>
              <w:fldChar w:fldCharType="end"/>
            </w:r>
          </w:hyperlink>
        </w:p>
        <w:p w14:paraId="6446A207" w14:textId="6305C382" w:rsidR="00716CED" w:rsidRPr="000A6F3B" w:rsidRDefault="00716CED" w:rsidP="000A6F3B">
          <w:pPr>
            <w:pStyle w:val="TOC3"/>
            <w:rPr>
              <w:rFonts w:asciiTheme="minorHAnsi" w:eastAsiaTheme="minorEastAsia" w:hAnsiTheme="minorHAnsi" w:cstheme="minorBidi"/>
              <w:kern w:val="2"/>
              <w:lang w:val="en-IN"/>
              <w14:ligatures w14:val="standardContextual"/>
            </w:rPr>
          </w:pPr>
          <w:hyperlink w:anchor="_Toc241008273" w:history="1">
            <w:r w:rsidRPr="000A6F3B">
              <w:rPr>
                <w:rStyle w:val="Hyperlink"/>
              </w:rPr>
              <w:t>9.2.3 Start-up costs and operating forecast</w:t>
            </w:r>
            <w:r w:rsidRPr="000A6F3B">
              <w:rPr>
                <w:webHidden/>
              </w:rPr>
              <w:tab/>
            </w:r>
            <w:r w:rsidRPr="000A6F3B">
              <w:rPr>
                <w:webHidden/>
              </w:rPr>
              <w:fldChar w:fldCharType="begin"/>
            </w:r>
            <w:r w:rsidRPr="000A6F3B">
              <w:rPr>
                <w:webHidden/>
              </w:rPr>
              <w:instrText xml:space="preserve"> PAGEREF _Toc241008273 \h </w:instrText>
            </w:r>
            <w:r w:rsidRPr="000A6F3B">
              <w:rPr>
                <w:webHidden/>
              </w:rPr>
            </w:r>
            <w:r w:rsidRPr="000A6F3B">
              <w:rPr>
                <w:webHidden/>
              </w:rPr>
              <w:fldChar w:fldCharType="separate"/>
            </w:r>
            <w:r w:rsidR="005803CC">
              <w:rPr>
                <w:webHidden/>
              </w:rPr>
              <w:t>65</w:t>
            </w:r>
            <w:r w:rsidRPr="000A6F3B">
              <w:rPr>
                <w:webHidden/>
              </w:rPr>
              <w:fldChar w:fldCharType="end"/>
            </w:r>
          </w:hyperlink>
        </w:p>
        <w:p w14:paraId="04C2E15B" w14:textId="45053F01" w:rsidR="00716CED" w:rsidRPr="000A6F3B" w:rsidRDefault="00716CED" w:rsidP="000A6F3B">
          <w:pPr>
            <w:pStyle w:val="TOC3"/>
            <w:rPr>
              <w:rFonts w:asciiTheme="minorHAnsi" w:eastAsiaTheme="minorEastAsia" w:hAnsiTheme="minorHAnsi" w:cstheme="minorBidi"/>
              <w:kern w:val="2"/>
              <w:lang w:val="en-IN"/>
              <w14:ligatures w14:val="standardContextual"/>
            </w:rPr>
          </w:pPr>
          <w:hyperlink w:anchor="_Toc241008274" w:history="1">
            <w:r w:rsidRPr="000A6F3B">
              <w:rPr>
                <w:rStyle w:val="Hyperlink"/>
              </w:rPr>
              <w:t>9.2.4 Break-even and sensitivity</w:t>
            </w:r>
            <w:r w:rsidRPr="000A6F3B">
              <w:rPr>
                <w:webHidden/>
              </w:rPr>
              <w:tab/>
            </w:r>
            <w:r w:rsidRPr="000A6F3B">
              <w:rPr>
                <w:webHidden/>
              </w:rPr>
              <w:fldChar w:fldCharType="begin"/>
            </w:r>
            <w:r w:rsidRPr="000A6F3B">
              <w:rPr>
                <w:webHidden/>
              </w:rPr>
              <w:instrText xml:space="preserve"> PAGEREF _Toc241008274 \h </w:instrText>
            </w:r>
            <w:r w:rsidRPr="000A6F3B">
              <w:rPr>
                <w:webHidden/>
              </w:rPr>
            </w:r>
            <w:r w:rsidRPr="000A6F3B">
              <w:rPr>
                <w:webHidden/>
              </w:rPr>
              <w:fldChar w:fldCharType="separate"/>
            </w:r>
            <w:r w:rsidR="005803CC">
              <w:rPr>
                <w:webHidden/>
              </w:rPr>
              <w:t>66</w:t>
            </w:r>
            <w:r w:rsidRPr="000A6F3B">
              <w:rPr>
                <w:webHidden/>
              </w:rPr>
              <w:fldChar w:fldCharType="end"/>
            </w:r>
          </w:hyperlink>
        </w:p>
        <w:p w14:paraId="434C085F" w14:textId="6F15CC0F" w:rsidR="00716CED" w:rsidRDefault="00716CED">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41008275" w:history="1">
            <w:r w:rsidRPr="00854E9B">
              <w:rPr>
                <w:rStyle w:val="Hyperlink"/>
                <w:noProof/>
              </w:rPr>
              <w:t>9.3 Marketing and Sales Plan</w:t>
            </w:r>
            <w:r>
              <w:rPr>
                <w:noProof/>
                <w:webHidden/>
              </w:rPr>
              <w:tab/>
            </w:r>
            <w:r>
              <w:rPr>
                <w:noProof/>
                <w:webHidden/>
              </w:rPr>
              <w:fldChar w:fldCharType="begin"/>
            </w:r>
            <w:r>
              <w:rPr>
                <w:noProof/>
                <w:webHidden/>
              </w:rPr>
              <w:instrText xml:space="preserve"> PAGEREF _Toc241008275 \h </w:instrText>
            </w:r>
            <w:r>
              <w:rPr>
                <w:noProof/>
                <w:webHidden/>
              </w:rPr>
            </w:r>
            <w:r>
              <w:rPr>
                <w:noProof/>
                <w:webHidden/>
              </w:rPr>
              <w:fldChar w:fldCharType="separate"/>
            </w:r>
            <w:r w:rsidR="005803CC">
              <w:rPr>
                <w:noProof/>
                <w:webHidden/>
              </w:rPr>
              <w:t>67</w:t>
            </w:r>
            <w:r>
              <w:rPr>
                <w:noProof/>
                <w:webHidden/>
              </w:rPr>
              <w:fldChar w:fldCharType="end"/>
            </w:r>
          </w:hyperlink>
        </w:p>
        <w:p w14:paraId="56E9F3B6" w14:textId="355E7774" w:rsidR="00716CED" w:rsidRPr="000A6F3B" w:rsidRDefault="00716CED" w:rsidP="000A6F3B">
          <w:pPr>
            <w:pStyle w:val="TOC3"/>
            <w:rPr>
              <w:rFonts w:asciiTheme="minorHAnsi" w:eastAsiaTheme="minorEastAsia" w:hAnsiTheme="minorHAnsi" w:cstheme="minorBidi"/>
              <w:kern w:val="2"/>
              <w:lang w:val="en-IN"/>
              <w14:ligatures w14:val="standardContextual"/>
            </w:rPr>
          </w:pPr>
          <w:hyperlink w:anchor="_Toc241008276" w:history="1">
            <w:r w:rsidRPr="000A6F3B">
              <w:rPr>
                <w:rStyle w:val="Hyperlink"/>
              </w:rPr>
              <w:t>9.3.1 Target market and positioning</w:t>
            </w:r>
            <w:r w:rsidRPr="000A6F3B">
              <w:rPr>
                <w:webHidden/>
              </w:rPr>
              <w:tab/>
            </w:r>
            <w:r w:rsidRPr="000A6F3B">
              <w:rPr>
                <w:webHidden/>
              </w:rPr>
              <w:fldChar w:fldCharType="begin"/>
            </w:r>
            <w:r w:rsidRPr="000A6F3B">
              <w:rPr>
                <w:webHidden/>
              </w:rPr>
              <w:instrText xml:space="preserve"> PAGEREF _Toc241008276 \h </w:instrText>
            </w:r>
            <w:r w:rsidRPr="000A6F3B">
              <w:rPr>
                <w:webHidden/>
              </w:rPr>
            </w:r>
            <w:r w:rsidRPr="000A6F3B">
              <w:rPr>
                <w:webHidden/>
              </w:rPr>
              <w:fldChar w:fldCharType="separate"/>
            </w:r>
            <w:r w:rsidR="005803CC">
              <w:rPr>
                <w:webHidden/>
              </w:rPr>
              <w:t>67</w:t>
            </w:r>
            <w:r w:rsidRPr="000A6F3B">
              <w:rPr>
                <w:webHidden/>
              </w:rPr>
              <w:fldChar w:fldCharType="end"/>
            </w:r>
          </w:hyperlink>
        </w:p>
        <w:p w14:paraId="683766BB" w14:textId="5D080E9C" w:rsidR="00716CED" w:rsidRPr="000A6F3B" w:rsidRDefault="00716CED" w:rsidP="000A6F3B">
          <w:pPr>
            <w:pStyle w:val="TOC3"/>
            <w:rPr>
              <w:rFonts w:asciiTheme="minorHAnsi" w:eastAsiaTheme="minorEastAsia" w:hAnsiTheme="minorHAnsi" w:cstheme="minorBidi"/>
              <w:kern w:val="2"/>
              <w:lang w:val="en-IN"/>
              <w14:ligatures w14:val="standardContextual"/>
            </w:rPr>
          </w:pPr>
          <w:hyperlink w:anchor="_Toc241008277" w:history="1">
            <w:r w:rsidRPr="000A6F3B">
              <w:rPr>
                <w:rStyle w:val="Hyperlink"/>
              </w:rPr>
              <w:t>9.3.2 Marketing mix</w:t>
            </w:r>
            <w:r w:rsidRPr="000A6F3B">
              <w:rPr>
                <w:webHidden/>
              </w:rPr>
              <w:tab/>
            </w:r>
            <w:r w:rsidRPr="000A6F3B">
              <w:rPr>
                <w:webHidden/>
              </w:rPr>
              <w:fldChar w:fldCharType="begin"/>
            </w:r>
            <w:r w:rsidRPr="000A6F3B">
              <w:rPr>
                <w:webHidden/>
              </w:rPr>
              <w:instrText xml:space="preserve"> PAGEREF _Toc241008277 \h </w:instrText>
            </w:r>
            <w:r w:rsidRPr="000A6F3B">
              <w:rPr>
                <w:webHidden/>
              </w:rPr>
            </w:r>
            <w:r w:rsidRPr="000A6F3B">
              <w:rPr>
                <w:webHidden/>
              </w:rPr>
              <w:fldChar w:fldCharType="separate"/>
            </w:r>
            <w:r w:rsidR="005803CC">
              <w:rPr>
                <w:webHidden/>
              </w:rPr>
              <w:t>68</w:t>
            </w:r>
            <w:r w:rsidRPr="000A6F3B">
              <w:rPr>
                <w:webHidden/>
              </w:rPr>
              <w:fldChar w:fldCharType="end"/>
            </w:r>
          </w:hyperlink>
        </w:p>
        <w:p w14:paraId="306CF711" w14:textId="47B3E195" w:rsidR="00716CED" w:rsidRPr="000A6F3B" w:rsidRDefault="00716CED" w:rsidP="000A6F3B">
          <w:pPr>
            <w:pStyle w:val="TOC3"/>
            <w:rPr>
              <w:rFonts w:asciiTheme="minorHAnsi" w:eastAsiaTheme="minorEastAsia" w:hAnsiTheme="minorHAnsi" w:cstheme="minorBidi"/>
              <w:kern w:val="2"/>
              <w:lang w:val="en-IN"/>
              <w14:ligatures w14:val="standardContextual"/>
            </w:rPr>
          </w:pPr>
          <w:hyperlink w:anchor="_Toc241008278" w:history="1">
            <w:r w:rsidRPr="000A6F3B">
              <w:rPr>
                <w:rStyle w:val="Hyperlink"/>
              </w:rPr>
              <w:t>9.3.3 Customer acquisition and sales</w:t>
            </w:r>
            <w:r w:rsidRPr="000A6F3B">
              <w:rPr>
                <w:webHidden/>
              </w:rPr>
              <w:tab/>
            </w:r>
            <w:r w:rsidRPr="000A6F3B">
              <w:rPr>
                <w:webHidden/>
              </w:rPr>
              <w:fldChar w:fldCharType="begin"/>
            </w:r>
            <w:r w:rsidRPr="000A6F3B">
              <w:rPr>
                <w:webHidden/>
              </w:rPr>
              <w:instrText xml:space="preserve"> PAGEREF _Toc241008278 \h </w:instrText>
            </w:r>
            <w:r w:rsidRPr="000A6F3B">
              <w:rPr>
                <w:webHidden/>
              </w:rPr>
            </w:r>
            <w:r w:rsidRPr="000A6F3B">
              <w:rPr>
                <w:webHidden/>
              </w:rPr>
              <w:fldChar w:fldCharType="separate"/>
            </w:r>
            <w:r w:rsidR="005803CC">
              <w:rPr>
                <w:webHidden/>
              </w:rPr>
              <w:t>69</w:t>
            </w:r>
            <w:r w:rsidRPr="000A6F3B">
              <w:rPr>
                <w:webHidden/>
              </w:rPr>
              <w:fldChar w:fldCharType="end"/>
            </w:r>
          </w:hyperlink>
        </w:p>
        <w:p w14:paraId="5F4F0690" w14:textId="25A738CC" w:rsidR="00716CED" w:rsidRDefault="00716CED">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41008279" w:history="1">
            <w:r w:rsidRPr="00854E9B">
              <w:rPr>
                <w:rStyle w:val="Hyperlink"/>
                <w:noProof/>
              </w:rPr>
              <w:t>9.4 Human Capital Management Plan</w:t>
            </w:r>
            <w:r>
              <w:rPr>
                <w:noProof/>
                <w:webHidden/>
              </w:rPr>
              <w:tab/>
            </w:r>
            <w:r>
              <w:rPr>
                <w:noProof/>
                <w:webHidden/>
              </w:rPr>
              <w:fldChar w:fldCharType="begin"/>
            </w:r>
            <w:r>
              <w:rPr>
                <w:noProof/>
                <w:webHidden/>
              </w:rPr>
              <w:instrText xml:space="preserve"> PAGEREF _Toc241008279 \h </w:instrText>
            </w:r>
            <w:r>
              <w:rPr>
                <w:noProof/>
                <w:webHidden/>
              </w:rPr>
            </w:r>
            <w:r>
              <w:rPr>
                <w:noProof/>
                <w:webHidden/>
              </w:rPr>
              <w:fldChar w:fldCharType="separate"/>
            </w:r>
            <w:r w:rsidR="005803CC">
              <w:rPr>
                <w:noProof/>
                <w:webHidden/>
              </w:rPr>
              <w:t>70</w:t>
            </w:r>
            <w:r>
              <w:rPr>
                <w:noProof/>
                <w:webHidden/>
              </w:rPr>
              <w:fldChar w:fldCharType="end"/>
            </w:r>
          </w:hyperlink>
        </w:p>
        <w:p w14:paraId="75BBB5C6" w14:textId="35431811" w:rsidR="00716CED" w:rsidRDefault="00716CED">
          <w:pPr>
            <w:pStyle w:val="TOC1"/>
            <w:tabs>
              <w:tab w:val="right" w:leader="dot" w:pos="9350"/>
            </w:tabs>
            <w:rPr>
              <w:rFonts w:asciiTheme="minorHAnsi" w:eastAsiaTheme="minorEastAsia" w:hAnsiTheme="minorHAnsi" w:cstheme="minorBidi"/>
              <w:noProof/>
              <w:kern w:val="2"/>
              <w:lang w:val="en-IN"/>
              <w14:ligatures w14:val="standardContextual"/>
            </w:rPr>
          </w:pPr>
          <w:hyperlink w:anchor="_Toc241008280" w:history="1">
            <w:r w:rsidRPr="00854E9B">
              <w:rPr>
                <w:rStyle w:val="Hyperlink"/>
                <w:noProof/>
              </w:rPr>
              <w:t>Chapter 10: Operations Plan</w:t>
            </w:r>
            <w:r>
              <w:rPr>
                <w:noProof/>
                <w:webHidden/>
              </w:rPr>
              <w:tab/>
            </w:r>
            <w:r>
              <w:rPr>
                <w:noProof/>
                <w:webHidden/>
              </w:rPr>
              <w:fldChar w:fldCharType="begin"/>
            </w:r>
            <w:r>
              <w:rPr>
                <w:noProof/>
                <w:webHidden/>
              </w:rPr>
              <w:instrText xml:space="preserve"> PAGEREF _Toc241008280 \h </w:instrText>
            </w:r>
            <w:r>
              <w:rPr>
                <w:noProof/>
                <w:webHidden/>
              </w:rPr>
            </w:r>
            <w:r>
              <w:rPr>
                <w:noProof/>
                <w:webHidden/>
              </w:rPr>
              <w:fldChar w:fldCharType="separate"/>
            </w:r>
            <w:r w:rsidR="005803CC">
              <w:rPr>
                <w:noProof/>
                <w:webHidden/>
              </w:rPr>
              <w:t>72</w:t>
            </w:r>
            <w:r>
              <w:rPr>
                <w:noProof/>
                <w:webHidden/>
              </w:rPr>
              <w:fldChar w:fldCharType="end"/>
            </w:r>
          </w:hyperlink>
        </w:p>
        <w:p w14:paraId="3D39699C" w14:textId="7A23FD26" w:rsidR="00716CED" w:rsidRDefault="00716CED">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41008281" w:history="1">
            <w:r w:rsidRPr="00854E9B">
              <w:rPr>
                <w:rStyle w:val="Hyperlink"/>
                <w:noProof/>
              </w:rPr>
              <w:t>10.1 Operating model, scope and frameworks</w:t>
            </w:r>
            <w:r>
              <w:rPr>
                <w:noProof/>
                <w:webHidden/>
              </w:rPr>
              <w:tab/>
            </w:r>
            <w:r>
              <w:rPr>
                <w:noProof/>
                <w:webHidden/>
              </w:rPr>
              <w:fldChar w:fldCharType="begin"/>
            </w:r>
            <w:r>
              <w:rPr>
                <w:noProof/>
                <w:webHidden/>
              </w:rPr>
              <w:instrText xml:space="preserve"> PAGEREF _Toc241008281 \h </w:instrText>
            </w:r>
            <w:r>
              <w:rPr>
                <w:noProof/>
                <w:webHidden/>
              </w:rPr>
            </w:r>
            <w:r>
              <w:rPr>
                <w:noProof/>
                <w:webHidden/>
              </w:rPr>
              <w:fldChar w:fldCharType="separate"/>
            </w:r>
            <w:r w:rsidR="005803CC">
              <w:rPr>
                <w:noProof/>
                <w:webHidden/>
              </w:rPr>
              <w:t>72</w:t>
            </w:r>
            <w:r>
              <w:rPr>
                <w:noProof/>
                <w:webHidden/>
              </w:rPr>
              <w:fldChar w:fldCharType="end"/>
            </w:r>
          </w:hyperlink>
        </w:p>
        <w:p w14:paraId="5E95691A" w14:textId="722ECED1" w:rsidR="00716CED" w:rsidRDefault="00716CED">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41008282" w:history="1">
            <w:r w:rsidRPr="00854E9B">
              <w:rPr>
                <w:rStyle w:val="Hyperlink"/>
                <w:noProof/>
              </w:rPr>
              <w:t>10.2 Operational workflow and capacity</w:t>
            </w:r>
            <w:r>
              <w:rPr>
                <w:noProof/>
                <w:webHidden/>
              </w:rPr>
              <w:tab/>
            </w:r>
            <w:r>
              <w:rPr>
                <w:noProof/>
                <w:webHidden/>
              </w:rPr>
              <w:fldChar w:fldCharType="begin"/>
            </w:r>
            <w:r>
              <w:rPr>
                <w:noProof/>
                <w:webHidden/>
              </w:rPr>
              <w:instrText xml:space="preserve"> PAGEREF _Toc241008282 \h </w:instrText>
            </w:r>
            <w:r>
              <w:rPr>
                <w:noProof/>
                <w:webHidden/>
              </w:rPr>
            </w:r>
            <w:r>
              <w:rPr>
                <w:noProof/>
                <w:webHidden/>
              </w:rPr>
              <w:fldChar w:fldCharType="separate"/>
            </w:r>
            <w:r w:rsidR="005803CC">
              <w:rPr>
                <w:noProof/>
                <w:webHidden/>
              </w:rPr>
              <w:t>72</w:t>
            </w:r>
            <w:r>
              <w:rPr>
                <w:noProof/>
                <w:webHidden/>
              </w:rPr>
              <w:fldChar w:fldCharType="end"/>
            </w:r>
          </w:hyperlink>
        </w:p>
        <w:p w14:paraId="24EDE5B6" w14:textId="7627608E" w:rsidR="00716CED" w:rsidRDefault="00716CED">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41008283" w:history="1">
            <w:r w:rsidRPr="00854E9B">
              <w:rPr>
                <w:rStyle w:val="Hyperlink"/>
                <w:noProof/>
              </w:rPr>
              <w:t>10.3 Location, facilities and technology</w:t>
            </w:r>
            <w:r>
              <w:rPr>
                <w:noProof/>
                <w:webHidden/>
              </w:rPr>
              <w:tab/>
            </w:r>
            <w:r>
              <w:rPr>
                <w:noProof/>
                <w:webHidden/>
              </w:rPr>
              <w:fldChar w:fldCharType="begin"/>
            </w:r>
            <w:r>
              <w:rPr>
                <w:noProof/>
                <w:webHidden/>
              </w:rPr>
              <w:instrText xml:space="preserve"> PAGEREF _Toc241008283 \h </w:instrText>
            </w:r>
            <w:r>
              <w:rPr>
                <w:noProof/>
                <w:webHidden/>
              </w:rPr>
            </w:r>
            <w:r>
              <w:rPr>
                <w:noProof/>
                <w:webHidden/>
              </w:rPr>
              <w:fldChar w:fldCharType="separate"/>
            </w:r>
            <w:r w:rsidR="005803CC">
              <w:rPr>
                <w:noProof/>
                <w:webHidden/>
              </w:rPr>
              <w:t>73</w:t>
            </w:r>
            <w:r>
              <w:rPr>
                <w:noProof/>
                <w:webHidden/>
              </w:rPr>
              <w:fldChar w:fldCharType="end"/>
            </w:r>
          </w:hyperlink>
        </w:p>
        <w:p w14:paraId="559233BC" w14:textId="03FBE1D2" w:rsidR="00716CED" w:rsidRDefault="00716CED">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41008284" w:history="1">
            <w:r w:rsidRPr="00854E9B">
              <w:rPr>
                <w:rStyle w:val="Hyperlink"/>
                <w:noProof/>
              </w:rPr>
              <w:t>10.4 Supply chain, procurement, inventory and logistics</w:t>
            </w:r>
            <w:r>
              <w:rPr>
                <w:noProof/>
                <w:webHidden/>
              </w:rPr>
              <w:tab/>
            </w:r>
            <w:r>
              <w:rPr>
                <w:noProof/>
                <w:webHidden/>
              </w:rPr>
              <w:fldChar w:fldCharType="begin"/>
            </w:r>
            <w:r>
              <w:rPr>
                <w:noProof/>
                <w:webHidden/>
              </w:rPr>
              <w:instrText xml:space="preserve"> PAGEREF _Toc241008284 \h </w:instrText>
            </w:r>
            <w:r>
              <w:rPr>
                <w:noProof/>
                <w:webHidden/>
              </w:rPr>
            </w:r>
            <w:r>
              <w:rPr>
                <w:noProof/>
                <w:webHidden/>
              </w:rPr>
              <w:fldChar w:fldCharType="separate"/>
            </w:r>
            <w:r w:rsidR="005803CC">
              <w:rPr>
                <w:noProof/>
                <w:webHidden/>
              </w:rPr>
              <w:t>75</w:t>
            </w:r>
            <w:r>
              <w:rPr>
                <w:noProof/>
                <w:webHidden/>
              </w:rPr>
              <w:fldChar w:fldCharType="end"/>
            </w:r>
          </w:hyperlink>
        </w:p>
        <w:p w14:paraId="64D78B1C" w14:textId="7DA396EF" w:rsidR="00716CED" w:rsidRDefault="00716CED">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41008285" w:history="1">
            <w:r w:rsidRPr="00854E9B">
              <w:rPr>
                <w:rStyle w:val="Hyperlink"/>
                <w:noProof/>
              </w:rPr>
              <w:t>10.5 Quality, compliance and operational controls</w:t>
            </w:r>
            <w:r>
              <w:rPr>
                <w:noProof/>
                <w:webHidden/>
              </w:rPr>
              <w:tab/>
            </w:r>
            <w:r>
              <w:rPr>
                <w:noProof/>
                <w:webHidden/>
              </w:rPr>
              <w:fldChar w:fldCharType="begin"/>
            </w:r>
            <w:r>
              <w:rPr>
                <w:noProof/>
                <w:webHidden/>
              </w:rPr>
              <w:instrText xml:space="preserve"> PAGEREF _Toc241008285 \h </w:instrText>
            </w:r>
            <w:r>
              <w:rPr>
                <w:noProof/>
                <w:webHidden/>
              </w:rPr>
            </w:r>
            <w:r>
              <w:rPr>
                <w:noProof/>
                <w:webHidden/>
              </w:rPr>
              <w:fldChar w:fldCharType="separate"/>
            </w:r>
            <w:r w:rsidR="005803CC">
              <w:rPr>
                <w:noProof/>
                <w:webHidden/>
              </w:rPr>
              <w:t>76</w:t>
            </w:r>
            <w:r>
              <w:rPr>
                <w:noProof/>
                <w:webHidden/>
              </w:rPr>
              <w:fldChar w:fldCharType="end"/>
            </w:r>
          </w:hyperlink>
        </w:p>
        <w:p w14:paraId="3C00ACE1" w14:textId="0C6C7A6B" w:rsidR="00716CED" w:rsidRDefault="00716CED">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41008286" w:history="1">
            <w:r w:rsidRPr="00854E9B">
              <w:rPr>
                <w:rStyle w:val="Hyperlink"/>
                <w:noProof/>
              </w:rPr>
              <w:t>10.6 Operational synthesis</w:t>
            </w:r>
            <w:r>
              <w:rPr>
                <w:noProof/>
                <w:webHidden/>
              </w:rPr>
              <w:tab/>
            </w:r>
            <w:r>
              <w:rPr>
                <w:noProof/>
                <w:webHidden/>
              </w:rPr>
              <w:fldChar w:fldCharType="begin"/>
            </w:r>
            <w:r>
              <w:rPr>
                <w:noProof/>
                <w:webHidden/>
              </w:rPr>
              <w:instrText xml:space="preserve"> PAGEREF _Toc241008286 \h </w:instrText>
            </w:r>
            <w:r>
              <w:rPr>
                <w:noProof/>
                <w:webHidden/>
              </w:rPr>
            </w:r>
            <w:r>
              <w:rPr>
                <w:noProof/>
                <w:webHidden/>
              </w:rPr>
              <w:fldChar w:fldCharType="separate"/>
            </w:r>
            <w:r w:rsidR="005803CC">
              <w:rPr>
                <w:noProof/>
                <w:webHidden/>
              </w:rPr>
              <w:t>77</w:t>
            </w:r>
            <w:r>
              <w:rPr>
                <w:noProof/>
                <w:webHidden/>
              </w:rPr>
              <w:fldChar w:fldCharType="end"/>
            </w:r>
          </w:hyperlink>
        </w:p>
        <w:p w14:paraId="00F50950" w14:textId="17960827" w:rsidR="00716CED" w:rsidRDefault="00716CED">
          <w:pPr>
            <w:pStyle w:val="TOC1"/>
            <w:tabs>
              <w:tab w:val="right" w:leader="dot" w:pos="9350"/>
            </w:tabs>
            <w:rPr>
              <w:rFonts w:asciiTheme="minorHAnsi" w:eastAsiaTheme="minorEastAsia" w:hAnsiTheme="minorHAnsi" w:cstheme="minorBidi"/>
              <w:noProof/>
              <w:kern w:val="2"/>
              <w:lang w:val="en-IN"/>
              <w14:ligatures w14:val="standardContextual"/>
            </w:rPr>
          </w:pPr>
          <w:hyperlink w:anchor="_Toc241008287" w:history="1">
            <w:r w:rsidRPr="00854E9B">
              <w:rPr>
                <w:rStyle w:val="Hyperlink"/>
                <w:noProof/>
              </w:rPr>
              <w:t>Chapter 11: Feasibility Analysis</w:t>
            </w:r>
            <w:r>
              <w:rPr>
                <w:noProof/>
                <w:webHidden/>
              </w:rPr>
              <w:tab/>
            </w:r>
            <w:r>
              <w:rPr>
                <w:noProof/>
                <w:webHidden/>
              </w:rPr>
              <w:fldChar w:fldCharType="begin"/>
            </w:r>
            <w:r>
              <w:rPr>
                <w:noProof/>
                <w:webHidden/>
              </w:rPr>
              <w:instrText xml:space="preserve"> PAGEREF _Toc241008287 \h </w:instrText>
            </w:r>
            <w:r>
              <w:rPr>
                <w:noProof/>
                <w:webHidden/>
              </w:rPr>
            </w:r>
            <w:r>
              <w:rPr>
                <w:noProof/>
                <w:webHidden/>
              </w:rPr>
              <w:fldChar w:fldCharType="separate"/>
            </w:r>
            <w:r w:rsidR="005803CC">
              <w:rPr>
                <w:noProof/>
                <w:webHidden/>
              </w:rPr>
              <w:t>78</w:t>
            </w:r>
            <w:r>
              <w:rPr>
                <w:noProof/>
                <w:webHidden/>
              </w:rPr>
              <w:fldChar w:fldCharType="end"/>
            </w:r>
          </w:hyperlink>
        </w:p>
        <w:p w14:paraId="5372DFCF" w14:textId="7143FD9A" w:rsidR="00716CED" w:rsidRDefault="00716CED">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41008288" w:history="1">
            <w:r w:rsidRPr="00854E9B">
              <w:rPr>
                <w:rStyle w:val="Hyperlink"/>
                <w:noProof/>
              </w:rPr>
              <w:t>11.1 Feasibility basis and decision criteria</w:t>
            </w:r>
            <w:r>
              <w:rPr>
                <w:noProof/>
                <w:webHidden/>
              </w:rPr>
              <w:tab/>
            </w:r>
            <w:r>
              <w:rPr>
                <w:noProof/>
                <w:webHidden/>
              </w:rPr>
              <w:fldChar w:fldCharType="begin"/>
            </w:r>
            <w:r>
              <w:rPr>
                <w:noProof/>
                <w:webHidden/>
              </w:rPr>
              <w:instrText xml:space="preserve"> PAGEREF _Toc241008288 \h </w:instrText>
            </w:r>
            <w:r>
              <w:rPr>
                <w:noProof/>
                <w:webHidden/>
              </w:rPr>
            </w:r>
            <w:r>
              <w:rPr>
                <w:noProof/>
                <w:webHidden/>
              </w:rPr>
              <w:fldChar w:fldCharType="separate"/>
            </w:r>
            <w:r w:rsidR="005803CC">
              <w:rPr>
                <w:noProof/>
                <w:webHidden/>
              </w:rPr>
              <w:t>78</w:t>
            </w:r>
            <w:r>
              <w:rPr>
                <w:noProof/>
                <w:webHidden/>
              </w:rPr>
              <w:fldChar w:fldCharType="end"/>
            </w:r>
          </w:hyperlink>
        </w:p>
        <w:p w14:paraId="7900E64F" w14:textId="3602A489" w:rsidR="00716CED" w:rsidRDefault="00716CED">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41008289" w:history="1">
            <w:r w:rsidRPr="00854E9B">
              <w:rPr>
                <w:rStyle w:val="Hyperlink"/>
                <w:noProof/>
              </w:rPr>
              <w:t>11.2 Ethical and market feasibility</w:t>
            </w:r>
            <w:r>
              <w:rPr>
                <w:noProof/>
                <w:webHidden/>
              </w:rPr>
              <w:tab/>
            </w:r>
            <w:r>
              <w:rPr>
                <w:noProof/>
                <w:webHidden/>
              </w:rPr>
              <w:fldChar w:fldCharType="begin"/>
            </w:r>
            <w:r>
              <w:rPr>
                <w:noProof/>
                <w:webHidden/>
              </w:rPr>
              <w:instrText xml:space="preserve"> PAGEREF _Toc241008289 \h </w:instrText>
            </w:r>
            <w:r>
              <w:rPr>
                <w:noProof/>
                <w:webHidden/>
              </w:rPr>
            </w:r>
            <w:r>
              <w:rPr>
                <w:noProof/>
                <w:webHidden/>
              </w:rPr>
              <w:fldChar w:fldCharType="separate"/>
            </w:r>
            <w:r w:rsidR="005803CC">
              <w:rPr>
                <w:noProof/>
                <w:webHidden/>
              </w:rPr>
              <w:t>78</w:t>
            </w:r>
            <w:r>
              <w:rPr>
                <w:noProof/>
                <w:webHidden/>
              </w:rPr>
              <w:fldChar w:fldCharType="end"/>
            </w:r>
          </w:hyperlink>
        </w:p>
        <w:p w14:paraId="32904F66" w14:textId="1EFFB3CF" w:rsidR="00716CED" w:rsidRDefault="00716CED">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41008290" w:history="1">
            <w:r w:rsidRPr="00854E9B">
              <w:rPr>
                <w:rStyle w:val="Hyperlink"/>
                <w:noProof/>
              </w:rPr>
              <w:t>11.3 Technical and operational feasibility</w:t>
            </w:r>
            <w:r>
              <w:rPr>
                <w:noProof/>
                <w:webHidden/>
              </w:rPr>
              <w:tab/>
            </w:r>
            <w:r>
              <w:rPr>
                <w:noProof/>
                <w:webHidden/>
              </w:rPr>
              <w:fldChar w:fldCharType="begin"/>
            </w:r>
            <w:r>
              <w:rPr>
                <w:noProof/>
                <w:webHidden/>
              </w:rPr>
              <w:instrText xml:space="preserve"> PAGEREF _Toc241008290 \h </w:instrText>
            </w:r>
            <w:r>
              <w:rPr>
                <w:noProof/>
                <w:webHidden/>
              </w:rPr>
            </w:r>
            <w:r>
              <w:rPr>
                <w:noProof/>
                <w:webHidden/>
              </w:rPr>
              <w:fldChar w:fldCharType="separate"/>
            </w:r>
            <w:r w:rsidR="005803CC">
              <w:rPr>
                <w:noProof/>
                <w:webHidden/>
              </w:rPr>
              <w:t>78</w:t>
            </w:r>
            <w:r>
              <w:rPr>
                <w:noProof/>
                <w:webHidden/>
              </w:rPr>
              <w:fldChar w:fldCharType="end"/>
            </w:r>
          </w:hyperlink>
        </w:p>
        <w:p w14:paraId="6542C8B4" w14:textId="21FB44C1" w:rsidR="00716CED" w:rsidRDefault="00716CED">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41008291" w:history="1">
            <w:r w:rsidRPr="00854E9B">
              <w:rPr>
                <w:rStyle w:val="Hyperlink"/>
                <w:noProof/>
              </w:rPr>
              <w:t>11.4 Financial feasibility</w:t>
            </w:r>
            <w:r>
              <w:rPr>
                <w:noProof/>
                <w:webHidden/>
              </w:rPr>
              <w:tab/>
            </w:r>
            <w:r>
              <w:rPr>
                <w:noProof/>
                <w:webHidden/>
              </w:rPr>
              <w:fldChar w:fldCharType="begin"/>
            </w:r>
            <w:r>
              <w:rPr>
                <w:noProof/>
                <w:webHidden/>
              </w:rPr>
              <w:instrText xml:space="preserve"> PAGEREF _Toc241008291 \h </w:instrText>
            </w:r>
            <w:r>
              <w:rPr>
                <w:noProof/>
                <w:webHidden/>
              </w:rPr>
            </w:r>
            <w:r>
              <w:rPr>
                <w:noProof/>
                <w:webHidden/>
              </w:rPr>
              <w:fldChar w:fldCharType="separate"/>
            </w:r>
            <w:r w:rsidR="005803CC">
              <w:rPr>
                <w:noProof/>
                <w:webHidden/>
              </w:rPr>
              <w:t>79</w:t>
            </w:r>
            <w:r>
              <w:rPr>
                <w:noProof/>
                <w:webHidden/>
              </w:rPr>
              <w:fldChar w:fldCharType="end"/>
            </w:r>
          </w:hyperlink>
        </w:p>
        <w:p w14:paraId="4E1A9AA0" w14:textId="16384CEA" w:rsidR="00716CED" w:rsidRDefault="00716CED">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41008292" w:history="1">
            <w:r w:rsidRPr="00854E9B">
              <w:rPr>
                <w:rStyle w:val="Hyperlink"/>
                <w:noProof/>
              </w:rPr>
              <w:t>11.5 Strategic fit and risk matrix</w:t>
            </w:r>
            <w:r>
              <w:rPr>
                <w:noProof/>
                <w:webHidden/>
              </w:rPr>
              <w:tab/>
            </w:r>
            <w:r>
              <w:rPr>
                <w:noProof/>
                <w:webHidden/>
              </w:rPr>
              <w:fldChar w:fldCharType="begin"/>
            </w:r>
            <w:r>
              <w:rPr>
                <w:noProof/>
                <w:webHidden/>
              </w:rPr>
              <w:instrText xml:space="preserve"> PAGEREF _Toc241008292 \h </w:instrText>
            </w:r>
            <w:r>
              <w:rPr>
                <w:noProof/>
                <w:webHidden/>
              </w:rPr>
            </w:r>
            <w:r>
              <w:rPr>
                <w:noProof/>
                <w:webHidden/>
              </w:rPr>
              <w:fldChar w:fldCharType="separate"/>
            </w:r>
            <w:r w:rsidR="005803CC">
              <w:rPr>
                <w:noProof/>
                <w:webHidden/>
              </w:rPr>
              <w:t>79</w:t>
            </w:r>
            <w:r>
              <w:rPr>
                <w:noProof/>
                <w:webHidden/>
              </w:rPr>
              <w:fldChar w:fldCharType="end"/>
            </w:r>
          </w:hyperlink>
        </w:p>
        <w:p w14:paraId="6DAAC1EA" w14:textId="4876EB81" w:rsidR="00716CED" w:rsidRDefault="00716CED">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41008293" w:history="1">
            <w:r w:rsidRPr="00854E9B">
              <w:rPr>
                <w:rStyle w:val="Hyperlink"/>
                <w:noProof/>
              </w:rPr>
              <w:t>11.6 Integrated viability judgement</w:t>
            </w:r>
            <w:r>
              <w:rPr>
                <w:noProof/>
                <w:webHidden/>
              </w:rPr>
              <w:tab/>
            </w:r>
            <w:r>
              <w:rPr>
                <w:noProof/>
                <w:webHidden/>
              </w:rPr>
              <w:fldChar w:fldCharType="begin"/>
            </w:r>
            <w:r>
              <w:rPr>
                <w:noProof/>
                <w:webHidden/>
              </w:rPr>
              <w:instrText xml:space="preserve"> PAGEREF _Toc241008293 \h </w:instrText>
            </w:r>
            <w:r>
              <w:rPr>
                <w:noProof/>
                <w:webHidden/>
              </w:rPr>
            </w:r>
            <w:r>
              <w:rPr>
                <w:noProof/>
                <w:webHidden/>
              </w:rPr>
              <w:fldChar w:fldCharType="separate"/>
            </w:r>
            <w:r w:rsidR="005803CC">
              <w:rPr>
                <w:noProof/>
                <w:webHidden/>
              </w:rPr>
              <w:t>81</w:t>
            </w:r>
            <w:r>
              <w:rPr>
                <w:noProof/>
                <w:webHidden/>
              </w:rPr>
              <w:fldChar w:fldCharType="end"/>
            </w:r>
          </w:hyperlink>
        </w:p>
        <w:p w14:paraId="4ADE2D63" w14:textId="42536685" w:rsidR="00716CED" w:rsidRDefault="00716CED">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41008294" w:history="1">
            <w:r w:rsidRPr="00854E9B">
              <w:rPr>
                <w:rStyle w:val="Hyperlink"/>
                <w:noProof/>
              </w:rPr>
              <w:t>Chapter 12: Implementation Plan</w:t>
            </w:r>
            <w:r>
              <w:rPr>
                <w:noProof/>
                <w:webHidden/>
              </w:rPr>
              <w:tab/>
            </w:r>
            <w:r>
              <w:rPr>
                <w:noProof/>
                <w:webHidden/>
              </w:rPr>
              <w:fldChar w:fldCharType="begin"/>
            </w:r>
            <w:r>
              <w:rPr>
                <w:noProof/>
                <w:webHidden/>
              </w:rPr>
              <w:instrText xml:space="preserve"> PAGEREF _Toc241008294 \h </w:instrText>
            </w:r>
            <w:r>
              <w:rPr>
                <w:noProof/>
                <w:webHidden/>
              </w:rPr>
            </w:r>
            <w:r>
              <w:rPr>
                <w:noProof/>
                <w:webHidden/>
              </w:rPr>
              <w:fldChar w:fldCharType="separate"/>
            </w:r>
            <w:r w:rsidR="005803CC">
              <w:rPr>
                <w:noProof/>
                <w:webHidden/>
              </w:rPr>
              <w:t>82</w:t>
            </w:r>
            <w:r>
              <w:rPr>
                <w:noProof/>
                <w:webHidden/>
              </w:rPr>
              <w:fldChar w:fldCharType="end"/>
            </w:r>
          </w:hyperlink>
        </w:p>
        <w:p w14:paraId="488000B6" w14:textId="139FAC44" w:rsidR="00716CED" w:rsidRPr="000A6F3B" w:rsidRDefault="00716CED" w:rsidP="000A6F3B">
          <w:pPr>
            <w:pStyle w:val="TOC3"/>
            <w:rPr>
              <w:rFonts w:asciiTheme="minorHAnsi" w:eastAsiaTheme="minorEastAsia" w:hAnsiTheme="minorHAnsi" w:cstheme="minorBidi"/>
              <w:kern w:val="2"/>
              <w:lang w:val="en-IN"/>
              <w14:ligatures w14:val="standardContextual"/>
            </w:rPr>
          </w:pPr>
          <w:hyperlink w:anchor="_Toc241008295" w:history="1">
            <w:r w:rsidRPr="000A6F3B">
              <w:rPr>
                <w:rStyle w:val="Hyperlink"/>
              </w:rPr>
              <w:t>12.1 Implementation Approach and Launch Phases</w:t>
            </w:r>
            <w:r w:rsidRPr="000A6F3B">
              <w:rPr>
                <w:webHidden/>
              </w:rPr>
              <w:tab/>
            </w:r>
            <w:r w:rsidRPr="000A6F3B">
              <w:rPr>
                <w:webHidden/>
              </w:rPr>
              <w:fldChar w:fldCharType="begin"/>
            </w:r>
            <w:r w:rsidRPr="000A6F3B">
              <w:rPr>
                <w:webHidden/>
              </w:rPr>
              <w:instrText xml:space="preserve"> PAGEREF _Toc241008295 \h </w:instrText>
            </w:r>
            <w:r w:rsidRPr="000A6F3B">
              <w:rPr>
                <w:webHidden/>
              </w:rPr>
            </w:r>
            <w:r w:rsidRPr="000A6F3B">
              <w:rPr>
                <w:webHidden/>
              </w:rPr>
              <w:fldChar w:fldCharType="separate"/>
            </w:r>
            <w:r w:rsidR="005803CC">
              <w:rPr>
                <w:webHidden/>
              </w:rPr>
              <w:t>82</w:t>
            </w:r>
            <w:r w:rsidRPr="000A6F3B">
              <w:rPr>
                <w:webHidden/>
              </w:rPr>
              <w:fldChar w:fldCharType="end"/>
            </w:r>
          </w:hyperlink>
        </w:p>
        <w:p w14:paraId="71A82679" w14:textId="78C15D6B" w:rsidR="00716CED" w:rsidRPr="000A6F3B" w:rsidRDefault="00716CED" w:rsidP="000A6F3B">
          <w:pPr>
            <w:pStyle w:val="TOC3"/>
            <w:rPr>
              <w:rFonts w:asciiTheme="minorHAnsi" w:eastAsiaTheme="minorEastAsia" w:hAnsiTheme="minorHAnsi" w:cstheme="minorBidi"/>
              <w:kern w:val="2"/>
              <w:lang w:val="en-IN"/>
              <w14:ligatures w14:val="standardContextual"/>
            </w:rPr>
          </w:pPr>
          <w:hyperlink w:anchor="_Toc241008296" w:history="1">
            <w:r w:rsidRPr="000A6F3B">
              <w:rPr>
                <w:rStyle w:val="Hyperlink"/>
              </w:rPr>
              <w:t>12.2 Milestones and Timeline</w:t>
            </w:r>
            <w:r w:rsidRPr="000A6F3B">
              <w:rPr>
                <w:webHidden/>
              </w:rPr>
              <w:tab/>
            </w:r>
            <w:r w:rsidRPr="000A6F3B">
              <w:rPr>
                <w:webHidden/>
              </w:rPr>
              <w:fldChar w:fldCharType="begin"/>
            </w:r>
            <w:r w:rsidRPr="000A6F3B">
              <w:rPr>
                <w:webHidden/>
              </w:rPr>
              <w:instrText xml:space="preserve"> PAGEREF _Toc241008296 \h </w:instrText>
            </w:r>
            <w:r w:rsidRPr="000A6F3B">
              <w:rPr>
                <w:webHidden/>
              </w:rPr>
            </w:r>
            <w:r w:rsidRPr="000A6F3B">
              <w:rPr>
                <w:webHidden/>
              </w:rPr>
              <w:fldChar w:fldCharType="separate"/>
            </w:r>
            <w:r w:rsidR="005803CC">
              <w:rPr>
                <w:webHidden/>
              </w:rPr>
              <w:t>83</w:t>
            </w:r>
            <w:r w:rsidRPr="000A6F3B">
              <w:rPr>
                <w:webHidden/>
              </w:rPr>
              <w:fldChar w:fldCharType="end"/>
            </w:r>
          </w:hyperlink>
        </w:p>
        <w:p w14:paraId="5AD8E06C" w14:textId="39E86394" w:rsidR="00716CED" w:rsidRPr="000A6F3B" w:rsidRDefault="00716CED" w:rsidP="000A6F3B">
          <w:pPr>
            <w:pStyle w:val="TOC3"/>
            <w:rPr>
              <w:rFonts w:asciiTheme="minorHAnsi" w:eastAsiaTheme="minorEastAsia" w:hAnsiTheme="minorHAnsi" w:cstheme="minorBidi"/>
              <w:kern w:val="2"/>
              <w:lang w:val="en-IN"/>
              <w14:ligatures w14:val="standardContextual"/>
            </w:rPr>
          </w:pPr>
          <w:hyperlink w:anchor="_Toc241008297" w:history="1">
            <w:r w:rsidRPr="000A6F3B">
              <w:rPr>
                <w:rStyle w:val="Hyperlink"/>
              </w:rPr>
              <w:t>12.3 Resource Allocation and Priorities</w:t>
            </w:r>
            <w:r w:rsidRPr="000A6F3B">
              <w:rPr>
                <w:webHidden/>
              </w:rPr>
              <w:tab/>
            </w:r>
            <w:r w:rsidRPr="000A6F3B">
              <w:rPr>
                <w:webHidden/>
              </w:rPr>
              <w:fldChar w:fldCharType="begin"/>
            </w:r>
            <w:r w:rsidRPr="000A6F3B">
              <w:rPr>
                <w:webHidden/>
              </w:rPr>
              <w:instrText xml:space="preserve"> PAGEREF _Toc241008297 \h </w:instrText>
            </w:r>
            <w:r w:rsidRPr="000A6F3B">
              <w:rPr>
                <w:webHidden/>
              </w:rPr>
            </w:r>
            <w:r w:rsidRPr="000A6F3B">
              <w:rPr>
                <w:webHidden/>
              </w:rPr>
              <w:fldChar w:fldCharType="separate"/>
            </w:r>
            <w:r w:rsidR="005803CC">
              <w:rPr>
                <w:webHidden/>
              </w:rPr>
              <w:t>84</w:t>
            </w:r>
            <w:r w:rsidRPr="000A6F3B">
              <w:rPr>
                <w:webHidden/>
              </w:rPr>
              <w:fldChar w:fldCharType="end"/>
            </w:r>
          </w:hyperlink>
        </w:p>
        <w:p w14:paraId="4D2681CD" w14:textId="0F65F2A1" w:rsidR="00716CED" w:rsidRPr="000A6F3B" w:rsidRDefault="00716CED" w:rsidP="000A6F3B">
          <w:pPr>
            <w:pStyle w:val="TOC3"/>
            <w:rPr>
              <w:rFonts w:asciiTheme="minorHAnsi" w:eastAsiaTheme="minorEastAsia" w:hAnsiTheme="minorHAnsi" w:cstheme="minorBidi"/>
              <w:kern w:val="2"/>
              <w:lang w:val="en-IN"/>
              <w14:ligatures w14:val="standardContextual"/>
            </w:rPr>
          </w:pPr>
          <w:hyperlink w:anchor="_Toc241008298" w:history="1">
            <w:r w:rsidRPr="000A6F3B">
              <w:rPr>
                <w:rStyle w:val="Hyperlink"/>
              </w:rPr>
              <w:t>12.4 KPIs, Monitoring and Control</w:t>
            </w:r>
            <w:r w:rsidRPr="000A6F3B">
              <w:rPr>
                <w:webHidden/>
              </w:rPr>
              <w:tab/>
            </w:r>
            <w:r w:rsidRPr="000A6F3B">
              <w:rPr>
                <w:webHidden/>
              </w:rPr>
              <w:fldChar w:fldCharType="begin"/>
            </w:r>
            <w:r w:rsidRPr="000A6F3B">
              <w:rPr>
                <w:webHidden/>
              </w:rPr>
              <w:instrText xml:space="preserve"> PAGEREF _Toc241008298 \h </w:instrText>
            </w:r>
            <w:r w:rsidRPr="000A6F3B">
              <w:rPr>
                <w:webHidden/>
              </w:rPr>
            </w:r>
            <w:r w:rsidRPr="000A6F3B">
              <w:rPr>
                <w:webHidden/>
              </w:rPr>
              <w:fldChar w:fldCharType="separate"/>
            </w:r>
            <w:r w:rsidR="005803CC">
              <w:rPr>
                <w:webHidden/>
              </w:rPr>
              <w:t>85</w:t>
            </w:r>
            <w:r w:rsidRPr="000A6F3B">
              <w:rPr>
                <w:webHidden/>
              </w:rPr>
              <w:fldChar w:fldCharType="end"/>
            </w:r>
          </w:hyperlink>
        </w:p>
        <w:p w14:paraId="594E64E5" w14:textId="5A9EBB9D" w:rsidR="00716CED" w:rsidRPr="000A6F3B" w:rsidRDefault="00716CED" w:rsidP="000A6F3B">
          <w:pPr>
            <w:pStyle w:val="TOC3"/>
            <w:rPr>
              <w:rFonts w:asciiTheme="minorHAnsi" w:eastAsiaTheme="minorEastAsia" w:hAnsiTheme="minorHAnsi" w:cstheme="minorBidi"/>
              <w:kern w:val="2"/>
              <w:lang w:val="en-IN"/>
              <w14:ligatures w14:val="standardContextual"/>
            </w:rPr>
          </w:pPr>
          <w:hyperlink w:anchor="_Toc241008299" w:history="1">
            <w:r w:rsidRPr="000A6F3B">
              <w:rPr>
                <w:rStyle w:val="Hyperlink"/>
              </w:rPr>
              <w:t>12.5 Change Management and Implementation Risks</w:t>
            </w:r>
            <w:r w:rsidRPr="000A6F3B">
              <w:rPr>
                <w:webHidden/>
              </w:rPr>
              <w:tab/>
            </w:r>
            <w:r w:rsidRPr="000A6F3B">
              <w:rPr>
                <w:webHidden/>
              </w:rPr>
              <w:fldChar w:fldCharType="begin"/>
            </w:r>
            <w:r w:rsidRPr="000A6F3B">
              <w:rPr>
                <w:webHidden/>
              </w:rPr>
              <w:instrText xml:space="preserve"> PAGEREF _Toc241008299 \h </w:instrText>
            </w:r>
            <w:r w:rsidRPr="000A6F3B">
              <w:rPr>
                <w:webHidden/>
              </w:rPr>
            </w:r>
            <w:r w:rsidRPr="000A6F3B">
              <w:rPr>
                <w:webHidden/>
              </w:rPr>
              <w:fldChar w:fldCharType="separate"/>
            </w:r>
            <w:r w:rsidR="005803CC">
              <w:rPr>
                <w:webHidden/>
              </w:rPr>
              <w:t>86</w:t>
            </w:r>
            <w:r w:rsidRPr="000A6F3B">
              <w:rPr>
                <w:webHidden/>
              </w:rPr>
              <w:fldChar w:fldCharType="end"/>
            </w:r>
          </w:hyperlink>
        </w:p>
        <w:p w14:paraId="2F8193B6" w14:textId="39DC2FF8" w:rsidR="00716CED" w:rsidRPr="000A6F3B" w:rsidRDefault="00716CED" w:rsidP="000A6F3B">
          <w:pPr>
            <w:pStyle w:val="TOC3"/>
            <w:rPr>
              <w:rFonts w:asciiTheme="minorHAnsi" w:eastAsiaTheme="minorEastAsia" w:hAnsiTheme="minorHAnsi" w:cstheme="minorBidi"/>
              <w:kern w:val="2"/>
              <w:lang w:val="en-IN"/>
              <w14:ligatures w14:val="standardContextual"/>
            </w:rPr>
          </w:pPr>
          <w:hyperlink w:anchor="_Toc241008300" w:history="1">
            <w:r w:rsidRPr="000A6F3B">
              <w:rPr>
                <w:rStyle w:val="Hyperlink"/>
              </w:rPr>
              <w:t>12.6 Implementation Readiness</w:t>
            </w:r>
            <w:r w:rsidRPr="000A6F3B">
              <w:rPr>
                <w:webHidden/>
              </w:rPr>
              <w:tab/>
            </w:r>
            <w:r w:rsidRPr="000A6F3B">
              <w:rPr>
                <w:webHidden/>
              </w:rPr>
              <w:fldChar w:fldCharType="begin"/>
            </w:r>
            <w:r w:rsidRPr="000A6F3B">
              <w:rPr>
                <w:webHidden/>
              </w:rPr>
              <w:instrText xml:space="preserve"> PAGEREF _Toc241008300 \h </w:instrText>
            </w:r>
            <w:r w:rsidRPr="000A6F3B">
              <w:rPr>
                <w:webHidden/>
              </w:rPr>
            </w:r>
            <w:r w:rsidRPr="000A6F3B">
              <w:rPr>
                <w:webHidden/>
              </w:rPr>
              <w:fldChar w:fldCharType="separate"/>
            </w:r>
            <w:r w:rsidR="005803CC">
              <w:rPr>
                <w:webHidden/>
              </w:rPr>
              <w:t>86</w:t>
            </w:r>
            <w:r w:rsidRPr="000A6F3B">
              <w:rPr>
                <w:webHidden/>
              </w:rPr>
              <w:fldChar w:fldCharType="end"/>
            </w:r>
          </w:hyperlink>
        </w:p>
        <w:p w14:paraId="190C83E3" w14:textId="76088481" w:rsidR="00716CED" w:rsidRPr="000A6F3B" w:rsidRDefault="00716CED">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41008301" w:history="1">
            <w:r w:rsidRPr="000A6F3B">
              <w:rPr>
                <w:rStyle w:val="Hyperlink"/>
                <w:noProof/>
              </w:rPr>
              <w:t>Chapter 13: Conclusion and Recommendations</w:t>
            </w:r>
            <w:r w:rsidRPr="000A6F3B">
              <w:rPr>
                <w:noProof/>
                <w:webHidden/>
              </w:rPr>
              <w:tab/>
            </w:r>
            <w:r w:rsidRPr="000A6F3B">
              <w:rPr>
                <w:noProof/>
                <w:webHidden/>
              </w:rPr>
              <w:fldChar w:fldCharType="begin"/>
            </w:r>
            <w:r w:rsidRPr="000A6F3B">
              <w:rPr>
                <w:noProof/>
                <w:webHidden/>
              </w:rPr>
              <w:instrText xml:space="preserve"> PAGEREF _Toc241008301 \h </w:instrText>
            </w:r>
            <w:r w:rsidRPr="000A6F3B">
              <w:rPr>
                <w:noProof/>
                <w:webHidden/>
              </w:rPr>
            </w:r>
            <w:r w:rsidRPr="000A6F3B">
              <w:rPr>
                <w:noProof/>
                <w:webHidden/>
              </w:rPr>
              <w:fldChar w:fldCharType="separate"/>
            </w:r>
            <w:r w:rsidR="005803CC">
              <w:rPr>
                <w:noProof/>
                <w:webHidden/>
              </w:rPr>
              <w:t>88</w:t>
            </w:r>
            <w:r w:rsidRPr="000A6F3B">
              <w:rPr>
                <w:noProof/>
                <w:webHidden/>
              </w:rPr>
              <w:fldChar w:fldCharType="end"/>
            </w:r>
          </w:hyperlink>
        </w:p>
        <w:p w14:paraId="102C5BFB" w14:textId="30A4B022" w:rsidR="00716CED" w:rsidRPr="000A6F3B" w:rsidRDefault="00716CED" w:rsidP="000A6F3B">
          <w:pPr>
            <w:pStyle w:val="TOC3"/>
            <w:rPr>
              <w:rFonts w:asciiTheme="minorHAnsi" w:eastAsiaTheme="minorEastAsia" w:hAnsiTheme="minorHAnsi" w:cstheme="minorBidi"/>
              <w:kern w:val="2"/>
              <w:lang w:val="en-IN"/>
              <w14:ligatures w14:val="standardContextual"/>
            </w:rPr>
          </w:pPr>
          <w:hyperlink w:anchor="_Toc241008302" w:history="1">
            <w:r w:rsidRPr="000A6F3B">
              <w:rPr>
                <w:rStyle w:val="Hyperlink"/>
              </w:rPr>
              <w:t>Recommendations</w:t>
            </w:r>
            <w:r w:rsidRPr="000A6F3B">
              <w:rPr>
                <w:webHidden/>
              </w:rPr>
              <w:tab/>
            </w:r>
            <w:r w:rsidRPr="000A6F3B">
              <w:rPr>
                <w:webHidden/>
              </w:rPr>
              <w:fldChar w:fldCharType="begin"/>
            </w:r>
            <w:r w:rsidRPr="000A6F3B">
              <w:rPr>
                <w:webHidden/>
              </w:rPr>
              <w:instrText xml:space="preserve"> PAGEREF _Toc241008302 \h </w:instrText>
            </w:r>
            <w:r w:rsidRPr="000A6F3B">
              <w:rPr>
                <w:webHidden/>
              </w:rPr>
            </w:r>
            <w:r w:rsidRPr="000A6F3B">
              <w:rPr>
                <w:webHidden/>
              </w:rPr>
              <w:fldChar w:fldCharType="separate"/>
            </w:r>
            <w:r w:rsidR="005803CC">
              <w:rPr>
                <w:webHidden/>
              </w:rPr>
              <w:t>89</w:t>
            </w:r>
            <w:r w:rsidRPr="000A6F3B">
              <w:rPr>
                <w:webHidden/>
              </w:rPr>
              <w:fldChar w:fldCharType="end"/>
            </w:r>
          </w:hyperlink>
        </w:p>
        <w:p w14:paraId="10D16EB9" w14:textId="30DA6DF3" w:rsidR="00716CED" w:rsidRDefault="00716CED">
          <w:pPr>
            <w:pStyle w:val="TOC1"/>
            <w:tabs>
              <w:tab w:val="right" w:leader="dot" w:pos="9350"/>
            </w:tabs>
            <w:rPr>
              <w:rFonts w:asciiTheme="minorHAnsi" w:eastAsiaTheme="minorEastAsia" w:hAnsiTheme="minorHAnsi" w:cstheme="minorBidi"/>
              <w:noProof/>
              <w:kern w:val="2"/>
              <w:lang w:val="en-IN"/>
              <w14:ligatures w14:val="standardContextual"/>
            </w:rPr>
          </w:pPr>
          <w:hyperlink w:anchor="_Toc241008303" w:history="1">
            <w:r w:rsidRPr="00854E9B">
              <w:rPr>
                <w:rStyle w:val="Hyperlink"/>
                <w:noProof/>
              </w:rPr>
              <w:t>References</w:t>
            </w:r>
            <w:r>
              <w:rPr>
                <w:noProof/>
                <w:webHidden/>
              </w:rPr>
              <w:tab/>
            </w:r>
            <w:r>
              <w:rPr>
                <w:noProof/>
                <w:webHidden/>
              </w:rPr>
              <w:fldChar w:fldCharType="begin"/>
            </w:r>
            <w:r>
              <w:rPr>
                <w:noProof/>
                <w:webHidden/>
              </w:rPr>
              <w:instrText xml:space="preserve"> PAGEREF _Toc241008303 \h </w:instrText>
            </w:r>
            <w:r>
              <w:rPr>
                <w:noProof/>
                <w:webHidden/>
              </w:rPr>
            </w:r>
            <w:r>
              <w:rPr>
                <w:noProof/>
                <w:webHidden/>
              </w:rPr>
              <w:fldChar w:fldCharType="separate"/>
            </w:r>
            <w:r w:rsidR="005803CC">
              <w:rPr>
                <w:noProof/>
                <w:webHidden/>
              </w:rPr>
              <w:t>91</w:t>
            </w:r>
            <w:r>
              <w:rPr>
                <w:noProof/>
                <w:webHidden/>
              </w:rPr>
              <w:fldChar w:fldCharType="end"/>
            </w:r>
          </w:hyperlink>
        </w:p>
        <w:p w14:paraId="6EB62A16" w14:textId="4D916E12" w:rsidR="00E65D77" w:rsidRDefault="00E65D77">
          <w:r>
            <w:rPr>
              <w:b/>
              <w:bCs/>
              <w:noProof/>
            </w:rPr>
            <w:fldChar w:fldCharType="end"/>
          </w:r>
        </w:p>
      </w:sdtContent>
    </w:sdt>
    <w:p w14:paraId="744C0A20" w14:textId="77777777" w:rsidR="004503E7" w:rsidRDefault="004503E7">
      <w:r>
        <w:br w:type="page"/>
      </w:r>
    </w:p>
    <w:p w14:paraId="3CCE0528" w14:textId="77777777" w:rsidR="004503E7" w:rsidRPr="004503E7" w:rsidRDefault="004503E7" w:rsidP="00FB7622">
      <w:pPr>
        <w:pStyle w:val="Heading1"/>
        <w:jc w:val="center"/>
      </w:pPr>
      <w:bookmarkStart w:id="3" w:name="_Toc241008202"/>
      <w:r w:rsidRPr="004503E7">
        <w:lastRenderedPageBreak/>
        <w:t>List of Figures</w:t>
      </w:r>
      <w:bookmarkEnd w:id="3"/>
    </w:p>
    <w:p w14:paraId="4B6487AB" w14:textId="3B3E8E22" w:rsidR="004503E7" w:rsidRDefault="004503E7">
      <w:pPr>
        <w:pStyle w:val="TableofFigures"/>
        <w:tabs>
          <w:tab w:val="right" w:leader="dot" w:pos="9350"/>
        </w:tabs>
        <w:rPr>
          <w:noProof/>
        </w:rPr>
      </w:pPr>
      <w:r>
        <w:fldChar w:fldCharType="begin"/>
      </w:r>
      <w:r>
        <w:instrText xml:space="preserve"> TOC \h \z \t "Heading 5" \c "Figure" </w:instrText>
      </w:r>
      <w:r>
        <w:fldChar w:fldCharType="separate"/>
      </w:r>
      <w:hyperlink w:anchor="_Toc241007417" w:history="1">
        <w:r w:rsidRPr="00226422">
          <w:rPr>
            <w:rStyle w:val="Hyperlink"/>
            <w:noProof/>
          </w:rPr>
          <w:t>Figure 1: “Plastic Packaging waste”</w:t>
        </w:r>
        <w:r>
          <w:rPr>
            <w:noProof/>
            <w:webHidden/>
          </w:rPr>
          <w:tab/>
        </w:r>
        <w:r>
          <w:rPr>
            <w:noProof/>
            <w:webHidden/>
          </w:rPr>
          <w:fldChar w:fldCharType="begin"/>
        </w:r>
        <w:r>
          <w:rPr>
            <w:noProof/>
            <w:webHidden/>
          </w:rPr>
          <w:instrText xml:space="preserve"> PAGEREF _Toc241007417 \h </w:instrText>
        </w:r>
        <w:r>
          <w:rPr>
            <w:noProof/>
            <w:webHidden/>
          </w:rPr>
        </w:r>
        <w:r>
          <w:rPr>
            <w:noProof/>
            <w:webHidden/>
          </w:rPr>
          <w:fldChar w:fldCharType="separate"/>
        </w:r>
        <w:r w:rsidR="005803CC">
          <w:rPr>
            <w:noProof/>
            <w:webHidden/>
          </w:rPr>
          <w:t>15</w:t>
        </w:r>
        <w:r>
          <w:rPr>
            <w:noProof/>
            <w:webHidden/>
          </w:rPr>
          <w:fldChar w:fldCharType="end"/>
        </w:r>
      </w:hyperlink>
    </w:p>
    <w:p w14:paraId="6AB59AC3" w14:textId="3FDD2CF2" w:rsidR="004503E7" w:rsidRDefault="004503E7">
      <w:pPr>
        <w:pStyle w:val="TableofFigures"/>
        <w:tabs>
          <w:tab w:val="right" w:leader="dot" w:pos="9350"/>
        </w:tabs>
        <w:rPr>
          <w:noProof/>
        </w:rPr>
      </w:pPr>
      <w:hyperlink w:anchor="_Toc241007418" w:history="1">
        <w:r w:rsidRPr="00226422">
          <w:rPr>
            <w:rStyle w:val="Hyperlink"/>
            <w:noProof/>
          </w:rPr>
          <w:t>Figure 2: “Porter's Five Forces”</w:t>
        </w:r>
        <w:r>
          <w:rPr>
            <w:noProof/>
            <w:webHidden/>
          </w:rPr>
          <w:tab/>
        </w:r>
        <w:r>
          <w:rPr>
            <w:noProof/>
            <w:webHidden/>
          </w:rPr>
          <w:fldChar w:fldCharType="begin"/>
        </w:r>
        <w:r>
          <w:rPr>
            <w:noProof/>
            <w:webHidden/>
          </w:rPr>
          <w:instrText xml:space="preserve"> PAGEREF _Toc241007418 \h </w:instrText>
        </w:r>
        <w:r>
          <w:rPr>
            <w:noProof/>
            <w:webHidden/>
          </w:rPr>
        </w:r>
        <w:r>
          <w:rPr>
            <w:noProof/>
            <w:webHidden/>
          </w:rPr>
          <w:fldChar w:fldCharType="separate"/>
        </w:r>
        <w:r w:rsidR="005803CC">
          <w:rPr>
            <w:noProof/>
            <w:webHidden/>
          </w:rPr>
          <w:t>23</w:t>
        </w:r>
        <w:r>
          <w:rPr>
            <w:noProof/>
            <w:webHidden/>
          </w:rPr>
          <w:fldChar w:fldCharType="end"/>
        </w:r>
      </w:hyperlink>
    </w:p>
    <w:p w14:paraId="53FF1D68" w14:textId="09C323A8" w:rsidR="004503E7" w:rsidRDefault="004503E7">
      <w:pPr>
        <w:pStyle w:val="TableofFigures"/>
        <w:tabs>
          <w:tab w:val="right" w:leader="dot" w:pos="9350"/>
        </w:tabs>
        <w:rPr>
          <w:noProof/>
        </w:rPr>
      </w:pPr>
      <w:hyperlink w:anchor="_Toc241007419" w:history="1">
        <w:r w:rsidRPr="00226422">
          <w:rPr>
            <w:rStyle w:val="Hyperlink"/>
            <w:noProof/>
          </w:rPr>
          <w:t>Figure 3: “Resource-Based View”</w:t>
        </w:r>
        <w:r>
          <w:rPr>
            <w:noProof/>
            <w:webHidden/>
          </w:rPr>
          <w:tab/>
        </w:r>
        <w:r>
          <w:rPr>
            <w:noProof/>
            <w:webHidden/>
          </w:rPr>
          <w:fldChar w:fldCharType="begin"/>
        </w:r>
        <w:r>
          <w:rPr>
            <w:noProof/>
            <w:webHidden/>
          </w:rPr>
          <w:instrText xml:space="preserve"> PAGEREF _Toc241007419 \h </w:instrText>
        </w:r>
        <w:r>
          <w:rPr>
            <w:noProof/>
            <w:webHidden/>
          </w:rPr>
        </w:r>
        <w:r>
          <w:rPr>
            <w:noProof/>
            <w:webHidden/>
          </w:rPr>
          <w:fldChar w:fldCharType="separate"/>
        </w:r>
        <w:r w:rsidR="005803CC">
          <w:rPr>
            <w:noProof/>
            <w:webHidden/>
          </w:rPr>
          <w:t>24</w:t>
        </w:r>
        <w:r>
          <w:rPr>
            <w:noProof/>
            <w:webHidden/>
          </w:rPr>
          <w:fldChar w:fldCharType="end"/>
        </w:r>
      </w:hyperlink>
    </w:p>
    <w:p w14:paraId="7D17EE34" w14:textId="719A2C17" w:rsidR="004503E7" w:rsidRDefault="004503E7">
      <w:pPr>
        <w:pStyle w:val="TableofFigures"/>
        <w:tabs>
          <w:tab w:val="right" w:leader="dot" w:pos="9350"/>
        </w:tabs>
        <w:rPr>
          <w:noProof/>
        </w:rPr>
      </w:pPr>
      <w:hyperlink w:anchor="_Toc241007420" w:history="1">
        <w:r w:rsidRPr="00226422">
          <w:rPr>
            <w:rStyle w:val="Hyperlink"/>
            <w:noProof/>
          </w:rPr>
          <w:t>Figure 4: “Recyclable packaging”</w:t>
        </w:r>
        <w:r>
          <w:rPr>
            <w:noProof/>
            <w:webHidden/>
          </w:rPr>
          <w:tab/>
        </w:r>
        <w:r>
          <w:rPr>
            <w:noProof/>
            <w:webHidden/>
          </w:rPr>
          <w:fldChar w:fldCharType="begin"/>
        </w:r>
        <w:r>
          <w:rPr>
            <w:noProof/>
            <w:webHidden/>
          </w:rPr>
          <w:instrText xml:space="preserve"> PAGEREF _Toc241007420 \h </w:instrText>
        </w:r>
        <w:r>
          <w:rPr>
            <w:noProof/>
            <w:webHidden/>
          </w:rPr>
        </w:r>
        <w:r>
          <w:rPr>
            <w:noProof/>
            <w:webHidden/>
          </w:rPr>
          <w:fldChar w:fldCharType="separate"/>
        </w:r>
        <w:r w:rsidR="005803CC">
          <w:rPr>
            <w:noProof/>
            <w:webHidden/>
          </w:rPr>
          <w:t>31</w:t>
        </w:r>
        <w:r>
          <w:rPr>
            <w:noProof/>
            <w:webHidden/>
          </w:rPr>
          <w:fldChar w:fldCharType="end"/>
        </w:r>
      </w:hyperlink>
    </w:p>
    <w:p w14:paraId="1A1A2F6A" w14:textId="38F21CBC" w:rsidR="004503E7" w:rsidRDefault="004503E7">
      <w:pPr>
        <w:pStyle w:val="TableofFigures"/>
        <w:tabs>
          <w:tab w:val="right" w:leader="dot" w:pos="9350"/>
        </w:tabs>
        <w:rPr>
          <w:noProof/>
        </w:rPr>
      </w:pPr>
      <w:hyperlink w:anchor="_Toc241007421" w:history="1">
        <w:r w:rsidRPr="00226422">
          <w:rPr>
            <w:rStyle w:val="Hyperlink"/>
            <w:noProof/>
          </w:rPr>
          <w:t>Figure 5: “E-sales and turnover from e-sales”</w:t>
        </w:r>
        <w:r>
          <w:rPr>
            <w:noProof/>
            <w:webHidden/>
          </w:rPr>
          <w:tab/>
        </w:r>
        <w:r>
          <w:rPr>
            <w:noProof/>
            <w:webHidden/>
          </w:rPr>
          <w:fldChar w:fldCharType="begin"/>
        </w:r>
        <w:r>
          <w:rPr>
            <w:noProof/>
            <w:webHidden/>
          </w:rPr>
          <w:instrText xml:space="preserve"> PAGEREF _Toc241007421 \h </w:instrText>
        </w:r>
        <w:r>
          <w:rPr>
            <w:noProof/>
            <w:webHidden/>
          </w:rPr>
        </w:r>
        <w:r>
          <w:rPr>
            <w:noProof/>
            <w:webHidden/>
          </w:rPr>
          <w:fldChar w:fldCharType="separate"/>
        </w:r>
        <w:r w:rsidR="005803CC">
          <w:rPr>
            <w:noProof/>
            <w:webHidden/>
          </w:rPr>
          <w:t>32</w:t>
        </w:r>
        <w:r>
          <w:rPr>
            <w:noProof/>
            <w:webHidden/>
          </w:rPr>
          <w:fldChar w:fldCharType="end"/>
        </w:r>
      </w:hyperlink>
    </w:p>
    <w:p w14:paraId="7999A5FC" w14:textId="6808E13D" w:rsidR="004503E7" w:rsidRDefault="004503E7">
      <w:pPr>
        <w:pStyle w:val="TableofFigures"/>
        <w:tabs>
          <w:tab w:val="right" w:leader="dot" w:pos="9350"/>
        </w:tabs>
        <w:rPr>
          <w:noProof/>
        </w:rPr>
      </w:pPr>
      <w:hyperlink w:anchor="_Toc241007422" w:history="1">
        <w:r w:rsidRPr="00226422">
          <w:rPr>
            <w:rStyle w:val="Hyperlink"/>
            <w:noProof/>
          </w:rPr>
          <w:t>Figure 6: “Businesses in the EU”</w:t>
        </w:r>
        <w:r>
          <w:rPr>
            <w:noProof/>
            <w:webHidden/>
          </w:rPr>
          <w:tab/>
        </w:r>
        <w:r>
          <w:rPr>
            <w:noProof/>
            <w:webHidden/>
          </w:rPr>
          <w:fldChar w:fldCharType="begin"/>
        </w:r>
        <w:r>
          <w:rPr>
            <w:noProof/>
            <w:webHidden/>
          </w:rPr>
          <w:instrText xml:space="preserve"> PAGEREF _Toc241007422 \h </w:instrText>
        </w:r>
        <w:r>
          <w:rPr>
            <w:noProof/>
            <w:webHidden/>
          </w:rPr>
        </w:r>
        <w:r>
          <w:rPr>
            <w:noProof/>
            <w:webHidden/>
          </w:rPr>
          <w:fldChar w:fldCharType="separate"/>
        </w:r>
        <w:r w:rsidR="005803CC">
          <w:rPr>
            <w:noProof/>
            <w:webHidden/>
          </w:rPr>
          <w:t>34</w:t>
        </w:r>
        <w:r>
          <w:rPr>
            <w:noProof/>
            <w:webHidden/>
          </w:rPr>
          <w:fldChar w:fldCharType="end"/>
        </w:r>
      </w:hyperlink>
    </w:p>
    <w:p w14:paraId="1681A265" w14:textId="55BEF389" w:rsidR="004503E7" w:rsidRDefault="004503E7">
      <w:pPr>
        <w:pStyle w:val="TableofFigures"/>
        <w:tabs>
          <w:tab w:val="right" w:leader="dot" w:pos="9350"/>
        </w:tabs>
        <w:rPr>
          <w:noProof/>
        </w:rPr>
      </w:pPr>
      <w:hyperlink w:anchor="_Toc241007423" w:history="1">
        <w:r w:rsidRPr="00226422">
          <w:rPr>
            <w:rStyle w:val="Hyperlink"/>
            <w:noProof/>
          </w:rPr>
          <w:t>Figure 7: “PPWR”</w:t>
        </w:r>
        <w:r>
          <w:rPr>
            <w:noProof/>
            <w:webHidden/>
          </w:rPr>
          <w:tab/>
        </w:r>
        <w:r>
          <w:rPr>
            <w:noProof/>
            <w:webHidden/>
          </w:rPr>
          <w:fldChar w:fldCharType="begin"/>
        </w:r>
        <w:r>
          <w:rPr>
            <w:noProof/>
            <w:webHidden/>
          </w:rPr>
          <w:instrText xml:space="preserve"> PAGEREF _Toc241007423 \h </w:instrText>
        </w:r>
        <w:r>
          <w:rPr>
            <w:noProof/>
            <w:webHidden/>
          </w:rPr>
        </w:r>
        <w:r>
          <w:rPr>
            <w:noProof/>
            <w:webHidden/>
          </w:rPr>
          <w:fldChar w:fldCharType="separate"/>
        </w:r>
        <w:r w:rsidR="005803CC">
          <w:rPr>
            <w:noProof/>
            <w:webHidden/>
          </w:rPr>
          <w:t>35</w:t>
        </w:r>
        <w:r>
          <w:rPr>
            <w:noProof/>
            <w:webHidden/>
          </w:rPr>
          <w:fldChar w:fldCharType="end"/>
        </w:r>
      </w:hyperlink>
    </w:p>
    <w:p w14:paraId="063FBB43" w14:textId="06DB395F" w:rsidR="004503E7" w:rsidRDefault="004503E7">
      <w:pPr>
        <w:pStyle w:val="TableofFigures"/>
        <w:tabs>
          <w:tab w:val="right" w:leader="dot" w:pos="9350"/>
        </w:tabs>
        <w:rPr>
          <w:noProof/>
        </w:rPr>
      </w:pPr>
      <w:hyperlink w:anchor="_Toc241007424" w:history="1">
        <w:r w:rsidRPr="00226422">
          <w:rPr>
            <w:rStyle w:val="Hyperlink"/>
            <w:noProof/>
          </w:rPr>
          <w:t>Figure 8: “Mondi sustainable action”</w:t>
        </w:r>
        <w:r>
          <w:rPr>
            <w:noProof/>
            <w:webHidden/>
          </w:rPr>
          <w:tab/>
        </w:r>
        <w:r>
          <w:rPr>
            <w:noProof/>
            <w:webHidden/>
          </w:rPr>
          <w:fldChar w:fldCharType="begin"/>
        </w:r>
        <w:r>
          <w:rPr>
            <w:noProof/>
            <w:webHidden/>
          </w:rPr>
          <w:instrText xml:space="preserve"> PAGEREF _Toc241007424 \h </w:instrText>
        </w:r>
        <w:r>
          <w:rPr>
            <w:noProof/>
            <w:webHidden/>
          </w:rPr>
        </w:r>
        <w:r>
          <w:rPr>
            <w:noProof/>
            <w:webHidden/>
          </w:rPr>
          <w:fldChar w:fldCharType="separate"/>
        </w:r>
        <w:r w:rsidR="005803CC">
          <w:rPr>
            <w:noProof/>
            <w:webHidden/>
          </w:rPr>
          <w:t>39</w:t>
        </w:r>
        <w:r>
          <w:rPr>
            <w:noProof/>
            <w:webHidden/>
          </w:rPr>
          <w:fldChar w:fldCharType="end"/>
        </w:r>
      </w:hyperlink>
    </w:p>
    <w:p w14:paraId="55FFA027" w14:textId="33574A5B" w:rsidR="004503E7" w:rsidRDefault="004503E7">
      <w:pPr>
        <w:pStyle w:val="TableofFigures"/>
        <w:tabs>
          <w:tab w:val="right" w:leader="dot" w:pos="9350"/>
        </w:tabs>
        <w:rPr>
          <w:noProof/>
        </w:rPr>
      </w:pPr>
      <w:hyperlink w:anchor="_Toc241007425" w:history="1">
        <w:r w:rsidRPr="00226422">
          <w:rPr>
            <w:rStyle w:val="Hyperlink"/>
            <w:noProof/>
          </w:rPr>
          <w:t>Figure 9: “Harmonized index of consumer prices (HICP) inflation rate”</w:t>
        </w:r>
        <w:r>
          <w:rPr>
            <w:noProof/>
            <w:webHidden/>
          </w:rPr>
          <w:tab/>
        </w:r>
        <w:r>
          <w:rPr>
            <w:noProof/>
            <w:webHidden/>
          </w:rPr>
          <w:fldChar w:fldCharType="begin"/>
        </w:r>
        <w:r>
          <w:rPr>
            <w:noProof/>
            <w:webHidden/>
          </w:rPr>
          <w:instrText xml:space="preserve"> PAGEREF _Toc241007425 \h </w:instrText>
        </w:r>
        <w:r>
          <w:rPr>
            <w:noProof/>
            <w:webHidden/>
          </w:rPr>
        </w:r>
        <w:r>
          <w:rPr>
            <w:noProof/>
            <w:webHidden/>
          </w:rPr>
          <w:fldChar w:fldCharType="separate"/>
        </w:r>
        <w:r w:rsidR="005803CC">
          <w:rPr>
            <w:noProof/>
            <w:webHidden/>
          </w:rPr>
          <w:t>55</w:t>
        </w:r>
        <w:r>
          <w:rPr>
            <w:noProof/>
            <w:webHidden/>
          </w:rPr>
          <w:fldChar w:fldCharType="end"/>
        </w:r>
      </w:hyperlink>
    </w:p>
    <w:p w14:paraId="4AAFD574" w14:textId="54EC4291" w:rsidR="004503E7" w:rsidRDefault="004503E7">
      <w:pPr>
        <w:pStyle w:val="TableofFigures"/>
        <w:tabs>
          <w:tab w:val="right" w:leader="dot" w:pos="9350"/>
        </w:tabs>
        <w:rPr>
          <w:noProof/>
        </w:rPr>
      </w:pPr>
      <w:hyperlink w:anchor="_Toc241007426" w:history="1">
        <w:r w:rsidRPr="00226422">
          <w:rPr>
            <w:rStyle w:val="Hyperlink"/>
            <w:noProof/>
          </w:rPr>
          <w:t>Figure 10: “EcoPack Solutions operational flow”</w:t>
        </w:r>
        <w:r>
          <w:rPr>
            <w:noProof/>
            <w:webHidden/>
          </w:rPr>
          <w:tab/>
        </w:r>
        <w:r>
          <w:rPr>
            <w:noProof/>
            <w:webHidden/>
          </w:rPr>
          <w:fldChar w:fldCharType="begin"/>
        </w:r>
        <w:r>
          <w:rPr>
            <w:noProof/>
            <w:webHidden/>
          </w:rPr>
          <w:instrText xml:space="preserve"> PAGEREF _Toc241007426 \h </w:instrText>
        </w:r>
        <w:r>
          <w:rPr>
            <w:noProof/>
            <w:webHidden/>
          </w:rPr>
        </w:r>
        <w:r>
          <w:rPr>
            <w:noProof/>
            <w:webHidden/>
          </w:rPr>
          <w:fldChar w:fldCharType="separate"/>
        </w:r>
        <w:r w:rsidR="005803CC">
          <w:rPr>
            <w:noProof/>
            <w:webHidden/>
          </w:rPr>
          <w:t>73</w:t>
        </w:r>
        <w:r>
          <w:rPr>
            <w:noProof/>
            <w:webHidden/>
          </w:rPr>
          <w:fldChar w:fldCharType="end"/>
        </w:r>
      </w:hyperlink>
    </w:p>
    <w:p w14:paraId="66799082" w14:textId="77777777" w:rsidR="00EF66B6" w:rsidRDefault="004503E7" w:rsidP="00E65D77">
      <w:r>
        <w:fldChar w:fldCharType="end"/>
      </w:r>
    </w:p>
    <w:p w14:paraId="676AAC21" w14:textId="77777777" w:rsidR="00EF66B6" w:rsidRDefault="00EF66B6">
      <w:r>
        <w:br w:type="page"/>
      </w:r>
    </w:p>
    <w:p w14:paraId="60B85130" w14:textId="1F6E64FC" w:rsidR="00EF66B6" w:rsidRPr="00EF66B6" w:rsidRDefault="00EF66B6" w:rsidP="00EF66B6">
      <w:pPr>
        <w:jc w:val="center"/>
        <w:rPr>
          <w:b/>
          <w:bCs/>
        </w:rPr>
      </w:pPr>
      <w:r w:rsidRPr="00EF66B6">
        <w:rPr>
          <w:b/>
          <w:bCs/>
        </w:rPr>
        <w:lastRenderedPageBreak/>
        <w:t>List of Tables</w:t>
      </w:r>
    </w:p>
    <w:p w14:paraId="14785213" w14:textId="74886597" w:rsidR="005902AB" w:rsidRDefault="00EF66B6">
      <w:pPr>
        <w:pStyle w:val="TableofFigures"/>
        <w:tabs>
          <w:tab w:val="right" w:leader="dot" w:pos="9350"/>
        </w:tabs>
        <w:rPr>
          <w:rFonts w:asciiTheme="minorHAnsi" w:eastAsiaTheme="minorEastAsia" w:hAnsiTheme="minorHAnsi" w:cstheme="minorBidi"/>
          <w:noProof/>
          <w:kern w:val="2"/>
          <w:lang w:val="en-IN"/>
          <w14:ligatures w14:val="standardContextual"/>
        </w:rPr>
      </w:pPr>
      <w:r>
        <w:fldChar w:fldCharType="begin"/>
      </w:r>
      <w:r>
        <w:instrText xml:space="preserve"> TOC \h \z \t "Heading 6" \c "Table" </w:instrText>
      </w:r>
      <w:r>
        <w:fldChar w:fldCharType="separate"/>
      </w:r>
      <w:hyperlink w:anchor="_Toc241008857" w:history="1">
        <w:r w:rsidR="005902AB" w:rsidRPr="00BE63E9">
          <w:rPr>
            <w:rStyle w:val="Hyperlink"/>
            <w:noProof/>
          </w:rPr>
          <w:t>Table 1: “Competitors and positioning”</w:t>
        </w:r>
        <w:r w:rsidR="005902AB">
          <w:rPr>
            <w:noProof/>
            <w:webHidden/>
          </w:rPr>
          <w:tab/>
        </w:r>
        <w:r w:rsidR="005902AB">
          <w:rPr>
            <w:noProof/>
            <w:webHidden/>
          </w:rPr>
          <w:fldChar w:fldCharType="begin"/>
        </w:r>
        <w:r w:rsidR="005902AB">
          <w:rPr>
            <w:noProof/>
            <w:webHidden/>
          </w:rPr>
          <w:instrText xml:space="preserve"> PAGEREF _Toc241008857 \h </w:instrText>
        </w:r>
        <w:r w:rsidR="005902AB">
          <w:rPr>
            <w:noProof/>
            <w:webHidden/>
          </w:rPr>
        </w:r>
        <w:r w:rsidR="005902AB">
          <w:rPr>
            <w:noProof/>
            <w:webHidden/>
          </w:rPr>
          <w:fldChar w:fldCharType="separate"/>
        </w:r>
        <w:r w:rsidR="005803CC">
          <w:rPr>
            <w:noProof/>
            <w:webHidden/>
          </w:rPr>
          <w:t>40</w:t>
        </w:r>
        <w:r w:rsidR="005902AB">
          <w:rPr>
            <w:noProof/>
            <w:webHidden/>
          </w:rPr>
          <w:fldChar w:fldCharType="end"/>
        </w:r>
      </w:hyperlink>
    </w:p>
    <w:p w14:paraId="66F154A7" w14:textId="4DFEF63A" w:rsidR="005902AB" w:rsidRDefault="005902AB">
      <w:pPr>
        <w:pStyle w:val="TableofFigures"/>
        <w:tabs>
          <w:tab w:val="right" w:leader="dot" w:pos="9350"/>
        </w:tabs>
        <w:rPr>
          <w:rFonts w:asciiTheme="minorHAnsi" w:eastAsiaTheme="minorEastAsia" w:hAnsiTheme="minorHAnsi" w:cstheme="minorBidi"/>
          <w:noProof/>
          <w:kern w:val="2"/>
          <w:lang w:val="en-IN"/>
          <w14:ligatures w14:val="standardContextual"/>
        </w:rPr>
      </w:pPr>
      <w:hyperlink w:anchor="_Toc241008858" w:history="1">
        <w:r w:rsidRPr="00BE63E9">
          <w:rPr>
            <w:rStyle w:val="Hyperlink"/>
            <w:noProof/>
          </w:rPr>
          <w:t>Table 2: “Porter’s five forces”</w:t>
        </w:r>
        <w:r>
          <w:rPr>
            <w:noProof/>
            <w:webHidden/>
          </w:rPr>
          <w:tab/>
        </w:r>
        <w:r>
          <w:rPr>
            <w:noProof/>
            <w:webHidden/>
          </w:rPr>
          <w:fldChar w:fldCharType="begin"/>
        </w:r>
        <w:r>
          <w:rPr>
            <w:noProof/>
            <w:webHidden/>
          </w:rPr>
          <w:instrText xml:space="preserve"> PAGEREF _Toc241008858 \h </w:instrText>
        </w:r>
        <w:r>
          <w:rPr>
            <w:noProof/>
            <w:webHidden/>
          </w:rPr>
        </w:r>
        <w:r>
          <w:rPr>
            <w:noProof/>
            <w:webHidden/>
          </w:rPr>
          <w:fldChar w:fldCharType="separate"/>
        </w:r>
        <w:r w:rsidR="005803CC">
          <w:rPr>
            <w:noProof/>
            <w:webHidden/>
          </w:rPr>
          <w:t>42</w:t>
        </w:r>
        <w:r>
          <w:rPr>
            <w:noProof/>
            <w:webHidden/>
          </w:rPr>
          <w:fldChar w:fldCharType="end"/>
        </w:r>
      </w:hyperlink>
    </w:p>
    <w:p w14:paraId="53497BE2" w14:textId="283A9996" w:rsidR="005902AB" w:rsidRDefault="005902AB">
      <w:pPr>
        <w:pStyle w:val="TableofFigures"/>
        <w:tabs>
          <w:tab w:val="right" w:leader="dot" w:pos="9350"/>
        </w:tabs>
        <w:rPr>
          <w:rFonts w:asciiTheme="minorHAnsi" w:eastAsiaTheme="minorEastAsia" w:hAnsiTheme="minorHAnsi" w:cstheme="minorBidi"/>
          <w:noProof/>
          <w:kern w:val="2"/>
          <w:lang w:val="en-IN"/>
          <w14:ligatures w14:val="standardContextual"/>
        </w:rPr>
      </w:pPr>
      <w:hyperlink w:anchor="_Toc241008859" w:history="1">
        <w:r w:rsidRPr="00BE63E9">
          <w:rPr>
            <w:rStyle w:val="Hyperlink"/>
            <w:noProof/>
          </w:rPr>
          <w:t>Table 3: “PESTLE Analysis”</w:t>
        </w:r>
        <w:r>
          <w:rPr>
            <w:noProof/>
            <w:webHidden/>
          </w:rPr>
          <w:tab/>
        </w:r>
        <w:r>
          <w:rPr>
            <w:noProof/>
            <w:webHidden/>
          </w:rPr>
          <w:fldChar w:fldCharType="begin"/>
        </w:r>
        <w:r>
          <w:rPr>
            <w:noProof/>
            <w:webHidden/>
          </w:rPr>
          <w:instrText xml:space="preserve"> PAGEREF _Toc241008859 \h </w:instrText>
        </w:r>
        <w:r>
          <w:rPr>
            <w:noProof/>
            <w:webHidden/>
          </w:rPr>
        </w:r>
        <w:r>
          <w:rPr>
            <w:noProof/>
            <w:webHidden/>
          </w:rPr>
          <w:fldChar w:fldCharType="separate"/>
        </w:r>
        <w:r w:rsidR="005803CC">
          <w:rPr>
            <w:noProof/>
            <w:webHidden/>
          </w:rPr>
          <w:t>44</w:t>
        </w:r>
        <w:r>
          <w:rPr>
            <w:noProof/>
            <w:webHidden/>
          </w:rPr>
          <w:fldChar w:fldCharType="end"/>
        </w:r>
      </w:hyperlink>
    </w:p>
    <w:p w14:paraId="4522788C" w14:textId="3008D0FB" w:rsidR="005902AB" w:rsidRDefault="005902AB">
      <w:pPr>
        <w:pStyle w:val="TableofFigures"/>
        <w:tabs>
          <w:tab w:val="right" w:leader="dot" w:pos="9350"/>
        </w:tabs>
        <w:rPr>
          <w:rFonts w:asciiTheme="minorHAnsi" w:eastAsiaTheme="minorEastAsia" w:hAnsiTheme="minorHAnsi" w:cstheme="minorBidi"/>
          <w:noProof/>
          <w:kern w:val="2"/>
          <w:lang w:val="en-IN"/>
          <w14:ligatures w14:val="standardContextual"/>
        </w:rPr>
      </w:pPr>
      <w:hyperlink w:anchor="_Toc241008860" w:history="1">
        <w:r w:rsidRPr="00BE63E9">
          <w:rPr>
            <w:rStyle w:val="Hyperlink"/>
            <w:noProof/>
          </w:rPr>
          <w:t>Table 4: “VRIO”</w:t>
        </w:r>
        <w:r>
          <w:rPr>
            <w:noProof/>
            <w:webHidden/>
          </w:rPr>
          <w:tab/>
        </w:r>
        <w:r>
          <w:rPr>
            <w:noProof/>
            <w:webHidden/>
          </w:rPr>
          <w:fldChar w:fldCharType="begin"/>
        </w:r>
        <w:r>
          <w:rPr>
            <w:noProof/>
            <w:webHidden/>
          </w:rPr>
          <w:instrText xml:space="preserve"> PAGEREF _Toc241008860 \h </w:instrText>
        </w:r>
        <w:r>
          <w:rPr>
            <w:noProof/>
            <w:webHidden/>
          </w:rPr>
        </w:r>
        <w:r>
          <w:rPr>
            <w:noProof/>
            <w:webHidden/>
          </w:rPr>
          <w:fldChar w:fldCharType="separate"/>
        </w:r>
        <w:r w:rsidR="005803CC">
          <w:rPr>
            <w:noProof/>
            <w:webHidden/>
          </w:rPr>
          <w:t>48</w:t>
        </w:r>
        <w:r>
          <w:rPr>
            <w:noProof/>
            <w:webHidden/>
          </w:rPr>
          <w:fldChar w:fldCharType="end"/>
        </w:r>
      </w:hyperlink>
    </w:p>
    <w:p w14:paraId="56777ED4" w14:textId="629F41D1" w:rsidR="005902AB" w:rsidRDefault="005902AB">
      <w:pPr>
        <w:pStyle w:val="TableofFigures"/>
        <w:tabs>
          <w:tab w:val="right" w:leader="dot" w:pos="9350"/>
        </w:tabs>
        <w:rPr>
          <w:rFonts w:asciiTheme="minorHAnsi" w:eastAsiaTheme="minorEastAsia" w:hAnsiTheme="minorHAnsi" w:cstheme="minorBidi"/>
          <w:noProof/>
          <w:kern w:val="2"/>
          <w:lang w:val="en-IN"/>
          <w14:ligatures w14:val="standardContextual"/>
        </w:rPr>
      </w:pPr>
      <w:hyperlink w:anchor="_Toc241008861" w:history="1">
        <w:r w:rsidRPr="00BE63E9">
          <w:rPr>
            <w:rStyle w:val="Hyperlink"/>
            <w:noProof/>
          </w:rPr>
          <w:t>Table 5: “SWOT Analysis”</w:t>
        </w:r>
        <w:r>
          <w:rPr>
            <w:noProof/>
            <w:webHidden/>
          </w:rPr>
          <w:tab/>
        </w:r>
        <w:r>
          <w:rPr>
            <w:noProof/>
            <w:webHidden/>
          </w:rPr>
          <w:fldChar w:fldCharType="begin"/>
        </w:r>
        <w:r>
          <w:rPr>
            <w:noProof/>
            <w:webHidden/>
          </w:rPr>
          <w:instrText xml:space="preserve"> PAGEREF _Toc241008861 \h </w:instrText>
        </w:r>
        <w:r>
          <w:rPr>
            <w:noProof/>
            <w:webHidden/>
          </w:rPr>
        </w:r>
        <w:r>
          <w:rPr>
            <w:noProof/>
            <w:webHidden/>
          </w:rPr>
          <w:fldChar w:fldCharType="separate"/>
        </w:r>
        <w:r w:rsidR="005803CC">
          <w:rPr>
            <w:noProof/>
            <w:webHidden/>
          </w:rPr>
          <w:t>50</w:t>
        </w:r>
        <w:r>
          <w:rPr>
            <w:noProof/>
            <w:webHidden/>
          </w:rPr>
          <w:fldChar w:fldCharType="end"/>
        </w:r>
      </w:hyperlink>
    </w:p>
    <w:p w14:paraId="41498167" w14:textId="0A5C9058" w:rsidR="005902AB" w:rsidRDefault="005902AB">
      <w:pPr>
        <w:pStyle w:val="TableofFigures"/>
        <w:tabs>
          <w:tab w:val="right" w:leader="dot" w:pos="9350"/>
        </w:tabs>
        <w:rPr>
          <w:rFonts w:asciiTheme="minorHAnsi" w:eastAsiaTheme="minorEastAsia" w:hAnsiTheme="minorHAnsi" w:cstheme="minorBidi"/>
          <w:noProof/>
          <w:kern w:val="2"/>
          <w:lang w:val="en-IN"/>
          <w14:ligatures w14:val="standardContextual"/>
        </w:rPr>
      </w:pPr>
      <w:hyperlink w:anchor="_Toc241008862" w:history="1">
        <w:r w:rsidRPr="00BE63E9">
          <w:rPr>
            <w:rStyle w:val="Hyperlink"/>
            <w:noProof/>
          </w:rPr>
          <w:t>Table 6: “Criteria discussion”</w:t>
        </w:r>
        <w:r>
          <w:rPr>
            <w:noProof/>
            <w:webHidden/>
          </w:rPr>
          <w:tab/>
        </w:r>
        <w:r>
          <w:rPr>
            <w:noProof/>
            <w:webHidden/>
          </w:rPr>
          <w:fldChar w:fldCharType="begin"/>
        </w:r>
        <w:r>
          <w:rPr>
            <w:noProof/>
            <w:webHidden/>
          </w:rPr>
          <w:instrText xml:space="preserve"> PAGEREF _Toc241008862 \h </w:instrText>
        </w:r>
        <w:r>
          <w:rPr>
            <w:noProof/>
            <w:webHidden/>
          </w:rPr>
        </w:r>
        <w:r>
          <w:rPr>
            <w:noProof/>
            <w:webHidden/>
          </w:rPr>
          <w:fldChar w:fldCharType="separate"/>
        </w:r>
        <w:r w:rsidR="005803CC">
          <w:rPr>
            <w:noProof/>
            <w:webHidden/>
          </w:rPr>
          <w:t>52</w:t>
        </w:r>
        <w:r>
          <w:rPr>
            <w:noProof/>
            <w:webHidden/>
          </w:rPr>
          <w:fldChar w:fldCharType="end"/>
        </w:r>
      </w:hyperlink>
    </w:p>
    <w:p w14:paraId="3BF625F5" w14:textId="339EF4D0" w:rsidR="005902AB" w:rsidRDefault="005902AB">
      <w:pPr>
        <w:pStyle w:val="TableofFigures"/>
        <w:tabs>
          <w:tab w:val="right" w:leader="dot" w:pos="9350"/>
        </w:tabs>
        <w:rPr>
          <w:rFonts w:asciiTheme="minorHAnsi" w:eastAsiaTheme="minorEastAsia" w:hAnsiTheme="minorHAnsi" w:cstheme="minorBidi"/>
          <w:noProof/>
          <w:kern w:val="2"/>
          <w:lang w:val="en-IN"/>
          <w14:ligatures w14:val="standardContextual"/>
        </w:rPr>
      </w:pPr>
      <w:hyperlink w:anchor="_Toc241008863" w:history="1">
        <w:r w:rsidRPr="00BE63E9">
          <w:rPr>
            <w:rStyle w:val="Hyperlink"/>
            <w:noProof/>
          </w:rPr>
          <w:t>Table 7: “Success factors”</w:t>
        </w:r>
        <w:r>
          <w:rPr>
            <w:noProof/>
            <w:webHidden/>
          </w:rPr>
          <w:tab/>
        </w:r>
        <w:r>
          <w:rPr>
            <w:noProof/>
            <w:webHidden/>
          </w:rPr>
          <w:fldChar w:fldCharType="begin"/>
        </w:r>
        <w:r>
          <w:rPr>
            <w:noProof/>
            <w:webHidden/>
          </w:rPr>
          <w:instrText xml:space="preserve"> PAGEREF _Toc241008863 \h </w:instrText>
        </w:r>
        <w:r>
          <w:rPr>
            <w:noProof/>
            <w:webHidden/>
          </w:rPr>
        </w:r>
        <w:r>
          <w:rPr>
            <w:noProof/>
            <w:webHidden/>
          </w:rPr>
          <w:fldChar w:fldCharType="separate"/>
        </w:r>
        <w:r w:rsidR="005803CC">
          <w:rPr>
            <w:noProof/>
            <w:webHidden/>
          </w:rPr>
          <w:t>56</w:t>
        </w:r>
        <w:r>
          <w:rPr>
            <w:noProof/>
            <w:webHidden/>
          </w:rPr>
          <w:fldChar w:fldCharType="end"/>
        </w:r>
      </w:hyperlink>
    </w:p>
    <w:p w14:paraId="6D1B042A" w14:textId="6E570248" w:rsidR="005902AB" w:rsidRDefault="005902AB">
      <w:pPr>
        <w:pStyle w:val="TableofFigures"/>
        <w:tabs>
          <w:tab w:val="right" w:leader="dot" w:pos="9350"/>
        </w:tabs>
        <w:rPr>
          <w:rFonts w:asciiTheme="minorHAnsi" w:eastAsiaTheme="minorEastAsia" w:hAnsiTheme="minorHAnsi" w:cstheme="minorBidi"/>
          <w:noProof/>
          <w:kern w:val="2"/>
          <w:lang w:val="en-IN"/>
          <w14:ligatures w14:val="standardContextual"/>
        </w:rPr>
      </w:pPr>
      <w:hyperlink w:anchor="_Toc241008864" w:history="1">
        <w:r w:rsidRPr="00BE63E9">
          <w:rPr>
            <w:rStyle w:val="Hyperlink"/>
            <w:noProof/>
          </w:rPr>
          <w:t>Table 8: “Business Model Canvas”</w:t>
        </w:r>
        <w:r>
          <w:rPr>
            <w:noProof/>
            <w:webHidden/>
          </w:rPr>
          <w:tab/>
        </w:r>
        <w:r>
          <w:rPr>
            <w:noProof/>
            <w:webHidden/>
          </w:rPr>
          <w:fldChar w:fldCharType="begin"/>
        </w:r>
        <w:r>
          <w:rPr>
            <w:noProof/>
            <w:webHidden/>
          </w:rPr>
          <w:instrText xml:space="preserve"> PAGEREF _Toc241008864 \h </w:instrText>
        </w:r>
        <w:r>
          <w:rPr>
            <w:noProof/>
            <w:webHidden/>
          </w:rPr>
        </w:r>
        <w:r>
          <w:rPr>
            <w:noProof/>
            <w:webHidden/>
          </w:rPr>
          <w:fldChar w:fldCharType="separate"/>
        </w:r>
        <w:r w:rsidR="005803CC">
          <w:rPr>
            <w:noProof/>
            <w:webHidden/>
          </w:rPr>
          <w:t>61</w:t>
        </w:r>
        <w:r>
          <w:rPr>
            <w:noProof/>
            <w:webHidden/>
          </w:rPr>
          <w:fldChar w:fldCharType="end"/>
        </w:r>
      </w:hyperlink>
    </w:p>
    <w:p w14:paraId="407BA922" w14:textId="541BB67C" w:rsidR="005902AB" w:rsidRDefault="005902AB">
      <w:pPr>
        <w:pStyle w:val="TableofFigures"/>
        <w:tabs>
          <w:tab w:val="right" w:leader="dot" w:pos="9350"/>
        </w:tabs>
        <w:rPr>
          <w:rFonts w:asciiTheme="minorHAnsi" w:eastAsiaTheme="minorEastAsia" w:hAnsiTheme="minorHAnsi" w:cstheme="minorBidi"/>
          <w:noProof/>
          <w:kern w:val="2"/>
          <w:lang w:val="en-IN"/>
          <w14:ligatures w14:val="standardContextual"/>
        </w:rPr>
      </w:pPr>
      <w:hyperlink w:anchor="_Toc241008865" w:history="1">
        <w:r w:rsidRPr="00BE63E9">
          <w:rPr>
            <w:rStyle w:val="Hyperlink"/>
            <w:noProof/>
          </w:rPr>
          <w:t>Table 9: “Products and Pricing”</w:t>
        </w:r>
        <w:r>
          <w:rPr>
            <w:noProof/>
            <w:webHidden/>
          </w:rPr>
          <w:tab/>
        </w:r>
        <w:r>
          <w:rPr>
            <w:noProof/>
            <w:webHidden/>
          </w:rPr>
          <w:fldChar w:fldCharType="begin"/>
        </w:r>
        <w:r>
          <w:rPr>
            <w:noProof/>
            <w:webHidden/>
          </w:rPr>
          <w:instrText xml:space="preserve"> PAGEREF _Toc241008865 \h </w:instrText>
        </w:r>
        <w:r>
          <w:rPr>
            <w:noProof/>
            <w:webHidden/>
          </w:rPr>
        </w:r>
        <w:r>
          <w:rPr>
            <w:noProof/>
            <w:webHidden/>
          </w:rPr>
          <w:fldChar w:fldCharType="separate"/>
        </w:r>
        <w:r w:rsidR="005803CC">
          <w:rPr>
            <w:noProof/>
            <w:webHidden/>
          </w:rPr>
          <w:t>64</w:t>
        </w:r>
        <w:r>
          <w:rPr>
            <w:noProof/>
            <w:webHidden/>
          </w:rPr>
          <w:fldChar w:fldCharType="end"/>
        </w:r>
      </w:hyperlink>
    </w:p>
    <w:p w14:paraId="63144A27" w14:textId="680DDDA5" w:rsidR="005902AB" w:rsidRDefault="005902AB">
      <w:pPr>
        <w:pStyle w:val="TableofFigures"/>
        <w:tabs>
          <w:tab w:val="right" w:leader="dot" w:pos="9350"/>
        </w:tabs>
        <w:rPr>
          <w:rFonts w:asciiTheme="minorHAnsi" w:eastAsiaTheme="minorEastAsia" w:hAnsiTheme="minorHAnsi" w:cstheme="minorBidi"/>
          <w:noProof/>
          <w:kern w:val="2"/>
          <w:lang w:val="en-IN"/>
          <w14:ligatures w14:val="standardContextual"/>
        </w:rPr>
      </w:pPr>
      <w:hyperlink w:anchor="_Toc241008866" w:history="1">
        <w:r w:rsidRPr="00BE63E9">
          <w:rPr>
            <w:rStyle w:val="Hyperlink"/>
            <w:noProof/>
          </w:rPr>
          <w:t>Table 10: “Financial Assumptions”</w:t>
        </w:r>
        <w:r>
          <w:rPr>
            <w:noProof/>
            <w:webHidden/>
          </w:rPr>
          <w:tab/>
        </w:r>
        <w:r>
          <w:rPr>
            <w:noProof/>
            <w:webHidden/>
          </w:rPr>
          <w:fldChar w:fldCharType="begin"/>
        </w:r>
        <w:r>
          <w:rPr>
            <w:noProof/>
            <w:webHidden/>
          </w:rPr>
          <w:instrText xml:space="preserve"> PAGEREF _Toc241008866 \h </w:instrText>
        </w:r>
        <w:r>
          <w:rPr>
            <w:noProof/>
            <w:webHidden/>
          </w:rPr>
        </w:r>
        <w:r>
          <w:rPr>
            <w:noProof/>
            <w:webHidden/>
          </w:rPr>
          <w:fldChar w:fldCharType="separate"/>
        </w:r>
        <w:r w:rsidR="005803CC">
          <w:rPr>
            <w:noProof/>
            <w:webHidden/>
          </w:rPr>
          <w:t>65</w:t>
        </w:r>
        <w:r>
          <w:rPr>
            <w:noProof/>
            <w:webHidden/>
          </w:rPr>
          <w:fldChar w:fldCharType="end"/>
        </w:r>
      </w:hyperlink>
    </w:p>
    <w:p w14:paraId="1C6D9AFA" w14:textId="60D671FC" w:rsidR="005902AB" w:rsidRDefault="005902AB">
      <w:pPr>
        <w:pStyle w:val="TableofFigures"/>
        <w:tabs>
          <w:tab w:val="right" w:leader="dot" w:pos="9350"/>
        </w:tabs>
        <w:rPr>
          <w:rFonts w:asciiTheme="minorHAnsi" w:eastAsiaTheme="minorEastAsia" w:hAnsiTheme="minorHAnsi" w:cstheme="minorBidi"/>
          <w:noProof/>
          <w:kern w:val="2"/>
          <w:lang w:val="en-IN"/>
          <w14:ligatures w14:val="standardContextual"/>
        </w:rPr>
      </w:pPr>
      <w:hyperlink w:anchor="_Toc241008867" w:history="1">
        <w:r w:rsidRPr="00BE63E9">
          <w:rPr>
            <w:rStyle w:val="Hyperlink"/>
            <w:noProof/>
          </w:rPr>
          <w:t>Table 11: “Profits”</w:t>
        </w:r>
        <w:r>
          <w:rPr>
            <w:noProof/>
            <w:webHidden/>
          </w:rPr>
          <w:tab/>
        </w:r>
        <w:r>
          <w:rPr>
            <w:noProof/>
            <w:webHidden/>
          </w:rPr>
          <w:fldChar w:fldCharType="begin"/>
        </w:r>
        <w:r>
          <w:rPr>
            <w:noProof/>
            <w:webHidden/>
          </w:rPr>
          <w:instrText xml:space="preserve"> PAGEREF _Toc241008867 \h </w:instrText>
        </w:r>
        <w:r>
          <w:rPr>
            <w:noProof/>
            <w:webHidden/>
          </w:rPr>
        </w:r>
        <w:r>
          <w:rPr>
            <w:noProof/>
            <w:webHidden/>
          </w:rPr>
          <w:fldChar w:fldCharType="separate"/>
        </w:r>
        <w:r w:rsidR="005803CC">
          <w:rPr>
            <w:noProof/>
            <w:webHidden/>
          </w:rPr>
          <w:t>66</w:t>
        </w:r>
        <w:r>
          <w:rPr>
            <w:noProof/>
            <w:webHidden/>
          </w:rPr>
          <w:fldChar w:fldCharType="end"/>
        </w:r>
      </w:hyperlink>
    </w:p>
    <w:p w14:paraId="33DF365F" w14:textId="2D38B45B" w:rsidR="005902AB" w:rsidRDefault="005902AB">
      <w:pPr>
        <w:pStyle w:val="TableofFigures"/>
        <w:tabs>
          <w:tab w:val="right" w:leader="dot" w:pos="9350"/>
        </w:tabs>
        <w:rPr>
          <w:rFonts w:asciiTheme="minorHAnsi" w:eastAsiaTheme="minorEastAsia" w:hAnsiTheme="minorHAnsi" w:cstheme="minorBidi"/>
          <w:noProof/>
          <w:kern w:val="2"/>
          <w:lang w:val="en-IN"/>
          <w14:ligatures w14:val="standardContextual"/>
        </w:rPr>
      </w:pPr>
      <w:hyperlink w:anchor="_Toc241008868" w:history="1">
        <w:r w:rsidRPr="00BE63E9">
          <w:rPr>
            <w:rStyle w:val="Hyperlink"/>
            <w:noProof/>
          </w:rPr>
          <w:t>Table 12: “Breakeven”</w:t>
        </w:r>
        <w:r>
          <w:rPr>
            <w:noProof/>
            <w:webHidden/>
          </w:rPr>
          <w:tab/>
        </w:r>
        <w:r>
          <w:rPr>
            <w:noProof/>
            <w:webHidden/>
          </w:rPr>
          <w:fldChar w:fldCharType="begin"/>
        </w:r>
        <w:r>
          <w:rPr>
            <w:noProof/>
            <w:webHidden/>
          </w:rPr>
          <w:instrText xml:space="preserve"> PAGEREF _Toc241008868 \h </w:instrText>
        </w:r>
        <w:r>
          <w:rPr>
            <w:noProof/>
            <w:webHidden/>
          </w:rPr>
        </w:r>
        <w:r>
          <w:rPr>
            <w:noProof/>
            <w:webHidden/>
          </w:rPr>
          <w:fldChar w:fldCharType="separate"/>
        </w:r>
        <w:r w:rsidR="005803CC">
          <w:rPr>
            <w:noProof/>
            <w:webHidden/>
          </w:rPr>
          <w:t>67</w:t>
        </w:r>
        <w:r>
          <w:rPr>
            <w:noProof/>
            <w:webHidden/>
          </w:rPr>
          <w:fldChar w:fldCharType="end"/>
        </w:r>
      </w:hyperlink>
    </w:p>
    <w:p w14:paraId="1535B447" w14:textId="0B12FB14" w:rsidR="005902AB" w:rsidRDefault="005902AB">
      <w:pPr>
        <w:pStyle w:val="TableofFigures"/>
        <w:tabs>
          <w:tab w:val="right" w:leader="dot" w:pos="9350"/>
        </w:tabs>
        <w:rPr>
          <w:rFonts w:asciiTheme="minorHAnsi" w:eastAsiaTheme="minorEastAsia" w:hAnsiTheme="minorHAnsi" w:cstheme="minorBidi"/>
          <w:noProof/>
          <w:kern w:val="2"/>
          <w:lang w:val="en-IN"/>
          <w14:ligatures w14:val="standardContextual"/>
        </w:rPr>
      </w:pPr>
      <w:hyperlink w:anchor="_Toc241008869" w:history="1">
        <w:r w:rsidRPr="00BE63E9">
          <w:rPr>
            <w:rStyle w:val="Hyperlink"/>
            <w:noProof/>
          </w:rPr>
          <w:t>Table 13: “Marketing mix”</w:t>
        </w:r>
        <w:r>
          <w:rPr>
            <w:noProof/>
            <w:webHidden/>
          </w:rPr>
          <w:tab/>
        </w:r>
        <w:r>
          <w:rPr>
            <w:noProof/>
            <w:webHidden/>
          </w:rPr>
          <w:fldChar w:fldCharType="begin"/>
        </w:r>
        <w:r>
          <w:rPr>
            <w:noProof/>
            <w:webHidden/>
          </w:rPr>
          <w:instrText xml:space="preserve"> PAGEREF _Toc241008869 \h </w:instrText>
        </w:r>
        <w:r>
          <w:rPr>
            <w:noProof/>
            <w:webHidden/>
          </w:rPr>
        </w:r>
        <w:r>
          <w:rPr>
            <w:noProof/>
            <w:webHidden/>
          </w:rPr>
          <w:fldChar w:fldCharType="separate"/>
        </w:r>
        <w:r w:rsidR="005803CC">
          <w:rPr>
            <w:noProof/>
            <w:webHidden/>
          </w:rPr>
          <w:t>69</w:t>
        </w:r>
        <w:r>
          <w:rPr>
            <w:noProof/>
            <w:webHidden/>
          </w:rPr>
          <w:fldChar w:fldCharType="end"/>
        </w:r>
      </w:hyperlink>
    </w:p>
    <w:p w14:paraId="4851D27F" w14:textId="3D6B141C" w:rsidR="005902AB" w:rsidRDefault="005902AB">
      <w:pPr>
        <w:pStyle w:val="TableofFigures"/>
        <w:tabs>
          <w:tab w:val="right" w:leader="dot" w:pos="9350"/>
        </w:tabs>
        <w:rPr>
          <w:rFonts w:asciiTheme="minorHAnsi" w:eastAsiaTheme="minorEastAsia" w:hAnsiTheme="minorHAnsi" w:cstheme="minorBidi"/>
          <w:noProof/>
          <w:kern w:val="2"/>
          <w:lang w:val="en-IN"/>
          <w14:ligatures w14:val="standardContextual"/>
        </w:rPr>
      </w:pPr>
      <w:hyperlink w:anchor="_Toc241008870" w:history="1">
        <w:r w:rsidRPr="00BE63E9">
          <w:rPr>
            <w:rStyle w:val="Hyperlink"/>
            <w:noProof/>
          </w:rPr>
          <w:t>Table 14: “Human Management”</w:t>
        </w:r>
        <w:r>
          <w:rPr>
            <w:noProof/>
            <w:webHidden/>
          </w:rPr>
          <w:tab/>
        </w:r>
        <w:r>
          <w:rPr>
            <w:noProof/>
            <w:webHidden/>
          </w:rPr>
          <w:fldChar w:fldCharType="begin"/>
        </w:r>
        <w:r>
          <w:rPr>
            <w:noProof/>
            <w:webHidden/>
          </w:rPr>
          <w:instrText xml:space="preserve"> PAGEREF _Toc241008870 \h </w:instrText>
        </w:r>
        <w:r>
          <w:rPr>
            <w:noProof/>
            <w:webHidden/>
          </w:rPr>
        </w:r>
        <w:r>
          <w:rPr>
            <w:noProof/>
            <w:webHidden/>
          </w:rPr>
          <w:fldChar w:fldCharType="separate"/>
        </w:r>
        <w:r w:rsidR="005803CC">
          <w:rPr>
            <w:noProof/>
            <w:webHidden/>
          </w:rPr>
          <w:t>71</w:t>
        </w:r>
        <w:r>
          <w:rPr>
            <w:noProof/>
            <w:webHidden/>
          </w:rPr>
          <w:fldChar w:fldCharType="end"/>
        </w:r>
      </w:hyperlink>
    </w:p>
    <w:p w14:paraId="06052FA7" w14:textId="2C9DC097" w:rsidR="005902AB" w:rsidRDefault="005902AB">
      <w:pPr>
        <w:pStyle w:val="TableofFigures"/>
        <w:tabs>
          <w:tab w:val="right" w:leader="dot" w:pos="9350"/>
        </w:tabs>
        <w:rPr>
          <w:rFonts w:asciiTheme="minorHAnsi" w:eastAsiaTheme="minorEastAsia" w:hAnsiTheme="minorHAnsi" w:cstheme="minorBidi"/>
          <w:noProof/>
          <w:kern w:val="2"/>
          <w:lang w:val="en-IN"/>
          <w14:ligatures w14:val="standardContextual"/>
        </w:rPr>
      </w:pPr>
      <w:hyperlink w:anchor="_Toc241008871" w:history="1">
        <w:r w:rsidRPr="00BE63E9">
          <w:rPr>
            <w:rStyle w:val="Hyperlink"/>
            <w:noProof/>
          </w:rPr>
          <w:t>Table 15: “Technology infrastructure”</w:t>
        </w:r>
        <w:r>
          <w:rPr>
            <w:noProof/>
            <w:webHidden/>
          </w:rPr>
          <w:tab/>
        </w:r>
        <w:r>
          <w:rPr>
            <w:noProof/>
            <w:webHidden/>
          </w:rPr>
          <w:fldChar w:fldCharType="begin"/>
        </w:r>
        <w:r>
          <w:rPr>
            <w:noProof/>
            <w:webHidden/>
          </w:rPr>
          <w:instrText xml:space="preserve"> PAGEREF _Toc241008871 \h </w:instrText>
        </w:r>
        <w:r>
          <w:rPr>
            <w:noProof/>
            <w:webHidden/>
          </w:rPr>
        </w:r>
        <w:r>
          <w:rPr>
            <w:noProof/>
            <w:webHidden/>
          </w:rPr>
          <w:fldChar w:fldCharType="separate"/>
        </w:r>
        <w:r w:rsidR="005803CC">
          <w:rPr>
            <w:noProof/>
            <w:webHidden/>
          </w:rPr>
          <w:t>75</w:t>
        </w:r>
        <w:r>
          <w:rPr>
            <w:noProof/>
            <w:webHidden/>
          </w:rPr>
          <w:fldChar w:fldCharType="end"/>
        </w:r>
      </w:hyperlink>
    </w:p>
    <w:p w14:paraId="1001C129" w14:textId="7556034A" w:rsidR="005902AB" w:rsidRDefault="005902AB">
      <w:pPr>
        <w:pStyle w:val="TableofFigures"/>
        <w:tabs>
          <w:tab w:val="right" w:leader="dot" w:pos="9350"/>
        </w:tabs>
        <w:rPr>
          <w:rFonts w:asciiTheme="minorHAnsi" w:eastAsiaTheme="minorEastAsia" w:hAnsiTheme="minorHAnsi" w:cstheme="minorBidi"/>
          <w:noProof/>
          <w:kern w:val="2"/>
          <w:lang w:val="en-IN"/>
          <w14:ligatures w14:val="standardContextual"/>
        </w:rPr>
      </w:pPr>
      <w:hyperlink w:anchor="_Toc241008872" w:history="1">
        <w:r w:rsidRPr="00BE63E9">
          <w:rPr>
            <w:rStyle w:val="Hyperlink"/>
            <w:noProof/>
          </w:rPr>
          <w:t>Table 16: “KPIs”</w:t>
        </w:r>
        <w:r>
          <w:rPr>
            <w:noProof/>
            <w:webHidden/>
          </w:rPr>
          <w:tab/>
        </w:r>
        <w:r>
          <w:rPr>
            <w:noProof/>
            <w:webHidden/>
          </w:rPr>
          <w:fldChar w:fldCharType="begin"/>
        </w:r>
        <w:r>
          <w:rPr>
            <w:noProof/>
            <w:webHidden/>
          </w:rPr>
          <w:instrText xml:space="preserve"> PAGEREF _Toc241008872 \h </w:instrText>
        </w:r>
        <w:r>
          <w:rPr>
            <w:noProof/>
            <w:webHidden/>
          </w:rPr>
        </w:r>
        <w:r>
          <w:rPr>
            <w:noProof/>
            <w:webHidden/>
          </w:rPr>
          <w:fldChar w:fldCharType="separate"/>
        </w:r>
        <w:r w:rsidR="005803CC">
          <w:rPr>
            <w:noProof/>
            <w:webHidden/>
          </w:rPr>
          <w:t>76</w:t>
        </w:r>
        <w:r>
          <w:rPr>
            <w:noProof/>
            <w:webHidden/>
          </w:rPr>
          <w:fldChar w:fldCharType="end"/>
        </w:r>
      </w:hyperlink>
    </w:p>
    <w:p w14:paraId="2E5BEACF" w14:textId="60060143" w:rsidR="005902AB" w:rsidRDefault="005902AB">
      <w:pPr>
        <w:pStyle w:val="TableofFigures"/>
        <w:tabs>
          <w:tab w:val="right" w:leader="dot" w:pos="9350"/>
        </w:tabs>
        <w:rPr>
          <w:rFonts w:asciiTheme="minorHAnsi" w:eastAsiaTheme="minorEastAsia" w:hAnsiTheme="minorHAnsi" w:cstheme="minorBidi"/>
          <w:noProof/>
          <w:kern w:val="2"/>
          <w:lang w:val="en-IN"/>
          <w14:ligatures w14:val="standardContextual"/>
        </w:rPr>
      </w:pPr>
      <w:hyperlink w:anchor="_Toc241008873" w:history="1">
        <w:r w:rsidRPr="00BE63E9">
          <w:rPr>
            <w:rStyle w:val="Hyperlink"/>
            <w:noProof/>
          </w:rPr>
          <w:t>Table 17: “Risk Matrix”</w:t>
        </w:r>
        <w:r>
          <w:rPr>
            <w:noProof/>
            <w:webHidden/>
          </w:rPr>
          <w:tab/>
        </w:r>
        <w:r>
          <w:rPr>
            <w:noProof/>
            <w:webHidden/>
          </w:rPr>
          <w:fldChar w:fldCharType="begin"/>
        </w:r>
        <w:r>
          <w:rPr>
            <w:noProof/>
            <w:webHidden/>
          </w:rPr>
          <w:instrText xml:space="preserve"> PAGEREF _Toc241008873 \h </w:instrText>
        </w:r>
        <w:r>
          <w:rPr>
            <w:noProof/>
            <w:webHidden/>
          </w:rPr>
        </w:r>
        <w:r>
          <w:rPr>
            <w:noProof/>
            <w:webHidden/>
          </w:rPr>
          <w:fldChar w:fldCharType="separate"/>
        </w:r>
        <w:r w:rsidR="005803CC">
          <w:rPr>
            <w:noProof/>
            <w:webHidden/>
          </w:rPr>
          <w:t>81</w:t>
        </w:r>
        <w:r>
          <w:rPr>
            <w:noProof/>
            <w:webHidden/>
          </w:rPr>
          <w:fldChar w:fldCharType="end"/>
        </w:r>
      </w:hyperlink>
    </w:p>
    <w:p w14:paraId="174BC16C" w14:textId="6A99546A" w:rsidR="005902AB" w:rsidRDefault="005902AB">
      <w:pPr>
        <w:pStyle w:val="TableofFigures"/>
        <w:tabs>
          <w:tab w:val="right" w:leader="dot" w:pos="9350"/>
        </w:tabs>
        <w:rPr>
          <w:rFonts w:asciiTheme="minorHAnsi" w:eastAsiaTheme="minorEastAsia" w:hAnsiTheme="minorHAnsi" w:cstheme="minorBidi"/>
          <w:noProof/>
          <w:kern w:val="2"/>
          <w:lang w:val="en-IN"/>
          <w14:ligatures w14:val="standardContextual"/>
        </w:rPr>
      </w:pPr>
      <w:hyperlink w:anchor="_Toc241008874" w:history="1">
        <w:r w:rsidRPr="00BE63E9">
          <w:rPr>
            <w:rStyle w:val="Hyperlink"/>
            <w:noProof/>
          </w:rPr>
          <w:t>Table 18: “Implementation Plan”</w:t>
        </w:r>
        <w:r>
          <w:rPr>
            <w:noProof/>
            <w:webHidden/>
          </w:rPr>
          <w:tab/>
        </w:r>
        <w:r>
          <w:rPr>
            <w:noProof/>
            <w:webHidden/>
          </w:rPr>
          <w:fldChar w:fldCharType="begin"/>
        </w:r>
        <w:r>
          <w:rPr>
            <w:noProof/>
            <w:webHidden/>
          </w:rPr>
          <w:instrText xml:space="preserve"> PAGEREF _Toc241008874 \h </w:instrText>
        </w:r>
        <w:r>
          <w:rPr>
            <w:noProof/>
            <w:webHidden/>
          </w:rPr>
        </w:r>
        <w:r>
          <w:rPr>
            <w:noProof/>
            <w:webHidden/>
          </w:rPr>
          <w:fldChar w:fldCharType="separate"/>
        </w:r>
        <w:r w:rsidR="005803CC">
          <w:rPr>
            <w:noProof/>
            <w:webHidden/>
          </w:rPr>
          <w:t>83</w:t>
        </w:r>
        <w:r>
          <w:rPr>
            <w:noProof/>
            <w:webHidden/>
          </w:rPr>
          <w:fldChar w:fldCharType="end"/>
        </w:r>
      </w:hyperlink>
    </w:p>
    <w:p w14:paraId="504804E1" w14:textId="4EB8EFE0" w:rsidR="005902AB" w:rsidRDefault="005902AB">
      <w:pPr>
        <w:pStyle w:val="TableofFigures"/>
        <w:tabs>
          <w:tab w:val="right" w:leader="dot" w:pos="9350"/>
        </w:tabs>
        <w:rPr>
          <w:rFonts w:asciiTheme="minorHAnsi" w:eastAsiaTheme="minorEastAsia" w:hAnsiTheme="minorHAnsi" w:cstheme="minorBidi"/>
          <w:noProof/>
          <w:kern w:val="2"/>
          <w:lang w:val="en-IN"/>
          <w14:ligatures w14:val="standardContextual"/>
        </w:rPr>
      </w:pPr>
      <w:hyperlink w:anchor="_Toc241008875" w:history="1">
        <w:r w:rsidRPr="00BE63E9">
          <w:rPr>
            <w:rStyle w:val="Hyperlink"/>
            <w:noProof/>
          </w:rPr>
          <w:t>Table 19: “Milestone and timeline”</w:t>
        </w:r>
        <w:r>
          <w:rPr>
            <w:noProof/>
            <w:webHidden/>
          </w:rPr>
          <w:tab/>
        </w:r>
        <w:r>
          <w:rPr>
            <w:noProof/>
            <w:webHidden/>
          </w:rPr>
          <w:fldChar w:fldCharType="begin"/>
        </w:r>
        <w:r>
          <w:rPr>
            <w:noProof/>
            <w:webHidden/>
          </w:rPr>
          <w:instrText xml:space="preserve"> PAGEREF _Toc241008875 \h </w:instrText>
        </w:r>
        <w:r>
          <w:rPr>
            <w:noProof/>
            <w:webHidden/>
          </w:rPr>
        </w:r>
        <w:r>
          <w:rPr>
            <w:noProof/>
            <w:webHidden/>
          </w:rPr>
          <w:fldChar w:fldCharType="separate"/>
        </w:r>
        <w:r w:rsidR="005803CC">
          <w:rPr>
            <w:noProof/>
            <w:webHidden/>
          </w:rPr>
          <w:t>84</w:t>
        </w:r>
        <w:r>
          <w:rPr>
            <w:noProof/>
            <w:webHidden/>
          </w:rPr>
          <w:fldChar w:fldCharType="end"/>
        </w:r>
      </w:hyperlink>
    </w:p>
    <w:p w14:paraId="75F011DD" w14:textId="0996FD58" w:rsidR="005902AB" w:rsidRDefault="005902AB">
      <w:pPr>
        <w:pStyle w:val="TableofFigures"/>
        <w:tabs>
          <w:tab w:val="right" w:leader="dot" w:pos="9350"/>
        </w:tabs>
        <w:rPr>
          <w:rFonts w:asciiTheme="minorHAnsi" w:eastAsiaTheme="minorEastAsia" w:hAnsiTheme="minorHAnsi" w:cstheme="minorBidi"/>
          <w:noProof/>
          <w:kern w:val="2"/>
          <w:lang w:val="en-IN"/>
          <w14:ligatures w14:val="standardContextual"/>
        </w:rPr>
      </w:pPr>
      <w:hyperlink w:anchor="_Toc241008876" w:history="1">
        <w:r w:rsidRPr="00BE63E9">
          <w:rPr>
            <w:rStyle w:val="Hyperlink"/>
            <w:noProof/>
          </w:rPr>
          <w:t>Table 20: “Resource Allocation”</w:t>
        </w:r>
        <w:r>
          <w:rPr>
            <w:noProof/>
            <w:webHidden/>
          </w:rPr>
          <w:tab/>
        </w:r>
        <w:r>
          <w:rPr>
            <w:noProof/>
            <w:webHidden/>
          </w:rPr>
          <w:fldChar w:fldCharType="begin"/>
        </w:r>
        <w:r>
          <w:rPr>
            <w:noProof/>
            <w:webHidden/>
          </w:rPr>
          <w:instrText xml:space="preserve"> PAGEREF _Toc241008876 \h </w:instrText>
        </w:r>
        <w:r>
          <w:rPr>
            <w:noProof/>
            <w:webHidden/>
          </w:rPr>
        </w:r>
        <w:r>
          <w:rPr>
            <w:noProof/>
            <w:webHidden/>
          </w:rPr>
          <w:fldChar w:fldCharType="separate"/>
        </w:r>
        <w:r w:rsidR="005803CC">
          <w:rPr>
            <w:noProof/>
            <w:webHidden/>
          </w:rPr>
          <w:t>84</w:t>
        </w:r>
        <w:r>
          <w:rPr>
            <w:noProof/>
            <w:webHidden/>
          </w:rPr>
          <w:fldChar w:fldCharType="end"/>
        </w:r>
      </w:hyperlink>
    </w:p>
    <w:p w14:paraId="15EA3B3B" w14:textId="0D5C50CC" w:rsidR="005902AB" w:rsidRDefault="005902AB">
      <w:pPr>
        <w:pStyle w:val="TableofFigures"/>
        <w:tabs>
          <w:tab w:val="right" w:leader="dot" w:pos="9350"/>
        </w:tabs>
        <w:rPr>
          <w:rFonts w:asciiTheme="minorHAnsi" w:eastAsiaTheme="minorEastAsia" w:hAnsiTheme="minorHAnsi" w:cstheme="minorBidi"/>
          <w:noProof/>
          <w:kern w:val="2"/>
          <w:lang w:val="en-IN"/>
          <w14:ligatures w14:val="standardContextual"/>
        </w:rPr>
      </w:pPr>
      <w:hyperlink w:anchor="_Toc241008877" w:history="1">
        <w:r w:rsidRPr="00BE63E9">
          <w:rPr>
            <w:rStyle w:val="Hyperlink"/>
            <w:noProof/>
          </w:rPr>
          <w:t>Table 21: “KPIs, Monitoring and Control”</w:t>
        </w:r>
        <w:r>
          <w:rPr>
            <w:noProof/>
            <w:webHidden/>
          </w:rPr>
          <w:tab/>
        </w:r>
        <w:r>
          <w:rPr>
            <w:noProof/>
            <w:webHidden/>
          </w:rPr>
          <w:fldChar w:fldCharType="begin"/>
        </w:r>
        <w:r>
          <w:rPr>
            <w:noProof/>
            <w:webHidden/>
          </w:rPr>
          <w:instrText xml:space="preserve"> PAGEREF _Toc241008877 \h </w:instrText>
        </w:r>
        <w:r>
          <w:rPr>
            <w:noProof/>
            <w:webHidden/>
          </w:rPr>
        </w:r>
        <w:r>
          <w:rPr>
            <w:noProof/>
            <w:webHidden/>
          </w:rPr>
          <w:fldChar w:fldCharType="separate"/>
        </w:r>
        <w:r w:rsidR="005803CC">
          <w:rPr>
            <w:noProof/>
            <w:webHidden/>
          </w:rPr>
          <w:t>86</w:t>
        </w:r>
        <w:r>
          <w:rPr>
            <w:noProof/>
            <w:webHidden/>
          </w:rPr>
          <w:fldChar w:fldCharType="end"/>
        </w:r>
      </w:hyperlink>
    </w:p>
    <w:p w14:paraId="55EF084B" w14:textId="3CCC1FD6" w:rsidR="005902AB" w:rsidRDefault="005902AB">
      <w:pPr>
        <w:pStyle w:val="TableofFigures"/>
        <w:tabs>
          <w:tab w:val="right" w:leader="dot" w:pos="9350"/>
        </w:tabs>
        <w:rPr>
          <w:rFonts w:asciiTheme="minorHAnsi" w:eastAsiaTheme="minorEastAsia" w:hAnsiTheme="minorHAnsi" w:cstheme="minorBidi"/>
          <w:noProof/>
          <w:kern w:val="2"/>
          <w:lang w:val="en-IN"/>
          <w14:ligatures w14:val="standardContextual"/>
        </w:rPr>
      </w:pPr>
      <w:hyperlink w:anchor="_Toc241008878" w:history="1">
        <w:r w:rsidRPr="00BE63E9">
          <w:rPr>
            <w:rStyle w:val="Hyperlink"/>
            <w:noProof/>
          </w:rPr>
          <w:t>Table 22: “Change Management”</w:t>
        </w:r>
        <w:r>
          <w:rPr>
            <w:noProof/>
            <w:webHidden/>
          </w:rPr>
          <w:tab/>
        </w:r>
        <w:r>
          <w:rPr>
            <w:noProof/>
            <w:webHidden/>
          </w:rPr>
          <w:fldChar w:fldCharType="begin"/>
        </w:r>
        <w:r>
          <w:rPr>
            <w:noProof/>
            <w:webHidden/>
          </w:rPr>
          <w:instrText xml:space="preserve"> PAGEREF _Toc241008878 \h </w:instrText>
        </w:r>
        <w:r>
          <w:rPr>
            <w:noProof/>
            <w:webHidden/>
          </w:rPr>
        </w:r>
        <w:r>
          <w:rPr>
            <w:noProof/>
            <w:webHidden/>
          </w:rPr>
          <w:fldChar w:fldCharType="separate"/>
        </w:r>
        <w:r w:rsidR="005803CC">
          <w:rPr>
            <w:noProof/>
            <w:webHidden/>
          </w:rPr>
          <w:t>86</w:t>
        </w:r>
        <w:r>
          <w:rPr>
            <w:noProof/>
            <w:webHidden/>
          </w:rPr>
          <w:fldChar w:fldCharType="end"/>
        </w:r>
      </w:hyperlink>
    </w:p>
    <w:p w14:paraId="727AD0B8" w14:textId="4E1E187C" w:rsidR="00EA6A3F" w:rsidRDefault="00EF66B6" w:rsidP="00E65D77">
      <w:r>
        <w:fldChar w:fldCharType="end"/>
      </w:r>
      <w:r w:rsidR="00000000">
        <w:br w:type="page"/>
      </w:r>
    </w:p>
    <w:p w14:paraId="6CA60F90" w14:textId="5FA34ED4" w:rsidR="00EA6A3F" w:rsidRDefault="00AC2DFB">
      <w:pPr>
        <w:pStyle w:val="Heading1"/>
        <w:keepNext w:val="0"/>
        <w:keepLines w:val="0"/>
      </w:pPr>
      <w:bookmarkStart w:id="4" w:name="_xnxfkf6i1owp" w:colFirst="0" w:colLast="0"/>
      <w:bookmarkStart w:id="5" w:name="_Toc241008203"/>
      <w:bookmarkEnd w:id="4"/>
      <w:r>
        <w:lastRenderedPageBreak/>
        <w:t>Chapter 1: Introduction</w:t>
      </w:r>
      <w:bookmarkEnd w:id="5"/>
    </w:p>
    <w:p w14:paraId="39AFF6BB" w14:textId="77777777" w:rsidR="00EA6A3F" w:rsidRDefault="00000000">
      <w:pPr>
        <w:pStyle w:val="Heading2"/>
        <w:keepNext w:val="0"/>
        <w:keepLines w:val="0"/>
      </w:pPr>
      <w:bookmarkStart w:id="6" w:name="_1cpfbuw9hr4j" w:colFirst="0" w:colLast="0"/>
      <w:bookmarkStart w:id="7" w:name="_Toc241008204"/>
      <w:bookmarkEnd w:id="6"/>
      <w:r>
        <w:t>1.1 Background and Context</w:t>
      </w:r>
      <w:bookmarkEnd w:id="7"/>
    </w:p>
    <w:p w14:paraId="2E9941AC" w14:textId="6399A26D" w:rsidR="00EA6A3F" w:rsidRDefault="00000000">
      <w:r>
        <w:t xml:space="preserve">With the surge in eCommerce, the amount and significance of packaging materials that insulate, move and deliver products to customers has grown even more. While e-commerce provides a great deal of commercial opportunities for small and medium-sized companies (SMEs), it can put </w:t>
      </w:r>
      <w:r w:rsidR="0043778E">
        <w:t>challenge</w:t>
      </w:r>
      <w:r>
        <w:t xml:space="preserve"> on the environment due to the packaging, transportation and product return elements of its logistics chain. Business-to-consumer e-commerce means a growing number of smaller packages, deliveries and returns, and it is time to look at packaging and logistics in a new light, to reduce the environmental impact.</w:t>
      </w:r>
    </w:p>
    <w:p w14:paraId="48791FE0" w14:textId="1953F831" w:rsidR="00EA6A3F" w:rsidRDefault="0043778E">
      <w:r>
        <w:t>It</w:t>
      </w:r>
      <w:r w:rsidR="00000000">
        <w:t xml:space="preserve"> is a problem on a scale that is illustrated by recent European data. In 2023, 79.7 million tonnes of packaging waste were generated in the EU. This is equivalent to 177.8 kg per capita, which represents a decrease of 8.7 kg per capita from 2022 (Europa, 2025). Out of all the packaging waste generated, 40.4% was paper and cardboard, 19.8% was plastic, 18.8% glass, 15.8% wood, 4.9% metal and 0.2% other packaging (Europa, 2025).</w:t>
      </w:r>
    </w:p>
    <w:p w14:paraId="69C8BDA6" w14:textId="77777777" w:rsidR="00EA6A3F" w:rsidRDefault="00000000">
      <w:pPr>
        <w:jc w:val="center"/>
      </w:pPr>
      <w:r>
        <w:rPr>
          <w:noProof/>
        </w:rPr>
        <w:drawing>
          <wp:inline distT="114300" distB="114300" distL="114300" distR="114300" wp14:anchorId="64A6BBB2" wp14:editId="6B7B90D9">
            <wp:extent cx="5943600" cy="302260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9"/>
                    <a:srcRect/>
                    <a:stretch>
                      <a:fillRect/>
                    </a:stretch>
                  </pic:blipFill>
                  <pic:spPr>
                    <a:xfrm>
                      <a:off x="0" y="0"/>
                      <a:ext cx="5943600" cy="3022600"/>
                    </a:xfrm>
                    <a:prstGeom prst="rect">
                      <a:avLst/>
                    </a:prstGeom>
                    <a:ln/>
                  </pic:spPr>
                </pic:pic>
              </a:graphicData>
            </a:graphic>
          </wp:inline>
        </w:drawing>
      </w:r>
    </w:p>
    <w:p w14:paraId="55206B03" w14:textId="77777777" w:rsidR="00EA6A3F" w:rsidRDefault="00000000" w:rsidP="004503E7">
      <w:pPr>
        <w:pStyle w:val="Heading5"/>
      </w:pPr>
      <w:bookmarkStart w:id="8" w:name="_Toc241007417"/>
      <w:r>
        <w:t>Figure 1: “Plastic Packaging waste”</w:t>
      </w:r>
      <w:bookmarkEnd w:id="8"/>
    </w:p>
    <w:p w14:paraId="57B62688" w14:textId="77777777" w:rsidR="00EA6A3F" w:rsidRDefault="00000000">
      <w:pPr>
        <w:jc w:val="center"/>
      </w:pPr>
      <w:r>
        <w:t>(Source: Europa, 2025)</w:t>
      </w:r>
    </w:p>
    <w:p w14:paraId="01F12473" w14:textId="57B1AB48" w:rsidR="00EA6A3F" w:rsidRDefault="00000000">
      <w:r>
        <w:lastRenderedPageBreak/>
        <w:t>The innovation drives companies to be more sustainable with their packaging and practices. This pressure is additionally increasing due to regulatory change</w:t>
      </w:r>
      <w:r w:rsidR="0043778E">
        <w:t>s.</w:t>
      </w:r>
      <w:r>
        <w:t xml:space="preserve"> </w:t>
      </w:r>
      <w:r w:rsidR="0043778E">
        <w:t>F</w:t>
      </w:r>
      <w:r>
        <w:t xml:space="preserve">or example, the European packaging policy outlines the goal of making packaging more economically viable to recycle by 2030 (Europa, 2025). However, this can be a challenge for e-commerce SMEs due to higher costs, limited availability of materials and technical issues. Thus, a niche business that can offer cost-effective and feasible sustainable packaging solutions could be </w:t>
      </w:r>
      <w:r w:rsidR="0043778E">
        <w:t>viable</w:t>
      </w:r>
      <w:r>
        <w:t>.</w:t>
      </w:r>
    </w:p>
    <w:p w14:paraId="1B0FF89E" w14:textId="77777777" w:rsidR="00EA6A3F" w:rsidRDefault="00000000">
      <w:pPr>
        <w:pStyle w:val="Heading2"/>
        <w:keepNext w:val="0"/>
        <w:keepLines w:val="0"/>
      </w:pPr>
      <w:bookmarkStart w:id="9" w:name="_x9oo8n174yyl" w:colFirst="0" w:colLast="0"/>
      <w:bookmarkStart w:id="10" w:name="_Toc241008205"/>
      <w:bookmarkEnd w:id="9"/>
      <w:r>
        <w:t>1.2 Problem or Opportunity Statement</w:t>
      </w:r>
      <w:bookmarkEnd w:id="10"/>
    </w:p>
    <w:p w14:paraId="4EC178A7" w14:textId="2ADD12E2" w:rsidR="00EA6A3F" w:rsidRDefault="00000000">
      <w:r>
        <w:t>The main problem of e-commerce SMEs is</w:t>
      </w:r>
      <w:r w:rsidR="0007704D">
        <w:t xml:space="preserve"> </w:t>
      </w:r>
      <w:r>
        <w:t xml:space="preserve">challenge of finding packaging that not only </w:t>
      </w:r>
      <w:r w:rsidR="00D444FA">
        <w:t>fulfils</w:t>
      </w:r>
      <w:r>
        <w:t xml:space="preserve"> environmental expectations but also customer needs and economic constraints. Alayón et al. (2022) </w:t>
      </w:r>
      <w:r w:rsidR="0007704D">
        <w:t>point</w:t>
      </w:r>
      <w:r>
        <w:t xml:space="preserve"> out </w:t>
      </w:r>
      <w:r w:rsidR="0007704D">
        <w:t xml:space="preserve">that </w:t>
      </w:r>
      <w:r>
        <w:t xml:space="preserve">limited technical skills and restricted supplier availability, as well as higher material costs, are significant barriers </w:t>
      </w:r>
      <w:r w:rsidR="0007704D">
        <w:t>to</w:t>
      </w:r>
      <w:r>
        <w:t xml:space="preserve"> the adoption of sustainable packaging by SMEs. This is important as SMEs are likely to have less financial and operational resources to work with compared to larger organisations. The volume of packaging waste and evolving regulatory requirements provide a potential market opportunity at the same time. </w:t>
      </w:r>
      <w:r w:rsidR="0007704D">
        <w:t>Thus,</w:t>
      </w:r>
      <w:r>
        <w:t xml:space="preserve"> the business opportunity is to create a specialist company that can offer sustainable packaging solutions that are both commercially viable and environmentally responsible to e-commerce SMEs.</w:t>
      </w:r>
    </w:p>
    <w:p w14:paraId="6F3E726F" w14:textId="77777777" w:rsidR="00EA6A3F" w:rsidRDefault="00000000">
      <w:pPr>
        <w:pStyle w:val="Heading2"/>
        <w:keepNext w:val="0"/>
        <w:keepLines w:val="0"/>
      </w:pPr>
      <w:bookmarkStart w:id="11" w:name="_t6s3smx2noqk" w:colFirst="0" w:colLast="0"/>
      <w:bookmarkStart w:id="12" w:name="_Toc241008206"/>
      <w:bookmarkEnd w:id="11"/>
      <w:r>
        <w:t>1.3 Initial Observation of Demand</w:t>
      </w:r>
      <w:bookmarkEnd w:id="12"/>
    </w:p>
    <w:p w14:paraId="49B90F60" w14:textId="4A424AFD" w:rsidR="00EA6A3F" w:rsidRDefault="00000000">
      <w:r>
        <w:t xml:space="preserve">Initial results indicate that customer and market conditions are becoming more favourable for sustainable packaging. Almost </w:t>
      </w:r>
      <w:r w:rsidR="00D444FA">
        <w:t>three-quarters</w:t>
      </w:r>
      <w:r>
        <w:t xml:space="preserve"> of European consumers (73%) are willing to </w:t>
      </w:r>
      <w:r w:rsidR="00D444FA">
        <w:t>buy only</w:t>
      </w:r>
      <w:r>
        <w:t xml:space="preserve"> products that are sustainable if they are as </w:t>
      </w:r>
      <w:r w:rsidR="00D444FA">
        <w:t>price-competitive</w:t>
      </w:r>
      <w:r>
        <w:t xml:space="preserve"> as conventional products, while only 27% are willing to pay more for sustainable products, whatever the prices (Spnews, 2025). This means that packaging sustainability can shape consumer expectations</w:t>
      </w:r>
      <w:r w:rsidR="00D444FA">
        <w:t>,</w:t>
      </w:r>
      <w:r>
        <w:t xml:space="preserve"> which in turn, can impact e-commerce businesses' buying decisions.</w:t>
      </w:r>
    </w:p>
    <w:p w14:paraId="5B8FA3E0" w14:textId="77777777" w:rsidR="00EA6A3F" w:rsidRDefault="00000000">
      <w:r>
        <w:t xml:space="preserve">Furthermore, a significant amount of packaging waste is produced every day, which also has an environmental and business justification for finding other packaging solutions. The evidence does not prove the specific desire on the part of e-commerce SMEs to pay for sustainable packaging, but it does suggest there is a relevant market need to be explored. Uncertainty in customers' </w:t>
      </w:r>
      <w:r>
        <w:lastRenderedPageBreak/>
        <w:t>willingness to pay premium prices is mentioned as one of the problems in the development of a sustainable business by Lee et al. (2022).</w:t>
      </w:r>
    </w:p>
    <w:p w14:paraId="308EA596" w14:textId="77777777" w:rsidR="00EA6A3F" w:rsidRDefault="00000000">
      <w:pPr>
        <w:pStyle w:val="Heading2"/>
        <w:keepNext w:val="0"/>
        <w:keepLines w:val="0"/>
      </w:pPr>
      <w:bookmarkStart w:id="13" w:name="_t32lvraxbvsr" w:colFirst="0" w:colLast="0"/>
      <w:bookmarkStart w:id="14" w:name="_Toc241008207"/>
      <w:bookmarkEnd w:id="13"/>
      <w:r>
        <w:t>1.4 Aim, Objectives and Research Questions</w:t>
      </w:r>
      <w:bookmarkEnd w:id="14"/>
    </w:p>
    <w:p w14:paraId="6B7343D5" w14:textId="6C43ADB0" w:rsidR="00EA6A3F" w:rsidRDefault="00000000">
      <w:r>
        <w:rPr>
          <w:b/>
          <w:bCs/>
        </w:rPr>
        <w:t>Aim:</w:t>
      </w:r>
      <w:r>
        <w:rPr>
          <w:b/>
          <w:bCs/>
        </w:rPr>
        <w:br/>
      </w:r>
      <w:r>
        <w:t>This business development proposal is to assess the opportunity and create an initial commercially viable and environmentally friendly packaging solutions business model for e-commerce SMEs.</w:t>
      </w:r>
    </w:p>
    <w:p w14:paraId="3FFE2223" w14:textId="77777777" w:rsidR="00EA6A3F" w:rsidRDefault="00000000">
      <w:pPr>
        <w:rPr>
          <w:b/>
          <w:bCs/>
        </w:rPr>
      </w:pPr>
      <w:r>
        <w:rPr>
          <w:b/>
          <w:bCs/>
        </w:rPr>
        <w:t>Objectives:</w:t>
      </w:r>
    </w:p>
    <w:p w14:paraId="137077F4" w14:textId="77777777" w:rsidR="00EA6A3F" w:rsidRDefault="00000000">
      <w:pPr>
        <w:numPr>
          <w:ilvl w:val="0"/>
          <w:numId w:val="1"/>
        </w:numPr>
        <w:spacing w:after="0"/>
      </w:pPr>
      <w:r>
        <w:t>To discuss the sustainable packaging needs, challenges and emerging trends for e-commerce SMEs.</w:t>
      </w:r>
    </w:p>
    <w:p w14:paraId="5CB679F2" w14:textId="77777777" w:rsidR="00EA6A3F" w:rsidRDefault="00000000">
      <w:pPr>
        <w:numPr>
          <w:ilvl w:val="0"/>
          <w:numId w:val="1"/>
        </w:numPr>
        <w:spacing w:before="0" w:after="0"/>
      </w:pPr>
      <w:r>
        <w:t>To assess market demand and external environmental, regulatory, economic and technological influences for the adoption of sustainable packaging.</w:t>
      </w:r>
    </w:p>
    <w:p w14:paraId="5F711C7E" w14:textId="77777777" w:rsidR="00EA6A3F" w:rsidRDefault="00000000">
      <w:pPr>
        <w:numPr>
          <w:ilvl w:val="0"/>
          <w:numId w:val="1"/>
        </w:numPr>
        <w:spacing w:before="0" w:after="0"/>
      </w:pPr>
      <w:r>
        <w:t>To evaluate industry competitiveness by evaluating the requirements of customers and possible parts of a business model through the use of suitable business development frameworks.</w:t>
      </w:r>
    </w:p>
    <w:p w14:paraId="115EF6FA" w14:textId="77777777" w:rsidR="00EA6A3F" w:rsidRDefault="00000000">
      <w:pPr>
        <w:numPr>
          <w:ilvl w:val="0"/>
          <w:numId w:val="1"/>
        </w:numPr>
        <w:spacing w:before="0"/>
      </w:pPr>
      <w:r>
        <w:t>To create a viable and sustainable packaging business model, that is as affordable as possible, while simultaneously providing value to the customer, being environmentally friendly, and being commercially viable.</w:t>
      </w:r>
    </w:p>
    <w:p w14:paraId="03358933" w14:textId="77777777" w:rsidR="00EA6A3F" w:rsidRDefault="00000000">
      <w:pPr>
        <w:rPr>
          <w:b/>
          <w:bCs/>
        </w:rPr>
      </w:pPr>
      <w:r>
        <w:rPr>
          <w:b/>
          <w:bCs/>
        </w:rPr>
        <w:t>Research Questions:</w:t>
      </w:r>
    </w:p>
    <w:p w14:paraId="37DD1BBB" w14:textId="77777777" w:rsidR="00EA6A3F" w:rsidRDefault="00000000">
      <w:pPr>
        <w:numPr>
          <w:ilvl w:val="0"/>
          <w:numId w:val="3"/>
        </w:numPr>
        <w:spacing w:after="0"/>
      </w:pPr>
      <w:r>
        <w:t>What are the key sustainable packaging needs and challenges for e-commerce SMEs?</w:t>
      </w:r>
    </w:p>
    <w:p w14:paraId="387DA33D" w14:textId="77777777" w:rsidR="00EA6A3F" w:rsidRDefault="00000000">
      <w:pPr>
        <w:numPr>
          <w:ilvl w:val="0"/>
          <w:numId w:val="3"/>
        </w:numPr>
        <w:spacing w:before="0" w:after="0"/>
      </w:pPr>
      <w:r>
        <w:t>What quantitative and qualitative market trends suggest a market opportunity for sustainable packaging solutions?</w:t>
      </w:r>
    </w:p>
    <w:p w14:paraId="46EC1E85" w14:textId="77777777" w:rsidR="00EA6A3F" w:rsidRDefault="00000000">
      <w:pPr>
        <w:numPr>
          <w:ilvl w:val="0"/>
          <w:numId w:val="3"/>
        </w:numPr>
        <w:spacing w:before="0" w:after="0"/>
      </w:pPr>
      <w:r>
        <w:t>What might be some of the external and competitive factors that can impact the sustainability of an e-commerce SME's packaging provider?</w:t>
      </w:r>
    </w:p>
    <w:p w14:paraId="6B5BB978" w14:textId="77777777" w:rsidR="00EA6A3F" w:rsidRDefault="00000000">
      <w:pPr>
        <w:numPr>
          <w:ilvl w:val="0"/>
          <w:numId w:val="3"/>
        </w:numPr>
        <w:spacing w:before="0"/>
      </w:pPr>
      <w:r>
        <w:t>How to reconcile sustainability, affordability and operational efficiency in a business model?</w:t>
      </w:r>
    </w:p>
    <w:p w14:paraId="38E712AD" w14:textId="77777777" w:rsidR="00EA6A3F" w:rsidRDefault="00000000">
      <w:pPr>
        <w:pStyle w:val="Heading2"/>
        <w:keepNext w:val="0"/>
        <w:keepLines w:val="0"/>
      </w:pPr>
      <w:bookmarkStart w:id="15" w:name="_dhtteuv4noai" w:colFirst="0" w:colLast="0"/>
      <w:bookmarkStart w:id="16" w:name="_Toc241008208"/>
      <w:bookmarkEnd w:id="15"/>
      <w:r>
        <w:t>1.5 Scope and Boundaries</w:t>
      </w:r>
      <w:bookmarkEnd w:id="16"/>
    </w:p>
    <w:p w14:paraId="13C447D9" w14:textId="53F6CDAB" w:rsidR="00EA6A3F" w:rsidRDefault="00000000">
      <w:r>
        <w:lastRenderedPageBreak/>
        <w:t xml:space="preserve">The proposed </w:t>
      </w:r>
      <w:r w:rsidR="00D444FA">
        <w:t>business</w:t>
      </w:r>
      <w:r>
        <w:t xml:space="preserve"> centres on sustainable packaging solutions for e-commerce SMEs, especially </w:t>
      </w:r>
      <w:r w:rsidR="00D444FA">
        <w:t>emphasising</w:t>
      </w:r>
      <w:r>
        <w:t xml:space="preserve"> recyclable, </w:t>
      </w:r>
      <w:r w:rsidR="00D444FA">
        <w:t>biodegradable,</w:t>
      </w:r>
      <w:r>
        <w:t xml:space="preserve"> and compostable packaging. Market demand, customer needs, environmental and regulatory changes, competitiveness of industry and business model development will be taken into account. The proposal will rely on secondary data sources which include academic literature, market research, Government documents and Industry reports. This stage would not involve primary </w:t>
      </w:r>
      <w:r w:rsidR="00D444FA">
        <w:t>surveys</w:t>
      </w:r>
      <w:r>
        <w:t xml:space="preserve"> and interviews, as detailed financial forecasting and full operational implementation would be outside the scope of this stage and as suggested in the proposed secondary-data methodology.</w:t>
      </w:r>
    </w:p>
    <w:p w14:paraId="6C0510DE" w14:textId="77777777" w:rsidR="00EA6A3F" w:rsidRDefault="00000000">
      <w:pPr>
        <w:pStyle w:val="Heading2"/>
        <w:keepNext w:val="0"/>
        <w:keepLines w:val="0"/>
      </w:pPr>
      <w:bookmarkStart w:id="17" w:name="_1tjxw415ug2u" w:colFirst="0" w:colLast="0"/>
      <w:bookmarkStart w:id="18" w:name="_Toc241008209"/>
      <w:bookmarkEnd w:id="17"/>
      <w:r>
        <w:t>1.6 Structure of the Report</w:t>
      </w:r>
      <w:bookmarkEnd w:id="18"/>
    </w:p>
    <w:p w14:paraId="196507F7" w14:textId="77777777" w:rsidR="00EA6A3F" w:rsidRDefault="00000000">
      <w:r>
        <w:t>Chapter 2 presents the proposed sustainable packaging company and provides an explanation on who the company is, what it does, why it has been formed, the mission, vision, values and initial business objectives. In the following chapters, the methodology, market opportunity, competitive environment and business model will be discussed. The proposal will then look at restrictions, time limits and overall summary or conclusions. This structure helps to build a flow between recognizing the packaging issue and evaluating a business solution.</w:t>
      </w:r>
    </w:p>
    <w:p w14:paraId="53EF572F" w14:textId="77777777" w:rsidR="00EA6A3F" w:rsidRDefault="00000000">
      <w:r>
        <w:br w:type="page"/>
      </w:r>
    </w:p>
    <w:p w14:paraId="1FF098B7" w14:textId="39EF73B9" w:rsidR="00EA6A3F" w:rsidRDefault="00AC2DFB">
      <w:pPr>
        <w:pStyle w:val="Heading1"/>
        <w:keepNext w:val="0"/>
        <w:keepLines w:val="0"/>
      </w:pPr>
      <w:bookmarkStart w:id="19" w:name="_db38wwo6buah" w:colFirst="0" w:colLast="0"/>
      <w:bookmarkStart w:id="20" w:name="_Toc241008210"/>
      <w:bookmarkEnd w:id="19"/>
      <w:r>
        <w:lastRenderedPageBreak/>
        <w:t>Chapter 2: Company Description</w:t>
      </w:r>
      <w:bookmarkEnd w:id="20"/>
    </w:p>
    <w:p w14:paraId="6C1F7ADF" w14:textId="77777777" w:rsidR="00EA6A3F" w:rsidRDefault="00000000">
      <w:pPr>
        <w:pStyle w:val="Heading2"/>
        <w:keepNext w:val="0"/>
        <w:keepLines w:val="0"/>
      </w:pPr>
      <w:bookmarkStart w:id="21" w:name="_o3alnuj3ftfa" w:colFirst="0" w:colLast="0"/>
      <w:bookmarkStart w:id="22" w:name="_Toc241008211"/>
      <w:bookmarkEnd w:id="21"/>
      <w:r>
        <w:t>2.1 Business Identity and Legal Structure</w:t>
      </w:r>
      <w:bookmarkEnd w:id="22"/>
    </w:p>
    <w:p w14:paraId="0EB9A76A" w14:textId="42B79F3F" w:rsidR="00EA6A3F" w:rsidRDefault="00D444FA">
      <w:r>
        <w:t>The proposed</w:t>
      </w:r>
      <w:r w:rsidR="00000000">
        <w:t xml:space="preserve"> venture will be a new company for sustainable packaging solutions named ‘EcoPack Solutions' which will be specifically targeted towards small and medium enterprises within the e-commerce sector. Initially, the business will be small with the aim of supplying sustainable packaging products and packaging related support. A private limited company structure is suggested because it offers a suitable structure for a business venture and is a way of separating the company from the owners.</w:t>
      </w:r>
    </w:p>
    <w:p w14:paraId="03583E4A" w14:textId="77777777" w:rsidR="00EA6A3F" w:rsidRDefault="00000000">
      <w:pPr>
        <w:pStyle w:val="Heading2"/>
        <w:keepNext w:val="0"/>
        <w:keepLines w:val="0"/>
      </w:pPr>
      <w:bookmarkStart w:id="23" w:name="_rowc7rhnpqlo" w:colFirst="0" w:colLast="0"/>
      <w:bookmarkStart w:id="24" w:name="_Toc241008212"/>
      <w:bookmarkEnd w:id="23"/>
      <w:r>
        <w:t>2.2 Product or Service and the Problem Solved</w:t>
      </w:r>
      <w:bookmarkEnd w:id="24"/>
    </w:p>
    <w:p w14:paraId="6B5A59DF" w14:textId="216F41D3" w:rsidR="00EA6A3F" w:rsidRDefault="00000000">
      <w:r>
        <w:t xml:space="preserve">EcoPack Solutions will provide a range of sustainable packaging solutions, such as recyclable, biodegradable and compostable packaging materials, as well as general packaging-selection support. The service will be based on the actual needs of e-commerce SMEs, such as order fulfilment, product protection, packaging costs and </w:t>
      </w:r>
      <w:r w:rsidR="00D444FA">
        <w:t>environmentally</w:t>
      </w:r>
      <w:r>
        <w:t xml:space="preserve"> friendly packaging.</w:t>
      </w:r>
    </w:p>
    <w:p w14:paraId="0436BAAC" w14:textId="77777777" w:rsidR="00EA6A3F" w:rsidRDefault="00000000">
      <w:r>
        <w:t>The proposed offer is a solution to the problem identified in Chapter 1. In conclusion, the EU generated 35.3 kg of plastic packaging waste per capita in 2023, with just 14.8 kg being recycled, showing that significant progress remains to be made in closing the recycling-packaging waste loop (Europa, 2025). EcoPack Solutions will therefore work to identify packaging solutions that will cut down on unnecessary packaging consumption and ensure product protection for SMEs.</w:t>
      </w:r>
    </w:p>
    <w:p w14:paraId="42A4194C" w14:textId="77777777" w:rsidR="00EA6A3F" w:rsidRDefault="00000000">
      <w:r>
        <w:t xml:space="preserve">The first value proposition is available and viable sustainable packaging solutions for e-commerce small and medium-sized enterprises. The company will attempt to bring environmental sense and cost consciousness together, not at the cost of charging customers a higher price. This is especially pertinent in the context of SMEs, who may be required to pay higher prices for sustainable materials, and may experience constraint from suppliers. </w:t>
      </w:r>
    </w:p>
    <w:p w14:paraId="2C6B5705" w14:textId="77777777" w:rsidR="00EA6A3F" w:rsidRDefault="00000000">
      <w:pPr>
        <w:pStyle w:val="Heading2"/>
        <w:keepNext w:val="0"/>
        <w:keepLines w:val="0"/>
      </w:pPr>
      <w:bookmarkStart w:id="25" w:name="_uk1uyq7b3i41" w:colFirst="0" w:colLast="0"/>
      <w:bookmarkStart w:id="26" w:name="_Toc241008213"/>
      <w:bookmarkEnd w:id="25"/>
      <w:r>
        <w:t>2.3 Founding Idea and Brief History</w:t>
      </w:r>
      <w:bookmarkEnd w:id="26"/>
    </w:p>
    <w:p w14:paraId="2CF62F90" w14:textId="77777777" w:rsidR="00EA6A3F" w:rsidRDefault="00000000">
      <w:r>
        <w:t xml:space="preserve">It is proposed that a new venture, EcoPack Solutions, will be established. Based on the gap, the business idea emerged as being sustainable packaging solutions, given the growing needs for </w:t>
      </w:r>
      <w:r>
        <w:lastRenderedPageBreak/>
        <w:t>sustainable packaging and the challenges faced by smaller e-commerce businesses. Packaging is recognized as a critical part of environmental concerns related to the e-commerce logistics chain according to Park et al. (2024), as the number of small packages and deliveries in B2C e-commerce are growing. This provides a reason why someone should have a specialist business dedicated to the packaging needs of the smaller online retailer.</w:t>
      </w:r>
    </w:p>
    <w:p w14:paraId="7B8B6B7E" w14:textId="77777777" w:rsidR="00EA6A3F" w:rsidRDefault="00000000">
      <w:pPr>
        <w:pStyle w:val="Heading2"/>
        <w:keepNext w:val="0"/>
        <w:keepLines w:val="0"/>
      </w:pPr>
      <w:bookmarkStart w:id="27" w:name="_ccflrw4q9c92" w:colFirst="0" w:colLast="0"/>
      <w:bookmarkStart w:id="28" w:name="_Toc241008214"/>
      <w:bookmarkEnd w:id="27"/>
      <w:r>
        <w:t>2.4 Mission, Vision and Values</w:t>
      </w:r>
      <w:bookmarkEnd w:id="28"/>
    </w:p>
    <w:p w14:paraId="2EA7CC37" w14:textId="77777777" w:rsidR="00EA6A3F" w:rsidRDefault="00000000">
      <w:r>
        <w:rPr>
          <w:b/>
          <w:bCs/>
        </w:rPr>
        <w:t>Mission:</w:t>
      </w:r>
      <w:r>
        <w:rPr>
          <w:b/>
          <w:bCs/>
        </w:rPr>
        <w:br/>
      </w:r>
      <w:r>
        <w:t>The challenge of EcoPack Solutions is to offer e-commerce SMEs eco-friendly, practical and accessible packaging options to cater to their business needs and to minimize use of less sustainable packaging materials.</w:t>
      </w:r>
    </w:p>
    <w:p w14:paraId="7652352A" w14:textId="77777777" w:rsidR="00EA6A3F" w:rsidRDefault="00000000">
      <w:r>
        <w:rPr>
          <w:b/>
          <w:bCs/>
        </w:rPr>
        <w:t>Vision:</w:t>
      </w:r>
      <w:r>
        <w:rPr>
          <w:b/>
          <w:bCs/>
        </w:rPr>
        <w:br/>
      </w:r>
      <w:r>
        <w:t>The company's vision is to become a recognised sustainable packaging partner for e-commerce SMEs and be part of the overall shift to more circular and resource-efficient packaging.</w:t>
      </w:r>
    </w:p>
    <w:p w14:paraId="4ACE8EA2" w14:textId="77777777" w:rsidR="00EA6A3F" w:rsidRDefault="00000000">
      <w:r>
        <w:t>The business will be run on the four values. Sustainability will be a factor when choosing materials and suppliers. Affordability will take into account smaller businesses' financial constraints. Packaging solutions will be based on actual operational requirements, through Customer focus. A continuous improvement process will encourage the company to be responsive to the changes in materials, technology, regulatory and customer requirements. These principles are consistent with Patel's (2023) argument that successful sustainable packaging approaches need to balance sustainability, functionality and cost efficiency.</w:t>
      </w:r>
    </w:p>
    <w:p w14:paraId="7142B8C9" w14:textId="77777777" w:rsidR="00EA6A3F" w:rsidRDefault="00000000">
      <w:pPr>
        <w:pStyle w:val="Heading2"/>
        <w:keepNext w:val="0"/>
        <w:keepLines w:val="0"/>
      </w:pPr>
      <w:bookmarkStart w:id="29" w:name="_se3sn5tmhvb0" w:colFirst="0" w:colLast="0"/>
      <w:bookmarkStart w:id="30" w:name="_Toc241008215"/>
      <w:bookmarkEnd w:id="29"/>
      <w:r>
        <w:t>2.5 Business Objectives and Goals</w:t>
      </w:r>
      <w:bookmarkEnd w:id="30"/>
    </w:p>
    <w:p w14:paraId="27B7F25A" w14:textId="4F105C3D" w:rsidR="00EA6A3F" w:rsidRDefault="00000000">
      <w:r>
        <w:t>EcoPack Solutions will set measurable early</w:t>
      </w:r>
      <w:r w:rsidR="00132E6D">
        <w:t>-</w:t>
      </w:r>
      <w:r>
        <w:t>stage goals for the first 12 months. The business plan aims to:</w:t>
      </w:r>
    </w:p>
    <w:p w14:paraId="56D93FEF" w14:textId="4AE23705" w:rsidR="00EA6A3F" w:rsidRDefault="00000000">
      <w:pPr>
        <w:numPr>
          <w:ilvl w:val="0"/>
          <w:numId w:val="2"/>
        </w:numPr>
        <w:spacing w:after="0"/>
      </w:pPr>
      <w:r>
        <w:t xml:space="preserve">Within 6 months build the base portfolio of no less than </w:t>
      </w:r>
      <w:r w:rsidR="00372F32">
        <w:t>8</w:t>
      </w:r>
      <w:r>
        <w:t xml:space="preserve"> sustainable packaging products.</w:t>
      </w:r>
    </w:p>
    <w:p w14:paraId="67769A79" w14:textId="77777777" w:rsidR="00EA6A3F" w:rsidRDefault="00000000">
      <w:pPr>
        <w:numPr>
          <w:ilvl w:val="0"/>
          <w:numId w:val="2"/>
        </w:numPr>
        <w:spacing w:before="0" w:after="0"/>
      </w:pPr>
      <w:r>
        <w:t>Develop at least three good packaging supplier relationships in the first six months.</w:t>
      </w:r>
    </w:p>
    <w:p w14:paraId="4C110E51" w14:textId="4C0312B9" w:rsidR="00EA6A3F" w:rsidRDefault="00000000">
      <w:pPr>
        <w:numPr>
          <w:ilvl w:val="0"/>
          <w:numId w:val="2"/>
        </w:numPr>
        <w:spacing w:before="0" w:after="0"/>
      </w:pPr>
      <w:r>
        <w:t xml:space="preserve">Get </w:t>
      </w:r>
      <w:r w:rsidR="00372F32" w:rsidRPr="00372F32">
        <w:t>300 orders in Year 1</w:t>
      </w:r>
      <w:r w:rsidR="00372F32">
        <w:t xml:space="preserve"> from SME businesses</w:t>
      </w:r>
      <w:r>
        <w:t>.</w:t>
      </w:r>
    </w:p>
    <w:p w14:paraId="455F04A7" w14:textId="4EF6F9A1" w:rsidR="00EA6A3F" w:rsidRDefault="00000000">
      <w:pPr>
        <w:numPr>
          <w:ilvl w:val="0"/>
          <w:numId w:val="2"/>
        </w:numPr>
        <w:spacing w:before="0" w:after="0"/>
      </w:pPr>
      <w:r>
        <w:lastRenderedPageBreak/>
        <w:t xml:space="preserve">Provide at least 85% customer satisfaction during the first year </w:t>
      </w:r>
      <w:r w:rsidR="00372F32">
        <w:t xml:space="preserve">by maintaining </w:t>
      </w:r>
      <w:r w:rsidR="00372F32" w:rsidRPr="00372F32">
        <w:t>order accuracy ≥98%</w:t>
      </w:r>
      <w:r>
        <w:t>.</w:t>
      </w:r>
    </w:p>
    <w:p w14:paraId="69426297" w14:textId="77777777" w:rsidR="00EA6A3F" w:rsidRDefault="00000000">
      <w:pPr>
        <w:numPr>
          <w:ilvl w:val="0"/>
          <w:numId w:val="2"/>
        </w:numPr>
        <w:spacing w:before="0"/>
      </w:pPr>
      <w:r>
        <w:t>Implement a packaging-material sustainability monitoring system, supplier performance monitoring system and customer requirements monitoring system within the first year.</w:t>
      </w:r>
    </w:p>
    <w:p w14:paraId="32CD3896" w14:textId="77777777" w:rsidR="00EA6A3F" w:rsidRDefault="00000000">
      <w:pPr>
        <w:pStyle w:val="Heading2"/>
        <w:keepNext w:val="0"/>
        <w:keepLines w:val="0"/>
      </w:pPr>
      <w:bookmarkStart w:id="31" w:name="_ktylvahbjr8o" w:colFirst="0" w:colLast="0"/>
      <w:bookmarkStart w:id="32" w:name="_Toc241008216"/>
      <w:bookmarkEnd w:id="31"/>
      <w:r>
        <w:t>2.6 Alignment with Trends and Opportunity</w:t>
      </w:r>
      <w:bookmarkEnd w:id="32"/>
    </w:p>
    <w:p w14:paraId="0600A465" w14:textId="77777777" w:rsidR="00EA6A3F" w:rsidRDefault="00000000">
      <w:r>
        <w:t xml:space="preserve">EcoPack Solutions is well-positioned based on the trends in the environment and the market that were identified in Chapter 1. The environmental justification is significant as well: according to Recoup (2025), the amount of packaging waste created in the EU during 2023 was 79.7 million tonnes and the average amount of plastic packaging waste was 35.3 kg per capita. </w:t>
      </w:r>
    </w:p>
    <w:p w14:paraId="17097FB5" w14:textId="77777777" w:rsidR="00C71CDB" w:rsidRDefault="00000000">
      <w:r>
        <w:t>Newly enacted laws or regulations enhance the strategic value of the proposed business. The European Commission's packaging policy aims to ensure that packaging is recyclable in an economically viable way by 2030, minimize the use of virgin materials and promote the circular economy. EcoPack Solutions thus reacts to the pressure from nature, expectations of consumers and regulations. But further market and feasibility studies must determine if SMEs are willing to pay commercially viable prices for these solutions.</w:t>
      </w:r>
    </w:p>
    <w:p w14:paraId="481491F4" w14:textId="64FD04CB" w:rsidR="00C71CDB" w:rsidRPr="00C71CDB" w:rsidRDefault="00C71CDB" w:rsidP="00C71CDB">
      <w:pPr>
        <w:rPr>
          <w:color w:val="222222"/>
        </w:rPr>
      </w:pPr>
    </w:p>
    <w:p w14:paraId="58301BE6" w14:textId="77777777" w:rsidR="00C71CDB" w:rsidRDefault="00C71CDB" w:rsidP="00C71CDB"/>
    <w:p w14:paraId="48AB33BA" w14:textId="77777777" w:rsidR="00C71CDB" w:rsidRDefault="00C71CDB" w:rsidP="00C71CDB"/>
    <w:p w14:paraId="6AEC32FF" w14:textId="77777777" w:rsidR="00C71CDB" w:rsidRDefault="00C71CDB" w:rsidP="00C71CDB"/>
    <w:p w14:paraId="026D44F8" w14:textId="77777777" w:rsidR="00C71CDB" w:rsidRDefault="00C71CDB" w:rsidP="00C71CDB"/>
    <w:p w14:paraId="34FB99F6" w14:textId="77777777" w:rsidR="00C71CDB" w:rsidRDefault="00C71CDB" w:rsidP="00C71CDB"/>
    <w:p w14:paraId="334E513B" w14:textId="77777777" w:rsidR="00C71CDB" w:rsidRDefault="00C71CDB" w:rsidP="00C71CDB"/>
    <w:p w14:paraId="28FD100D" w14:textId="77777777" w:rsidR="00C71CDB" w:rsidRDefault="00C71CDB" w:rsidP="00C71CDB"/>
    <w:p w14:paraId="0F5D7A06" w14:textId="77777777" w:rsidR="00C71CDB" w:rsidRDefault="00C71CDB" w:rsidP="00C71CDB">
      <w:pPr>
        <w:pStyle w:val="Heading1"/>
        <w:keepNext w:val="0"/>
        <w:keepLines w:val="0"/>
        <w:rPr>
          <w:b w:val="0"/>
          <w:bCs w:val="0"/>
        </w:rPr>
      </w:pPr>
      <w:bookmarkStart w:id="33" w:name="_6iqj1uqkweuq" w:colFirst="0" w:colLast="0"/>
      <w:bookmarkEnd w:id="33"/>
      <w:r>
        <w:br w:type="page"/>
      </w:r>
    </w:p>
    <w:p w14:paraId="101EED9B" w14:textId="77777777" w:rsidR="00C71CDB" w:rsidRDefault="00C71CDB" w:rsidP="00C71CDB">
      <w:pPr>
        <w:pStyle w:val="Heading2"/>
        <w:keepNext w:val="0"/>
        <w:keepLines w:val="0"/>
        <w:rPr>
          <w:b w:val="0"/>
          <w:bCs w:val="0"/>
        </w:rPr>
      </w:pPr>
      <w:bookmarkStart w:id="34" w:name="_xsm5odi8s0co" w:colFirst="0" w:colLast="0"/>
      <w:bookmarkStart w:id="35" w:name="_Toc241008217"/>
      <w:bookmarkEnd w:id="34"/>
      <w:r>
        <w:lastRenderedPageBreak/>
        <w:t>Chapter 3: Literature Review</w:t>
      </w:r>
      <w:bookmarkEnd w:id="35"/>
    </w:p>
    <w:p w14:paraId="0D8E1A58" w14:textId="77777777" w:rsidR="00C71CDB" w:rsidRDefault="00C71CDB" w:rsidP="00C71CDB">
      <w:pPr>
        <w:pStyle w:val="Heading3"/>
        <w:keepNext w:val="0"/>
        <w:keepLines w:val="0"/>
        <w:spacing w:before="280"/>
        <w:rPr>
          <w:b/>
          <w:bCs/>
          <w:color w:val="000000"/>
          <w:sz w:val="24"/>
          <w:szCs w:val="24"/>
        </w:rPr>
      </w:pPr>
      <w:bookmarkStart w:id="36" w:name="_ribijm6llnzj" w:colFirst="0" w:colLast="0"/>
      <w:bookmarkStart w:id="37" w:name="_Toc241008218"/>
      <w:bookmarkEnd w:id="36"/>
      <w:r>
        <w:rPr>
          <w:b/>
          <w:bCs/>
          <w:color w:val="000000"/>
          <w:sz w:val="24"/>
          <w:szCs w:val="24"/>
        </w:rPr>
        <w:t>3.1 Introduction</w:t>
      </w:r>
      <w:bookmarkEnd w:id="37"/>
    </w:p>
    <w:p w14:paraId="1F955CF1" w14:textId="77119B6C" w:rsidR="00C71CDB" w:rsidRDefault="00C71CDB" w:rsidP="00C71CDB">
      <w:r>
        <w:t>This literature review is the academic underpinning for analysing and developing the EcoPack Solutions. Instead of analysing packaging industry, it takes a four-set framework approach</w:t>
      </w:r>
      <w:r w:rsidR="00AE7BB1">
        <w:t>,</w:t>
      </w:r>
      <w:r>
        <w:t xml:space="preserve"> customer value proposition, PESTLE, Porter's Five Forces, Resource Based View (RBV)/VRIO, and Business Model Canvas. These frameworks cover the aspects of customer value, external environment, competition, and internal capabilities and business design. They are discussed in relation to their strengths and limitations only later on in the book.</w:t>
      </w:r>
    </w:p>
    <w:p w14:paraId="401B3B27" w14:textId="77777777" w:rsidR="00C71CDB" w:rsidRDefault="00C71CDB" w:rsidP="00C71CDB">
      <w:pPr>
        <w:pStyle w:val="Heading3"/>
        <w:keepNext w:val="0"/>
        <w:keepLines w:val="0"/>
        <w:spacing w:before="280"/>
        <w:rPr>
          <w:b/>
          <w:bCs/>
          <w:color w:val="000000"/>
          <w:sz w:val="24"/>
          <w:szCs w:val="24"/>
        </w:rPr>
      </w:pPr>
      <w:bookmarkStart w:id="38" w:name="_x4s8mnbbvxwj" w:colFirst="0" w:colLast="0"/>
      <w:bookmarkStart w:id="39" w:name="_Toc241008219"/>
      <w:bookmarkEnd w:id="38"/>
      <w:r>
        <w:rPr>
          <w:b/>
          <w:bCs/>
          <w:color w:val="000000"/>
          <w:sz w:val="24"/>
          <w:szCs w:val="24"/>
        </w:rPr>
        <w:t>3.2 Customer Value Proposition</w:t>
      </w:r>
      <w:bookmarkEnd w:id="39"/>
    </w:p>
    <w:p w14:paraId="6FB92A72" w14:textId="77777777" w:rsidR="00C71CDB" w:rsidRDefault="00C71CDB" w:rsidP="00C71CDB">
      <w:r>
        <w:t>The theory of customer value proposition is relevant because the European e-commerce SMEs have to determine what they value when buying packaging. Islam, and Ali (2024) conceptualises customer value around customers' evaluation of product attributes, performance and consequences in achieving their goals. Likewise, more recent work states that value propositions link firms and their customers and that the customers' context and experience also plays a part in shaping value propositions (Nussipova, 2022).</w:t>
      </w:r>
    </w:p>
    <w:p w14:paraId="2D9E4B1B" w14:textId="77777777" w:rsidR="00C71CDB" w:rsidRDefault="00C71CDB" w:rsidP="00C71CDB">
      <w:r>
        <w:t>This method is good at going beyond the description of the products to the understanding of the outcomes that the customer is seeking. With EcoPack, convenience, sustainability information, reliability of delivery and purchasing simplicity can be weighed in alongside price and product functionality. But the value of a product is subjective and can vary from one customer group to another. A customer who is very interested in price may not appreciate sustainability-related evidence as much as an SME that is concerned with sustainability. So, value analysis of the customers must be backed by market evidence and not assumptions. The market opportunity, value proposition and marketing analysis will be guided by the framework.</w:t>
      </w:r>
    </w:p>
    <w:p w14:paraId="2CB40FAB" w14:textId="77777777" w:rsidR="00C71CDB" w:rsidRDefault="00C71CDB" w:rsidP="00C71CDB">
      <w:pPr>
        <w:pStyle w:val="Heading3"/>
        <w:keepNext w:val="0"/>
        <w:keepLines w:val="0"/>
        <w:spacing w:before="280"/>
        <w:rPr>
          <w:b/>
          <w:bCs/>
          <w:color w:val="000000"/>
          <w:sz w:val="24"/>
          <w:szCs w:val="24"/>
        </w:rPr>
      </w:pPr>
      <w:bookmarkStart w:id="40" w:name="_wal6luegq6ss" w:colFirst="0" w:colLast="0"/>
      <w:bookmarkStart w:id="41" w:name="_Toc241008220"/>
      <w:bookmarkEnd w:id="40"/>
      <w:r>
        <w:rPr>
          <w:b/>
          <w:bCs/>
          <w:color w:val="000000"/>
          <w:sz w:val="24"/>
          <w:szCs w:val="24"/>
        </w:rPr>
        <w:t>3.3 PESTLE and Porter's Five Forces</w:t>
      </w:r>
      <w:bookmarkEnd w:id="41"/>
    </w:p>
    <w:p w14:paraId="12C9EA31" w14:textId="77777777" w:rsidR="00C71CDB" w:rsidRDefault="00C71CDB" w:rsidP="00C71CDB">
      <w:r>
        <w:t xml:space="preserve">PESTLE is a framework used for analysing the macro-environmental factors that are impacting an organisation (Umosen, and Essien, 2026). The acronym represents six external dimensions that are crucial: Political, economic, social, technology, legal, environmental. It's not so much about its </w:t>
      </w:r>
      <w:r>
        <w:lastRenderedPageBreak/>
        <w:t>value as it is about making other factors come to mind, such as regulation, economic conditions, technology and environmental pressures—other than direct competition. PESTLE can become descriptive, however, if factors are simply listed and not considered as to their strategic significance. In the case of EcoPack, the most useful is when external trends are associated with what their implications are for demand, costs, compliance and business development.</w:t>
      </w:r>
    </w:p>
    <w:p w14:paraId="672A0FD2" w14:textId="77777777" w:rsidR="00C71CDB" w:rsidRDefault="00C71CDB" w:rsidP="00C71CDB">
      <w:r>
        <w:t>Porter's Five Forces is complementary analysis of the industry level as it involves rivalry, new entrants, substitutes, buyer power and supplier power (Burra, and Ushadevi, 2022). It is best known for its systematic evaluation of industry attractiveness and competitive intensity. But the framework has been criticised for failing to take into account dynamic competition and collaborative relations in modern markets. Competitive dynamics can change when digital platforms, data concentration and regulatory changes come into play. So, the Five Forces should be considered a strategic diagnostic tool and not a forecast of industry performance. It will assist in the competitive analysis and feasibility analysis.</w:t>
      </w:r>
    </w:p>
    <w:p w14:paraId="53ADEA11" w14:textId="77777777" w:rsidR="00C71CDB" w:rsidRDefault="00C71CDB" w:rsidP="00C71CDB">
      <w:pPr>
        <w:jc w:val="center"/>
      </w:pPr>
      <w:r>
        <w:rPr>
          <w:noProof/>
        </w:rPr>
        <w:drawing>
          <wp:inline distT="114300" distB="114300" distL="114300" distR="114300" wp14:anchorId="381F7B1D" wp14:editId="2AC2DA8F">
            <wp:extent cx="5943600" cy="3073400"/>
            <wp:effectExtent l="0" t="0" r="0" b="0"/>
            <wp:docPr id="3"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0"/>
                    <a:srcRect/>
                    <a:stretch>
                      <a:fillRect/>
                    </a:stretch>
                  </pic:blipFill>
                  <pic:spPr>
                    <a:xfrm>
                      <a:off x="0" y="0"/>
                      <a:ext cx="5943600" cy="3073400"/>
                    </a:xfrm>
                    <a:prstGeom prst="rect">
                      <a:avLst/>
                    </a:prstGeom>
                    <a:ln/>
                  </pic:spPr>
                </pic:pic>
              </a:graphicData>
            </a:graphic>
          </wp:inline>
        </w:drawing>
      </w:r>
    </w:p>
    <w:p w14:paraId="51F974E7" w14:textId="2C0ECA44" w:rsidR="00C71CDB" w:rsidRDefault="00C71CDB" w:rsidP="004503E7">
      <w:pPr>
        <w:pStyle w:val="Heading5"/>
      </w:pPr>
      <w:bookmarkStart w:id="42" w:name="_Toc241007418"/>
      <w:r>
        <w:t>Figure</w:t>
      </w:r>
      <w:r w:rsidR="00322600">
        <w:t xml:space="preserve"> 2</w:t>
      </w:r>
      <w:r>
        <w:t>: “Porter's Five Forces”</w:t>
      </w:r>
      <w:bookmarkEnd w:id="42"/>
    </w:p>
    <w:p w14:paraId="6A069CE1" w14:textId="77777777" w:rsidR="00C71CDB" w:rsidRDefault="00C71CDB" w:rsidP="00C71CDB">
      <w:pPr>
        <w:jc w:val="center"/>
      </w:pPr>
      <w:r>
        <w:t>(Source: Burra, and Ushadevi, 2022)</w:t>
      </w:r>
    </w:p>
    <w:p w14:paraId="1ABD5136" w14:textId="77777777" w:rsidR="00C71CDB" w:rsidRDefault="00C71CDB" w:rsidP="00C71CDB">
      <w:pPr>
        <w:pStyle w:val="Heading3"/>
        <w:keepNext w:val="0"/>
        <w:keepLines w:val="0"/>
        <w:spacing w:before="280"/>
        <w:rPr>
          <w:b/>
          <w:bCs/>
          <w:color w:val="000000"/>
          <w:sz w:val="24"/>
          <w:szCs w:val="24"/>
        </w:rPr>
      </w:pPr>
      <w:bookmarkStart w:id="43" w:name="_4egr0hk0wvj" w:colFirst="0" w:colLast="0"/>
      <w:bookmarkStart w:id="44" w:name="_Toc241008221"/>
      <w:bookmarkEnd w:id="43"/>
      <w:r>
        <w:rPr>
          <w:b/>
          <w:bCs/>
          <w:color w:val="000000"/>
          <w:sz w:val="24"/>
          <w:szCs w:val="24"/>
        </w:rPr>
        <w:t>3.4 Resource-Based View and VRIO</w:t>
      </w:r>
      <w:bookmarkEnd w:id="44"/>
    </w:p>
    <w:p w14:paraId="6BE1468D" w14:textId="77777777" w:rsidR="00C71CDB" w:rsidRDefault="00C71CDB" w:rsidP="00C71CDB">
      <w:r>
        <w:lastRenderedPageBreak/>
        <w:t>Differences in organisational resources and capabilities determine differences in competitive advantage, according to the Resource Based View (Lubis, 2022). Barney's research finds that important ingredients of continued advantage are valuable resources, rare resources, difficult-to-imitate resources, and non-substitutable resources. The VRIO extension introduces organizational considerations and examines if the firm is organized to capitalize on valuable resources.</w:t>
      </w:r>
    </w:p>
    <w:p w14:paraId="3C5C896E" w14:textId="77777777" w:rsidR="00C71CDB" w:rsidRDefault="00C71CDB" w:rsidP="00C71CDB">
      <w:pPr>
        <w:jc w:val="center"/>
      </w:pPr>
      <w:r>
        <w:rPr>
          <w:noProof/>
        </w:rPr>
        <w:drawing>
          <wp:inline distT="114300" distB="114300" distL="114300" distR="114300" wp14:anchorId="10475D52" wp14:editId="1CD3BD33">
            <wp:extent cx="4596316" cy="3233626"/>
            <wp:effectExtent l="0" t="0" r="0" b="0"/>
            <wp:docPr id="370789885"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11"/>
                    <a:srcRect/>
                    <a:stretch>
                      <a:fillRect/>
                    </a:stretch>
                  </pic:blipFill>
                  <pic:spPr>
                    <a:xfrm>
                      <a:off x="0" y="0"/>
                      <a:ext cx="4596316" cy="3233626"/>
                    </a:xfrm>
                    <a:prstGeom prst="rect">
                      <a:avLst/>
                    </a:prstGeom>
                    <a:ln/>
                  </pic:spPr>
                </pic:pic>
              </a:graphicData>
            </a:graphic>
          </wp:inline>
        </w:drawing>
      </w:r>
    </w:p>
    <w:p w14:paraId="451124B1" w14:textId="13458A01" w:rsidR="00C71CDB" w:rsidRDefault="00C71CDB" w:rsidP="004503E7">
      <w:pPr>
        <w:pStyle w:val="Heading5"/>
      </w:pPr>
      <w:bookmarkStart w:id="45" w:name="_Toc241007419"/>
      <w:r>
        <w:t>Figure</w:t>
      </w:r>
      <w:r w:rsidR="00322600">
        <w:t xml:space="preserve"> 3</w:t>
      </w:r>
      <w:r>
        <w:t>: “Resource-Based View”</w:t>
      </w:r>
      <w:bookmarkEnd w:id="45"/>
    </w:p>
    <w:p w14:paraId="3DB96B13" w14:textId="77777777" w:rsidR="00C71CDB" w:rsidRDefault="00C71CDB" w:rsidP="00C71CDB">
      <w:pPr>
        <w:jc w:val="center"/>
      </w:pPr>
      <w:r>
        <w:t>(Source: Lubis, 2022)</w:t>
      </w:r>
    </w:p>
    <w:p w14:paraId="0D4D8A67" w14:textId="77777777" w:rsidR="00C71CDB" w:rsidRDefault="00C71CDB" w:rsidP="00C71CDB">
      <w:r>
        <w:t>This framework is especially applicable in the context of EcoPack as the venture doesn't have manufacturing scale initially. Rather, its potential resources are supplier relationships, sustainability knowledge, customer data, digital procurement capability and SME oriented services. Empirical studies with SMEs showed that the value of resources, rarity and imitability explains the competitive advantage of SMEs; hence the relevance of VRIO to the SMEs. But RBV has been criticized for its post hoc approach and inadequate account of the generation of new resources. It will therefore be used in conjunction with external analysis and not on its own.</w:t>
      </w:r>
    </w:p>
    <w:p w14:paraId="72C3445E" w14:textId="77777777" w:rsidR="00C71CDB" w:rsidRDefault="00C71CDB" w:rsidP="00C71CDB">
      <w:pPr>
        <w:pStyle w:val="Heading3"/>
        <w:keepNext w:val="0"/>
        <w:keepLines w:val="0"/>
        <w:spacing w:before="280"/>
        <w:rPr>
          <w:b/>
          <w:bCs/>
          <w:color w:val="000000"/>
          <w:sz w:val="24"/>
          <w:szCs w:val="24"/>
        </w:rPr>
      </w:pPr>
      <w:bookmarkStart w:id="46" w:name="_s2fnn9dsnrn9" w:colFirst="0" w:colLast="0"/>
      <w:bookmarkStart w:id="47" w:name="_Toc241008222"/>
      <w:bookmarkEnd w:id="46"/>
      <w:r>
        <w:rPr>
          <w:b/>
          <w:bCs/>
          <w:color w:val="000000"/>
          <w:sz w:val="24"/>
          <w:szCs w:val="24"/>
        </w:rPr>
        <w:t>3.5 Business Model Canvas</w:t>
      </w:r>
      <w:bookmarkEnd w:id="47"/>
    </w:p>
    <w:p w14:paraId="4822B7C5" w14:textId="77777777" w:rsidR="00C71CDB" w:rsidRDefault="00C71CDB" w:rsidP="00C71CDB">
      <w:r>
        <w:lastRenderedPageBreak/>
        <w:t>The Business Model Canvas is a representation of how an organisation generates, delivers and captures value through nine interconnected components. Research on business models identifies the business model as a separate concept from strategy, acknowledging the importance of the business model in business for explaining the creation and capture of value (Amelia, 2022).</w:t>
      </w:r>
    </w:p>
    <w:p w14:paraId="76F0D083" w14:textId="77777777" w:rsidR="00C71CDB" w:rsidRDefault="00C71CDB" w:rsidP="00C71CDB">
      <w:r>
        <w:t>The key benefit of its simplicity is that it allows the proposed business to link customer segments and value propositions to channels, relationships, activities, resources, partners, costs and revenues. But the Canvas can only represent a static representation and cannot fully convey the level of competition or complexity of implementation. It will therefore be coupled with strategic, financial and operational analysis.</w:t>
      </w:r>
    </w:p>
    <w:p w14:paraId="7A3270CC" w14:textId="77777777" w:rsidR="00FB7622" w:rsidRDefault="00FB7622">
      <w:pPr>
        <w:rPr>
          <w:b/>
          <w:bCs/>
        </w:rPr>
      </w:pPr>
      <w:bookmarkStart w:id="48" w:name="_80qj8vmqr0im" w:colFirst="0" w:colLast="0"/>
      <w:bookmarkEnd w:id="48"/>
      <w:r>
        <w:br w:type="page"/>
      </w:r>
    </w:p>
    <w:p w14:paraId="0F7C2A87" w14:textId="471E8DCB" w:rsidR="00C71CDB" w:rsidRDefault="00C71CDB" w:rsidP="00C71CDB">
      <w:pPr>
        <w:pStyle w:val="Heading1"/>
        <w:keepNext w:val="0"/>
        <w:keepLines w:val="0"/>
        <w:rPr>
          <w:b w:val="0"/>
          <w:bCs w:val="0"/>
        </w:rPr>
      </w:pPr>
      <w:bookmarkStart w:id="49" w:name="_Toc241008223"/>
      <w:r>
        <w:lastRenderedPageBreak/>
        <w:t>Chapter 4: Research Methodology</w:t>
      </w:r>
      <w:bookmarkEnd w:id="49"/>
      <w:r>
        <w:t xml:space="preserve"> </w:t>
      </w:r>
    </w:p>
    <w:p w14:paraId="2978371D" w14:textId="77777777" w:rsidR="00C71CDB" w:rsidRDefault="00C71CDB" w:rsidP="00C71CDB">
      <w:pPr>
        <w:pStyle w:val="Heading2"/>
        <w:keepNext w:val="0"/>
        <w:keepLines w:val="0"/>
        <w:rPr>
          <w:b w:val="0"/>
          <w:bCs w:val="0"/>
        </w:rPr>
      </w:pPr>
      <w:bookmarkStart w:id="50" w:name="_1mxf1ux980ia" w:colFirst="0" w:colLast="0"/>
      <w:bookmarkStart w:id="51" w:name="_Toc241008224"/>
      <w:bookmarkEnd w:id="50"/>
      <w:r>
        <w:t>4.1 Methodological Approach and Opportunity Identification</w:t>
      </w:r>
      <w:bookmarkEnd w:id="51"/>
    </w:p>
    <w:p w14:paraId="03E7249D" w14:textId="77777777" w:rsidR="00C71CDB" w:rsidRDefault="00C71CDB" w:rsidP="00C71CDB">
      <w:r>
        <w:t>The methodology used for this business development project is secondary research, which involves exploratory research into the commercial viability of the proposed sustainable packaging supplier, EcoPack Solutions, for SMEs in e-commerce. The systematic use of information that has been collected and published by others organisations or researchers is known as secondary research (Nii Laryeafio, and Ogbewe, 2023). This approach is suitable, as the proposal needs evidence on market trends, customer needs, regulation, competition, sustainability and business-model development.</w:t>
      </w:r>
    </w:p>
    <w:p w14:paraId="55743CAD" w14:textId="77777777" w:rsidR="00C71CDB" w:rsidRDefault="00C71CDB" w:rsidP="00C71CDB">
      <w:r>
        <w:t>The primary approach was not chosen since interviews would allow for the gathering of detailed individual opinions, and could also involve participant recruitment, ethical considerations, and longer time. A survey was also not chosen because this is not currently a time when it is necessary to have a statistically representative sample of customers. Thus, secondary research will be used as an effective source to assess the opportunity without making an assumption of whether there is real interest in purchasing from EcoPack Solutions.</w:t>
      </w:r>
    </w:p>
    <w:p w14:paraId="6748A80A" w14:textId="77777777" w:rsidR="00C71CDB" w:rsidRDefault="00C71CDB" w:rsidP="00C71CDB">
      <w:pPr>
        <w:pStyle w:val="Heading2"/>
        <w:keepNext w:val="0"/>
        <w:keepLines w:val="0"/>
        <w:rPr>
          <w:b w:val="0"/>
          <w:bCs w:val="0"/>
        </w:rPr>
      </w:pPr>
      <w:bookmarkStart w:id="52" w:name="_15p85wcs7qaf" w:colFirst="0" w:colLast="0"/>
      <w:bookmarkStart w:id="53" w:name="_Toc241008225"/>
      <w:bookmarkEnd w:id="52"/>
      <w:r>
        <w:t>4.2 Market Insight and Data Collection</w:t>
      </w:r>
      <w:bookmarkEnd w:id="53"/>
    </w:p>
    <w:p w14:paraId="696376C0" w14:textId="77777777" w:rsidR="00C71CDB" w:rsidRDefault="00C71CDB" w:rsidP="00C71CDB">
      <w:r>
        <w:t>Research is conducted and evidence gathered from academic, government, regulatory and recognised industry sources. The use of search terms like sustainable packaging, sustainable business models, e-commerce packaging, sustainable packaging adoption, consumer behaviour and green consumer behaviour as well as packaging waste will be used to identify academic literature in scholarly databases. The government and regulatory sources will be consulted for information related to packaging waste and recycling standards and environmental regulation. Sources from industry will be used to determine market trends, packaging developments and competitor information.</w:t>
      </w:r>
    </w:p>
    <w:p w14:paraId="27CF8BE7" w14:textId="77777777" w:rsidR="00C71CDB" w:rsidRDefault="00C71CDB" w:rsidP="00C71CDB">
      <w:r>
        <w:t xml:space="preserve">The geographical scope will be mainly European, as the existing proposal notes that the European packaging waste and regulations are expected to be key drivers of the opportunity. Specific e-commerce SME related evidence will be given priority. Sources will normally be included when they are current, relevant, credible, transparent and geographically appropriate. Older academic </w:t>
      </w:r>
      <w:r>
        <w:lastRenderedPageBreak/>
        <w:t>sources will be included where they present seminal work or frameworks. Sources that are undated, duplicated, unsupported, and/or overly promotional or geographically unrelated will be disqualified. There will be no assessment based on the overall size of the products, but assess them based on how relevant they are to the context of sustainable packaging in e-commerce companies.</w:t>
      </w:r>
    </w:p>
    <w:p w14:paraId="6036E2D3" w14:textId="77777777" w:rsidR="00C71CDB" w:rsidRDefault="00C71CDB" w:rsidP="00C71CDB">
      <w:pPr>
        <w:pStyle w:val="Heading2"/>
        <w:keepNext w:val="0"/>
        <w:keepLines w:val="0"/>
        <w:rPr>
          <w:b w:val="0"/>
          <w:bCs w:val="0"/>
        </w:rPr>
      </w:pPr>
      <w:bookmarkStart w:id="54" w:name="_c41l833x35xs" w:colFirst="0" w:colLast="0"/>
      <w:bookmarkStart w:id="55" w:name="_Toc241008226"/>
      <w:bookmarkEnd w:id="54"/>
      <w:r>
        <w:t>4.3 Quantitative and Qualitative Evidence</w:t>
      </w:r>
      <w:bookmarkEnd w:id="55"/>
    </w:p>
    <w:p w14:paraId="34A8A48D" w14:textId="77777777" w:rsidR="00C71CDB" w:rsidRDefault="00C71CDB" w:rsidP="00C71CDB">
      <w:r>
        <w:t>This will be based on both primary and secondary evidence, the latter in both quantitative and qualitative forms. Quantitative evidence are numbers that can be measured and compared, such as packaging waste amounts, market data, prices, growth trends and financial projections. This will allow an estimation of the opportunity scale and help with later commercial calculations. Qualitative evidence is all information other than numbers about customer needs, regulatory requirements, competitor market positioning, sustainability trends and industry comments (Dakić, et al. 2024). This will aid in understanding the reasons why certain market changes could impact the proposed business.</w:t>
      </w:r>
    </w:p>
    <w:p w14:paraId="44BD7E47" w14:textId="77777777" w:rsidR="00C71CDB" w:rsidRDefault="00C71CDB" w:rsidP="00C71CDB">
      <w:r>
        <w:t>Both types of evidence are acceptable as numerical evidence can give an idea of the magnitude of the opportunity and qualitative evidence can give the context and help with the business issues at stake.</w:t>
      </w:r>
    </w:p>
    <w:p w14:paraId="34A24774" w14:textId="77777777" w:rsidR="00C71CDB" w:rsidRDefault="00C71CDB" w:rsidP="00C71CDB">
      <w:pPr>
        <w:pStyle w:val="Heading2"/>
        <w:keepNext w:val="0"/>
        <w:keepLines w:val="0"/>
        <w:rPr>
          <w:b w:val="0"/>
          <w:bCs w:val="0"/>
        </w:rPr>
      </w:pPr>
      <w:bookmarkStart w:id="56" w:name="_rviaq5rnhi8c" w:colFirst="0" w:colLast="0"/>
      <w:bookmarkStart w:id="57" w:name="_Toc241008227"/>
      <w:bookmarkEnd w:id="56"/>
      <w:r>
        <w:t>4.4 Data-Analysis Methods</w:t>
      </w:r>
      <w:bookmarkEnd w:id="57"/>
    </w:p>
    <w:p w14:paraId="509C08ED" w14:textId="77777777" w:rsidR="00C71CDB" w:rsidRDefault="00C71CDB" w:rsidP="00C71CDB">
      <w:r>
        <w:t>Four analytical methods will be used: descriptive analysis, comparative analysis, thematic analysis and financial analysis. Descriptive analysis is a summary of numerical evidence using totals, percentages, averages and trends. It's suitable for conveying packaging-waste data and other market indicators in easily digestible formats.</w:t>
      </w:r>
    </w:p>
    <w:p w14:paraId="0D0F597F" w14:textId="77777777" w:rsidR="00C71CDB" w:rsidRDefault="00C71CDB" w:rsidP="00C71CDB">
      <w:r>
        <w:t>Comparative analysis is a process of systematically analyzing alternatives in terms of the same criteria. It will be applied to identify and compare relevant competitors, their product ranges, sustainability offers, services and pricing if available. This approach is suitable, since the proposal must consider the competitive environment of the proposed business, but not competitors per se.</w:t>
      </w:r>
    </w:p>
    <w:p w14:paraId="20E9181C" w14:textId="77777777" w:rsidR="00C71CDB" w:rsidRDefault="00C71CDB" w:rsidP="00C71CDB">
      <w:r>
        <w:t xml:space="preserve">Thematic Analysis is the technique that is used to find out the common themes or patterns in qualitative data (Naeem et al. 2023). Academic research, industry reports, policy documents and </w:t>
      </w:r>
      <w:r>
        <w:lastRenderedPageBreak/>
        <w:t>competitor data will be then collated under themes including sustainability, affordability, functionality, customer demands, regulation and operational limitations. This is appropriate because this proposal aims to comprehend the recurrent business issues instead of testing statistical relationships between variables.</w:t>
      </w:r>
    </w:p>
    <w:p w14:paraId="294E9BC7" w14:textId="77777777" w:rsidR="00C71CDB" w:rsidRDefault="00C71CDB" w:rsidP="00C71CDB">
      <w:r>
        <w:t>Initial feasibility level financial analysis has been performed to look at expected revenues, costs, break-even analysis, and sensitivity to key assumptions. Since there is not suitable primary data set or enough observations to support the use of advanced statistical methods such as regression analysis in the proposal, these will not be employed. Likewise, sentiment analysis makes no sense as the study isn't reliant on an extensive corpus of customer reviews.</w:t>
      </w:r>
    </w:p>
    <w:p w14:paraId="47BADE36" w14:textId="77777777" w:rsidR="00C71CDB" w:rsidRDefault="00C71CDB" w:rsidP="00C71CDB">
      <w:pPr>
        <w:pStyle w:val="Heading2"/>
        <w:keepNext w:val="0"/>
        <w:keepLines w:val="0"/>
        <w:rPr>
          <w:b w:val="0"/>
          <w:bCs w:val="0"/>
        </w:rPr>
      </w:pPr>
      <w:bookmarkStart w:id="58" w:name="_7vxensutw5tl" w:colFirst="0" w:colLast="0"/>
      <w:bookmarkStart w:id="59" w:name="_Toc241008228"/>
      <w:bookmarkEnd w:id="58"/>
      <w:r>
        <w:t>4.5 Application and Integration of Frameworks</w:t>
      </w:r>
      <w:bookmarkEnd w:id="59"/>
    </w:p>
    <w:p w14:paraId="66EB8AF1" w14:textId="77777777" w:rsidR="00C71CDB" w:rsidRDefault="00C71CDB" w:rsidP="00C71CDB">
      <w:r>
        <w:t>The frame work developed in Chapter 3 has been used for analysing the evidence that has been collected. PESTLE will structure political, economic, social, technological, legal and environmental information. The Five Forces will be used to analyse competitors, suppliers, customers, substitutes and entry conditions. Resource Based View will examine if the business to be proposed will be able to generate valuable capacities and resources. Lastly, the Triple-Layered Business Model Canvas will bring economic, environmental and social aspects into the proposed business model.</w:t>
      </w:r>
    </w:p>
    <w:p w14:paraId="753E2AC5" w14:textId="77777777" w:rsidR="00C71CDB" w:rsidRDefault="00C71CDB" w:rsidP="00C71CDB">
      <w:pPr>
        <w:pStyle w:val="Heading2"/>
        <w:keepNext w:val="0"/>
        <w:keepLines w:val="0"/>
        <w:rPr>
          <w:b w:val="0"/>
          <w:bCs w:val="0"/>
        </w:rPr>
      </w:pPr>
      <w:bookmarkStart w:id="60" w:name="_19zczq7qxlw" w:colFirst="0" w:colLast="0"/>
      <w:bookmarkStart w:id="61" w:name="_Toc241008229"/>
      <w:bookmarkEnd w:id="60"/>
      <w:r>
        <w:t>4.6 Reliability, Validity, Limitations and Ethics</w:t>
      </w:r>
      <w:bookmarkEnd w:id="61"/>
    </w:p>
    <w:p w14:paraId="6CFBC4FE" w14:textId="77777777" w:rsidR="00C71CDB" w:rsidRDefault="00C71CDB" w:rsidP="00C71CDB">
      <w:r>
        <w:t>Source reliability will be enhanced by triangulation (where possible) of important claims with two or more independent sources (Morgan, 2024). First priority will be peer-reviewed academic research, and government and regulatory publications and available industry sources. Before using evidence, it will also be factored in for currency, relevance, authority and transparency will be taken into account.</w:t>
      </w:r>
    </w:p>
    <w:p w14:paraId="11C1472D" w14:textId="77777777" w:rsidR="00C71CDB" w:rsidRDefault="00C71CDB" w:rsidP="00C71CDB">
      <w:r>
        <w:t>The primary challenge is the secondary data might be consolidated, obsolete or not detailed enough for eCommerce SMEs. Also, the information from industry sources may be biased and the market and financial estimates are based on assumptions. These limitations will be dealt with by comparing sources, marking conflicting evidence and keeping evidence and assumptions separate.</w:t>
      </w:r>
    </w:p>
    <w:p w14:paraId="3ED44969" w14:textId="77777777" w:rsidR="00C71CDB" w:rsidRDefault="00C71CDB" w:rsidP="00C71CDB">
      <w:r>
        <w:lastRenderedPageBreak/>
        <w:t>Ethically, the research will be conducted in a responsible manner, with appropriate academic citations, consideration of copyright and selective reporting. Primary research is not included in this proposal, so there will be no collection of personal participant information. In general, this methodology offers a clear process by which reliable secondary data is transformed into market, competitive, strategic and business-model conclusions regarding feasibility of EcoPack Solutions.</w:t>
      </w:r>
    </w:p>
    <w:p w14:paraId="2C3C92EB" w14:textId="77777777" w:rsidR="00FB7622" w:rsidRDefault="00FB7622">
      <w:pPr>
        <w:rPr>
          <w:b/>
          <w:bCs/>
        </w:rPr>
      </w:pPr>
      <w:bookmarkStart w:id="62" w:name="_y0wtvj7o4dcg" w:colFirst="0" w:colLast="0"/>
      <w:bookmarkEnd w:id="62"/>
      <w:r>
        <w:br w:type="page"/>
      </w:r>
    </w:p>
    <w:p w14:paraId="71112698" w14:textId="7C1E29F5" w:rsidR="00C71CDB" w:rsidRDefault="00C71CDB" w:rsidP="00C71CDB">
      <w:pPr>
        <w:pStyle w:val="Heading1"/>
        <w:keepNext w:val="0"/>
        <w:keepLines w:val="0"/>
        <w:rPr>
          <w:b w:val="0"/>
          <w:bCs w:val="0"/>
        </w:rPr>
      </w:pPr>
      <w:bookmarkStart w:id="63" w:name="_Toc241008230"/>
      <w:r>
        <w:lastRenderedPageBreak/>
        <w:t>Chapter 5: Market Opportunity Analysis</w:t>
      </w:r>
      <w:bookmarkEnd w:id="63"/>
      <w:r>
        <w:t xml:space="preserve"> </w:t>
      </w:r>
    </w:p>
    <w:p w14:paraId="3A02932D" w14:textId="77777777" w:rsidR="00C71CDB" w:rsidRDefault="00C71CDB" w:rsidP="00C71CDB">
      <w:pPr>
        <w:pStyle w:val="Heading2"/>
        <w:keepNext w:val="0"/>
        <w:keepLines w:val="0"/>
        <w:rPr>
          <w:b w:val="0"/>
          <w:bCs w:val="0"/>
        </w:rPr>
      </w:pPr>
      <w:bookmarkStart w:id="64" w:name="_jfpxtc9zaril" w:colFirst="0" w:colLast="0"/>
      <w:bookmarkStart w:id="65" w:name="_Toc241008231"/>
      <w:bookmarkEnd w:id="64"/>
      <w:r>
        <w:t>5.1 Scope and Market Definition</w:t>
      </w:r>
      <w:bookmarkEnd w:id="65"/>
    </w:p>
    <w:p w14:paraId="0FD4E5DD" w14:textId="77777777" w:rsidR="00C71CDB" w:rsidRDefault="00C71CDB" w:rsidP="00C71CDB">
      <w:r>
        <w:t>The market of interest is sustainable packaging products and packaging solutions sold to European e-commerce SMEs for fulfilment and delivery of goods sold online for 2025-2026. The market consists of packaging that is recyclable, recycled content, reusable and suitably light to transport like mailers, cartons, protective materials, packaging tapes and other related packaging solutions. It's not the final consumer getting the parcel who is the primary customer, but the e-commerce SME who buys the packaging itself.</w:t>
      </w:r>
    </w:p>
    <w:p w14:paraId="758311D2" w14:textId="77777777" w:rsidR="00C71CDB" w:rsidRDefault="00C71CDB" w:rsidP="00C71CDB">
      <w:r>
        <w:t>It is also commercially relevant, since EcoPack Solutions is not trying to cater for the whole EU packaging industry. It's proposed opportunity is more limited: SMEs who regularly send products to customers who will have a recurring need for packaging. This focus on Europe is also suitable since the regulation of packaging is more and more harmonised in the EU. From 12 August 2026 the Packaging and Packaging Waste Regulation (PPWR) was introduced to the EU, providing a unified regulatory framework on packaging and packaging waste (Europa, 2025).</w:t>
      </w:r>
    </w:p>
    <w:p w14:paraId="404F8A84" w14:textId="77777777" w:rsidR="00C71CDB" w:rsidRDefault="00C71CDB" w:rsidP="00C71CDB">
      <w:pPr>
        <w:pStyle w:val="Heading2"/>
        <w:keepNext w:val="0"/>
        <w:keepLines w:val="0"/>
        <w:rPr>
          <w:b w:val="0"/>
          <w:bCs w:val="0"/>
        </w:rPr>
      </w:pPr>
      <w:bookmarkStart w:id="66" w:name="_2uz466xyiygr" w:colFirst="0" w:colLast="0"/>
      <w:bookmarkStart w:id="67" w:name="_Toc241008232"/>
      <w:bookmarkEnd w:id="66"/>
      <w:r>
        <w:t>5.2 Market Size and Growth</w:t>
      </w:r>
      <w:bookmarkEnd w:id="67"/>
    </w:p>
    <w:p w14:paraId="4681D314" w14:textId="77777777" w:rsidR="00C71CDB" w:rsidRDefault="00C71CDB" w:rsidP="00C71CDB">
      <w:r>
        <w:t>Scale of the underlying packaging problem gives us a good clue to potential demand. In 2022, an average of 36.1 kg of plastic packaging waste was generated for each person living in the EU and out of this, 14.7 kg were recycled. The volume of plastic packaging waste generated per capita rose by 7.6 kg and the volume of waste recycled per capita rose by 4.0 kg between 2012 and 2022 (Europa, 2025). Of the packaging waste, 41% was paper and cardboard, 19% was plastic, 19% was glass, 16% was wood and 5% were metals.</w:t>
      </w:r>
    </w:p>
    <w:p w14:paraId="7D8B7A08" w14:textId="77777777" w:rsidR="00C71CDB" w:rsidRDefault="00C71CDB" w:rsidP="00C71CDB">
      <w:r>
        <w:t xml:space="preserve">The numbers make it clear that packaging is a major and enduring material flow, not a trivial environmental problem. In particular, plastic is of relevance for EcoPack Solutions, as in 2022, the EU generated 36.1 kg of plastic packaging per capita of which 14.7 kg, or around 41%, were recycled. Additionally, the volume of plastic packaging waste produced per capita rose by 7.6 kg in the period from 2012 to 2022, while the amount of plastic packaging waste recovered grew by </w:t>
      </w:r>
      <w:r>
        <w:lastRenderedPageBreak/>
        <w:t>just 4.0 kg. The disparity reflects ongoing efforts to minimize wasteful plastic consumption and packaging circularity.</w:t>
      </w:r>
    </w:p>
    <w:p w14:paraId="6AD587F4" w14:textId="77777777" w:rsidR="00C71CDB" w:rsidRDefault="00C71CDB" w:rsidP="00C71CDB">
      <w:r>
        <w:t>These numbers should not be used as an indicator of the value of the e-commerce packaging market, however. In 2022, EU produced 83.4 million tonnes of packaging waste. Moreover, the amount of packaging waste generated by each individual in the EU was almost 186.5 kg, which represented 19.4% of the total (GS1, 2025). Therefore, using the entire figure as EcoPack Solutions addressable market is significantly over estimating the opportunity. Rather, the statistic sets a scale of the general packaging problem, and the e-commerce SME sector needs to be targeted separately.</w:t>
      </w:r>
    </w:p>
    <w:p w14:paraId="1CCD9002" w14:textId="77777777" w:rsidR="00C71CDB" w:rsidRDefault="00C71CDB" w:rsidP="00C71CDB">
      <w:pPr>
        <w:jc w:val="center"/>
      </w:pPr>
      <w:r>
        <w:rPr>
          <w:noProof/>
        </w:rPr>
        <w:drawing>
          <wp:inline distT="114300" distB="114300" distL="114300" distR="114300" wp14:anchorId="020E2007" wp14:editId="72EF5F7E">
            <wp:extent cx="5943600" cy="3924300"/>
            <wp:effectExtent l="0" t="0" r="0" b="0"/>
            <wp:docPr id="9"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2"/>
                    <a:srcRect/>
                    <a:stretch>
                      <a:fillRect/>
                    </a:stretch>
                  </pic:blipFill>
                  <pic:spPr>
                    <a:xfrm>
                      <a:off x="0" y="0"/>
                      <a:ext cx="5943600" cy="3924300"/>
                    </a:xfrm>
                    <a:prstGeom prst="rect">
                      <a:avLst/>
                    </a:prstGeom>
                    <a:ln/>
                  </pic:spPr>
                </pic:pic>
              </a:graphicData>
            </a:graphic>
          </wp:inline>
        </w:drawing>
      </w:r>
    </w:p>
    <w:p w14:paraId="151A53A7" w14:textId="45F673DD" w:rsidR="00C71CDB" w:rsidRDefault="00C71CDB" w:rsidP="004503E7">
      <w:pPr>
        <w:pStyle w:val="Heading5"/>
      </w:pPr>
      <w:bookmarkStart w:id="68" w:name="_Toc241007420"/>
      <w:r>
        <w:t>Figure</w:t>
      </w:r>
      <w:r w:rsidR="00322600">
        <w:t xml:space="preserve"> 4</w:t>
      </w:r>
      <w:r>
        <w:t>: “Recyclable packaging”</w:t>
      </w:r>
      <w:bookmarkEnd w:id="68"/>
    </w:p>
    <w:p w14:paraId="2E07E69D" w14:textId="77777777" w:rsidR="00C71CDB" w:rsidRDefault="00C71CDB" w:rsidP="00C71CDB">
      <w:pPr>
        <w:jc w:val="center"/>
      </w:pPr>
      <w:r>
        <w:t>(Source: GS1, 2025)</w:t>
      </w:r>
    </w:p>
    <w:p w14:paraId="0026F0AD" w14:textId="77777777" w:rsidR="00C71CDB" w:rsidRDefault="00C71CDB" w:rsidP="00C71CDB">
      <w:r>
        <w:t xml:space="preserve">The ecommerce channel is a growing channel. In the EU, during the period 2014 to 2024, the share of enterprises that had e-sales increased from 18.93% in 2014 to 23.59% in 2024 (Europa, 2025). In EU enterprises, the e-commerce turnover via own websites or apps was in 2024 more than 5 </w:t>
      </w:r>
      <w:r>
        <w:lastRenderedPageBreak/>
        <w:t>times higher than via market places. In the medium sized enterprises, 31.67% of enterprises made e sales of which 15.41% was percentage of the total sales. In contrast, 21.38% of the small enterprises carried out e-sales, with 8.65% of the turnover of the enterprises that did e-sales. The longer-term shift suggests that online selling is not just a ‘fad' but a part of a business channel.</w:t>
      </w:r>
    </w:p>
    <w:p w14:paraId="70EBD5F1" w14:textId="77777777" w:rsidR="00C71CDB" w:rsidRDefault="00C71CDB" w:rsidP="00C71CDB">
      <w:pPr>
        <w:jc w:val="center"/>
      </w:pPr>
      <w:r>
        <w:rPr>
          <w:noProof/>
        </w:rPr>
        <w:drawing>
          <wp:inline distT="114300" distB="114300" distL="114300" distR="114300" wp14:anchorId="642F5265" wp14:editId="0678D392">
            <wp:extent cx="5943600" cy="3619500"/>
            <wp:effectExtent l="0" t="0" r="0" b="0"/>
            <wp:docPr id="7"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3"/>
                    <a:srcRect/>
                    <a:stretch>
                      <a:fillRect/>
                    </a:stretch>
                  </pic:blipFill>
                  <pic:spPr>
                    <a:xfrm>
                      <a:off x="0" y="0"/>
                      <a:ext cx="5943600" cy="3619500"/>
                    </a:xfrm>
                    <a:prstGeom prst="rect">
                      <a:avLst/>
                    </a:prstGeom>
                    <a:ln/>
                  </pic:spPr>
                </pic:pic>
              </a:graphicData>
            </a:graphic>
          </wp:inline>
        </w:drawing>
      </w:r>
    </w:p>
    <w:p w14:paraId="227B6821" w14:textId="7B720680" w:rsidR="00C71CDB" w:rsidRDefault="00C71CDB" w:rsidP="004503E7">
      <w:pPr>
        <w:pStyle w:val="Heading5"/>
      </w:pPr>
      <w:bookmarkStart w:id="69" w:name="_Toc241007421"/>
      <w:r>
        <w:t>Figure</w:t>
      </w:r>
      <w:r w:rsidR="00322600">
        <w:t xml:space="preserve"> 5</w:t>
      </w:r>
      <w:r>
        <w:t>: “E-sales and turnover from e-sales”</w:t>
      </w:r>
      <w:bookmarkEnd w:id="69"/>
    </w:p>
    <w:p w14:paraId="7356794D" w14:textId="77777777" w:rsidR="00C71CDB" w:rsidRDefault="00C71CDB" w:rsidP="00C71CDB">
      <w:pPr>
        <w:jc w:val="center"/>
      </w:pPr>
      <w:r>
        <w:t>(Source: Europa, 2025)</w:t>
      </w:r>
    </w:p>
    <w:p w14:paraId="57786B78" w14:textId="77777777" w:rsidR="00C71CDB" w:rsidRDefault="00C71CDB" w:rsidP="00C71CDB">
      <w:r>
        <w:t>This segment is further reinforced by the size of the SME population. In 2024, there were about 26.1 million SMEs in the EU, which is 99.8% of all enterprises and accounted for about 89.8 million jobs (Europarl, 2025). Given a rough estimate of 23% of SMEs are engaged in e-sales, it is estimated that there are approximately 6.0 million SME enterprises that are potentially engaged in online sales. This should not be shown as an official Eurostat cross-tabulation as the two statistics are based on different datasets and definitions. However, it gives some sense of the size of the customer base that it can target.</w:t>
      </w:r>
    </w:p>
    <w:p w14:paraId="41BFB508" w14:textId="77777777" w:rsidR="00C71CDB" w:rsidRDefault="00C71CDB" w:rsidP="00C71CDB">
      <w:r>
        <w:lastRenderedPageBreak/>
        <w:t>The evidence, then, indicates that there is a fairly large base of potential customers, but one that will not be readily available. EcoPack Solutions would initially need to narrow the opportunity by geography, product category, shipment frequency, packaging requirements and ability to switch suppliers.</w:t>
      </w:r>
    </w:p>
    <w:p w14:paraId="7290D6F5" w14:textId="77777777" w:rsidR="00C71CDB" w:rsidRDefault="00C71CDB" w:rsidP="00C71CDB">
      <w:pPr>
        <w:pStyle w:val="Heading2"/>
        <w:keepNext w:val="0"/>
        <w:keepLines w:val="0"/>
        <w:rPr>
          <w:b w:val="0"/>
          <w:bCs w:val="0"/>
        </w:rPr>
      </w:pPr>
      <w:bookmarkStart w:id="70" w:name="_k0m5nl3obgtx" w:colFirst="0" w:colLast="0"/>
      <w:bookmarkStart w:id="71" w:name="_Toc241008233"/>
      <w:bookmarkEnd w:id="70"/>
      <w:r>
        <w:t>5.3 Segmentation and Target Customer</w:t>
      </w:r>
      <w:bookmarkEnd w:id="71"/>
    </w:p>
    <w:p w14:paraId="39937A27" w14:textId="77777777" w:rsidR="00C71CDB" w:rsidRDefault="00C71CDB" w:rsidP="00C71CDB">
      <w:r>
        <w:t>Only a subset of e-commerce SMEs is a desirable market. This firmographic and behavioural segmentation is more applicable than the simple demographic segmentation, since the demand for packaging depends first and foremost on the type and regularity of the business shipments.</w:t>
      </w:r>
    </w:p>
    <w:p w14:paraId="69C1FB77" w14:textId="77777777" w:rsidR="00C71CDB" w:rsidRDefault="00C71CDB" w:rsidP="00C71CDB">
      <w:r>
        <w:t>The most pertinent factors are business size, shipment frequency, product characteristics, sustainability demands and purchasing behaviour. The EU was home to approximately 33.5 million enterprises in 2024 with a workforce of 164.2 million. The net turnover in those enterprises was €38.7 trillion (Europa, 2025). SMEs accounted for 99.8% of enterprises. But size isn't necessarily a demand. The packaging requirements of a small online business shipping 20 orders a month are very different from those of a small retailer shipping 2,000 orders a month.</w:t>
      </w:r>
    </w:p>
    <w:p w14:paraId="51D8E124" w14:textId="77777777" w:rsidR="00C71CDB" w:rsidRDefault="00C71CDB" w:rsidP="00C71CDB">
      <w:pPr>
        <w:jc w:val="center"/>
      </w:pPr>
      <w:r>
        <w:rPr>
          <w:noProof/>
        </w:rPr>
        <w:drawing>
          <wp:inline distT="114300" distB="114300" distL="114300" distR="114300" wp14:anchorId="64594A93" wp14:editId="508ECEA1">
            <wp:extent cx="5943600" cy="3060700"/>
            <wp:effectExtent l="0" t="0" r="0" b="0"/>
            <wp:docPr id="5"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14"/>
                    <a:srcRect/>
                    <a:stretch>
                      <a:fillRect/>
                    </a:stretch>
                  </pic:blipFill>
                  <pic:spPr>
                    <a:xfrm>
                      <a:off x="0" y="0"/>
                      <a:ext cx="5943600" cy="3060700"/>
                    </a:xfrm>
                    <a:prstGeom prst="rect">
                      <a:avLst/>
                    </a:prstGeom>
                    <a:ln/>
                  </pic:spPr>
                </pic:pic>
              </a:graphicData>
            </a:graphic>
          </wp:inline>
        </w:drawing>
      </w:r>
    </w:p>
    <w:p w14:paraId="084204EA" w14:textId="5275ED91" w:rsidR="00C71CDB" w:rsidRDefault="00C71CDB" w:rsidP="004503E7">
      <w:pPr>
        <w:pStyle w:val="Heading5"/>
      </w:pPr>
      <w:bookmarkStart w:id="72" w:name="_Toc241007422"/>
      <w:r>
        <w:lastRenderedPageBreak/>
        <w:t>Figure</w:t>
      </w:r>
      <w:r w:rsidR="00322600">
        <w:t xml:space="preserve"> 6</w:t>
      </w:r>
      <w:r>
        <w:t>: “Businesses in the EU”</w:t>
      </w:r>
      <w:bookmarkEnd w:id="72"/>
    </w:p>
    <w:p w14:paraId="67C32886" w14:textId="77777777" w:rsidR="00C71CDB" w:rsidRDefault="00C71CDB" w:rsidP="00C71CDB">
      <w:pPr>
        <w:jc w:val="center"/>
      </w:pPr>
      <w:r>
        <w:t>(Source: Europa, 2025)</w:t>
      </w:r>
    </w:p>
    <w:p w14:paraId="44F67A44" w14:textId="77777777" w:rsidR="00C71CDB" w:rsidRDefault="00C71CDB" w:rsidP="00C71CDB">
      <w:r>
        <w:t>The priority segment should be small and medium-sized e-commerce businesses that send out parcels frequently, have moderate to high packaging usage and have proven interest in recyclable, recycled content or reduced-waste packaging. Other categories that may be relevant due to repeated outbound deliveries include fashion, cosmetics, life style products (where relevant), speciality food, subscription products and other parcel based products. Packaging optimisation may also be valuable for businesses that sell shapes that are not standard or fragile items.</w:t>
      </w:r>
    </w:p>
    <w:p w14:paraId="3EBD5786" w14:textId="77777777" w:rsidR="00C71CDB" w:rsidRDefault="00C71CDB" w:rsidP="00C71CDB">
      <w:r>
        <w:t>Medium-sized companies might have the capacity to offer larger amounts of purchase as 31.67% of them did e-sales in 2024, yet only 21.38% of small companies did. However, there are significantly more customers for smaller companies. This can present a dilemma between number of customers and value of the accounts.</w:t>
      </w:r>
    </w:p>
    <w:p w14:paraId="00D37AD6" w14:textId="77777777" w:rsidR="00C71CDB" w:rsidRDefault="00C71CDB" w:rsidP="00C71CDB">
      <w:r>
        <w:t>The target segment is then appealing when the recurring demand, procurement decisions are easily accessible, and there is a clear sustainability need. The segment is less appealing if customers buy packaging only occasionally, or have low order volumes, or they are not willing to switch to new, familiar suppliers.</w:t>
      </w:r>
    </w:p>
    <w:p w14:paraId="4C1C1E56" w14:textId="77777777" w:rsidR="00C71CDB" w:rsidRDefault="00C71CDB" w:rsidP="00C71CDB">
      <w:pPr>
        <w:pStyle w:val="Heading2"/>
        <w:keepNext w:val="0"/>
        <w:keepLines w:val="0"/>
        <w:rPr>
          <w:b w:val="0"/>
          <w:bCs w:val="0"/>
        </w:rPr>
      </w:pPr>
      <w:bookmarkStart w:id="73" w:name="_qyx8xb1xfhnx" w:colFirst="0" w:colLast="0"/>
      <w:bookmarkStart w:id="74" w:name="_Toc241008234"/>
      <w:bookmarkEnd w:id="73"/>
      <w:r>
        <w:t>5.4 Pain Points, Unmet Needs and Demand</w:t>
      </w:r>
      <w:bookmarkEnd w:id="74"/>
    </w:p>
    <w:p w14:paraId="6DC4A4BA" w14:textId="77777777" w:rsidR="00C71CDB" w:rsidRDefault="00C71CDB" w:rsidP="00C71CDB">
      <w:r>
        <w:t>Just because packaging waste exists, it is not evidence that SMEs will be buying sustainable packaging solutions. Whether the commercial opportunity is there depends on the degree of importance of the sustainability, cost, functionality and compliance purchasing problem.</w:t>
      </w:r>
    </w:p>
    <w:p w14:paraId="2BF076EC" w14:textId="77777777" w:rsidR="00C71CDB" w:rsidRDefault="00C71CDB" w:rsidP="00C71CDB">
      <w:r>
        <w:t>One big challenge is the requirement to achieve environmental performance along with operational functionality and cost. Packaging is important for the product in transit, it must be light in weight, packable and conform to the business's fulfilment process. A packaging product that is environmentally preferable but results in greater product damage, packing rate or significant increases in costs may not be commercially viable for a small business.</w:t>
      </w:r>
    </w:p>
    <w:p w14:paraId="430EFF3F" w14:textId="77777777" w:rsidR="00C71CDB" w:rsidRDefault="00C71CDB" w:rsidP="00C71CDB">
      <w:r>
        <w:lastRenderedPageBreak/>
        <w:t>Regulation adds relevance to problem. The PPWR is designed to achieve the goal of making packaging recyclable by 2030 and increasing the recycled content in plastic packaging, as well as promote reduction, reuse and refill (Europa, 2025). It also seeks to Develop business opportunities for small businesses &amp; innovators. It also aims to minimise wasteful packaging such as over-packaging and unnecessary packaging parts. Regulatory compliance is no longer just a future concern as the regulation has now been implemented on a pan-European basis since August 2026.</w:t>
      </w:r>
    </w:p>
    <w:p w14:paraId="3162E09D" w14:textId="77777777" w:rsidR="00C71CDB" w:rsidRDefault="00C71CDB" w:rsidP="00C71CDB">
      <w:pPr>
        <w:jc w:val="center"/>
        <w:rPr>
          <w:b/>
          <w:bCs/>
        </w:rPr>
      </w:pPr>
      <w:r>
        <w:rPr>
          <w:b/>
          <w:bCs/>
          <w:noProof/>
        </w:rPr>
        <w:drawing>
          <wp:inline distT="114300" distB="114300" distL="114300" distR="114300" wp14:anchorId="1199DF8A" wp14:editId="57217DEF">
            <wp:extent cx="5943600" cy="2273300"/>
            <wp:effectExtent l="0" t="0" r="0" b="0"/>
            <wp:docPr id="8"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15"/>
                    <a:srcRect/>
                    <a:stretch>
                      <a:fillRect/>
                    </a:stretch>
                  </pic:blipFill>
                  <pic:spPr>
                    <a:xfrm>
                      <a:off x="0" y="0"/>
                      <a:ext cx="5943600" cy="2273300"/>
                    </a:xfrm>
                    <a:prstGeom prst="rect">
                      <a:avLst/>
                    </a:prstGeom>
                    <a:ln/>
                  </pic:spPr>
                </pic:pic>
              </a:graphicData>
            </a:graphic>
          </wp:inline>
        </w:drawing>
      </w:r>
    </w:p>
    <w:p w14:paraId="394FC0E0" w14:textId="3B7D4403" w:rsidR="00C71CDB" w:rsidRDefault="00C71CDB" w:rsidP="004503E7">
      <w:pPr>
        <w:pStyle w:val="Heading5"/>
      </w:pPr>
      <w:bookmarkStart w:id="75" w:name="_Toc241007423"/>
      <w:r>
        <w:t>Figure</w:t>
      </w:r>
      <w:r w:rsidR="00322600">
        <w:t xml:space="preserve"> 7</w:t>
      </w:r>
      <w:r>
        <w:t>: “PPWR”</w:t>
      </w:r>
      <w:bookmarkEnd w:id="75"/>
    </w:p>
    <w:p w14:paraId="43A7230C" w14:textId="77777777" w:rsidR="00C71CDB" w:rsidRDefault="00C71CDB" w:rsidP="00C71CDB">
      <w:pPr>
        <w:jc w:val="center"/>
      </w:pPr>
      <w:r>
        <w:t>(Source: Europa, 2025)</w:t>
      </w:r>
    </w:p>
    <w:p w14:paraId="7DF85CBF" w14:textId="77777777" w:rsidR="00C71CDB" w:rsidRDefault="00C71CDB" w:rsidP="00C71CDB">
      <w:r>
        <w:t>This creates opportunity for EcoPack Solutions to play the role of the player that simplifies and supports, as opposed to the player who sells sustainability as a mere environment-related good. An SME may appreciate a packaging that is readily available, well defined, recyclable, properly sized and have trustworthy information regarding its environmental properties.</w:t>
      </w:r>
    </w:p>
    <w:p w14:paraId="3C0AFFFA" w14:textId="77777777" w:rsidR="00C71CDB" w:rsidRDefault="00C71CDB" w:rsidP="00C71CDB">
      <w:r>
        <w:t>There is evidence of consumer interest in sustainable consumption as well, but with a certain degree of caution. Nearly 60% of Europeans are ready to pay more for a more sustainable product that is easier to repair, environmentally sustainable or recyclable (Europa, 2025). But a wider EU study also reveals there is a disconnect between environmental concern and actual buying behavior. So, rather than assuming that consumers will pay a premium price for a more sustainable packaging, it is better to view their sustainability preferences as a possible driver of sales demand.</w:t>
      </w:r>
    </w:p>
    <w:p w14:paraId="0D0AE594" w14:textId="77777777" w:rsidR="00C71CDB" w:rsidRDefault="00C71CDB" w:rsidP="00C71CDB">
      <w:r>
        <w:lastRenderedPageBreak/>
        <w:t>Another related concern is the credibility of information. The Europa 2020 study on environmental claims also identified that 53.3% of the environmental claims examined in the EU were “lacks of clarity” (vague, misleading or unfounded) and 40% were “unsubstantiated” (Europa,. 2025). This is an indication that there is a need for transparency when SMEs make sustainability claims to customers who use their products. EcoPack Solutions may therefore be able to add value by offering transparency on materials, and reliable sustainability data instead of using vague terms like eco-friendly.</w:t>
      </w:r>
    </w:p>
    <w:p w14:paraId="76160460" w14:textId="77777777" w:rsidR="00C71CDB" w:rsidRDefault="00C71CDB" w:rsidP="00C71CDB">
      <w:r>
        <w:t>A significant constraint is the price sensitivity. Packaging is just one area of fulfilment costs for SMEs, who have limited resources compared to many large corporations (Chan et al. 2026). An eco-friendly packaging solution with a significant price premium can, therefore, be met with resistance. The peak demand is probably in places where sustainability gains can be paired with cost efficiency, reduced material consumption, sized appropriately, supplied reliably, or where it is simply a regulatory convenience.</w:t>
      </w:r>
    </w:p>
    <w:p w14:paraId="45B2DE1F" w14:textId="77777777" w:rsidR="00C71CDB" w:rsidRDefault="00C71CDB" w:rsidP="00C71CDB">
      <w:pPr>
        <w:pStyle w:val="Heading2"/>
        <w:keepNext w:val="0"/>
        <w:keepLines w:val="0"/>
        <w:rPr>
          <w:b w:val="0"/>
          <w:bCs w:val="0"/>
        </w:rPr>
      </w:pPr>
      <w:bookmarkStart w:id="76" w:name="_a1d3yr6epury" w:colFirst="0" w:colLast="0"/>
      <w:bookmarkStart w:id="77" w:name="_Toc241008235"/>
      <w:bookmarkEnd w:id="76"/>
      <w:r>
        <w:t>5.5 Economic and Geographic Conditions</w:t>
      </w:r>
      <w:bookmarkEnd w:id="77"/>
    </w:p>
    <w:p w14:paraId="7A001FDA" w14:textId="77777777" w:rsidR="00C71CDB" w:rsidRDefault="00C71CDB" w:rsidP="00C71CDB">
      <w:r>
        <w:t>The economy has an impact on the willingness of customers to invest in sustainable packaging and on the ability of EcoPack Solutions to offer them a profitable service. The EU SME environment offers a relatively wide customer base; according to the European Commission, EU SMEs grew by 2.5% in real value added in 2025, and by 1.0% in employment; the Commission's projection for the 2026 forecast suggests even more growth in real value added (Europa, 2025). This suggests that in the overall business context there remains a significant commercial base provided by SME activity.</w:t>
      </w:r>
    </w:p>
    <w:p w14:paraId="71D2F12B" w14:textId="77777777" w:rsidR="00C71CDB" w:rsidRDefault="00C71CDB" w:rsidP="00C71CDB">
      <w:r>
        <w:t>But an increase in the number of potential customers will not eliminate affordability restraints. However, packaging costs are a fight amongst inventory investment, fulfilment, labour expenses, delivery and marketing expenses (Uzun, and Deran, 2025). Therefore, EcoPack Solutions should not take it for granted that with sustainability comes a premium price. A more commercially viable offer is one that offers more than one benefit from sustainable packaging, such as reduced material use, efficient storage, pack size, etc. and regulatory support.</w:t>
      </w:r>
    </w:p>
    <w:p w14:paraId="447AEBF1" w14:textId="77777777" w:rsidR="00C71CDB" w:rsidRDefault="00C71CDB" w:rsidP="00C71CDB">
      <w:r>
        <w:lastRenderedPageBreak/>
        <w:t>The geographical potential for digital sales is a pan-European market, but the physical logistics is an important constraint. Because packaging is quite large in comparison to many products sold digitally, packing locations, minimum order quantity and transport charges can have a significant impact on margins depending on the distance involved. To begin with, a good approach might be to target specific EU markets or customer groups in a specific region rather than cover the entire European market.</w:t>
      </w:r>
    </w:p>
    <w:p w14:paraId="3ABA56FD" w14:textId="77777777" w:rsidR="00C71CDB" w:rsidRDefault="00C71CDB" w:rsidP="00C71CDB">
      <w:pPr>
        <w:pStyle w:val="Heading2"/>
        <w:keepNext w:val="0"/>
        <w:keepLines w:val="0"/>
        <w:rPr>
          <w:b w:val="0"/>
          <w:bCs w:val="0"/>
        </w:rPr>
      </w:pPr>
      <w:bookmarkStart w:id="78" w:name="_6xo3078vi3ml" w:colFirst="0" w:colLast="0"/>
      <w:bookmarkStart w:id="79" w:name="_Toc241008236"/>
      <w:bookmarkEnd w:id="78"/>
      <w:r>
        <w:t>5.6 Research Findings and Synthesis</w:t>
      </w:r>
      <w:bookmarkEnd w:id="79"/>
    </w:p>
    <w:p w14:paraId="19A80AF8" w14:textId="77777777" w:rsidR="00C71CDB" w:rsidRDefault="00C71CDB" w:rsidP="00C71CDB">
      <w:r>
        <w:t>The overall evidence suggests that EcoPack Solutions is solving an actual and commercially viable market need, however, the opportunity is considered as a conditional one and not an unlimited one. First, the size of the underlying market for packaging waste is significant: The EU produced 83.4 million tonnes of packaging waste in 2022, which is the equivalent of 186.5 kg per person. Second, e-commerce is a business model that is well-established and growing; in 2024/2025, e-sales accounted for about 24% of the EU's businesses, with SMEs a significant percentage of the businesses that sell online. Third, the customer base of SMEs is very large and in the EU around 26.1 million SMEs are customers.</w:t>
      </w:r>
    </w:p>
    <w:p w14:paraId="5EB98483" w14:textId="77777777" w:rsidR="00C71CDB" w:rsidRDefault="00C71CDB" w:rsidP="00C71CDB"/>
    <w:p w14:paraId="0E1D8D2E" w14:textId="77777777" w:rsidR="00C71CDB" w:rsidRDefault="00C71CDB" w:rsidP="00C71CDB">
      <w:pPr>
        <w:pStyle w:val="Heading1"/>
        <w:keepNext w:val="0"/>
        <w:keepLines w:val="0"/>
        <w:rPr>
          <w:b w:val="0"/>
          <w:bCs w:val="0"/>
        </w:rPr>
      </w:pPr>
      <w:bookmarkStart w:id="80" w:name="_rnm5g2qy87om" w:colFirst="0" w:colLast="0"/>
      <w:bookmarkEnd w:id="80"/>
      <w:r>
        <w:br w:type="page"/>
      </w:r>
    </w:p>
    <w:p w14:paraId="1EBDCD4B" w14:textId="77777777" w:rsidR="00C71CDB" w:rsidRDefault="00C71CDB" w:rsidP="00C71CDB">
      <w:pPr>
        <w:pStyle w:val="Heading1"/>
        <w:keepNext w:val="0"/>
        <w:keepLines w:val="0"/>
        <w:rPr>
          <w:b w:val="0"/>
          <w:bCs w:val="0"/>
        </w:rPr>
      </w:pPr>
      <w:bookmarkStart w:id="81" w:name="_i78emvdtaeq4" w:colFirst="0" w:colLast="0"/>
      <w:bookmarkStart w:id="82" w:name="_Toc241008237"/>
      <w:bookmarkEnd w:id="81"/>
      <w:r>
        <w:lastRenderedPageBreak/>
        <w:t>Chapter 6: Competitive Environment Analysis</w:t>
      </w:r>
      <w:bookmarkEnd w:id="82"/>
    </w:p>
    <w:p w14:paraId="727976D5" w14:textId="77777777" w:rsidR="00C71CDB" w:rsidRDefault="00C71CDB" w:rsidP="00C71CDB">
      <w:pPr>
        <w:pStyle w:val="Heading2"/>
        <w:keepNext w:val="0"/>
        <w:keepLines w:val="0"/>
        <w:rPr>
          <w:b w:val="0"/>
          <w:bCs w:val="0"/>
        </w:rPr>
      </w:pPr>
      <w:bookmarkStart w:id="83" w:name="_j9gheohiea23" w:colFirst="0" w:colLast="0"/>
      <w:bookmarkStart w:id="84" w:name="_Toc241008238"/>
      <w:bookmarkEnd w:id="83"/>
      <w:r>
        <w:t>6.1 Scope, Frameworks and Competitive Set</w:t>
      </w:r>
      <w:bookmarkEnd w:id="84"/>
    </w:p>
    <w:p w14:paraId="38D0B93F" w14:textId="58C95DA4" w:rsidR="00C71CDB" w:rsidRDefault="00C71CDB" w:rsidP="00C71CDB">
      <w:r>
        <w:t xml:space="preserve">EcoPack Solutions is part of the sustainable packaging sector in Europe, providing packaging products and solutions for small to </w:t>
      </w:r>
      <w:r w:rsidR="00322600">
        <w:t>medium-size</w:t>
      </w:r>
      <w:r>
        <w:t xml:space="preserve"> e-commerce companies. Competitive environment is defined by existing packaging manufacturers, packaging specialist sustainable-packaging suppliers, packaging distributors, and more and more digital purchasing channels. Price is not the only factor in competition - material performance, regulatory compliance, sustainability, product availability, customisation and purchasing convenience are all important.</w:t>
      </w:r>
    </w:p>
    <w:p w14:paraId="3A5F8712" w14:textId="77777777" w:rsidR="00C71CDB" w:rsidRDefault="00C71CDB" w:rsidP="00C71CDB">
      <w:r>
        <w:t>Porter's Five Forces and PESTLE analysis are used to evaluate the competitive structure and external factors. Caution should be used when interpreting competitor information, since it is usually company-wide and not packaging-specific, and thus should not be interpreted as a market-share figure.</w:t>
      </w:r>
    </w:p>
    <w:p w14:paraId="7DCD8791" w14:textId="77777777" w:rsidR="00C71CDB" w:rsidRDefault="00C71CDB" w:rsidP="00C71CDB">
      <w:pPr>
        <w:pStyle w:val="Heading2"/>
        <w:keepNext w:val="0"/>
        <w:keepLines w:val="0"/>
        <w:rPr>
          <w:b w:val="0"/>
          <w:bCs w:val="0"/>
        </w:rPr>
      </w:pPr>
      <w:bookmarkStart w:id="85" w:name="_d3p9jf818rkt" w:colFirst="0" w:colLast="0"/>
      <w:bookmarkStart w:id="86" w:name="_Toc241008239"/>
      <w:bookmarkEnd w:id="85"/>
      <w:r>
        <w:t>6.2 Key Success Factors</w:t>
      </w:r>
      <w:bookmarkEnd w:id="86"/>
    </w:p>
    <w:p w14:paraId="50D6B132" w14:textId="77777777" w:rsidR="00C71CDB" w:rsidRDefault="00C71CDB" w:rsidP="00C71CDB">
      <w:r>
        <w:t>There are a number of factors to be considered to be successful for competitive sustainable packaging. First, it's essential that the price is competitive since packaging is an ongoing operating expense for ecommerce companies. Secondly, product functionality is paramount – sustainable packaging should still deliver adequate protection of the product, strength and appropriate size during fulfilment and delivery.</w:t>
      </w:r>
    </w:p>
    <w:p w14:paraId="5758BE2E" w14:textId="77777777" w:rsidR="00C71CDB" w:rsidRDefault="00C71CDB" w:rsidP="00C71CDB">
      <w:r>
        <w:t>Thirdly, regulatory compliance is gaining importance. The PPWR lays the groundwork for requirements on recyclability, recycled materials, labelling, unnecessary packaging and reuse. Harmonised packaging labelling will help to sort packs from 2028, and several measures for waste reduction and circularity will come into effect from 2030 (Europa, 2025).</w:t>
      </w:r>
    </w:p>
    <w:p w14:paraId="0284BD96" w14:textId="77777777" w:rsidR="00C71CDB" w:rsidRDefault="00C71CDB" w:rsidP="00C71CDB">
      <w:r>
        <w:t xml:space="preserve">Fourthly, sustainability credibility is becoming a competitive factor. There are already measurable sustainability capabilities being invested in by large suppliers. As an example, Mondi stated that 88% of its packaging and paper revenue in 2025 was from products that are reusable, recyclable or compostable, whereas 74% of the revenue was from such products in 2020 (Mondigroup, 2025). </w:t>
      </w:r>
      <w:r>
        <w:lastRenderedPageBreak/>
        <w:t>Also it said that 100 per cent of its corrugated packaging portfolio was recyclable or compostable; it has evaluated 1,250 products through life-cycle based tools.</w:t>
      </w:r>
    </w:p>
    <w:p w14:paraId="3969D2EC" w14:textId="77777777" w:rsidR="00C71CDB" w:rsidRDefault="00C71CDB" w:rsidP="00C71CDB">
      <w:pPr>
        <w:jc w:val="center"/>
      </w:pPr>
      <w:r>
        <w:rPr>
          <w:noProof/>
        </w:rPr>
        <w:drawing>
          <wp:inline distT="114300" distB="114300" distL="114300" distR="114300" wp14:anchorId="3AE91AA2" wp14:editId="1BAF8668">
            <wp:extent cx="5943600" cy="3530600"/>
            <wp:effectExtent l="0" t="0" r="0" b="0"/>
            <wp:docPr id="6"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6"/>
                    <a:srcRect/>
                    <a:stretch>
                      <a:fillRect/>
                    </a:stretch>
                  </pic:blipFill>
                  <pic:spPr>
                    <a:xfrm>
                      <a:off x="0" y="0"/>
                      <a:ext cx="5943600" cy="3530600"/>
                    </a:xfrm>
                    <a:prstGeom prst="rect">
                      <a:avLst/>
                    </a:prstGeom>
                    <a:ln/>
                  </pic:spPr>
                </pic:pic>
              </a:graphicData>
            </a:graphic>
          </wp:inline>
        </w:drawing>
      </w:r>
    </w:p>
    <w:p w14:paraId="2BCD80C1" w14:textId="53FE2617" w:rsidR="00C71CDB" w:rsidRDefault="00C71CDB" w:rsidP="004503E7">
      <w:pPr>
        <w:pStyle w:val="Heading5"/>
      </w:pPr>
      <w:bookmarkStart w:id="87" w:name="_Toc241007424"/>
      <w:r>
        <w:t>Figure</w:t>
      </w:r>
      <w:r w:rsidR="00322600">
        <w:t xml:space="preserve"> 8</w:t>
      </w:r>
      <w:r>
        <w:t>: “Mondi sustainable action”</w:t>
      </w:r>
      <w:bookmarkEnd w:id="87"/>
    </w:p>
    <w:p w14:paraId="05D12E81" w14:textId="77777777" w:rsidR="00C71CDB" w:rsidRDefault="00C71CDB" w:rsidP="00C71CDB">
      <w:pPr>
        <w:jc w:val="center"/>
      </w:pPr>
      <w:r>
        <w:t>(Source: Mondigroup, 2025)</w:t>
      </w:r>
    </w:p>
    <w:p w14:paraId="44F1BBCB" w14:textId="77777777" w:rsidR="00C71CDB" w:rsidRDefault="00C71CDB" w:rsidP="00C71CDB">
      <w:r>
        <w:t>Last but not least, digital convenience and access for SMEs can set EcoPack Solutions apart. The share of EU enterprises making e-sales in 2024 was 23.59% compared with 18.93% in 2014, according to Eurostat. This proportion was, however, only 21.38% in the case of small enterprises and 31.67% of medium sized enterprises. This is an indication for the businesses already running their business online that digitally oriented packaging procurement can help them.</w:t>
      </w:r>
    </w:p>
    <w:p w14:paraId="08BE25AE" w14:textId="77777777" w:rsidR="00C71CDB" w:rsidRDefault="00C71CDB" w:rsidP="00C71CDB">
      <w:pPr>
        <w:pStyle w:val="Heading2"/>
        <w:keepNext w:val="0"/>
        <w:keepLines w:val="0"/>
      </w:pPr>
      <w:bookmarkStart w:id="88" w:name="_h8ohaca2amqb" w:colFirst="0" w:colLast="0"/>
      <w:bookmarkStart w:id="89" w:name="_Toc241008240"/>
      <w:bookmarkEnd w:id="88"/>
      <w:r>
        <w:t>6.3 Main Competitors and Positioning</w:t>
      </w:r>
      <w:bookmarkEnd w:id="89"/>
    </w:p>
    <w:tbl>
      <w:tblPr>
        <w:tblW w:w="9359" w:type="dxa"/>
        <w:tblBorders>
          <w:top w:val="nil"/>
          <w:left w:val="nil"/>
          <w:bottom w:val="nil"/>
          <w:right w:val="nil"/>
          <w:insideH w:val="nil"/>
          <w:insideV w:val="nil"/>
        </w:tblBorders>
        <w:shd w:val="clear" w:color="auto" w:fill="EAF1DD" w:themeFill="accent3" w:themeFillTint="33"/>
        <w:tblLayout w:type="fixed"/>
        <w:tblLook w:val="0600" w:firstRow="0" w:lastRow="0" w:firstColumn="0" w:lastColumn="0" w:noHBand="1" w:noVBand="1"/>
      </w:tblPr>
      <w:tblGrid>
        <w:gridCol w:w="2472"/>
        <w:gridCol w:w="4042"/>
        <w:gridCol w:w="2845"/>
      </w:tblGrid>
      <w:tr w:rsidR="00C71CDB" w14:paraId="117E43BC" w14:textId="77777777" w:rsidTr="00322600">
        <w:trPr>
          <w:trHeight w:val="785"/>
        </w:trPr>
        <w:tc>
          <w:tcPr>
            <w:tcW w:w="2472" w:type="dxa"/>
            <w:tcBorders>
              <w:top w:val="single" w:sz="4" w:space="0" w:color="000000"/>
              <w:left w:val="single" w:sz="4" w:space="0" w:color="000000"/>
              <w:bottom w:val="single" w:sz="4" w:space="0" w:color="000000"/>
              <w:right w:val="single" w:sz="4" w:space="0" w:color="000000"/>
            </w:tcBorders>
            <w:shd w:val="clear" w:color="auto" w:fill="EAF1DD" w:themeFill="accent3" w:themeFillTint="33"/>
            <w:tcMar>
              <w:top w:w="100" w:type="dxa"/>
              <w:left w:w="100" w:type="dxa"/>
              <w:bottom w:w="100" w:type="dxa"/>
              <w:right w:w="100" w:type="dxa"/>
            </w:tcMar>
          </w:tcPr>
          <w:p w14:paraId="01B829E7" w14:textId="00004959" w:rsidR="00C71CDB" w:rsidRDefault="00322600" w:rsidP="00DA7C87">
            <w:r>
              <w:rPr>
                <w:b/>
                <w:bCs/>
              </w:rPr>
              <w:t>“</w:t>
            </w:r>
            <w:r w:rsidR="00C71CDB">
              <w:rPr>
                <w:b/>
                <w:bCs/>
              </w:rPr>
              <w:t>Competitor</w:t>
            </w:r>
          </w:p>
        </w:tc>
        <w:tc>
          <w:tcPr>
            <w:tcW w:w="4042" w:type="dxa"/>
            <w:tcBorders>
              <w:top w:val="single" w:sz="4" w:space="0" w:color="000000"/>
              <w:left w:val="single" w:sz="4" w:space="0" w:color="000000"/>
              <w:bottom w:val="single" w:sz="4" w:space="0" w:color="000000"/>
              <w:right w:val="single" w:sz="4" w:space="0" w:color="000000"/>
            </w:tcBorders>
            <w:shd w:val="clear" w:color="auto" w:fill="EAF1DD" w:themeFill="accent3" w:themeFillTint="33"/>
            <w:tcMar>
              <w:top w:w="100" w:type="dxa"/>
              <w:left w:w="100" w:type="dxa"/>
              <w:bottom w:w="100" w:type="dxa"/>
              <w:right w:w="100" w:type="dxa"/>
            </w:tcMar>
          </w:tcPr>
          <w:p w14:paraId="112C4469" w14:textId="48972187" w:rsidR="00C71CDB" w:rsidRDefault="00322600" w:rsidP="00DA7C87">
            <w:r>
              <w:rPr>
                <w:b/>
                <w:bCs/>
              </w:rPr>
              <w:t>Analysis</w:t>
            </w:r>
          </w:p>
        </w:tc>
        <w:tc>
          <w:tcPr>
            <w:tcW w:w="2845" w:type="dxa"/>
            <w:tcBorders>
              <w:top w:val="single" w:sz="4" w:space="0" w:color="000000"/>
              <w:left w:val="single" w:sz="4" w:space="0" w:color="000000"/>
              <w:bottom w:val="single" w:sz="4" w:space="0" w:color="000000"/>
              <w:right w:val="single" w:sz="4" w:space="0" w:color="000000"/>
            </w:tcBorders>
            <w:shd w:val="clear" w:color="auto" w:fill="EAF1DD" w:themeFill="accent3" w:themeFillTint="33"/>
            <w:tcMar>
              <w:top w:w="100" w:type="dxa"/>
              <w:left w:w="100" w:type="dxa"/>
              <w:bottom w:w="100" w:type="dxa"/>
              <w:right w:w="100" w:type="dxa"/>
            </w:tcMar>
          </w:tcPr>
          <w:p w14:paraId="6A491A2E" w14:textId="77777777" w:rsidR="00C71CDB" w:rsidRDefault="00C71CDB" w:rsidP="00DA7C87">
            <w:r>
              <w:rPr>
                <w:b/>
                <w:bCs/>
              </w:rPr>
              <w:t>Competitive relevance to EcoPack</w:t>
            </w:r>
          </w:p>
        </w:tc>
      </w:tr>
      <w:tr w:rsidR="00C71CDB" w14:paraId="5EDA0B46" w14:textId="77777777" w:rsidTr="00322600">
        <w:trPr>
          <w:trHeight w:val="1340"/>
        </w:trPr>
        <w:tc>
          <w:tcPr>
            <w:tcW w:w="2472" w:type="dxa"/>
            <w:tcBorders>
              <w:top w:val="single" w:sz="4" w:space="0" w:color="000000"/>
              <w:left w:val="single" w:sz="4" w:space="0" w:color="000000"/>
              <w:bottom w:val="single" w:sz="4" w:space="0" w:color="000000"/>
              <w:right w:val="single" w:sz="4" w:space="0" w:color="000000"/>
            </w:tcBorders>
            <w:shd w:val="clear" w:color="auto" w:fill="EAF1DD" w:themeFill="accent3" w:themeFillTint="33"/>
            <w:tcMar>
              <w:top w:w="100" w:type="dxa"/>
              <w:left w:w="100" w:type="dxa"/>
              <w:bottom w:w="100" w:type="dxa"/>
              <w:right w:w="100" w:type="dxa"/>
            </w:tcMar>
          </w:tcPr>
          <w:p w14:paraId="33F941CA" w14:textId="77777777" w:rsidR="00C71CDB" w:rsidRDefault="00C71CDB" w:rsidP="00DA7C87">
            <w:r>
              <w:rPr>
                <w:b/>
                <w:bCs/>
              </w:rPr>
              <w:lastRenderedPageBreak/>
              <w:t>Smurfit Westrock</w:t>
            </w:r>
          </w:p>
        </w:tc>
        <w:tc>
          <w:tcPr>
            <w:tcW w:w="4042" w:type="dxa"/>
            <w:tcBorders>
              <w:top w:val="single" w:sz="4" w:space="0" w:color="000000"/>
              <w:left w:val="single" w:sz="4" w:space="0" w:color="000000"/>
              <w:bottom w:val="single" w:sz="4" w:space="0" w:color="000000"/>
              <w:right w:val="single" w:sz="4" w:space="0" w:color="000000"/>
            </w:tcBorders>
            <w:shd w:val="clear" w:color="auto" w:fill="EAF1DD" w:themeFill="accent3" w:themeFillTint="33"/>
            <w:tcMar>
              <w:top w:w="100" w:type="dxa"/>
              <w:left w:w="100" w:type="dxa"/>
              <w:bottom w:w="100" w:type="dxa"/>
              <w:right w:w="100" w:type="dxa"/>
            </w:tcMar>
          </w:tcPr>
          <w:p w14:paraId="7C5DA896" w14:textId="77777777" w:rsidR="00C71CDB" w:rsidRDefault="00C71CDB" w:rsidP="00DA7C87">
            <w:r>
              <w:t xml:space="preserve">After the WestRock acquisition (Smurfitwestrock, 2025), net sales are expected to reach 2025 million USD. </w:t>
            </w:r>
          </w:p>
        </w:tc>
        <w:tc>
          <w:tcPr>
            <w:tcW w:w="2845" w:type="dxa"/>
            <w:tcBorders>
              <w:top w:val="single" w:sz="4" w:space="0" w:color="000000"/>
              <w:left w:val="single" w:sz="4" w:space="0" w:color="000000"/>
              <w:bottom w:val="single" w:sz="4" w:space="0" w:color="000000"/>
              <w:right w:val="single" w:sz="4" w:space="0" w:color="000000"/>
            </w:tcBorders>
            <w:shd w:val="clear" w:color="auto" w:fill="EAF1DD" w:themeFill="accent3" w:themeFillTint="33"/>
            <w:tcMar>
              <w:top w:w="100" w:type="dxa"/>
              <w:left w:w="100" w:type="dxa"/>
              <w:bottom w:w="100" w:type="dxa"/>
              <w:right w:w="100" w:type="dxa"/>
            </w:tcMar>
          </w:tcPr>
          <w:p w14:paraId="30198A43" w14:textId="77777777" w:rsidR="00C71CDB" w:rsidRDefault="00C71CDB" w:rsidP="00DA7C87">
            <w:r>
              <w:t>Major scale, manufacturing capacity and wide range of packaging portfolio.</w:t>
            </w:r>
          </w:p>
        </w:tc>
      </w:tr>
      <w:tr w:rsidR="00C71CDB" w14:paraId="384BF137" w14:textId="77777777" w:rsidTr="00322600">
        <w:trPr>
          <w:trHeight w:val="1340"/>
        </w:trPr>
        <w:tc>
          <w:tcPr>
            <w:tcW w:w="2472" w:type="dxa"/>
            <w:tcBorders>
              <w:top w:val="single" w:sz="4" w:space="0" w:color="000000"/>
              <w:left w:val="single" w:sz="4" w:space="0" w:color="000000"/>
              <w:bottom w:val="single" w:sz="4" w:space="0" w:color="000000"/>
              <w:right w:val="single" w:sz="4" w:space="0" w:color="000000"/>
            </w:tcBorders>
            <w:shd w:val="clear" w:color="auto" w:fill="EAF1DD" w:themeFill="accent3" w:themeFillTint="33"/>
            <w:tcMar>
              <w:top w:w="100" w:type="dxa"/>
              <w:left w:w="100" w:type="dxa"/>
              <w:bottom w:w="100" w:type="dxa"/>
              <w:right w:w="100" w:type="dxa"/>
            </w:tcMar>
          </w:tcPr>
          <w:p w14:paraId="6DEF5B96" w14:textId="77777777" w:rsidR="00C71CDB" w:rsidRDefault="00C71CDB" w:rsidP="00DA7C87">
            <w:r>
              <w:rPr>
                <w:b/>
                <w:bCs/>
              </w:rPr>
              <w:t>Mondi</w:t>
            </w:r>
          </w:p>
        </w:tc>
        <w:tc>
          <w:tcPr>
            <w:tcW w:w="4042" w:type="dxa"/>
            <w:tcBorders>
              <w:top w:val="single" w:sz="4" w:space="0" w:color="000000"/>
              <w:left w:val="single" w:sz="4" w:space="0" w:color="000000"/>
              <w:bottom w:val="single" w:sz="4" w:space="0" w:color="000000"/>
              <w:right w:val="single" w:sz="4" w:space="0" w:color="000000"/>
            </w:tcBorders>
            <w:shd w:val="clear" w:color="auto" w:fill="EAF1DD" w:themeFill="accent3" w:themeFillTint="33"/>
            <w:tcMar>
              <w:top w:w="100" w:type="dxa"/>
              <w:left w:w="100" w:type="dxa"/>
              <w:bottom w:w="100" w:type="dxa"/>
              <w:right w:w="100" w:type="dxa"/>
            </w:tcMar>
          </w:tcPr>
          <w:p w14:paraId="12997D8F" w14:textId="77777777" w:rsidR="00C71CDB" w:rsidRDefault="00C71CDB" w:rsidP="00DA7C87">
            <w:r>
              <w:t>€1.001 billion underlying EBITDA in 2025; 88% of packaging and paper revenue will come from reusable, recyclable or compostable products</w:t>
            </w:r>
          </w:p>
        </w:tc>
        <w:tc>
          <w:tcPr>
            <w:tcW w:w="2845" w:type="dxa"/>
            <w:tcBorders>
              <w:top w:val="single" w:sz="4" w:space="0" w:color="000000"/>
              <w:left w:val="single" w:sz="4" w:space="0" w:color="000000"/>
              <w:bottom w:val="single" w:sz="4" w:space="0" w:color="000000"/>
              <w:right w:val="single" w:sz="4" w:space="0" w:color="000000"/>
            </w:tcBorders>
            <w:shd w:val="clear" w:color="auto" w:fill="EAF1DD" w:themeFill="accent3" w:themeFillTint="33"/>
            <w:tcMar>
              <w:top w:w="100" w:type="dxa"/>
              <w:left w:w="100" w:type="dxa"/>
              <w:bottom w:w="100" w:type="dxa"/>
              <w:right w:w="100" w:type="dxa"/>
            </w:tcMar>
          </w:tcPr>
          <w:p w14:paraId="2572985D" w14:textId="77777777" w:rsidR="00C71CDB" w:rsidRDefault="00C71CDB" w:rsidP="00DA7C87">
            <w:r>
              <w:t>The manufacturing size and innovation as well as the strong sustainability attributes.</w:t>
            </w:r>
          </w:p>
        </w:tc>
      </w:tr>
      <w:tr w:rsidR="00C71CDB" w14:paraId="0370C484" w14:textId="77777777" w:rsidTr="00322600">
        <w:trPr>
          <w:trHeight w:val="1070"/>
        </w:trPr>
        <w:tc>
          <w:tcPr>
            <w:tcW w:w="2472" w:type="dxa"/>
            <w:tcBorders>
              <w:top w:val="single" w:sz="4" w:space="0" w:color="000000"/>
              <w:left w:val="single" w:sz="4" w:space="0" w:color="000000"/>
              <w:bottom w:val="single" w:sz="4" w:space="0" w:color="000000"/>
              <w:right w:val="single" w:sz="4" w:space="0" w:color="000000"/>
            </w:tcBorders>
            <w:shd w:val="clear" w:color="auto" w:fill="EAF1DD" w:themeFill="accent3" w:themeFillTint="33"/>
            <w:tcMar>
              <w:top w:w="100" w:type="dxa"/>
              <w:left w:w="100" w:type="dxa"/>
              <w:bottom w:w="100" w:type="dxa"/>
              <w:right w:w="100" w:type="dxa"/>
            </w:tcMar>
          </w:tcPr>
          <w:p w14:paraId="5471A51E" w14:textId="77777777" w:rsidR="00C71CDB" w:rsidRDefault="00C71CDB" w:rsidP="00DA7C87">
            <w:r>
              <w:rPr>
                <w:b/>
                <w:bCs/>
              </w:rPr>
              <w:t>DS Smith/International Paper</w:t>
            </w:r>
          </w:p>
        </w:tc>
        <w:tc>
          <w:tcPr>
            <w:tcW w:w="4042" w:type="dxa"/>
            <w:tcBorders>
              <w:top w:val="single" w:sz="4" w:space="0" w:color="000000"/>
              <w:left w:val="single" w:sz="4" w:space="0" w:color="000000"/>
              <w:bottom w:val="single" w:sz="4" w:space="0" w:color="000000"/>
              <w:right w:val="single" w:sz="4" w:space="0" w:color="000000"/>
            </w:tcBorders>
            <w:shd w:val="clear" w:color="auto" w:fill="EAF1DD" w:themeFill="accent3" w:themeFillTint="33"/>
            <w:tcMar>
              <w:top w:w="100" w:type="dxa"/>
              <w:left w:w="100" w:type="dxa"/>
              <w:bottom w:w="100" w:type="dxa"/>
              <w:right w:w="100" w:type="dxa"/>
            </w:tcMar>
          </w:tcPr>
          <w:p w14:paraId="26D85D72" w14:textId="77777777" w:rsidR="00C71CDB" w:rsidRDefault="00C71CDB" w:rsidP="00DA7C87">
            <w:r>
              <w:t xml:space="preserve">Merged in January 2025 to form a big packaging company on a global level (Dssmith, 2025). </w:t>
            </w:r>
          </w:p>
        </w:tc>
        <w:tc>
          <w:tcPr>
            <w:tcW w:w="2845" w:type="dxa"/>
            <w:tcBorders>
              <w:top w:val="single" w:sz="4" w:space="0" w:color="000000"/>
              <w:left w:val="single" w:sz="4" w:space="0" w:color="000000"/>
              <w:bottom w:val="single" w:sz="4" w:space="0" w:color="000000"/>
              <w:right w:val="single" w:sz="4" w:space="0" w:color="000000"/>
            </w:tcBorders>
            <w:shd w:val="clear" w:color="auto" w:fill="EAF1DD" w:themeFill="accent3" w:themeFillTint="33"/>
            <w:tcMar>
              <w:top w:w="100" w:type="dxa"/>
              <w:left w:w="100" w:type="dxa"/>
              <w:bottom w:w="100" w:type="dxa"/>
              <w:right w:w="100" w:type="dxa"/>
            </w:tcMar>
          </w:tcPr>
          <w:p w14:paraId="5585A751" w14:textId="77777777" w:rsidR="00C71CDB" w:rsidRDefault="00C71CDB" w:rsidP="00DA7C87">
            <w:r>
              <w:t>Good fibre-based packaging skills and e-commerce experience</w:t>
            </w:r>
          </w:p>
        </w:tc>
      </w:tr>
      <w:tr w:rsidR="00C71CDB" w14:paraId="105E3467" w14:textId="77777777" w:rsidTr="00322600">
        <w:trPr>
          <w:trHeight w:val="1070"/>
        </w:trPr>
        <w:tc>
          <w:tcPr>
            <w:tcW w:w="2472" w:type="dxa"/>
            <w:tcBorders>
              <w:top w:val="single" w:sz="4" w:space="0" w:color="000000"/>
              <w:left w:val="single" w:sz="4" w:space="0" w:color="000000"/>
              <w:bottom w:val="single" w:sz="4" w:space="0" w:color="000000"/>
              <w:right w:val="single" w:sz="4" w:space="0" w:color="000000"/>
            </w:tcBorders>
            <w:shd w:val="clear" w:color="auto" w:fill="EAF1DD" w:themeFill="accent3" w:themeFillTint="33"/>
            <w:tcMar>
              <w:top w:w="100" w:type="dxa"/>
              <w:left w:w="100" w:type="dxa"/>
              <w:bottom w:w="100" w:type="dxa"/>
              <w:right w:w="100" w:type="dxa"/>
            </w:tcMar>
          </w:tcPr>
          <w:p w14:paraId="182FB99F" w14:textId="77777777" w:rsidR="00C71CDB" w:rsidRDefault="00C71CDB" w:rsidP="00DA7C87">
            <w:r>
              <w:rPr>
                <w:b/>
                <w:bCs/>
              </w:rPr>
              <w:t>RAJA</w:t>
            </w:r>
          </w:p>
        </w:tc>
        <w:tc>
          <w:tcPr>
            <w:tcW w:w="4042" w:type="dxa"/>
            <w:tcBorders>
              <w:top w:val="single" w:sz="4" w:space="0" w:color="000000"/>
              <w:left w:val="single" w:sz="4" w:space="0" w:color="000000"/>
              <w:bottom w:val="single" w:sz="4" w:space="0" w:color="000000"/>
              <w:right w:val="single" w:sz="4" w:space="0" w:color="000000"/>
            </w:tcBorders>
            <w:shd w:val="clear" w:color="auto" w:fill="EAF1DD" w:themeFill="accent3" w:themeFillTint="33"/>
            <w:tcMar>
              <w:top w:w="100" w:type="dxa"/>
              <w:left w:w="100" w:type="dxa"/>
              <w:bottom w:w="100" w:type="dxa"/>
              <w:right w:w="100" w:type="dxa"/>
            </w:tcMar>
          </w:tcPr>
          <w:p w14:paraId="79F0CF0B" w14:textId="77777777" w:rsidR="00C71CDB" w:rsidRDefault="00C71CDB" w:rsidP="00DA7C87">
            <w:r>
              <w:t>Packaging procurement across Europe, with a focus on e-commerce.</w:t>
            </w:r>
          </w:p>
        </w:tc>
        <w:tc>
          <w:tcPr>
            <w:tcW w:w="2845" w:type="dxa"/>
            <w:tcBorders>
              <w:top w:val="single" w:sz="4" w:space="0" w:color="000000"/>
              <w:left w:val="single" w:sz="4" w:space="0" w:color="000000"/>
              <w:bottom w:val="single" w:sz="4" w:space="0" w:color="000000"/>
              <w:right w:val="single" w:sz="4" w:space="0" w:color="000000"/>
            </w:tcBorders>
            <w:shd w:val="clear" w:color="auto" w:fill="EAF1DD" w:themeFill="accent3" w:themeFillTint="33"/>
            <w:tcMar>
              <w:top w:w="100" w:type="dxa"/>
              <w:left w:w="100" w:type="dxa"/>
              <w:bottom w:w="100" w:type="dxa"/>
              <w:right w:w="100" w:type="dxa"/>
            </w:tcMar>
          </w:tcPr>
          <w:p w14:paraId="2643C160" w14:textId="77777777" w:rsidR="00C71CDB" w:rsidRDefault="00C71CDB" w:rsidP="00DA7C87">
            <w:r>
              <w:t>Excellent distribution and online buying proposition.</w:t>
            </w:r>
          </w:p>
        </w:tc>
      </w:tr>
      <w:tr w:rsidR="00C71CDB" w14:paraId="48F13857" w14:textId="77777777" w:rsidTr="00322600">
        <w:trPr>
          <w:trHeight w:val="1340"/>
        </w:trPr>
        <w:tc>
          <w:tcPr>
            <w:tcW w:w="2472" w:type="dxa"/>
            <w:tcBorders>
              <w:top w:val="single" w:sz="4" w:space="0" w:color="000000"/>
              <w:left w:val="single" w:sz="4" w:space="0" w:color="000000"/>
              <w:bottom w:val="single" w:sz="4" w:space="0" w:color="000000"/>
              <w:right w:val="single" w:sz="4" w:space="0" w:color="000000"/>
            </w:tcBorders>
            <w:shd w:val="clear" w:color="auto" w:fill="EAF1DD" w:themeFill="accent3" w:themeFillTint="33"/>
            <w:tcMar>
              <w:top w:w="100" w:type="dxa"/>
              <w:left w:w="100" w:type="dxa"/>
              <w:bottom w:w="100" w:type="dxa"/>
              <w:right w:w="100" w:type="dxa"/>
            </w:tcMar>
          </w:tcPr>
          <w:p w14:paraId="090D138F" w14:textId="77777777" w:rsidR="00C71CDB" w:rsidRDefault="00C71CDB" w:rsidP="00DA7C87">
            <w:r>
              <w:rPr>
                <w:b/>
                <w:bCs/>
              </w:rPr>
              <w:t>Packhelp</w:t>
            </w:r>
          </w:p>
        </w:tc>
        <w:tc>
          <w:tcPr>
            <w:tcW w:w="4042" w:type="dxa"/>
            <w:tcBorders>
              <w:top w:val="single" w:sz="4" w:space="0" w:color="000000"/>
              <w:left w:val="single" w:sz="4" w:space="0" w:color="000000"/>
              <w:bottom w:val="single" w:sz="4" w:space="0" w:color="000000"/>
              <w:right w:val="single" w:sz="4" w:space="0" w:color="000000"/>
            </w:tcBorders>
            <w:shd w:val="clear" w:color="auto" w:fill="EAF1DD" w:themeFill="accent3" w:themeFillTint="33"/>
            <w:tcMar>
              <w:top w:w="100" w:type="dxa"/>
              <w:left w:w="100" w:type="dxa"/>
              <w:bottom w:w="100" w:type="dxa"/>
              <w:right w:w="100" w:type="dxa"/>
            </w:tcMar>
          </w:tcPr>
          <w:p w14:paraId="55B41B02" w14:textId="77777777" w:rsidR="00C71CDB" w:rsidRDefault="00C71CDB" w:rsidP="00DA7C87">
            <w:r>
              <w:t>A digital-first packaging procurement and customisation offer.</w:t>
            </w:r>
          </w:p>
        </w:tc>
        <w:tc>
          <w:tcPr>
            <w:tcW w:w="2845" w:type="dxa"/>
            <w:tcBorders>
              <w:top w:val="single" w:sz="4" w:space="0" w:color="000000"/>
              <w:left w:val="single" w:sz="4" w:space="0" w:color="000000"/>
              <w:bottom w:val="single" w:sz="4" w:space="0" w:color="000000"/>
              <w:right w:val="single" w:sz="4" w:space="0" w:color="000000"/>
            </w:tcBorders>
            <w:shd w:val="clear" w:color="auto" w:fill="EAF1DD" w:themeFill="accent3" w:themeFillTint="33"/>
            <w:tcMar>
              <w:top w:w="100" w:type="dxa"/>
              <w:left w:w="100" w:type="dxa"/>
              <w:bottom w:w="100" w:type="dxa"/>
              <w:right w:w="100" w:type="dxa"/>
            </w:tcMar>
          </w:tcPr>
          <w:p w14:paraId="797CEF32" w14:textId="3A71BA68" w:rsidR="00C71CDB" w:rsidRDefault="00C71CDB" w:rsidP="00DA7C87">
            <w:r>
              <w:t>The SME-specific digital packaging benchmark that is directly applicable.</w:t>
            </w:r>
            <w:r w:rsidR="00322600">
              <w:t>”</w:t>
            </w:r>
          </w:p>
        </w:tc>
      </w:tr>
    </w:tbl>
    <w:p w14:paraId="7B30E8EA" w14:textId="3CDD4636" w:rsidR="00FB7622" w:rsidRPr="00FB7622" w:rsidRDefault="00FB7622" w:rsidP="00FB7622">
      <w:pPr>
        <w:pStyle w:val="Heading6"/>
      </w:pPr>
      <w:bookmarkStart w:id="90" w:name="_8nl2ohjwl1qf" w:colFirst="0" w:colLast="0"/>
      <w:bookmarkStart w:id="91" w:name="_Toc241008857"/>
      <w:bookmarkEnd w:id="90"/>
      <w:r w:rsidRPr="00FB7622">
        <w:t>Table 1: “Competitors and positioning”</w:t>
      </w:r>
      <w:bookmarkEnd w:id="91"/>
    </w:p>
    <w:p w14:paraId="6A942395" w14:textId="13D8F678" w:rsidR="00FB7622" w:rsidRDefault="00FB7622" w:rsidP="00FB7622">
      <w:pPr>
        <w:jc w:val="center"/>
      </w:pPr>
      <w:r>
        <w:t>(Source: Created by Author)</w:t>
      </w:r>
    </w:p>
    <w:p w14:paraId="690B4016" w14:textId="2ADCFF0A" w:rsidR="00C71CDB" w:rsidRDefault="00C71CDB" w:rsidP="00C71CDB">
      <w:pPr>
        <w:pStyle w:val="Heading2"/>
        <w:keepNext w:val="0"/>
        <w:keepLines w:val="0"/>
        <w:rPr>
          <w:b w:val="0"/>
          <w:bCs w:val="0"/>
        </w:rPr>
      </w:pPr>
      <w:bookmarkStart w:id="92" w:name="_Toc241008241"/>
      <w:r>
        <w:t>6.4 Porter’s Five Forces</w:t>
      </w:r>
      <w:bookmarkEnd w:id="92"/>
    </w:p>
    <w:tbl>
      <w:tblPr>
        <w:tblW w:w="9360" w:type="dxa"/>
        <w:tblBorders>
          <w:top w:val="nil"/>
          <w:left w:val="nil"/>
          <w:bottom w:val="nil"/>
          <w:right w:val="nil"/>
          <w:insideH w:val="nil"/>
          <w:insideV w:val="nil"/>
        </w:tblBorders>
        <w:tblLayout w:type="fixed"/>
        <w:tblLook w:val="0600" w:firstRow="0" w:lastRow="0" w:firstColumn="0" w:lastColumn="0" w:noHBand="1" w:noVBand="1"/>
      </w:tblPr>
      <w:tblGrid>
        <w:gridCol w:w="1649"/>
        <w:gridCol w:w="6211"/>
        <w:gridCol w:w="1500"/>
      </w:tblGrid>
      <w:tr w:rsidR="00C71CDB" w14:paraId="59A1BD84" w14:textId="77777777" w:rsidTr="00FB7622">
        <w:trPr>
          <w:trHeight w:val="515"/>
        </w:trPr>
        <w:tc>
          <w:tcPr>
            <w:tcW w:w="1649"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FA68E11" w14:textId="68C04AE6" w:rsidR="00C71CDB" w:rsidRDefault="00322600" w:rsidP="00DA7C87">
            <w:r>
              <w:rPr>
                <w:b/>
                <w:bCs/>
              </w:rPr>
              <w:t>“</w:t>
            </w:r>
            <w:r w:rsidR="00C71CDB">
              <w:rPr>
                <w:b/>
                <w:bCs/>
              </w:rPr>
              <w:t>Force</w:t>
            </w:r>
          </w:p>
        </w:tc>
        <w:tc>
          <w:tcPr>
            <w:tcW w:w="6211"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3A5089A" w14:textId="77777777" w:rsidR="00C71CDB" w:rsidRDefault="00C71CDB" w:rsidP="00DA7C87">
            <w:r>
              <w:rPr>
                <w:b/>
                <w:bCs/>
              </w:rPr>
              <w:t>Evidence and analysis</w:t>
            </w:r>
          </w:p>
        </w:tc>
        <w:tc>
          <w:tcPr>
            <w:tcW w:w="150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D47E179" w14:textId="77777777" w:rsidR="00C71CDB" w:rsidRDefault="00C71CDB" w:rsidP="00DA7C87">
            <w:r>
              <w:rPr>
                <w:b/>
                <w:bCs/>
              </w:rPr>
              <w:t>Assessment</w:t>
            </w:r>
          </w:p>
        </w:tc>
      </w:tr>
      <w:tr w:rsidR="00C71CDB" w14:paraId="1FCB417E" w14:textId="77777777" w:rsidTr="00FB7622">
        <w:trPr>
          <w:trHeight w:val="1625"/>
        </w:trPr>
        <w:tc>
          <w:tcPr>
            <w:tcW w:w="1649"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CF053A3" w14:textId="77777777" w:rsidR="00C71CDB" w:rsidRDefault="00C71CDB" w:rsidP="00DA7C87">
            <w:r>
              <w:rPr>
                <w:b/>
                <w:bCs/>
              </w:rPr>
              <w:lastRenderedPageBreak/>
              <w:t>Competitive rivalry</w:t>
            </w:r>
          </w:p>
        </w:tc>
        <w:tc>
          <w:tcPr>
            <w:tcW w:w="6211"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AC55029" w14:textId="77777777" w:rsidR="00C71CDB" w:rsidRDefault="00C71CDB" w:rsidP="00DA7C87">
            <w:r>
              <w:t>Large companies have a high level of capacity for production and customer relationship. In 2025, Smurfit Westrock had net Sales of $7,580 million, while Mondi had underlying EBITDA of €1.001bn (Smurfitwestrock, 2025). Sustainability is also increasingly being integrated into the strategies of the competitors.</w:t>
            </w:r>
          </w:p>
        </w:tc>
        <w:tc>
          <w:tcPr>
            <w:tcW w:w="1500" w:type="dxa"/>
            <w:tcBorders>
              <w:top w:val="single" w:sz="4" w:space="0" w:color="000000"/>
              <w:left w:val="single" w:sz="4" w:space="0" w:color="000000"/>
              <w:bottom w:val="single" w:sz="4" w:space="0" w:color="000000"/>
              <w:right w:val="single" w:sz="4" w:space="0" w:color="000000"/>
            </w:tcBorders>
            <w:shd w:val="clear" w:color="auto" w:fill="FF0000"/>
            <w:tcMar>
              <w:top w:w="100" w:type="dxa"/>
              <w:left w:w="100" w:type="dxa"/>
              <w:bottom w:w="100" w:type="dxa"/>
              <w:right w:w="100" w:type="dxa"/>
            </w:tcMar>
          </w:tcPr>
          <w:p w14:paraId="1EA0F45C" w14:textId="77777777" w:rsidR="00C71CDB" w:rsidRDefault="00C71CDB" w:rsidP="00DA7C87">
            <w:r>
              <w:rPr>
                <w:b/>
                <w:bCs/>
              </w:rPr>
              <w:t>Strong</w:t>
            </w:r>
          </w:p>
        </w:tc>
      </w:tr>
      <w:tr w:rsidR="00C71CDB" w14:paraId="3274A9FC" w14:textId="77777777" w:rsidTr="00FB7622">
        <w:trPr>
          <w:trHeight w:val="1340"/>
        </w:trPr>
        <w:tc>
          <w:tcPr>
            <w:tcW w:w="1649"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39C50F8" w14:textId="77777777" w:rsidR="00C71CDB" w:rsidRDefault="00C71CDB" w:rsidP="00DA7C87">
            <w:r>
              <w:rPr>
                <w:b/>
                <w:bCs/>
              </w:rPr>
              <w:t>Threat of new entrants</w:t>
            </w:r>
          </w:p>
        </w:tc>
        <w:tc>
          <w:tcPr>
            <w:tcW w:w="6211"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EDB1DE6" w14:textId="77777777" w:rsidR="00C71CDB" w:rsidRDefault="00C71CDB" w:rsidP="00DA7C87">
            <w:r>
              <w:t>Digital commerce deifies the need for physical retail infrastructure, enabling specialist distribution models. Compliance with PPWR, sourcing arrangements, product testing, logistics and credibility are challenges to entry.</w:t>
            </w:r>
          </w:p>
        </w:tc>
        <w:tc>
          <w:tcPr>
            <w:tcW w:w="1500" w:type="dxa"/>
            <w:tcBorders>
              <w:top w:val="single" w:sz="4" w:space="0" w:color="000000"/>
              <w:left w:val="single" w:sz="4" w:space="0" w:color="000000"/>
              <w:bottom w:val="single" w:sz="4" w:space="0" w:color="000000"/>
              <w:right w:val="single" w:sz="4" w:space="0" w:color="000000"/>
            </w:tcBorders>
            <w:shd w:val="clear" w:color="auto" w:fill="FFFF00"/>
            <w:tcMar>
              <w:top w:w="100" w:type="dxa"/>
              <w:left w:w="100" w:type="dxa"/>
              <w:bottom w:w="100" w:type="dxa"/>
              <w:right w:w="100" w:type="dxa"/>
            </w:tcMar>
          </w:tcPr>
          <w:p w14:paraId="2716D84C" w14:textId="77777777" w:rsidR="00C71CDB" w:rsidRDefault="00C71CDB" w:rsidP="00DA7C87">
            <w:r>
              <w:rPr>
                <w:b/>
                <w:bCs/>
              </w:rPr>
              <w:t>Moderate</w:t>
            </w:r>
          </w:p>
        </w:tc>
      </w:tr>
      <w:tr w:rsidR="00C71CDB" w14:paraId="005CFF22" w14:textId="77777777" w:rsidTr="00FB7622">
        <w:trPr>
          <w:trHeight w:val="1895"/>
        </w:trPr>
        <w:tc>
          <w:tcPr>
            <w:tcW w:w="1649"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0AA023C" w14:textId="77777777" w:rsidR="00C71CDB" w:rsidRDefault="00C71CDB" w:rsidP="00DA7C87">
            <w:r>
              <w:rPr>
                <w:b/>
                <w:bCs/>
              </w:rPr>
              <w:t>Buyer power</w:t>
            </w:r>
          </w:p>
        </w:tc>
        <w:tc>
          <w:tcPr>
            <w:tcW w:w="6211"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524A1E5" w14:textId="77777777" w:rsidR="00C71CDB" w:rsidRDefault="00C71CDB" w:rsidP="00DA7C87">
            <w:r>
              <w:t>Recurring packaging inputs are purchased in a price sensitive manner by ecommerce SMEs. In 2024, Eurostat reported that e-sales occurred for 21.38% of small businesses and 31.67% of medium businesses, leaving a large number of customers active online. Customers have the option to compare suppliers and change for standardised packaging products.</w:t>
            </w:r>
          </w:p>
        </w:tc>
        <w:tc>
          <w:tcPr>
            <w:tcW w:w="1500" w:type="dxa"/>
            <w:tcBorders>
              <w:top w:val="single" w:sz="4" w:space="0" w:color="000000"/>
              <w:left w:val="single" w:sz="4" w:space="0" w:color="000000"/>
              <w:bottom w:val="single" w:sz="4" w:space="0" w:color="000000"/>
              <w:right w:val="single" w:sz="4" w:space="0" w:color="000000"/>
            </w:tcBorders>
            <w:shd w:val="clear" w:color="auto" w:fill="FF0000"/>
            <w:tcMar>
              <w:top w:w="100" w:type="dxa"/>
              <w:left w:w="100" w:type="dxa"/>
              <w:bottom w:w="100" w:type="dxa"/>
              <w:right w:w="100" w:type="dxa"/>
            </w:tcMar>
          </w:tcPr>
          <w:p w14:paraId="7963AFD2" w14:textId="77777777" w:rsidR="00C71CDB" w:rsidRDefault="00C71CDB" w:rsidP="00DA7C87">
            <w:r>
              <w:rPr>
                <w:b/>
                <w:bCs/>
              </w:rPr>
              <w:t>Strong</w:t>
            </w:r>
          </w:p>
        </w:tc>
      </w:tr>
      <w:tr w:rsidR="00C71CDB" w14:paraId="1DBFBE3F" w14:textId="77777777" w:rsidTr="00FB7622">
        <w:trPr>
          <w:trHeight w:val="1625"/>
        </w:trPr>
        <w:tc>
          <w:tcPr>
            <w:tcW w:w="1649"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AB467F0" w14:textId="77777777" w:rsidR="00C71CDB" w:rsidRDefault="00C71CDB" w:rsidP="00DA7C87">
            <w:r>
              <w:rPr>
                <w:b/>
                <w:bCs/>
              </w:rPr>
              <w:t>Supplier power</w:t>
            </w:r>
          </w:p>
        </w:tc>
        <w:tc>
          <w:tcPr>
            <w:tcW w:w="6211"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6041896" w14:textId="77777777" w:rsidR="00C71CDB" w:rsidRDefault="00C71CDB" w:rsidP="00DA7C87">
            <w:r>
              <w:t>Paper, board, plastics, recycled materials, energy and logistics are the factors on which packaging suppliers rely. Margins are thus impacted by input-cost pressures. Inflation in the EU was 3.2% in August 2026, with energy being responsible for 1.29 percentage points of euro-area annual inflation (Europa, 2025).</w:t>
            </w:r>
          </w:p>
        </w:tc>
        <w:tc>
          <w:tcPr>
            <w:tcW w:w="1500" w:type="dxa"/>
            <w:tcBorders>
              <w:top w:val="single" w:sz="4" w:space="0" w:color="000000"/>
              <w:left w:val="single" w:sz="4" w:space="0" w:color="000000"/>
              <w:bottom w:val="single" w:sz="4" w:space="0" w:color="000000"/>
              <w:right w:val="single" w:sz="4" w:space="0" w:color="000000"/>
            </w:tcBorders>
            <w:shd w:val="clear" w:color="auto" w:fill="FFFF00"/>
            <w:tcMar>
              <w:top w:w="100" w:type="dxa"/>
              <w:left w:w="100" w:type="dxa"/>
              <w:bottom w:w="100" w:type="dxa"/>
              <w:right w:w="100" w:type="dxa"/>
            </w:tcMar>
          </w:tcPr>
          <w:p w14:paraId="263015C4" w14:textId="77777777" w:rsidR="00C71CDB" w:rsidRDefault="00C71CDB" w:rsidP="00DA7C87">
            <w:r>
              <w:rPr>
                <w:b/>
                <w:bCs/>
              </w:rPr>
              <w:t>Moderate</w:t>
            </w:r>
          </w:p>
        </w:tc>
      </w:tr>
      <w:tr w:rsidR="00C71CDB" w14:paraId="4E77A0C8" w14:textId="77777777" w:rsidTr="00FB7622">
        <w:trPr>
          <w:trHeight w:val="1340"/>
        </w:trPr>
        <w:tc>
          <w:tcPr>
            <w:tcW w:w="1649"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FF239A5" w14:textId="77777777" w:rsidR="00C71CDB" w:rsidRDefault="00C71CDB" w:rsidP="00DA7C87">
            <w:r>
              <w:rPr>
                <w:b/>
                <w:bCs/>
              </w:rPr>
              <w:lastRenderedPageBreak/>
              <w:t>Threat of substitutes</w:t>
            </w:r>
          </w:p>
        </w:tc>
        <w:tc>
          <w:tcPr>
            <w:tcW w:w="6211"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A9A6912" w14:textId="77777777" w:rsidR="00C71CDB" w:rsidRDefault="00C71CDB" w:rsidP="00DA7C87">
            <w:r>
              <w:t>Substitution can take place by cutting down on packaging, reusables, materials or new packaging shapes. PPWR supports re-use, re-fill, less empty space and limits the use of some single use packaging.</w:t>
            </w:r>
          </w:p>
        </w:tc>
        <w:tc>
          <w:tcPr>
            <w:tcW w:w="1500" w:type="dxa"/>
            <w:tcBorders>
              <w:top w:val="single" w:sz="4" w:space="0" w:color="000000"/>
              <w:left w:val="single" w:sz="4" w:space="0" w:color="000000"/>
              <w:bottom w:val="single" w:sz="4" w:space="0" w:color="000000"/>
              <w:right w:val="single" w:sz="4" w:space="0" w:color="000000"/>
            </w:tcBorders>
            <w:shd w:val="clear" w:color="auto" w:fill="FF9900"/>
            <w:tcMar>
              <w:top w:w="100" w:type="dxa"/>
              <w:left w:w="100" w:type="dxa"/>
              <w:bottom w:w="100" w:type="dxa"/>
              <w:right w:w="100" w:type="dxa"/>
            </w:tcMar>
          </w:tcPr>
          <w:p w14:paraId="40BDDA97" w14:textId="27429B07" w:rsidR="00C71CDB" w:rsidRDefault="00C71CDB" w:rsidP="00DA7C87">
            <w:r>
              <w:rPr>
                <w:b/>
                <w:bCs/>
              </w:rPr>
              <w:t>Moderate–Strong</w:t>
            </w:r>
            <w:r w:rsidR="00322600">
              <w:rPr>
                <w:b/>
                <w:bCs/>
              </w:rPr>
              <w:t>”</w:t>
            </w:r>
          </w:p>
        </w:tc>
      </w:tr>
    </w:tbl>
    <w:p w14:paraId="2A37D283" w14:textId="539209FE" w:rsidR="00FB7622" w:rsidRPr="00FB7622" w:rsidRDefault="00FB7622" w:rsidP="00FB7622">
      <w:pPr>
        <w:pStyle w:val="Heading6"/>
      </w:pPr>
      <w:bookmarkStart w:id="93" w:name="_Toc241008858"/>
      <w:r w:rsidRPr="00FB7622">
        <w:t xml:space="preserve">Table </w:t>
      </w:r>
      <w:r w:rsidR="00EF66B6">
        <w:t>2</w:t>
      </w:r>
      <w:r w:rsidRPr="00FB7622">
        <w:t>: “</w:t>
      </w:r>
      <w:r>
        <w:t>Porter’s five forces</w:t>
      </w:r>
      <w:r w:rsidRPr="00FB7622">
        <w:t>”</w:t>
      </w:r>
      <w:bookmarkEnd w:id="93"/>
    </w:p>
    <w:p w14:paraId="0126026D" w14:textId="4D77FEC5" w:rsidR="00FB7622" w:rsidRDefault="00FB7622" w:rsidP="00FB7622">
      <w:pPr>
        <w:jc w:val="center"/>
      </w:pPr>
      <w:r>
        <w:t>(Source: Created by Author)</w:t>
      </w:r>
    </w:p>
    <w:p w14:paraId="5E5FEEE6" w14:textId="2CACEDA8" w:rsidR="00C71CDB" w:rsidRDefault="00C71CDB" w:rsidP="00C71CDB">
      <w:r>
        <w:t xml:space="preserve">The best possible differentiation opportunity consequently is a </w:t>
      </w:r>
      <w:r w:rsidR="00322600">
        <w:t>solution-based</w:t>
      </w:r>
      <w:r>
        <w:t xml:space="preserve"> proposition of sustainable products, regulatory information, clear environmental attributes, appropriate sizing and simple digital buying. This may lower the cost of searching for customers, but the products themselves might not be very expensive and products can be compared.</w:t>
      </w:r>
    </w:p>
    <w:p w14:paraId="215CCA05" w14:textId="77777777" w:rsidR="00C71CDB" w:rsidRDefault="00C71CDB" w:rsidP="00C71CDB">
      <w:pPr>
        <w:pStyle w:val="Heading2"/>
        <w:keepNext w:val="0"/>
        <w:keepLines w:val="0"/>
        <w:rPr>
          <w:b w:val="0"/>
          <w:bCs w:val="0"/>
        </w:rPr>
      </w:pPr>
      <w:bookmarkStart w:id="94" w:name="_shj4pp2e0pcz" w:colFirst="0" w:colLast="0"/>
      <w:bookmarkStart w:id="95" w:name="_Toc241008242"/>
      <w:bookmarkEnd w:id="94"/>
      <w:r>
        <w:t>6.5 PESTLE Analysis</w:t>
      </w:r>
      <w:bookmarkEnd w:id="95"/>
    </w:p>
    <w:tbl>
      <w:tblPr>
        <w:tblW w:w="9360" w:type="dxa"/>
        <w:tblBorders>
          <w:top w:val="nil"/>
          <w:left w:val="nil"/>
          <w:bottom w:val="nil"/>
          <w:right w:val="nil"/>
          <w:insideH w:val="nil"/>
          <w:insideV w:val="nil"/>
        </w:tblBorders>
        <w:shd w:val="clear" w:color="auto" w:fill="F2DBDB" w:themeFill="accent2" w:themeFillTint="33"/>
        <w:tblLayout w:type="fixed"/>
        <w:tblLook w:val="0600" w:firstRow="0" w:lastRow="0" w:firstColumn="0" w:lastColumn="0" w:noHBand="1" w:noVBand="1"/>
      </w:tblPr>
      <w:tblGrid>
        <w:gridCol w:w="1770"/>
        <w:gridCol w:w="4176"/>
        <w:gridCol w:w="3414"/>
      </w:tblGrid>
      <w:tr w:rsidR="00C71CDB" w14:paraId="306A2D12" w14:textId="77777777" w:rsidTr="00EF66B6">
        <w:trPr>
          <w:trHeight w:val="785"/>
        </w:trPr>
        <w:tc>
          <w:tcPr>
            <w:tcW w:w="1770" w:type="dxa"/>
            <w:tcBorders>
              <w:top w:val="single" w:sz="4" w:space="0" w:color="000000"/>
              <w:left w:val="single" w:sz="4" w:space="0" w:color="000000"/>
              <w:bottom w:val="single" w:sz="4" w:space="0" w:color="000000"/>
              <w:right w:val="single" w:sz="4" w:space="0" w:color="000000"/>
            </w:tcBorders>
            <w:shd w:val="clear" w:color="auto" w:fill="F2DBDB" w:themeFill="accent2" w:themeFillTint="33"/>
            <w:tcMar>
              <w:top w:w="100" w:type="dxa"/>
              <w:left w:w="100" w:type="dxa"/>
              <w:bottom w:w="100" w:type="dxa"/>
              <w:right w:w="100" w:type="dxa"/>
            </w:tcMar>
          </w:tcPr>
          <w:p w14:paraId="7FBEDAD5" w14:textId="5E84C35F" w:rsidR="00C71CDB" w:rsidRDefault="00322600" w:rsidP="00DA7C87">
            <w:r>
              <w:rPr>
                <w:b/>
                <w:bCs/>
              </w:rPr>
              <w:t>“</w:t>
            </w:r>
            <w:r w:rsidR="00C71CDB">
              <w:rPr>
                <w:b/>
                <w:bCs/>
              </w:rPr>
              <w:t>Factor</w:t>
            </w:r>
          </w:p>
        </w:tc>
        <w:tc>
          <w:tcPr>
            <w:tcW w:w="4176" w:type="dxa"/>
            <w:tcBorders>
              <w:top w:val="single" w:sz="4" w:space="0" w:color="000000"/>
              <w:left w:val="single" w:sz="4" w:space="0" w:color="000000"/>
              <w:bottom w:val="single" w:sz="4" w:space="0" w:color="000000"/>
              <w:right w:val="single" w:sz="4" w:space="0" w:color="000000"/>
            </w:tcBorders>
            <w:shd w:val="clear" w:color="auto" w:fill="F2DBDB" w:themeFill="accent2" w:themeFillTint="33"/>
            <w:tcMar>
              <w:top w:w="100" w:type="dxa"/>
              <w:left w:w="100" w:type="dxa"/>
              <w:bottom w:w="100" w:type="dxa"/>
              <w:right w:w="100" w:type="dxa"/>
            </w:tcMar>
          </w:tcPr>
          <w:p w14:paraId="57DE2659" w14:textId="77777777" w:rsidR="00C71CDB" w:rsidRDefault="00C71CDB" w:rsidP="00DA7C87">
            <w:r>
              <w:rPr>
                <w:b/>
                <w:bCs/>
              </w:rPr>
              <w:t>Current evidence</w:t>
            </w:r>
          </w:p>
        </w:tc>
        <w:tc>
          <w:tcPr>
            <w:tcW w:w="3414" w:type="dxa"/>
            <w:tcBorders>
              <w:top w:val="single" w:sz="4" w:space="0" w:color="000000"/>
              <w:left w:val="single" w:sz="4" w:space="0" w:color="000000"/>
              <w:bottom w:val="single" w:sz="4" w:space="0" w:color="000000"/>
              <w:right w:val="single" w:sz="4" w:space="0" w:color="000000"/>
            </w:tcBorders>
            <w:shd w:val="clear" w:color="auto" w:fill="F2DBDB" w:themeFill="accent2" w:themeFillTint="33"/>
            <w:tcMar>
              <w:top w:w="100" w:type="dxa"/>
              <w:left w:w="100" w:type="dxa"/>
              <w:bottom w:w="100" w:type="dxa"/>
              <w:right w:w="100" w:type="dxa"/>
            </w:tcMar>
          </w:tcPr>
          <w:p w14:paraId="0071FFAC" w14:textId="77777777" w:rsidR="00C71CDB" w:rsidRDefault="00C71CDB" w:rsidP="00DA7C87">
            <w:r>
              <w:rPr>
                <w:b/>
                <w:bCs/>
              </w:rPr>
              <w:t>Implication for EcoPack Solutions</w:t>
            </w:r>
          </w:p>
        </w:tc>
      </w:tr>
      <w:tr w:rsidR="00C71CDB" w14:paraId="32ABBC05" w14:textId="77777777" w:rsidTr="00EF66B6">
        <w:trPr>
          <w:trHeight w:val="2180"/>
        </w:trPr>
        <w:tc>
          <w:tcPr>
            <w:tcW w:w="1770" w:type="dxa"/>
            <w:tcBorders>
              <w:top w:val="single" w:sz="4" w:space="0" w:color="000000"/>
              <w:left w:val="single" w:sz="4" w:space="0" w:color="000000"/>
              <w:bottom w:val="single" w:sz="4" w:space="0" w:color="000000"/>
              <w:right w:val="single" w:sz="4" w:space="0" w:color="000000"/>
            </w:tcBorders>
            <w:shd w:val="clear" w:color="auto" w:fill="F2DBDB" w:themeFill="accent2" w:themeFillTint="33"/>
            <w:tcMar>
              <w:top w:w="100" w:type="dxa"/>
              <w:left w:w="100" w:type="dxa"/>
              <w:bottom w:w="100" w:type="dxa"/>
              <w:right w:w="100" w:type="dxa"/>
            </w:tcMar>
          </w:tcPr>
          <w:p w14:paraId="744FDF3B" w14:textId="77777777" w:rsidR="00C71CDB" w:rsidRDefault="00C71CDB" w:rsidP="00DA7C87">
            <w:r>
              <w:rPr>
                <w:b/>
                <w:bCs/>
              </w:rPr>
              <w:t>Political</w:t>
            </w:r>
          </w:p>
        </w:tc>
        <w:tc>
          <w:tcPr>
            <w:tcW w:w="4176" w:type="dxa"/>
            <w:tcBorders>
              <w:top w:val="single" w:sz="4" w:space="0" w:color="000000"/>
              <w:left w:val="single" w:sz="4" w:space="0" w:color="000000"/>
              <w:bottom w:val="single" w:sz="4" w:space="0" w:color="000000"/>
              <w:right w:val="single" w:sz="4" w:space="0" w:color="000000"/>
            </w:tcBorders>
            <w:shd w:val="clear" w:color="auto" w:fill="F2DBDB" w:themeFill="accent2" w:themeFillTint="33"/>
            <w:tcMar>
              <w:top w:w="100" w:type="dxa"/>
              <w:left w:w="100" w:type="dxa"/>
              <w:bottom w:w="100" w:type="dxa"/>
              <w:right w:w="100" w:type="dxa"/>
            </w:tcMar>
          </w:tcPr>
          <w:p w14:paraId="3733E204" w14:textId="77777777" w:rsidR="00C71CDB" w:rsidRDefault="00C71CDB" w:rsidP="00DA7C87">
            <w:r>
              <w:t>The PPWR establishes uniform EU packaging provisions and seeks to minimize the diversity of national provisions. Harmonisation is part of the European Commission's strategy to facilitate cross-border business.</w:t>
            </w:r>
          </w:p>
        </w:tc>
        <w:tc>
          <w:tcPr>
            <w:tcW w:w="3414" w:type="dxa"/>
            <w:tcBorders>
              <w:top w:val="single" w:sz="4" w:space="0" w:color="000000"/>
              <w:left w:val="single" w:sz="4" w:space="0" w:color="000000"/>
              <w:bottom w:val="single" w:sz="4" w:space="0" w:color="000000"/>
              <w:right w:val="single" w:sz="4" w:space="0" w:color="000000"/>
            </w:tcBorders>
            <w:shd w:val="clear" w:color="auto" w:fill="F2DBDB" w:themeFill="accent2" w:themeFillTint="33"/>
            <w:tcMar>
              <w:top w:w="100" w:type="dxa"/>
              <w:left w:w="100" w:type="dxa"/>
              <w:bottom w:w="100" w:type="dxa"/>
              <w:right w:w="100" w:type="dxa"/>
            </w:tcMar>
          </w:tcPr>
          <w:p w14:paraId="5C72942F" w14:textId="77777777" w:rsidR="00C71CDB" w:rsidRDefault="00C71CDB" w:rsidP="00DA7C87">
            <w:r>
              <w:t>Cross-border expansion can be made easier through a common EU framework, provided that implementation and secondary legislation is monitored.</w:t>
            </w:r>
          </w:p>
        </w:tc>
      </w:tr>
      <w:tr w:rsidR="00C71CDB" w14:paraId="2BE5EE4C" w14:textId="77777777" w:rsidTr="00EF66B6">
        <w:trPr>
          <w:trHeight w:val="1895"/>
        </w:trPr>
        <w:tc>
          <w:tcPr>
            <w:tcW w:w="1770" w:type="dxa"/>
            <w:tcBorders>
              <w:top w:val="single" w:sz="4" w:space="0" w:color="000000"/>
              <w:left w:val="single" w:sz="4" w:space="0" w:color="000000"/>
              <w:bottom w:val="single" w:sz="4" w:space="0" w:color="000000"/>
              <w:right w:val="single" w:sz="4" w:space="0" w:color="000000"/>
            </w:tcBorders>
            <w:shd w:val="clear" w:color="auto" w:fill="F2DBDB" w:themeFill="accent2" w:themeFillTint="33"/>
            <w:tcMar>
              <w:top w:w="100" w:type="dxa"/>
              <w:left w:w="100" w:type="dxa"/>
              <w:bottom w:w="100" w:type="dxa"/>
              <w:right w:w="100" w:type="dxa"/>
            </w:tcMar>
          </w:tcPr>
          <w:p w14:paraId="0158E9B5" w14:textId="77777777" w:rsidR="00C71CDB" w:rsidRDefault="00C71CDB" w:rsidP="00DA7C87">
            <w:r>
              <w:rPr>
                <w:b/>
                <w:bCs/>
              </w:rPr>
              <w:lastRenderedPageBreak/>
              <w:t>Economic</w:t>
            </w:r>
          </w:p>
        </w:tc>
        <w:tc>
          <w:tcPr>
            <w:tcW w:w="4176" w:type="dxa"/>
            <w:tcBorders>
              <w:top w:val="single" w:sz="4" w:space="0" w:color="000000"/>
              <w:left w:val="single" w:sz="4" w:space="0" w:color="000000"/>
              <w:bottom w:val="single" w:sz="4" w:space="0" w:color="000000"/>
              <w:right w:val="single" w:sz="4" w:space="0" w:color="000000"/>
            </w:tcBorders>
            <w:shd w:val="clear" w:color="auto" w:fill="F2DBDB" w:themeFill="accent2" w:themeFillTint="33"/>
            <w:tcMar>
              <w:top w:w="100" w:type="dxa"/>
              <w:left w:w="100" w:type="dxa"/>
              <w:bottom w:w="100" w:type="dxa"/>
              <w:right w:w="100" w:type="dxa"/>
            </w:tcMar>
          </w:tcPr>
          <w:p w14:paraId="4B0A68B8" w14:textId="77777777" w:rsidR="00C71CDB" w:rsidRDefault="00C71CDB" w:rsidP="00DA7C87">
            <w:r>
              <w:t>Energy has been responsible for 1.29 percentage points of euro-area inflation (Europa, 2025). In July 2026, the ECB's composite cost of borrowing on new loans to corporations was 3.80%.</w:t>
            </w:r>
          </w:p>
        </w:tc>
        <w:tc>
          <w:tcPr>
            <w:tcW w:w="3414" w:type="dxa"/>
            <w:tcBorders>
              <w:top w:val="single" w:sz="4" w:space="0" w:color="000000"/>
              <w:left w:val="single" w:sz="4" w:space="0" w:color="000000"/>
              <w:bottom w:val="single" w:sz="4" w:space="0" w:color="000000"/>
              <w:right w:val="single" w:sz="4" w:space="0" w:color="000000"/>
            </w:tcBorders>
            <w:shd w:val="clear" w:color="auto" w:fill="F2DBDB" w:themeFill="accent2" w:themeFillTint="33"/>
            <w:tcMar>
              <w:top w:w="100" w:type="dxa"/>
              <w:left w:w="100" w:type="dxa"/>
              <w:bottom w:w="100" w:type="dxa"/>
              <w:right w:w="100" w:type="dxa"/>
            </w:tcMar>
          </w:tcPr>
          <w:p w14:paraId="69603BE0" w14:textId="77777777" w:rsidR="00C71CDB" w:rsidRDefault="00C71CDB" w:rsidP="00DA7C87">
            <w:r>
              <w:t>With higher costs, packaging may be more expensive, and lower willingness to pay premiums by SMEs. A new enterprise should have a good working-capital management.</w:t>
            </w:r>
          </w:p>
        </w:tc>
      </w:tr>
      <w:tr w:rsidR="00C71CDB" w14:paraId="6C890D7D" w14:textId="77777777" w:rsidTr="00EF66B6">
        <w:trPr>
          <w:trHeight w:val="1895"/>
        </w:trPr>
        <w:tc>
          <w:tcPr>
            <w:tcW w:w="1770" w:type="dxa"/>
            <w:tcBorders>
              <w:top w:val="single" w:sz="4" w:space="0" w:color="000000"/>
              <w:left w:val="single" w:sz="4" w:space="0" w:color="000000"/>
              <w:bottom w:val="single" w:sz="4" w:space="0" w:color="000000"/>
              <w:right w:val="single" w:sz="4" w:space="0" w:color="000000"/>
            </w:tcBorders>
            <w:shd w:val="clear" w:color="auto" w:fill="F2DBDB" w:themeFill="accent2" w:themeFillTint="33"/>
            <w:tcMar>
              <w:top w:w="100" w:type="dxa"/>
              <w:left w:w="100" w:type="dxa"/>
              <w:bottom w:w="100" w:type="dxa"/>
              <w:right w:w="100" w:type="dxa"/>
            </w:tcMar>
          </w:tcPr>
          <w:p w14:paraId="2EF39EFF" w14:textId="77777777" w:rsidR="00C71CDB" w:rsidRDefault="00C71CDB" w:rsidP="00DA7C87">
            <w:r>
              <w:rPr>
                <w:b/>
                <w:bCs/>
              </w:rPr>
              <w:t>Social</w:t>
            </w:r>
          </w:p>
        </w:tc>
        <w:tc>
          <w:tcPr>
            <w:tcW w:w="4176" w:type="dxa"/>
            <w:tcBorders>
              <w:top w:val="single" w:sz="4" w:space="0" w:color="000000"/>
              <w:left w:val="single" w:sz="4" w:space="0" w:color="000000"/>
              <w:bottom w:val="single" w:sz="4" w:space="0" w:color="000000"/>
              <w:right w:val="single" w:sz="4" w:space="0" w:color="000000"/>
            </w:tcBorders>
            <w:shd w:val="clear" w:color="auto" w:fill="F2DBDB" w:themeFill="accent2" w:themeFillTint="33"/>
            <w:tcMar>
              <w:top w:w="100" w:type="dxa"/>
              <w:left w:w="100" w:type="dxa"/>
              <w:bottom w:w="100" w:type="dxa"/>
              <w:right w:w="100" w:type="dxa"/>
            </w:tcMar>
          </w:tcPr>
          <w:p w14:paraId="532757C1" w14:textId="77777777" w:rsidR="00C71CDB" w:rsidRDefault="00C71CDB" w:rsidP="00DA7C87">
            <w:r>
              <w:t xml:space="preserve">The number of packaging waste generated in the EU reached 79.7 million tonnes in 2023. This was equivalent to 177.8 kg per capita (Europa 2025). </w:t>
            </w:r>
          </w:p>
        </w:tc>
        <w:tc>
          <w:tcPr>
            <w:tcW w:w="3414" w:type="dxa"/>
            <w:tcBorders>
              <w:top w:val="single" w:sz="4" w:space="0" w:color="000000"/>
              <w:left w:val="single" w:sz="4" w:space="0" w:color="000000"/>
              <w:bottom w:val="single" w:sz="4" w:space="0" w:color="000000"/>
              <w:right w:val="single" w:sz="4" w:space="0" w:color="000000"/>
            </w:tcBorders>
            <w:shd w:val="clear" w:color="auto" w:fill="F2DBDB" w:themeFill="accent2" w:themeFillTint="33"/>
            <w:tcMar>
              <w:top w:w="100" w:type="dxa"/>
              <w:left w:w="100" w:type="dxa"/>
              <w:bottom w:w="100" w:type="dxa"/>
              <w:right w:w="100" w:type="dxa"/>
            </w:tcMar>
          </w:tcPr>
          <w:p w14:paraId="275E6D05" w14:textId="77777777" w:rsidR="00C71CDB" w:rsidRDefault="00C71CDB" w:rsidP="00DA7C87">
            <w:r>
              <w:t>With the volume of packaging waste growing, sustainable packaging alternatives become more and more relevant and a tangible sustainability challenge for e-commerce companies.</w:t>
            </w:r>
          </w:p>
        </w:tc>
      </w:tr>
      <w:tr w:rsidR="00C71CDB" w14:paraId="5DA3CE9D" w14:textId="77777777" w:rsidTr="00EF66B6">
        <w:trPr>
          <w:trHeight w:val="1625"/>
        </w:trPr>
        <w:tc>
          <w:tcPr>
            <w:tcW w:w="1770" w:type="dxa"/>
            <w:tcBorders>
              <w:top w:val="single" w:sz="4" w:space="0" w:color="000000"/>
              <w:left w:val="single" w:sz="4" w:space="0" w:color="000000"/>
              <w:bottom w:val="single" w:sz="4" w:space="0" w:color="000000"/>
              <w:right w:val="single" w:sz="4" w:space="0" w:color="000000"/>
            </w:tcBorders>
            <w:shd w:val="clear" w:color="auto" w:fill="F2DBDB" w:themeFill="accent2" w:themeFillTint="33"/>
            <w:tcMar>
              <w:top w:w="100" w:type="dxa"/>
              <w:left w:w="100" w:type="dxa"/>
              <w:bottom w:w="100" w:type="dxa"/>
              <w:right w:w="100" w:type="dxa"/>
            </w:tcMar>
          </w:tcPr>
          <w:p w14:paraId="60D768D9" w14:textId="77777777" w:rsidR="00C71CDB" w:rsidRDefault="00C71CDB" w:rsidP="00DA7C87">
            <w:r>
              <w:rPr>
                <w:b/>
                <w:bCs/>
              </w:rPr>
              <w:t>Technological</w:t>
            </w:r>
          </w:p>
        </w:tc>
        <w:tc>
          <w:tcPr>
            <w:tcW w:w="4176" w:type="dxa"/>
            <w:tcBorders>
              <w:top w:val="single" w:sz="4" w:space="0" w:color="000000"/>
              <w:left w:val="single" w:sz="4" w:space="0" w:color="000000"/>
              <w:bottom w:val="single" w:sz="4" w:space="0" w:color="000000"/>
              <w:right w:val="single" w:sz="4" w:space="0" w:color="000000"/>
            </w:tcBorders>
            <w:shd w:val="clear" w:color="auto" w:fill="F2DBDB" w:themeFill="accent2" w:themeFillTint="33"/>
            <w:tcMar>
              <w:top w:w="100" w:type="dxa"/>
              <w:left w:w="100" w:type="dxa"/>
              <w:bottom w:w="100" w:type="dxa"/>
              <w:right w:w="100" w:type="dxa"/>
            </w:tcMar>
          </w:tcPr>
          <w:p w14:paraId="42DE3129" w14:textId="77777777" w:rsidR="00C71CDB" w:rsidRDefault="00C71CDB" w:rsidP="00DA7C87">
            <w:r>
              <w:t>23.59% of EU enterprises engaged in e-sales in 2024 and 19.49% of turnover was generated from e-sales. Furthermore, 22% of EU companies experienced an incident related to the security of information and communications technology (ICT) in 2024.</w:t>
            </w:r>
          </w:p>
        </w:tc>
        <w:tc>
          <w:tcPr>
            <w:tcW w:w="3414" w:type="dxa"/>
            <w:tcBorders>
              <w:top w:val="single" w:sz="4" w:space="0" w:color="000000"/>
              <w:left w:val="single" w:sz="4" w:space="0" w:color="000000"/>
              <w:bottom w:val="single" w:sz="4" w:space="0" w:color="000000"/>
              <w:right w:val="single" w:sz="4" w:space="0" w:color="000000"/>
            </w:tcBorders>
            <w:shd w:val="clear" w:color="auto" w:fill="F2DBDB" w:themeFill="accent2" w:themeFillTint="33"/>
            <w:tcMar>
              <w:top w:w="100" w:type="dxa"/>
              <w:left w:w="100" w:type="dxa"/>
              <w:bottom w:w="100" w:type="dxa"/>
              <w:right w:w="100" w:type="dxa"/>
            </w:tcMar>
          </w:tcPr>
          <w:p w14:paraId="6110D40D" w14:textId="77777777" w:rsidR="00C71CDB" w:rsidRDefault="00C71CDB" w:rsidP="00DA7C87">
            <w:r>
              <w:t>While geographically dispersed SMEs can be reached via a digital procurement platform, cybersecurity and reliable digital infrastructure are important.</w:t>
            </w:r>
          </w:p>
        </w:tc>
      </w:tr>
      <w:tr w:rsidR="00C71CDB" w14:paraId="29A8848A" w14:textId="77777777" w:rsidTr="00EF66B6">
        <w:trPr>
          <w:trHeight w:val="2180"/>
        </w:trPr>
        <w:tc>
          <w:tcPr>
            <w:tcW w:w="1770" w:type="dxa"/>
            <w:tcBorders>
              <w:top w:val="single" w:sz="4" w:space="0" w:color="000000"/>
              <w:left w:val="single" w:sz="4" w:space="0" w:color="000000"/>
              <w:bottom w:val="single" w:sz="4" w:space="0" w:color="000000"/>
              <w:right w:val="single" w:sz="4" w:space="0" w:color="000000"/>
            </w:tcBorders>
            <w:shd w:val="clear" w:color="auto" w:fill="F2DBDB" w:themeFill="accent2" w:themeFillTint="33"/>
            <w:tcMar>
              <w:top w:w="100" w:type="dxa"/>
              <w:left w:w="100" w:type="dxa"/>
              <w:bottom w:w="100" w:type="dxa"/>
              <w:right w:w="100" w:type="dxa"/>
            </w:tcMar>
          </w:tcPr>
          <w:p w14:paraId="703A3958" w14:textId="77777777" w:rsidR="00C71CDB" w:rsidRDefault="00C71CDB" w:rsidP="00DA7C87">
            <w:r>
              <w:rPr>
                <w:b/>
                <w:bCs/>
              </w:rPr>
              <w:t>Legal</w:t>
            </w:r>
          </w:p>
        </w:tc>
        <w:tc>
          <w:tcPr>
            <w:tcW w:w="4176" w:type="dxa"/>
            <w:tcBorders>
              <w:top w:val="single" w:sz="4" w:space="0" w:color="000000"/>
              <w:left w:val="single" w:sz="4" w:space="0" w:color="000000"/>
              <w:bottom w:val="single" w:sz="4" w:space="0" w:color="000000"/>
              <w:right w:val="single" w:sz="4" w:space="0" w:color="000000"/>
            </w:tcBorders>
            <w:shd w:val="clear" w:color="auto" w:fill="F2DBDB" w:themeFill="accent2" w:themeFillTint="33"/>
            <w:tcMar>
              <w:top w:w="100" w:type="dxa"/>
              <w:left w:w="100" w:type="dxa"/>
              <w:bottom w:w="100" w:type="dxa"/>
              <w:right w:w="100" w:type="dxa"/>
            </w:tcMar>
          </w:tcPr>
          <w:p w14:paraId="04B6DCC8" w14:textId="77777777" w:rsidR="00C71CDB" w:rsidRDefault="00C71CDB" w:rsidP="00DA7C87">
            <w:r>
              <w:t xml:space="preserve">The application for PPWR opens on 12 August 2026. All packaging should be recyclable by 2030; plastic packaging should also have a packaging recycled </w:t>
            </w:r>
            <w:r>
              <w:lastRenderedPageBreak/>
              <w:t>content requirement and harmonised packaging labelling.</w:t>
            </w:r>
          </w:p>
        </w:tc>
        <w:tc>
          <w:tcPr>
            <w:tcW w:w="3414" w:type="dxa"/>
            <w:tcBorders>
              <w:top w:val="single" w:sz="4" w:space="0" w:color="000000"/>
              <w:left w:val="single" w:sz="4" w:space="0" w:color="000000"/>
              <w:bottom w:val="single" w:sz="4" w:space="0" w:color="000000"/>
              <w:right w:val="single" w:sz="4" w:space="0" w:color="000000"/>
            </w:tcBorders>
            <w:shd w:val="clear" w:color="auto" w:fill="F2DBDB" w:themeFill="accent2" w:themeFillTint="33"/>
            <w:tcMar>
              <w:top w:w="100" w:type="dxa"/>
              <w:left w:w="100" w:type="dxa"/>
              <w:bottom w:w="100" w:type="dxa"/>
              <w:right w:w="100" w:type="dxa"/>
            </w:tcMar>
          </w:tcPr>
          <w:p w14:paraId="7640A936" w14:textId="77777777" w:rsidR="00C71CDB" w:rsidRDefault="00C71CDB" w:rsidP="00DA7C87">
            <w:r>
              <w:lastRenderedPageBreak/>
              <w:t xml:space="preserve">Knowledge of compliance can become part of EcoPack's value proposition, with the understanding that the more precise the requirements, the </w:t>
            </w:r>
            <w:r>
              <w:lastRenderedPageBreak/>
              <w:t>more accurate the product information.</w:t>
            </w:r>
          </w:p>
        </w:tc>
      </w:tr>
      <w:tr w:rsidR="00C71CDB" w14:paraId="51A9FB8E" w14:textId="77777777" w:rsidTr="00EF66B6">
        <w:trPr>
          <w:trHeight w:val="2450"/>
        </w:trPr>
        <w:tc>
          <w:tcPr>
            <w:tcW w:w="1770" w:type="dxa"/>
            <w:tcBorders>
              <w:top w:val="single" w:sz="4" w:space="0" w:color="000000"/>
              <w:left w:val="single" w:sz="4" w:space="0" w:color="000000"/>
              <w:bottom w:val="single" w:sz="4" w:space="0" w:color="000000"/>
              <w:right w:val="single" w:sz="4" w:space="0" w:color="000000"/>
            </w:tcBorders>
            <w:shd w:val="clear" w:color="auto" w:fill="F2DBDB" w:themeFill="accent2" w:themeFillTint="33"/>
            <w:tcMar>
              <w:top w:w="100" w:type="dxa"/>
              <w:left w:w="100" w:type="dxa"/>
              <w:bottom w:w="100" w:type="dxa"/>
              <w:right w:w="100" w:type="dxa"/>
            </w:tcMar>
          </w:tcPr>
          <w:p w14:paraId="40F168CA" w14:textId="77777777" w:rsidR="00C71CDB" w:rsidRDefault="00C71CDB" w:rsidP="00DA7C87">
            <w:r>
              <w:rPr>
                <w:b/>
                <w:bCs/>
              </w:rPr>
              <w:lastRenderedPageBreak/>
              <w:t>Environmental</w:t>
            </w:r>
          </w:p>
        </w:tc>
        <w:tc>
          <w:tcPr>
            <w:tcW w:w="4176" w:type="dxa"/>
            <w:tcBorders>
              <w:top w:val="single" w:sz="4" w:space="0" w:color="000000"/>
              <w:left w:val="single" w:sz="4" w:space="0" w:color="000000"/>
              <w:bottom w:val="single" w:sz="4" w:space="0" w:color="000000"/>
              <w:right w:val="single" w:sz="4" w:space="0" w:color="000000"/>
            </w:tcBorders>
            <w:shd w:val="clear" w:color="auto" w:fill="F2DBDB" w:themeFill="accent2" w:themeFillTint="33"/>
            <w:tcMar>
              <w:top w:w="100" w:type="dxa"/>
              <w:left w:w="100" w:type="dxa"/>
              <w:bottom w:w="100" w:type="dxa"/>
              <w:right w:w="100" w:type="dxa"/>
            </w:tcMar>
          </w:tcPr>
          <w:p w14:paraId="084DF23D" w14:textId="77777777" w:rsidR="00C71CDB" w:rsidRDefault="00C71CDB" w:rsidP="00DA7C87">
            <w:r>
              <w:t>Total EU packaging waste in 2022 amounted to 83.4m tonnes or 186.5kg per person. The plastic waste per person was 36.1kg with 41% recycled.</w:t>
            </w:r>
          </w:p>
        </w:tc>
        <w:tc>
          <w:tcPr>
            <w:tcW w:w="3414" w:type="dxa"/>
            <w:tcBorders>
              <w:top w:val="single" w:sz="4" w:space="0" w:color="000000"/>
              <w:left w:val="single" w:sz="4" w:space="0" w:color="000000"/>
              <w:bottom w:val="single" w:sz="4" w:space="0" w:color="000000"/>
              <w:right w:val="single" w:sz="4" w:space="0" w:color="000000"/>
            </w:tcBorders>
            <w:shd w:val="clear" w:color="auto" w:fill="F2DBDB" w:themeFill="accent2" w:themeFillTint="33"/>
            <w:tcMar>
              <w:top w:w="100" w:type="dxa"/>
              <w:left w:w="100" w:type="dxa"/>
              <w:bottom w:w="100" w:type="dxa"/>
              <w:right w:w="100" w:type="dxa"/>
            </w:tcMar>
          </w:tcPr>
          <w:p w14:paraId="3152D45F" w14:textId="5020E299" w:rsidR="00C71CDB" w:rsidRDefault="00C71CDB" w:rsidP="00DA7C87">
            <w:r>
              <w:t>Environmental pressure means there's a growing demand for recyclable and less waste options, but suppliers need to be able to provide real environmental gain, not just sustainability statements</w:t>
            </w:r>
            <w:r w:rsidR="00322600">
              <w:t>”</w:t>
            </w:r>
            <w:r>
              <w:t>.</w:t>
            </w:r>
          </w:p>
        </w:tc>
      </w:tr>
    </w:tbl>
    <w:p w14:paraId="3455199E" w14:textId="769937E9" w:rsidR="00EF66B6" w:rsidRPr="00FB7622" w:rsidRDefault="00EF66B6" w:rsidP="00EF66B6">
      <w:pPr>
        <w:pStyle w:val="Heading6"/>
      </w:pPr>
      <w:bookmarkStart w:id="96" w:name="_Toc241008859"/>
      <w:r w:rsidRPr="00FB7622">
        <w:t xml:space="preserve">Table </w:t>
      </w:r>
      <w:r>
        <w:t>3</w:t>
      </w:r>
      <w:r w:rsidRPr="00FB7622">
        <w:t>: “</w:t>
      </w:r>
      <w:r>
        <w:t>PESTLE Analysis</w:t>
      </w:r>
      <w:r w:rsidRPr="00FB7622">
        <w:t>”</w:t>
      </w:r>
      <w:bookmarkEnd w:id="96"/>
    </w:p>
    <w:p w14:paraId="63905D38" w14:textId="719FA4E0" w:rsidR="00EF66B6" w:rsidRDefault="00EF66B6" w:rsidP="00EF66B6">
      <w:pPr>
        <w:jc w:val="center"/>
      </w:pPr>
      <w:r>
        <w:t>(Source: Created by Author)</w:t>
      </w:r>
    </w:p>
    <w:p w14:paraId="01245586" w14:textId="1CB1943B" w:rsidR="00C71CDB" w:rsidRDefault="00C71CDB" w:rsidP="00C71CDB">
      <w:r>
        <w:t>The PESTLE evidence shows that regulation and environmental pressures are complementing packaging transformation demand. There is, however, an economic counter-force as the cost may drive a wedge during inflationary periods and when business borrowing is relatively expensive, and SMEs may be more inclined to focus on cost.</w:t>
      </w:r>
    </w:p>
    <w:p w14:paraId="69F1AE79" w14:textId="77777777" w:rsidR="00C71CDB" w:rsidRDefault="00C71CDB" w:rsidP="00C71CDB">
      <w:r>
        <w:t>There is a significant SME customer base. The data provided by the European Commission/JRC indicates that 99.8% of EU enterprises were SMEs and that employment in SMEs grew by 1.1% in 2024. JRC forecasts a 1.6% real growth in SME value added for 2025. This still reinforces the value of what SMEs can offer in commercial models – not all SMEs are e-commerce packaging buyers.</w:t>
      </w:r>
    </w:p>
    <w:p w14:paraId="77BF4C05" w14:textId="77777777" w:rsidR="00C71CDB" w:rsidRDefault="00C71CDB" w:rsidP="00C71CDB">
      <w:pPr>
        <w:pStyle w:val="Heading2"/>
        <w:keepNext w:val="0"/>
        <w:keepLines w:val="0"/>
        <w:rPr>
          <w:b w:val="0"/>
          <w:bCs w:val="0"/>
        </w:rPr>
      </w:pPr>
      <w:bookmarkStart w:id="97" w:name="_z6io1rwfqi2x" w:colFirst="0" w:colLast="0"/>
      <w:bookmarkStart w:id="98" w:name="_Toc241008243"/>
      <w:bookmarkEnd w:id="97"/>
      <w:r>
        <w:t>6.6 Industry Attractiveness, Gaps and Synthesis</w:t>
      </w:r>
      <w:bookmarkEnd w:id="98"/>
    </w:p>
    <w:p w14:paraId="00D44EFC" w14:textId="77777777" w:rsidR="00C71CDB" w:rsidRDefault="00C71CDB" w:rsidP="00C71CDB">
      <w:r>
        <w:lastRenderedPageBreak/>
        <w:t>EcoPack Solutions' opportunity is conditional because of competition. There are good structural demand drivers: packaging waste in Europe is still high, e-commerce is driving digital purchasing activity, and PPWR is setting more and more specific requirements for packaging design, recyclability and materials.</w:t>
      </w:r>
    </w:p>
    <w:p w14:paraId="6BE6D410" w14:textId="77777777" w:rsidR="00C71CDB" w:rsidRDefault="00C71CDB" w:rsidP="00C71CDB">
      <w:r>
        <w:t>Simultaneously, the industry is not a competitive one to enter. Large companies have manufacturing scale, established distribution channels and have a lot of sustainability resources. After the WestRock combination, net sales is expected to be $8,031 million by 2025 (Smurfitwestrock, 2025).</w:t>
      </w:r>
    </w:p>
    <w:p w14:paraId="116264B3" w14:textId="77777777" w:rsidR="00C71CDB" w:rsidRDefault="00C71CDB" w:rsidP="00C71CDB">
      <w:r>
        <w:t>The potential gap is not just in terms of sustainable packaging availability. Most leading manufacturers currently sell sustainable products. EcoPack Solutions, however, offers the potential to stand out because of its specificity for SMEs: making available an online platform for identifying appropriate packaging, providing information on sustainability properties and characteristics and keeping pace with new EU packaging regulations, and better enabling SMEs to purchase packaging efficiently through an online channel.</w:t>
      </w:r>
    </w:p>
    <w:p w14:paraId="06BDE1DA" w14:textId="77777777" w:rsidR="00C71CDB" w:rsidRDefault="00C71CDB" w:rsidP="00C71CDB">
      <w:r>
        <w:t>This positioning strategy, though, must be overcome by price sensitivity, supplier dependency, and logistics expenses and the strong buyers' choice (Li, et al. 2025). In this case the business should not be competing on “green” branding only. The proposal must be practically valuable, competitive in price, well suited to the product, have a clear regulatory framework, provide a clear sustainability information and offer easy product procurement.</w:t>
      </w:r>
    </w:p>
    <w:p w14:paraId="3C7AA6C7" w14:textId="77777777" w:rsidR="00684A66" w:rsidRDefault="00684A66">
      <w:pPr>
        <w:rPr>
          <w:b/>
          <w:bCs/>
        </w:rPr>
      </w:pPr>
      <w:bookmarkStart w:id="99" w:name="_wnpt4ev94m6s" w:colFirst="0" w:colLast="0"/>
      <w:bookmarkStart w:id="100" w:name="_Toc241008244"/>
      <w:bookmarkEnd w:id="99"/>
      <w:r>
        <w:br w:type="page"/>
      </w:r>
    </w:p>
    <w:p w14:paraId="3D8E0BDD" w14:textId="0028E8E1" w:rsidR="00C71CDB" w:rsidRDefault="00C71CDB" w:rsidP="00C71CDB">
      <w:pPr>
        <w:pStyle w:val="Heading1"/>
        <w:keepNext w:val="0"/>
        <w:keepLines w:val="0"/>
        <w:rPr>
          <w:b w:val="0"/>
          <w:bCs w:val="0"/>
        </w:rPr>
      </w:pPr>
      <w:r>
        <w:lastRenderedPageBreak/>
        <w:t>Chapter 7: Business Strategy</w:t>
      </w:r>
      <w:bookmarkEnd w:id="100"/>
    </w:p>
    <w:p w14:paraId="0D69E273" w14:textId="77777777" w:rsidR="00C71CDB" w:rsidRDefault="00C71CDB" w:rsidP="00C71CDB">
      <w:pPr>
        <w:pStyle w:val="Heading2"/>
        <w:keepNext w:val="0"/>
        <w:keepLines w:val="0"/>
        <w:rPr>
          <w:b w:val="0"/>
          <w:bCs w:val="0"/>
        </w:rPr>
      </w:pPr>
      <w:bookmarkStart w:id="101" w:name="_8e1syoxncpro" w:colFirst="0" w:colLast="0"/>
      <w:bookmarkStart w:id="102" w:name="_Toc241008245"/>
      <w:bookmarkEnd w:id="101"/>
      <w:r>
        <w:t>7.1 Strategic Situation and Frameworks</w:t>
      </w:r>
      <w:bookmarkEnd w:id="102"/>
    </w:p>
    <w:p w14:paraId="3220FBFE" w14:textId="77777777" w:rsidR="00C71CDB" w:rsidRDefault="00C71CDB" w:rsidP="00C71CDB">
      <w:r>
        <w:t>The strategic direction of EcoPack Solutions should be derived from the market opportunity identified in chapter 5, and competitive environment studied in chapter 6. The evidence suggests that there is a genuine opportunity for the European packaging market, but the venture cannot be a successful one without selling environmentally friendly packaging. In 2023, the EU had 79.7 million tonnes of packaging waste collected, with 35.3 kg per capita of plastic packaging waste collected and 14.8 kg of plastic packaging waste recycled (Packagingeurope, 2025).</w:t>
      </w:r>
    </w:p>
    <w:p w14:paraId="36700B2D" w14:textId="77777777" w:rsidR="00C71CDB" w:rsidRDefault="00C71CDB" w:rsidP="00C71CDB">
      <w:r>
        <w:t>This opportunity is enhanced by the regulatory environment. On 12 August 2026, the Packaging and Packaging Waste Regulation (PPWR) will enter into application throughout the EU. It aims for all packaging to be recyclable by 2030 and has provisions for recycled plastic content, packaging reduction, labelling and reuse. According to the European Commission, if nothing is done, the total packaging waste may rise by 19% by 2030 and plastic packaging waste by up to 46%.</w:t>
      </w:r>
    </w:p>
    <w:p w14:paraId="03699744" w14:textId="3BD0329F" w:rsidR="00C71CDB" w:rsidRDefault="00C71CDB" w:rsidP="00C71CDB">
      <w:r>
        <w:t xml:space="preserve">Meanwhile, there is a lot of competition. Thus, EcoPack requires a strategy based on SMEs not a </w:t>
      </w:r>
      <w:r w:rsidR="00322600">
        <w:t>manufacturing-based</w:t>
      </w:r>
      <w:r>
        <w:t xml:space="preserve"> strategy.</w:t>
      </w:r>
    </w:p>
    <w:p w14:paraId="04DCBDFC" w14:textId="77777777" w:rsidR="00C71CDB" w:rsidRDefault="00C71CDB" w:rsidP="00C71CDB">
      <w:r>
        <w:t>VRIO is used to identify which of the resources can be used to achieve competitive advantage and SWOT combines internal and external evidence. Three alternatives are then compared and assessed by applying suitability, acceptability, feasibility, coherence and defensibility. The strategy is developed through analysis to be focused, digitally enabled and partnership based.</w:t>
      </w:r>
    </w:p>
    <w:p w14:paraId="23711B74" w14:textId="77777777" w:rsidR="00C71CDB" w:rsidRDefault="00C71CDB" w:rsidP="00C71CDB">
      <w:pPr>
        <w:pStyle w:val="Heading2"/>
        <w:keepNext w:val="0"/>
        <w:keepLines w:val="0"/>
      </w:pPr>
      <w:bookmarkStart w:id="103" w:name="_elqdvtt4y1eb" w:colFirst="0" w:colLast="0"/>
      <w:bookmarkStart w:id="104" w:name="_Toc241008246"/>
      <w:bookmarkEnd w:id="103"/>
      <w:r>
        <w:t>7.2 Internal Analysis Using VRIO</w:t>
      </w:r>
      <w:bookmarkEnd w:id="104"/>
    </w:p>
    <w:tbl>
      <w:tblPr>
        <w:tblW w:w="9360" w:type="dxa"/>
        <w:tblBorders>
          <w:top w:val="nil"/>
          <w:left w:val="nil"/>
          <w:bottom w:val="nil"/>
          <w:right w:val="nil"/>
          <w:insideH w:val="nil"/>
          <w:insideV w:val="nil"/>
        </w:tblBorders>
        <w:tblLayout w:type="fixed"/>
        <w:tblLook w:val="0600" w:firstRow="0" w:lastRow="0" w:firstColumn="0" w:lastColumn="0" w:noHBand="1" w:noVBand="1"/>
      </w:tblPr>
      <w:tblGrid>
        <w:gridCol w:w="1802"/>
        <w:gridCol w:w="2013"/>
        <w:gridCol w:w="1206"/>
        <w:gridCol w:w="1503"/>
        <w:gridCol w:w="1404"/>
        <w:gridCol w:w="1432"/>
      </w:tblGrid>
      <w:tr w:rsidR="00C71CDB" w14:paraId="415D7397" w14:textId="77777777" w:rsidTr="00EF66B6">
        <w:trPr>
          <w:trHeight w:val="785"/>
        </w:trPr>
        <w:tc>
          <w:tcPr>
            <w:tcW w:w="1802"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536FFBE" w14:textId="77777777" w:rsidR="00C71CDB" w:rsidRDefault="00C71CDB" w:rsidP="00DA7C87">
            <w:r>
              <w:rPr>
                <w:b/>
                <w:bCs/>
              </w:rPr>
              <w:t>Resource / capability</w:t>
            </w:r>
          </w:p>
        </w:tc>
        <w:tc>
          <w:tcPr>
            <w:tcW w:w="2013"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9FDE441" w14:textId="77777777" w:rsidR="00C71CDB" w:rsidRDefault="00C71CDB" w:rsidP="00DA7C87">
            <w:r>
              <w:rPr>
                <w:b/>
                <w:bCs/>
              </w:rPr>
              <w:t>Valuable?</w:t>
            </w:r>
          </w:p>
        </w:tc>
        <w:tc>
          <w:tcPr>
            <w:tcW w:w="1206"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C2A6F59" w14:textId="77777777" w:rsidR="00C71CDB" w:rsidRDefault="00C71CDB" w:rsidP="00DA7C87">
            <w:r>
              <w:rPr>
                <w:b/>
                <w:bCs/>
              </w:rPr>
              <w:t>Rare?</w:t>
            </w:r>
          </w:p>
        </w:tc>
        <w:tc>
          <w:tcPr>
            <w:tcW w:w="1503"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2FE8C17" w14:textId="77777777" w:rsidR="00C71CDB" w:rsidRDefault="00C71CDB" w:rsidP="00DA7C87">
            <w:r>
              <w:rPr>
                <w:b/>
                <w:bCs/>
              </w:rPr>
              <w:t>Difficult to imitate?</w:t>
            </w:r>
          </w:p>
        </w:tc>
        <w:tc>
          <w:tcPr>
            <w:tcW w:w="1404"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A511144" w14:textId="77777777" w:rsidR="00C71CDB" w:rsidRDefault="00C71CDB" w:rsidP="00DA7C87">
            <w:r>
              <w:rPr>
                <w:b/>
                <w:bCs/>
              </w:rPr>
              <w:t>Organised?</w:t>
            </w:r>
          </w:p>
        </w:tc>
        <w:tc>
          <w:tcPr>
            <w:tcW w:w="1432"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3103F69" w14:textId="77777777" w:rsidR="00C71CDB" w:rsidRDefault="00C71CDB" w:rsidP="00DA7C87">
            <w:r>
              <w:rPr>
                <w:b/>
                <w:bCs/>
              </w:rPr>
              <w:t>Strategic implication</w:t>
            </w:r>
          </w:p>
        </w:tc>
      </w:tr>
      <w:tr w:rsidR="00C71CDB" w14:paraId="4C8DFB5B" w14:textId="77777777" w:rsidTr="00EF66B6">
        <w:trPr>
          <w:trHeight w:val="1340"/>
        </w:trPr>
        <w:tc>
          <w:tcPr>
            <w:tcW w:w="1802"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9283688" w14:textId="77777777" w:rsidR="00C71CDB" w:rsidRDefault="00C71CDB" w:rsidP="00DA7C87">
            <w:r>
              <w:rPr>
                <w:b/>
                <w:bCs/>
              </w:rPr>
              <w:lastRenderedPageBreak/>
              <w:t>SME-focused sustainable packaging proposition</w:t>
            </w:r>
          </w:p>
        </w:tc>
        <w:tc>
          <w:tcPr>
            <w:tcW w:w="2013" w:type="dxa"/>
            <w:tcBorders>
              <w:top w:val="single" w:sz="4" w:space="0" w:color="000000"/>
              <w:left w:val="single" w:sz="4" w:space="0" w:color="000000"/>
              <w:bottom w:val="single" w:sz="4" w:space="0" w:color="000000"/>
              <w:right w:val="single" w:sz="4" w:space="0" w:color="000000"/>
            </w:tcBorders>
            <w:shd w:val="clear" w:color="auto" w:fill="00FF00"/>
            <w:tcMar>
              <w:top w:w="100" w:type="dxa"/>
              <w:left w:w="100" w:type="dxa"/>
              <w:bottom w:w="100" w:type="dxa"/>
              <w:right w:w="100" w:type="dxa"/>
            </w:tcMar>
          </w:tcPr>
          <w:p w14:paraId="56C0CE9B" w14:textId="77777777" w:rsidR="00C71CDB" w:rsidRDefault="00C71CDB" w:rsidP="00DA7C87">
            <w:r>
              <w:t>Yes; addresses sustainability, convenience and compliance needs</w:t>
            </w:r>
          </w:p>
        </w:tc>
        <w:tc>
          <w:tcPr>
            <w:tcW w:w="1206" w:type="dxa"/>
            <w:tcBorders>
              <w:top w:val="single" w:sz="4" w:space="0" w:color="000000"/>
              <w:left w:val="single" w:sz="4" w:space="0" w:color="000000"/>
              <w:bottom w:val="single" w:sz="4" w:space="0" w:color="000000"/>
              <w:right w:val="single" w:sz="4" w:space="0" w:color="000000"/>
            </w:tcBorders>
            <w:shd w:val="clear" w:color="auto" w:fill="FF9900"/>
            <w:tcMar>
              <w:top w:w="100" w:type="dxa"/>
              <w:left w:w="100" w:type="dxa"/>
              <w:bottom w:w="100" w:type="dxa"/>
              <w:right w:w="100" w:type="dxa"/>
            </w:tcMar>
          </w:tcPr>
          <w:p w14:paraId="3DC2E9EC" w14:textId="77777777" w:rsidR="00C71CDB" w:rsidRDefault="00C71CDB" w:rsidP="00DA7C87">
            <w:r>
              <w:t>Partly</w:t>
            </w:r>
          </w:p>
        </w:tc>
        <w:tc>
          <w:tcPr>
            <w:tcW w:w="1503" w:type="dxa"/>
            <w:tcBorders>
              <w:top w:val="single" w:sz="4" w:space="0" w:color="000000"/>
              <w:left w:val="single" w:sz="4" w:space="0" w:color="000000"/>
              <w:bottom w:val="single" w:sz="4" w:space="0" w:color="000000"/>
              <w:right w:val="single" w:sz="4" w:space="0" w:color="000000"/>
            </w:tcBorders>
            <w:shd w:val="clear" w:color="auto" w:fill="00FF00"/>
            <w:tcMar>
              <w:top w:w="100" w:type="dxa"/>
              <w:left w:w="100" w:type="dxa"/>
              <w:bottom w:w="100" w:type="dxa"/>
              <w:right w:w="100" w:type="dxa"/>
            </w:tcMar>
          </w:tcPr>
          <w:p w14:paraId="7994E5DC" w14:textId="77777777" w:rsidR="00C71CDB" w:rsidRDefault="00C71CDB" w:rsidP="00DA7C87">
            <w:r>
              <w:t>Low</w:t>
            </w:r>
          </w:p>
        </w:tc>
        <w:tc>
          <w:tcPr>
            <w:tcW w:w="1404" w:type="dxa"/>
            <w:tcBorders>
              <w:top w:val="single" w:sz="4" w:space="0" w:color="000000"/>
              <w:left w:val="single" w:sz="4" w:space="0" w:color="000000"/>
              <w:bottom w:val="single" w:sz="4" w:space="0" w:color="000000"/>
              <w:right w:val="single" w:sz="4" w:space="0" w:color="000000"/>
            </w:tcBorders>
            <w:shd w:val="clear" w:color="auto" w:fill="FFFF00"/>
            <w:tcMar>
              <w:top w:w="100" w:type="dxa"/>
              <w:left w:w="100" w:type="dxa"/>
              <w:bottom w:w="100" w:type="dxa"/>
              <w:right w:w="100" w:type="dxa"/>
            </w:tcMar>
          </w:tcPr>
          <w:p w14:paraId="60433509" w14:textId="77777777" w:rsidR="00C71CDB" w:rsidRDefault="00C71CDB" w:rsidP="00DA7C87">
            <w:r>
              <w:t>Developable</w:t>
            </w:r>
          </w:p>
        </w:tc>
        <w:tc>
          <w:tcPr>
            <w:tcW w:w="1432"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D568DE3" w14:textId="77777777" w:rsidR="00C71CDB" w:rsidRDefault="00C71CDB" w:rsidP="00DA7C87">
            <w:r>
              <w:t>Competitive parity initially</w:t>
            </w:r>
          </w:p>
        </w:tc>
      </w:tr>
      <w:tr w:rsidR="00C71CDB" w14:paraId="41F2347D" w14:textId="77777777" w:rsidTr="00EF66B6">
        <w:trPr>
          <w:trHeight w:val="1625"/>
        </w:trPr>
        <w:tc>
          <w:tcPr>
            <w:tcW w:w="1802"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DF0AD3E" w14:textId="77777777" w:rsidR="00C71CDB" w:rsidRDefault="00C71CDB" w:rsidP="00DA7C87">
            <w:r>
              <w:rPr>
                <w:b/>
                <w:bCs/>
              </w:rPr>
              <w:t>Curated supplier network</w:t>
            </w:r>
          </w:p>
        </w:tc>
        <w:tc>
          <w:tcPr>
            <w:tcW w:w="2013" w:type="dxa"/>
            <w:tcBorders>
              <w:top w:val="single" w:sz="4" w:space="0" w:color="000000"/>
              <w:left w:val="single" w:sz="4" w:space="0" w:color="000000"/>
              <w:bottom w:val="single" w:sz="4" w:space="0" w:color="000000"/>
              <w:right w:val="single" w:sz="4" w:space="0" w:color="000000"/>
            </w:tcBorders>
            <w:shd w:val="clear" w:color="auto" w:fill="00FF00"/>
            <w:tcMar>
              <w:top w:w="100" w:type="dxa"/>
              <w:left w:w="100" w:type="dxa"/>
              <w:bottom w:w="100" w:type="dxa"/>
              <w:right w:w="100" w:type="dxa"/>
            </w:tcMar>
          </w:tcPr>
          <w:p w14:paraId="153325E7" w14:textId="77777777" w:rsidR="00C71CDB" w:rsidRDefault="00C71CDB" w:rsidP="00DA7C87">
            <w:r>
              <w:t>Yes; improves product availability and reduces need for manufacturing assets</w:t>
            </w:r>
          </w:p>
        </w:tc>
        <w:tc>
          <w:tcPr>
            <w:tcW w:w="1206" w:type="dxa"/>
            <w:tcBorders>
              <w:top w:val="single" w:sz="4" w:space="0" w:color="000000"/>
              <w:left w:val="single" w:sz="4" w:space="0" w:color="000000"/>
              <w:bottom w:val="single" w:sz="4" w:space="0" w:color="000000"/>
              <w:right w:val="single" w:sz="4" w:space="0" w:color="000000"/>
            </w:tcBorders>
            <w:shd w:val="clear" w:color="auto" w:fill="FF9900"/>
            <w:tcMar>
              <w:top w:w="100" w:type="dxa"/>
              <w:left w:w="100" w:type="dxa"/>
              <w:bottom w:w="100" w:type="dxa"/>
              <w:right w:w="100" w:type="dxa"/>
            </w:tcMar>
          </w:tcPr>
          <w:p w14:paraId="6641C47D" w14:textId="77777777" w:rsidR="00C71CDB" w:rsidRDefault="00C71CDB" w:rsidP="00DA7C87">
            <w:r>
              <w:t>Potentially</w:t>
            </w:r>
          </w:p>
        </w:tc>
        <w:tc>
          <w:tcPr>
            <w:tcW w:w="1503" w:type="dxa"/>
            <w:tcBorders>
              <w:top w:val="single" w:sz="4" w:space="0" w:color="000000"/>
              <w:left w:val="single" w:sz="4" w:space="0" w:color="000000"/>
              <w:bottom w:val="single" w:sz="4" w:space="0" w:color="000000"/>
              <w:right w:val="single" w:sz="4" w:space="0" w:color="000000"/>
            </w:tcBorders>
            <w:shd w:val="clear" w:color="auto" w:fill="FFFF00"/>
            <w:tcMar>
              <w:top w:w="100" w:type="dxa"/>
              <w:left w:w="100" w:type="dxa"/>
              <w:bottom w:w="100" w:type="dxa"/>
              <w:right w:w="100" w:type="dxa"/>
            </w:tcMar>
          </w:tcPr>
          <w:p w14:paraId="041BEABF" w14:textId="77777777" w:rsidR="00C71CDB" w:rsidRDefault="00C71CDB" w:rsidP="00DA7C87">
            <w:r>
              <w:t>Moderate; relationships require time</w:t>
            </w:r>
          </w:p>
        </w:tc>
        <w:tc>
          <w:tcPr>
            <w:tcW w:w="1404" w:type="dxa"/>
            <w:tcBorders>
              <w:top w:val="single" w:sz="4" w:space="0" w:color="000000"/>
              <w:left w:val="single" w:sz="4" w:space="0" w:color="000000"/>
              <w:bottom w:val="single" w:sz="4" w:space="0" w:color="000000"/>
              <w:right w:val="single" w:sz="4" w:space="0" w:color="000000"/>
            </w:tcBorders>
            <w:shd w:val="clear" w:color="auto" w:fill="00FF00"/>
            <w:tcMar>
              <w:top w:w="100" w:type="dxa"/>
              <w:left w:w="100" w:type="dxa"/>
              <w:bottom w:w="100" w:type="dxa"/>
              <w:right w:w="100" w:type="dxa"/>
            </w:tcMar>
          </w:tcPr>
          <w:p w14:paraId="3E09541D" w14:textId="77777777" w:rsidR="00C71CDB" w:rsidRDefault="00C71CDB" w:rsidP="00DA7C87">
            <w:r>
              <w:t>Requires supplier systems</w:t>
            </w:r>
          </w:p>
        </w:tc>
        <w:tc>
          <w:tcPr>
            <w:tcW w:w="1432"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6ECB541" w14:textId="77777777" w:rsidR="00C71CDB" w:rsidRDefault="00C71CDB" w:rsidP="00DA7C87">
            <w:r>
              <w:t>Potential temporary advantage</w:t>
            </w:r>
          </w:p>
        </w:tc>
      </w:tr>
      <w:tr w:rsidR="00C71CDB" w14:paraId="1CB8FFD6" w14:textId="77777777" w:rsidTr="00EF66B6">
        <w:trPr>
          <w:trHeight w:val="1340"/>
        </w:trPr>
        <w:tc>
          <w:tcPr>
            <w:tcW w:w="1802"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3D469E5" w14:textId="77777777" w:rsidR="00C71CDB" w:rsidRDefault="00C71CDB" w:rsidP="00DA7C87">
            <w:r>
              <w:rPr>
                <w:b/>
                <w:bCs/>
              </w:rPr>
              <w:t>Digital procurement platform</w:t>
            </w:r>
          </w:p>
        </w:tc>
        <w:tc>
          <w:tcPr>
            <w:tcW w:w="2013" w:type="dxa"/>
            <w:tcBorders>
              <w:top w:val="single" w:sz="4" w:space="0" w:color="000000"/>
              <w:left w:val="single" w:sz="4" w:space="0" w:color="000000"/>
              <w:bottom w:val="single" w:sz="4" w:space="0" w:color="000000"/>
              <w:right w:val="single" w:sz="4" w:space="0" w:color="000000"/>
            </w:tcBorders>
            <w:shd w:val="clear" w:color="auto" w:fill="00FF00"/>
            <w:tcMar>
              <w:top w:w="100" w:type="dxa"/>
              <w:left w:w="100" w:type="dxa"/>
              <w:bottom w:w="100" w:type="dxa"/>
              <w:right w:w="100" w:type="dxa"/>
            </w:tcMar>
          </w:tcPr>
          <w:p w14:paraId="06EF1870" w14:textId="77777777" w:rsidR="00C71CDB" w:rsidRDefault="00C71CDB" w:rsidP="00DA7C87">
            <w:r>
              <w:t>Yes; reduces search and purchasing effort</w:t>
            </w:r>
          </w:p>
        </w:tc>
        <w:tc>
          <w:tcPr>
            <w:tcW w:w="1206" w:type="dxa"/>
            <w:tcBorders>
              <w:top w:val="single" w:sz="4" w:space="0" w:color="000000"/>
              <w:left w:val="single" w:sz="4" w:space="0" w:color="000000"/>
              <w:bottom w:val="single" w:sz="4" w:space="0" w:color="000000"/>
              <w:right w:val="single" w:sz="4" w:space="0" w:color="000000"/>
            </w:tcBorders>
            <w:shd w:val="clear" w:color="auto" w:fill="FF0000"/>
            <w:tcMar>
              <w:top w:w="100" w:type="dxa"/>
              <w:left w:w="100" w:type="dxa"/>
              <w:bottom w:w="100" w:type="dxa"/>
              <w:right w:w="100" w:type="dxa"/>
            </w:tcMar>
          </w:tcPr>
          <w:p w14:paraId="1D89348A" w14:textId="77777777" w:rsidR="00C71CDB" w:rsidRDefault="00C71CDB" w:rsidP="00DA7C87">
            <w:r>
              <w:t>No</w:t>
            </w:r>
          </w:p>
        </w:tc>
        <w:tc>
          <w:tcPr>
            <w:tcW w:w="1503" w:type="dxa"/>
            <w:tcBorders>
              <w:top w:val="single" w:sz="4" w:space="0" w:color="000000"/>
              <w:left w:val="single" w:sz="4" w:space="0" w:color="000000"/>
              <w:bottom w:val="single" w:sz="4" w:space="0" w:color="000000"/>
              <w:right w:val="single" w:sz="4" w:space="0" w:color="000000"/>
            </w:tcBorders>
            <w:shd w:val="clear" w:color="auto" w:fill="FFFF00"/>
            <w:tcMar>
              <w:top w:w="100" w:type="dxa"/>
              <w:left w:w="100" w:type="dxa"/>
              <w:bottom w:w="100" w:type="dxa"/>
              <w:right w:w="100" w:type="dxa"/>
            </w:tcMar>
          </w:tcPr>
          <w:p w14:paraId="33B16049" w14:textId="77777777" w:rsidR="00C71CDB" w:rsidRDefault="00C71CDB" w:rsidP="00DA7C87">
            <w:r>
              <w:t>Low–moderate</w:t>
            </w:r>
          </w:p>
        </w:tc>
        <w:tc>
          <w:tcPr>
            <w:tcW w:w="1404" w:type="dxa"/>
            <w:tcBorders>
              <w:top w:val="single" w:sz="4" w:space="0" w:color="000000"/>
              <w:left w:val="single" w:sz="4" w:space="0" w:color="000000"/>
              <w:bottom w:val="single" w:sz="4" w:space="0" w:color="000000"/>
              <w:right w:val="single" w:sz="4" w:space="0" w:color="000000"/>
            </w:tcBorders>
            <w:shd w:val="clear" w:color="auto" w:fill="00FF00"/>
            <w:tcMar>
              <w:top w:w="100" w:type="dxa"/>
              <w:left w:w="100" w:type="dxa"/>
              <w:bottom w:w="100" w:type="dxa"/>
              <w:right w:w="100" w:type="dxa"/>
            </w:tcMar>
          </w:tcPr>
          <w:p w14:paraId="36C7954E" w14:textId="77777777" w:rsidR="00C71CDB" w:rsidRDefault="00C71CDB" w:rsidP="00DA7C87">
            <w:r>
              <w:t>Developable</w:t>
            </w:r>
          </w:p>
        </w:tc>
        <w:tc>
          <w:tcPr>
            <w:tcW w:w="1432"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1B7A170" w14:textId="77777777" w:rsidR="00C71CDB" w:rsidRDefault="00C71CDB" w:rsidP="00DA7C87">
            <w:r>
              <w:t>Parity unless combined with data/service</w:t>
            </w:r>
          </w:p>
        </w:tc>
      </w:tr>
      <w:tr w:rsidR="00C71CDB" w14:paraId="727AEAD8" w14:textId="77777777" w:rsidTr="00EF66B6">
        <w:trPr>
          <w:trHeight w:val="1070"/>
        </w:trPr>
        <w:tc>
          <w:tcPr>
            <w:tcW w:w="1802"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03B666D" w14:textId="77777777" w:rsidR="00C71CDB" w:rsidRDefault="00C71CDB" w:rsidP="00DA7C87">
            <w:r>
              <w:rPr>
                <w:b/>
                <w:bCs/>
              </w:rPr>
              <w:t>PPWR and sustainability knowledge</w:t>
            </w:r>
          </w:p>
        </w:tc>
        <w:tc>
          <w:tcPr>
            <w:tcW w:w="2013" w:type="dxa"/>
            <w:tcBorders>
              <w:top w:val="single" w:sz="4" w:space="0" w:color="000000"/>
              <w:left w:val="single" w:sz="4" w:space="0" w:color="000000"/>
              <w:bottom w:val="single" w:sz="4" w:space="0" w:color="000000"/>
              <w:right w:val="single" w:sz="4" w:space="0" w:color="000000"/>
            </w:tcBorders>
            <w:shd w:val="clear" w:color="auto" w:fill="00FF00"/>
            <w:tcMar>
              <w:top w:w="100" w:type="dxa"/>
              <w:left w:w="100" w:type="dxa"/>
              <w:bottom w:w="100" w:type="dxa"/>
              <w:right w:w="100" w:type="dxa"/>
            </w:tcMar>
          </w:tcPr>
          <w:p w14:paraId="01D50120" w14:textId="77777777" w:rsidR="00C71CDB" w:rsidRDefault="00C71CDB" w:rsidP="00DA7C87">
            <w:r>
              <w:t>Yes; helps SMEs navigate changing requirements</w:t>
            </w:r>
          </w:p>
        </w:tc>
        <w:tc>
          <w:tcPr>
            <w:tcW w:w="1206" w:type="dxa"/>
            <w:tcBorders>
              <w:top w:val="single" w:sz="4" w:space="0" w:color="000000"/>
              <w:left w:val="single" w:sz="4" w:space="0" w:color="000000"/>
              <w:bottom w:val="single" w:sz="4" w:space="0" w:color="000000"/>
              <w:right w:val="single" w:sz="4" w:space="0" w:color="000000"/>
            </w:tcBorders>
            <w:shd w:val="clear" w:color="auto" w:fill="FF9900"/>
            <w:tcMar>
              <w:top w:w="100" w:type="dxa"/>
              <w:left w:w="100" w:type="dxa"/>
              <w:bottom w:w="100" w:type="dxa"/>
              <w:right w:w="100" w:type="dxa"/>
            </w:tcMar>
          </w:tcPr>
          <w:p w14:paraId="6398CB77" w14:textId="77777777" w:rsidR="00C71CDB" w:rsidRDefault="00C71CDB" w:rsidP="00DA7C87">
            <w:r>
              <w:t>Potentially</w:t>
            </w:r>
          </w:p>
        </w:tc>
        <w:tc>
          <w:tcPr>
            <w:tcW w:w="1503" w:type="dxa"/>
            <w:tcBorders>
              <w:top w:val="single" w:sz="4" w:space="0" w:color="000000"/>
              <w:left w:val="single" w:sz="4" w:space="0" w:color="000000"/>
              <w:bottom w:val="single" w:sz="4" w:space="0" w:color="000000"/>
              <w:right w:val="single" w:sz="4" w:space="0" w:color="000000"/>
            </w:tcBorders>
            <w:shd w:val="clear" w:color="auto" w:fill="FF9900"/>
            <w:tcMar>
              <w:top w:w="100" w:type="dxa"/>
              <w:left w:w="100" w:type="dxa"/>
              <w:bottom w:w="100" w:type="dxa"/>
              <w:right w:w="100" w:type="dxa"/>
            </w:tcMar>
          </w:tcPr>
          <w:p w14:paraId="77C28E33" w14:textId="77777777" w:rsidR="00C71CDB" w:rsidRDefault="00C71CDB" w:rsidP="00DA7C87">
            <w:r>
              <w:t>Moderate</w:t>
            </w:r>
          </w:p>
        </w:tc>
        <w:tc>
          <w:tcPr>
            <w:tcW w:w="1404" w:type="dxa"/>
            <w:tcBorders>
              <w:top w:val="single" w:sz="4" w:space="0" w:color="000000"/>
              <w:left w:val="single" w:sz="4" w:space="0" w:color="000000"/>
              <w:bottom w:val="single" w:sz="4" w:space="0" w:color="000000"/>
              <w:right w:val="single" w:sz="4" w:space="0" w:color="000000"/>
            </w:tcBorders>
            <w:shd w:val="clear" w:color="auto" w:fill="00FF00"/>
            <w:tcMar>
              <w:top w:w="100" w:type="dxa"/>
              <w:left w:w="100" w:type="dxa"/>
              <w:bottom w:w="100" w:type="dxa"/>
              <w:right w:w="100" w:type="dxa"/>
            </w:tcMar>
          </w:tcPr>
          <w:p w14:paraId="7DD62FB6" w14:textId="77777777" w:rsidR="00C71CDB" w:rsidRDefault="00C71CDB" w:rsidP="00DA7C87">
            <w:r>
              <w:t>Requires specialist processes</w:t>
            </w:r>
          </w:p>
        </w:tc>
        <w:tc>
          <w:tcPr>
            <w:tcW w:w="1432"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CF15C9E" w14:textId="77777777" w:rsidR="00C71CDB" w:rsidRDefault="00C71CDB" w:rsidP="00DA7C87">
            <w:r>
              <w:t>Potential temporary advantage</w:t>
            </w:r>
          </w:p>
        </w:tc>
      </w:tr>
      <w:tr w:rsidR="00C71CDB" w14:paraId="5327AA34" w14:textId="77777777" w:rsidTr="00EF66B6">
        <w:trPr>
          <w:trHeight w:val="1340"/>
        </w:trPr>
        <w:tc>
          <w:tcPr>
            <w:tcW w:w="1802"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0904B50" w14:textId="77777777" w:rsidR="00C71CDB" w:rsidRDefault="00C71CDB" w:rsidP="00DA7C87">
            <w:r>
              <w:rPr>
                <w:b/>
                <w:bCs/>
              </w:rPr>
              <w:t>Customer purchasing data</w:t>
            </w:r>
          </w:p>
        </w:tc>
        <w:tc>
          <w:tcPr>
            <w:tcW w:w="2013" w:type="dxa"/>
            <w:tcBorders>
              <w:top w:val="single" w:sz="4" w:space="0" w:color="000000"/>
              <w:left w:val="single" w:sz="4" w:space="0" w:color="000000"/>
              <w:bottom w:val="single" w:sz="4" w:space="0" w:color="000000"/>
              <w:right w:val="single" w:sz="4" w:space="0" w:color="000000"/>
            </w:tcBorders>
            <w:shd w:val="clear" w:color="auto" w:fill="00FF00"/>
            <w:tcMar>
              <w:top w:w="100" w:type="dxa"/>
              <w:left w:w="100" w:type="dxa"/>
              <w:bottom w:w="100" w:type="dxa"/>
              <w:right w:w="100" w:type="dxa"/>
            </w:tcMar>
          </w:tcPr>
          <w:p w14:paraId="6AA63D29" w14:textId="77777777" w:rsidR="00C71CDB" w:rsidRDefault="00C71CDB" w:rsidP="00DA7C87">
            <w:r>
              <w:t>Potentially high; enables recommendations and retention</w:t>
            </w:r>
          </w:p>
        </w:tc>
        <w:tc>
          <w:tcPr>
            <w:tcW w:w="1206" w:type="dxa"/>
            <w:tcBorders>
              <w:top w:val="single" w:sz="4" w:space="0" w:color="000000"/>
              <w:left w:val="single" w:sz="4" w:space="0" w:color="000000"/>
              <w:bottom w:val="single" w:sz="4" w:space="0" w:color="000000"/>
              <w:right w:val="single" w:sz="4" w:space="0" w:color="000000"/>
            </w:tcBorders>
            <w:shd w:val="clear" w:color="auto" w:fill="FF0000"/>
            <w:tcMar>
              <w:top w:w="100" w:type="dxa"/>
              <w:left w:w="100" w:type="dxa"/>
              <w:bottom w:w="100" w:type="dxa"/>
              <w:right w:w="100" w:type="dxa"/>
            </w:tcMar>
          </w:tcPr>
          <w:p w14:paraId="06854CE7" w14:textId="77777777" w:rsidR="00C71CDB" w:rsidRDefault="00C71CDB" w:rsidP="00DA7C87">
            <w:r>
              <w:t>Not initially</w:t>
            </w:r>
          </w:p>
        </w:tc>
        <w:tc>
          <w:tcPr>
            <w:tcW w:w="1503" w:type="dxa"/>
            <w:tcBorders>
              <w:top w:val="single" w:sz="4" w:space="0" w:color="000000"/>
              <w:left w:val="single" w:sz="4" w:space="0" w:color="000000"/>
              <w:bottom w:val="single" w:sz="4" w:space="0" w:color="000000"/>
              <w:right w:val="single" w:sz="4" w:space="0" w:color="000000"/>
            </w:tcBorders>
            <w:shd w:val="clear" w:color="auto" w:fill="FF0000"/>
            <w:tcMar>
              <w:top w:w="100" w:type="dxa"/>
              <w:left w:w="100" w:type="dxa"/>
              <w:bottom w:w="100" w:type="dxa"/>
              <w:right w:w="100" w:type="dxa"/>
            </w:tcMar>
          </w:tcPr>
          <w:p w14:paraId="42E3E8D3" w14:textId="77777777" w:rsidR="00C71CDB" w:rsidRDefault="00C71CDB" w:rsidP="00DA7C87">
            <w:r>
              <w:t>Potentially high after accumulation</w:t>
            </w:r>
          </w:p>
        </w:tc>
        <w:tc>
          <w:tcPr>
            <w:tcW w:w="1404" w:type="dxa"/>
            <w:tcBorders>
              <w:top w:val="single" w:sz="4" w:space="0" w:color="000000"/>
              <w:left w:val="single" w:sz="4" w:space="0" w:color="000000"/>
              <w:bottom w:val="single" w:sz="4" w:space="0" w:color="000000"/>
              <w:right w:val="single" w:sz="4" w:space="0" w:color="000000"/>
            </w:tcBorders>
            <w:shd w:val="clear" w:color="auto" w:fill="00FF00"/>
            <w:tcMar>
              <w:top w:w="100" w:type="dxa"/>
              <w:left w:w="100" w:type="dxa"/>
              <w:bottom w:w="100" w:type="dxa"/>
              <w:right w:w="100" w:type="dxa"/>
            </w:tcMar>
          </w:tcPr>
          <w:p w14:paraId="3C67B541" w14:textId="77777777" w:rsidR="00C71CDB" w:rsidRDefault="00C71CDB" w:rsidP="00DA7C87">
            <w:r>
              <w:t>Not yet available</w:t>
            </w:r>
          </w:p>
        </w:tc>
        <w:tc>
          <w:tcPr>
            <w:tcW w:w="1432"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1A146D7" w14:textId="77777777" w:rsidR="00C71CDB" w:rsidRDefault="00C71CDB" w:rsidP="00DA7C87">
            <w:r>
              <w:t>Future advantage</w:t>
            </w:r>
          </w:p>
        </w:tc>
      </w:tr>
      <w:tr w:rsidR="00C71CDB" w14:paraId="7493633E" w14:textId="77777777" w:rsidTr="00EF66B6">
        <w:trPr>
          <w:trHeight w:val="1340"/>
        </w:trPr>
        <w:tc>
          <w:tcPr>
            <w:tcW w:w="1802"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3B96FB9" w14:textId="77777777" w:rsidR="00C71CDB" w:rsidRDefault="00C71CDB" w:rsidP="00DA7C87">
            <w:r>
              <w:rPr>
                <w:b/>
                <w:bCs/>
              </w:rPr>
              <w:lastRenderedPageBreak/>
              <w:t>Manufacturing capacity</w:t>
            </w:r>
          </w:p>
        </w:tc>
        <w:tc>
          <w:tcPr>
            <w:tcW w:w="2013" w:type="dxa"/>
            <w:tcBorders>
              <w:top w:val="single" w:sz="4" w:space="0" w:color="000000"/>
              <w:left w:val="single" w:sz="4" w:space="0" w:color="000000"/>
              <w:bottom w:val="single" w:sz="4" w:space="0" w:color="000000"/>
              <w:right w:val="single" w:sz="4" w:space="0" w:color="000000"/>
            </w:tcBorders>
            <w:shd w:val="clear" w:color="auto" w:fill="00FF00"/>
            <w:tcMar>
              <w:top w:w="100" w:type="dxa"/>
              <w:left w:w="100" w:type="dxa"/>
              <w:bottom w:w="100" w:type="dxa"/>
              <w:right w:w="100" w:type="dxa"/>
            </w:tcMar>
          </w:tcPr>
          <w:p w14:paraId="6BFFD615" w14:textId="77777777" w:rsidR="00C71CDB" w:rsidRDefault="00C71CDB" w:rsidP="00DA7C87">
            <w:r>
              <w:t>Yes</w:t>
            </w:r>
          </w:p>
        </w:tc>
        <w:tc>
          <w:tcPr>
            <w:tcW w:w="1206" w:type="dxa"/>
            <w:tcBorders>
              <w:top w:val="single" w:sz="4" w:space="0" w:color="000000"/>
              <w:left w:val="single" w:sz="4" w:space="0" w:color="000000"/>
              <w:bottom w:val="single" w:sz="4" w:space="0" w:color="000000"/>
              <w:right w:val="single" w:sz="4" w:space="0" w:color="000000"/>
            </w:tcBorders>
            <w:shd w:val="clear" w:color="auto" w:fill="00FF00"/>
            <w:tcMar>
              <w:top w:w="100" w:type="dxa"/>
              <w:left w:w="100" w:type="dxa"/>
              <w:bottom w:w="100" w:type="dxa"/>
              <w:right w:w="100" w:type="dxa"/>
            </w:tcMar>
          </w:tcPr>
          <w:p w14:paraId="50C4E794" w14:textId="77777777" w:rsidR="00C71CDB" w:rsidRDefault="00C71CDB" w:rsidP="00DA7C87">
            <w:r>
              <w:t>Yes</w:t>
            </w:r>
          </w:p>
        </w:tc>
        <w:tc>
          <w:tcPr>
            <w:tcW w:w="1503" w:type="dxa"/>
            <w:tcBorders>
              <w:top w:val="single" w:sz="4" w:space="0" w:color="000000"/>
              <w:left w:val="single" w:sz="4" w:space="0" w:color="000000"/>
              <w:bottom w:val="single" w:sz="4" w:space="0" w:color="000000"/>
              <w:right w:val="single" w:sz="4" w:space="0" w:color="000000"/>
            </w:tcBorders>
            <w:shd w:val="clear" w:color="auto" w:fill="FF0000"/>
            <w:tcMar>
              <w:top w:w="100" w:type="dxa"/>
              <w:left w:w="100" w:type="dxa"/>
              <w:bottom w:w="100" w:type="dxa"/>
              <w:right w:w="100" w:type="dxa"/>
            </w:tcMar>
          </w:tcPr>
          <w:p w14:paraId="2CF4EDA9" w14:textId="77777777" w:rsidR="00C71CDB" w:rsidRDefault="00C71CDB" w:rsidP="00DA7C87">
            <w:r>
              <w:t>High</w:t>
            </w:r>
          </w:p>
        </w:tc>
        <w:tc>
          <w:tcPr>
            <w:tcW w:w="1404" w:type="dxa"/>
            <w:tcBorders>
              <w:top w:val="single" w:sz="4" w:space="0" w:color="000000"/>
              <w:left w:val="single" w:sz="4" w:space="0" w:color="000000"/>
              <w:bottom w:val="single" w:sz="4" w:space="0" w:color="000000"/>
              <w:right w:val="single" w:sz="4" w:space="0" w:color="000000"/>
            </w:tcBorders>
            <w:shd w:val="clear" w:color="auto" w:fill="FF0000"/>
            <w:tcMar>
              <w:top w:w="100" w:type="dxa"/>
              <w:left w:w="100" w:type="dxa"/>
              <w:bottom w:w="100" w:type="dxa"/>
              <w:right w:w="100" w:type="dxa"/>
            </w:tcMar>
          </w:tcPr>
          <w:p w14:paraId="4B4E3E84" w14:textId="77777777" w:rsidR="00C71CDB" w:rsidRDefault="00C71CDB" w:rsidP="00DA7C87">
            <w:r>
              <w:t>Not available</w:t>
            </w:r>
          </w:p>
        </w:tc>
        <w:tc>
          <w:tcPr>
            <w:tcW w:w="1432"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3C12ACB" w14:textId="77777777" w:rsidR="00C71CDB" w:rsidRDefault="00C71CDB" w:rsidP="00DA7C87">
            <w:r>
              <w:t>Capability gap; partnership required</w:t>
            </w:r>
          </w:p>
        </w:tc>
      </w:tr>
      <w:tr w:rsidR="00C71CDB" w14:paraId="55953DE9" w14:textId="77777777" w:rsidTr="00EF66B6">
        <w:trPr>
          <w:trHeight w:val="1070"/>
        </w:trPr>
        <w:tc>
          <w:tcPr>
            <w:tcW w:w="1802"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55335E3" w14:textId="77777777" w:rsidR="00C71CDB" w:rsidRDefault="00C71CDB" w:rsidP="00DA7C87">
            <w:r>
              <w:rPr>
                <w:b/>
                <w:bCs/>
              </w:rPr>
              <w:t>Established brand and reputation</w:t>
            </w:r>
          </w:p>
        </w:tc>
        <w:tc>
          <w:tcPr>
            <w:tcW w:w="2013" w:type="dxa"/>
            <w:tcBorders>
              <w:top w:val="single" w:sz="4" w:space="0" w:color="000000"/>
              <w:left w:val="single" w:sz="4" w:space="0" w:color="000000"/>
              <w:bottom w:val="single" w:sz="4" w:space="0" w:color="000000"/>
              <w:right w:val="single" w:sz="4" w:space="0" w:color="000000"/>
            </w:tcBorders>
            <w:shd w:val="clear" w:color="auto" w:fill="00FF00"/>
            <w:tcMar>
              <w:top w:w="100" w:type="dxa"/>
              <w:left w:w="100" w:type="dxa"/>
              <w:bottom w:w="100" w:type="dxa"/>
              <w:right w:w="100" w:type="dxa"/>
            </w:tcMar>
          </w:tcPr>
          <w:p w14:paraId="744722BF" w14:textId="77777777" w:rsidR="00C71CDB" w:rsidRDefault="00C71CDB" w:rsidP="00DA7C87">
            <w:r>
              <w:t>Yes</w:t>
            </w:r>
          </w:p>
        </w:tc>
        <w:tc>
          <w:tcPr>
            <w:tcW w:w="1206" w:type="dxa"/>
            <w:tcBorders>
              <w:top w:val="single" w:sz="4" w:space="0" w:color="000000"/>
              <w:left w:val="single" w:sz="4" w:space="0" w:color="000000"/>
              <w:bottom w:val="single" w:sz="4" w:space="0" w:color="000000"/>
              <w:right w:val="single" w:sz="4" w:space="0" w:color="000000"/>
            </w:tcBorders>
            <w:shd w:val="clear" w:color="auto" w:fill="FF0000"/>
            <w:tcMar>
              <w:top w:w="100" w:type="dxa"/>
              <w:left w:w="100" w:type="dxa"/>
              <w:bottom w:w="100" w:type="dxa"/>
              <w:right w:w="100" w:type="dxa"/>
            </w:tcMar>
          </w:tcPr>
          <w:p w14:paraId="680CFF0F" w14:textId="77777777" w:rsidR="00C71CDB" w:rsidRDefault="00C71CDB" w:rsidP="00DA7C87">
            <w:r>
              <w:t>No</w:t>
            </w:r>
          </w:p>
        </w:tc>
        <w:tc>
          <w:tcPr>
            <w:tcW w:w="1503" w:type="dxa"/>
            <w:tcBorders>
              <w:top w:val="single" w:sz="4" w:space="0" w:color="000000"/>
              <w:left w:val="single" w:sz="4" w:space="0" w:color="000000"/>
              <w:bottom w:val="single" w:sz="4" w:space="0" w:color="000000"/>
              <w:right w:val="single" w:sz="4" w:space="0" w:color="000000"/>
            </w:tcBorders>
            <w:shd w:val="clear" w:color="auto" w:fill="FF0000"/>
            <w:tcMar>
              <w:top w:w="100" w:type="dxa"/>
              <w:left w:w="100" w:type="dxa"/>
              <w:bottom w:w="100" w:type="dxa"/>
              <w:right w:w="100" w:type="dxa"/>
            </w:tcMar>
          </w:tcPr>
          <w:p w14:paraId="55A1BE16" w14:textId="77777777" w:rsidR="00C71CDB" w:rsidRDefault="00C71CDB" w:rsidP="00DA7C87">
            <w:r>
              <w:t>Difficult to build quickly</w:t>
            </w:r>
          </w:p>
        </w:tc>
        <w:tc>
          <w:tcPr>
            <w:tcW w:w="1404" w:type="dxa"/>
            <w:tcBorders>
              <w:top w:val="single" w:sz="4" w:space="0" w:color="000000"/>
              <w:left w:val="single" w:sz="4" w:space="0" w:color="000000"/>
              <w:bottom w:val="single" w:sz="4" w:space="0" w:color="000000"/>
              <w:right w:val="single" w:sz="4" w:space="0" w:color="000000"/>
            </w:tcBorders>
            <w:shd w:val="clear" w:color="auto" w:fill="FF0000"/>
            <w:tcMar>
              <w:top w:w="100" w:type="dxa"/>
              <w:left w:w="100" w:type="dxa"/>
              <w:bottom w:w="100" w:type="dxa"/>
              <w:right w:w="100" w:type="dxa"/>
            </w:tcMar>
          </w:tcPr>
          <w:p w14:paraId="39063174" w14:textId="77777777" w:rsidR="00C71CDB" w:rsidRDefault="00C71CDB" w:rsidP="00DA7C87">
            <w:r>
              <w:t>Not available</w:t>
            </w:r>
          </w:p>
        </w:tc>
        <w:tc>
          <w:tcPr>
            <w:tcW w:w="1432"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DA3F25A" w14:textId="77777777" w:rsidR="00C71CDB" w:rsidRDefault="00C71CDB" w:rsidP="00DA7C87">
            <w:r>
              <w:t>Current weakness</w:t>
            </w:r>
          </w:p>
        </w:tc>
      </w:tr>
      <w:tr w:rsidR="00C71CDB" w14:paraId="63C06B9D" w14:textId="77777777" w:rsidTr="00EF66B6">
        <w:trPr>
          <w:trHeight w:val="1070"/>
        </w:trPr>
        <w:tc>
          <w:tcPr>
            <w:tcW w:w="1802"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974FDF7" w14:textId="77777777" w:rsidR="00C71CDB" w:rsidRDefault="00C71CDB" w:rsidP="00DA7C87">
            <w:r>
              <w:rPr>
                <w:b/>
                <w:bCs/>
              </w:rPr>
              <w:t>Agile SME-focused operating model</w:t>
            </w:r>
          </w:p>
        </w:tc>
        <w:tc>
          <w:tcPr>
            <w:tcW w:w="2013" w:type="dxa"/>
            <w:tcBorders>
              <w:top w:val="single" w:sz="4" w:space="0" w:color="000000"/>
              <w:left w:val="single" w:sz="4" w:space="0" w:color="000000"/>
              <w:bottom w:val="single" w:sz="4" w:space="0" w:color="000000"/>
              <w:right w:val="single" w:sz="4" w:space="0" w:color="000000"/>
            </w:tcBorders>
            <w:shd w:val="clear" w:color="auto" w:fill="00FF00"/>
            <w:tcMar>
              <w:top w:w="100" w:type="dxa"/>
              <w:left w:w="100" w:type="dxa"/>
              <w:bottom w:w="100" w:type="dxa"/>
              <w:right w:w="100" w:type="dxa"/>
            </w:tcMar>
          </w:tcPr>
          <w:p w14:paraId="783FE344" w14:textId="77777777" w:rsidR="00C71CDB" w:rsidRDefault="00C71CDB" w:rsidP="00DA7C87">
            <w:r>
              <w:t>Yes; supports responsiveness</w:t>
            </w:r>
          </w:p>
        </w:tc>
        <w:tc>
          <w:tcPr>
            <w:tcW w:w="1206" w:type="dxa"/>
            <w:tcBorders>
              <w:top w:val="single" w:sz="4" w:space="0" w:color="000000"/>
              <w:left w:val="single" w:sz="4" w:space="0" w:color="000000"/>
              <w:bottom w:val="single" w:sz="4" w:space="0" w:color="000000"/>
              <w:right w:val="single" w:sz="4" w:space="0" w:color="000000"/>
            </w:tcBorders>
            <w:shd w:val="clear" w:color="auto" w:fill="FFFF00"/>
            <w:tcMar>
              <w:top w:w="100" w:type="dxa"/>
              <w:left w:w="100" w:type="dxa"/>
              <w:bottom w:w="100" w:type="dxa"/>
              <w:right w:w="100" w:type="dxa"/>
            </w:tcMar>
          </w:tcPr>
          <w:p w14:paraId="45FE8F2E" w14:textId="77777777" w:rsidR="00C71CDB" w:rsidRDefault="00C71CDB" w:rsidP="00DA7C87">
            <w:r>
              <w:t>Potentially</w:t>
            </w:r>
          </w:p>
        </w:tc>
        <w:tc>
          <w:tcPr>
            <w:tcW w:w="1503" w:type="dxa"/>
            <w:tcBorders>
              <w:top w:val="single" w:sz="4" w:space="0" w:color="000000"/>
              <w:left w:val="single" w:sz="4" w:space="0" w:color="000000"/>
              <w:bottom w:val="single" w:sz="4" w:space="0" w:color="000000"/>
              <w:right w:val="single" w:sz="4" w:space="0" w:color="000000"/>
            </w:tcBorders>
            <w:shd w:val="clear" w:color="auto" w:fill="FF9900"/>
            <w:tcMar>
              <w:top w:w="100" w:type="dxa"/>
              <w:left w:w="100" w:type="dxa"/>
              <w:bottom w:w="100" w:type="dxa"/>
              <w:right w:w="100" w:type="dxa"/>
            </w:tcMar>
          </w:tcPr>
          <w:p w14:paraId="51C7ABB4" w14:textId="77777777" w:rsidR="00C71CDB" w:rsidRDefault="00C71CDB" w:rsidP="00DA7C87">
            <w:r>
              <w:t>Moderate</w:t>
            </w:r>
          </w:p>
        </w:tc>
        <w:tc>
          <w:tcPr>
            <w:tcW w:w="1404" w:type="dxa"/>
            <w:tcBorders>
              <w:top w:val="single" w:sz="4" w:space="0" w:color="000000"/>
              <w:left w:val="single" w:sz="4" w:space="0" w:color="000000"/>
              <w:bottom w:val="single" w:sz="4" w:space="0" w:color="000000"/>
              <w:right w:val="single" w:sz="4" w:space="0" w:color="000000"/>
            </w:tcBorders>
            <w:shd w:val="clear" w:color="auto" w:fill="00FF00"/>
            <w:tcMar>
              <w:top w:w="100" w:type="dxa"/>
              <w:left w:w="100" w:type="dxa"/>
              <w:bottom w:w="100" w:type="dxa"/>
              <w:right w:w="100" w:type="dxa"/>
            </w:tcMar>
          </w:tcPr>
          <w:p w14:paraId="741309FB" w14:textId="77777777" w:rsidR="00C71CDB" w:rsidRDefault="00C71CDB" w:rsidP="00DA7C87">
            <w:r>
              <w:t>Suitable for start-up</w:t>
            </w:r>
          </w:p>
        </w:tc>
        <w:tc>
          <w:tcPr>
            <w:tcW w:w="1432"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972CA1D" w14:textId="77777777" w:rsidR="00C71CDB" w:rsidRDefault="00C71CDB" w:rsidP="00DA7C87">
            <w:r>
              <w:t>Potential temporary advantage</w:t>
            </w:r>
          </w:p>
        </w:tc>
      </w:tr>
    </w:tbl>
    <w:p w14:paraId="7E042723" w14:textId="67FA7D57" w:rsidR="00EF66B6" w:rsidRPr="00FB7622" w:rsidRDefault="00EF66B6" w:rsidP="00EF66B6">
      <w:pPr>
        <w:pStyle w:val="Heading6"/>
      </w:pPr>
      <w:bookmarkStart w:id="105" w:name="_Toc241008860"/>
      <w:r w:rsidRPr="00FB7622">
        <w:t xml:space="preserve">Table </w:t>
      </w:r>
      <w:r>
        <w:t>4</w:t>
      </w:r>
      <w:r w:rsidRPr="00FB7622">
        <w:t>: “</w:t>
      </w:r>
      <w:r>
        <w:t>VRIO</w:t>
      </w:r>
      <w:r w:rsidRPr="00FB7622">
        <w:t>”</w:t>
      </w:r>
      <w:bookmarkEnd w:id="105"/>
    </w:p>
    <w:p w14:paraId="5E40FBAE" w14:textId="3F2C640D" w:rsidR="00EF66B6" w:rsidRDefault="00EF66B6" w:rsidP="00EF66B6">
      <w:pPr>
        <w:jc w:val="center"/>
      </w:pPr>
      <w:r>
        <w:t>(Source: Created by Author)</w:t>
      </w:r>
    </w:p>
    <w:p w14:paraId="67ED3EE6" w14:textId="6F02ECBD" w:rsidR="00C71CDB" w:rsidRDefault="00C71CDB" w:rsidP="00C71CDB">
      <w:r>
        <w:t>Rather, EcoPack's value may come from the fact that it is able to integrate multiple capabilities which can be replicated by other companies: SME specialisation, supplier curation, digital procurement, regulatory advice and customer data. The mix can be enhanced over time through the development of the company's knowledge of supplier relationships and proprietary information regarding SME purchasing patterns. But, this is only a possible short-term benefit, not a long-term benefit.</w:t>
      </w:r>
    </w:p>
    <w:p w14:paraId="1392E7BB" w14:textId="77777777" w:rsidR="00C71CDB" w:rsidRDefault="00C71CDB" w:rsidP="00C71CDB">
      <w:pPr>
        <w:pStyle w:val="Heading2"/>
        <w:keepNext w:val="0"/>
        <w:keepLines w:val="0"/>
      </w:pPr>
      <w:bookmarkStart w:id="106" w:name="_5r3llh9oomia" w:colFirst="0" w:colLast="0"/>
      <w:bookmarkStart w:id="107" w:name="_Toc241008247"/>
      <w:bookmarkEnd w:id="106"/>
      <w:r>
        <w:t>7.3 SWOT and Strategic Issues</w:t>
      </w:r>
      <w:bookmarkEnd w:id="107"/>
    </w:p>
    <w:tbl>
      <w:tblPr>
        <w:tblW w:w="9210" w:type="dxa"/>
        <w:tblBorders>
          <w:top w:val="nil"/>
          <w:left w:val="nil"/>
          <w:bottom w:val="nil"/>
          <w:right w:val="nil"/>
          <w:insideH w:val="nil"/>
          <w:insideV w:val="nil"/>
        </w:tblBorders>
        <w:shd w:val="clear" w:color="auto" w:fill="DBE5F1" w:themeFill="accent1" w:themeFillTint="33"/>
        <w:tblLayout w:type="fixed"/>
        <w:tblLook w:val="0600" w:firstRow="0" w:lastRow="0" w:firstColumn="0" w:lastColumn="0" w:noHBand="1" w:noVBand="1"/>
      </w:tblPr>
      <w:tblGrid>
        <w:gridCol w:w="4665"/>
        <w:gridCol w:w="4545"/>
      </w:tblGrid>
      <w:tr w:rsidR="00C71CDB" w14:paraId="038DA4C8" w14:textId="77777777" w:rsidTr="00322600">
        <w:trPr>
          <w:trHeight w:val="515"/>
        </w:trPr>
        <w:tc>
          <w:tcPr>
            <w:tcW w:w="4665" w:type="dxa"/>
            <w:tcBorders>
              <w:top w:val="single" w:sz="4" w:space="0" w:color="000000"/>
              <w:left w:val="single" w:sz="4" w:space="0" w:color="000000"/>
              <w:bottom w:val="single" w:sz="4" w:space="0" w:color="000000"/>
              <w:right w:val="single" w:sz="4" w:space="0" w:color="000000"/>
            </w:tcBorders>
            <w:shd w:val="clear" w:color="auto" w:fill="DBE5F1" w:themeFill="accent1" w:themeFillTint="33"/>
            <w:tcMar>
              <w:top w:w="100" w:type="dxa"/>
              <w:left w:w="100" w:type="dxa"/>
              <w:bottom w:w="100" w:type="dxa"/>
              <w:right w:w="100" w:type="dxa"/>
            </w:tcMar>
          </w:tcPr>
          <w:p w14:paraId="05D0B32D" w14:textId="77777777" w:rsidR="00C71CDB" w:rsidRDefault="00C71CDB" w:rsidP="00DA7C87">
            <w:r>
              <w:rPr>
                <w:b/>
                <w:bCs/>
              </w:rPr>
              <w:t>Strengths</w:t>
            </w:r>
          </w:p>
        </w:tc>
        <w:tc>
          <w:tcPr>
            <w:tcW w:w="4545" w:type="dxa"/>
            <w:tcBorders>
              <w:top w:val="single" w:sz="4" w:space="0" w:color="000000"/>
              <w:left w:val="single" w:sz="4" w:space="0" w:color="000000"/>
              <w:bottom w:val="single" w:sz="4" w:space="0" w:color="000000"/>
              <w:right w:val="single" w:sz="4" w:space="0" w:color="000000"/>
            </w:tcBorders>
            <w:shd w:val="clear" w:color="auto" w:fill="DBE5F1" w:themeFill="accent1" w:themeFillTint="33"/>
            <w:tcMar>
              <w:top w:w="100" w:type="dxa"/>
              <w:left w:w="100" w:type="dxa"/>
              <w:bottom w:w="100" w:type="dxa"/>
              <w:right w:w="100" w:type="dxa"/>
            </w:tcMar>
          </w:tcPr>
          <w:p w14:paraId="32766857" w14:textId="77777777" w:rsidR="00C71CDB" w:rsidRDefault="00C71CDB" w:rsidP="00DA7C87">
            <w:r>
              <w:rPr>
                <w:b/>
                <w:bCs/>
              </w:rPr>
              <w:t>Weaknesses</w:t>
            </w:r>
          </w:p>
        </w:tc>
      </w:tr>
      <w:tr w:rsidR="00C71CDB" w14:paraId="104D44EE" w14:textId="77777777" w:rsidTr="00322600">
        <w:trPr>
          <w:trHeight w:val="515"/>
        </w:trPr>
        <w:tc>
          <w:tcPr>
            <w:tcW w:w="4665" w:type="dxa"/>
            <w:tcBorders>
              <w:top w:val="single" w:sz="4" w:space="0" w:color="000000"/>
              <w:left w:val="single" w:sz="4" w:space="0" w:color="000000"/>
              <w:bottom w:val="single" w:sz="4" w:space="0" w:color="000000"/>
              <w:right w:val="single" w:sz="4" w:space="0" w:color="000000"/>
            </w:tcBorders>
            <w:shd w:val="clear" w:color="auto" w:fill="DBE5F1" w:themeFill="accent1" w:themeFillTint="33"/>
            <w:tcMar>
              <w:top w:w="100" w:type="dxa"/>
              <w:left w:w="100" w:type="dxa"/>
              <w:bottom w:w="100" w:type="dxa"/>
              <w:right w:w="100" w:type="dxa"/>
            </w:tcMar>
          </w:tcPr>
          <w:p w14:paraId="6BF73198" w14:textId="77777777" w:rsidR="00C71CDB" w:rsidRDefault="00C71CDB" w:rsidP="00DA7C87">
            <w:r>
              <w:lastRenderedPageBreak/>
              <w:t>European small and medium-sized enterprises (SMEs) have been left in the dark, with no focus on them.</w:t>
            </w:r>
          </w:p>
          <w:p w14:paraId="0536831E" w14:textId="77777777" w:rsidR="00C71CDB" w:rsidRDefault="00C71CDB" w:rsidP="00DA7C87"/>
        </w:tc>
        <w:tc>
          <w:tcPr>
            <w:tcW w:w="4545" w:type="dxa"/>
            <w:tcBorders>
              <w:top w:val="single" w:sz="4" w:space="0" w:color="000000"/>
              <w:left w:val="single" w:sz="4" w:space="0" w:color="000000"/>
              <w:bottom w:val="single" w:sz="4" w:space="0" w:color="000000"/>
              <w:right w:val="single" w:sz="4" w:space="0" w:color="000000"/>
            </w:tcBorders>
            <w:shd w:val="clear" w:color="auto" w:fill="DBE5F1" w:themeFill="accent1" w:themeFillTint="33"/>
            <w:tcMar>
              <w:top w:w="100" w:type="dxa"/>
              <w:left w:w="100" w:type="dxa"/>
              <w:bottom w:w="100" w:type="dxa"/>
              <w:right w:w="100" w:type="dxa"/>
            </w:tcMar>
          </w:tcPr>
          <w:p w14:paraId="1750C2C9" w14:textId="77777777" w:rsidR="00C71CDB" w:rsidRDefault="00C71CDB" w:rsidP="00DA7C87">
            <w:r>
              <w:t>No brand awareness or loyal customer base.</w:t>
            </w:r>
          </w:p>
        </w:tc>
      </w:tr>
      <w:tr w:rsidR="00C71CDB" w14:paraId="3F044D9A" w14:textId="77777777" w:rsidTr="00322600">
        <w:trPr>
          <w:trHeight w:val="785"/>
        </w:trPr>
        <w:tc>
          <w:tcPr>
            <w:tcW w:w="4665" w:type="dxa"/>
            <w:tcBorders>
              <w:top w:val="single" w:sz="4" w:space="0" w:color="000000"/>
              <w:left w:val="single" w:sz="4" w:space="0" w:color="000000"/>
              <w:bottom w:val="single" w:sz="4" w:space="0" w:color="000000"/>
              <w:right w:val="single" w:sz="4" w:space="0" w:color="000000"/>
            </w:tcBorders>
            <w:shd w:val="clear" w:color="auto" w:fill="DBE5F1" w:themeFill="accent1" w:themeFillTint="33"/>
            <w:tcMar>
              <w:top w:w="100" w:type="dxa"/>
              <w:left w:w="100" w:type="dxa"/>
              <w:bottom w:w="100" w:type="dxa"/>
              <w:right w:w="100" w:type="dxa"/>
            </w:tcMar>
          </w:tcPr>
          <w:p w14:paraId="7F5A22DE" w14:textId="77777777" w:rsidR="00C71CDB" w:rsidRDefault="00C71CDB" w:rsidP="00DA7C87">
            <w:r>
              <w:t>It can use external manufacturers in Asset-light model.</w:t>
            </w:r>
          </w:p>
        </w:tc>
        <w:tc>
          <w:tcPr>
            <w:tcW w:w="4545" w:type="dxa"/>
            <w:tcBorders>
              <w:top w:val="single" w:sz="4" w:space="0" w:color="000000"/>
              <w:left w:val="single" w:sz="4" w:space="0" w:color="000000"/>
              <w:bottom w:val="single" w:sz="4" w:space="0" w:color="000000"/>
              <w:right w:val="single" w:sz="4" w:space="0" w:color="000000"/>
            </w:tcBorders>
            <w:shd w:val="clear" w:color="auto" w:fill="DBE5F1" w:themeFill="accent1" w:themeFillTint="33"/>
            <w:tcMar>
              <w:top w:w="100" w:type="dxa"/>
              <w:left w:w="100" w:type="dxa"/>
              <w:bottom w:w="100" w:type="dxa"/>
              <w:right w:w="100" w:type="dxa"/>
            </w:tcMar>
          </w:tcPr>
          <w:p w14:paraId="3FF898A2" w14:textId="77777777" w:rsidR="00C71CDB" w:rsidRDefault="00C71CDB" w:rsidP="00DA7C87">
            <w:r>
              <w:t>No economies of scale and no economies of purchasing.</w:t>
            </w:r>
          </w:p>
        </w:tc>
      </w:tr>
      <w:tr w:rsidR="00C71CDB" w14:paraId="7451E10B" w14:textId="77777777" w:rsidTr="00322600">
        <w:trPr>
          <w:trHeight w:val="785"/>
        </w:trPr>
        <w:tc>
          <w:tcPr>
            <w:tcW w:w="4665" w:type="dxa"/>
            <w:tcBorders>
              <w:top w:val="single" w:sz="4" w:space="0" w:color="000000"/>
              <w:left w:val="single" w:sz="4" w:space="0" w:color="000000"/>
              <w:bottom w:val="single" w:sz="4" w:space="0" w:color="000000"/>
              <w:right w:val="single" w:sz="4" w:space="0" w:color="000000"/>
            </w:tcBorders>
            <w:shd w:val="clear" w:color="auto" w:fill="DBE5F1" w:themeFill="accent1" w:themeFillTint="33"/>
            <w:tcMar>
              <w:top w:w="100" w:type="dxa"/>
              <w:left w:w="100" w:type="dxa"/>
              <w:bottom w:w="100" w:type="dxa"/>
              <w:right w:w="100" w:type="dxa"/>
            </w:tcMar>
          </w:tcPr>
          <w:p w14:paraId="2321E31D" w14:textId="77777777" w:rsidR="00C71CDB" w:rsidRDefault="00C71CDB" w:rsidP="00DA7C87">
            <w:r>
              <w:t>This is a possible product/regulatory mix.</w:t>
            </w:r>
          </w:p>
        </w:tc>
        <w:tc>
          <w:tcPr>
            <w:tcW w:w="4545" w:type="dxa"/>
            <w:tcBorders>
              <w:top w:val="single" w:sz="4" w:space="0" w:color="000000"/>
              <w:left w:val="single" w:sz="4" w:space="0" w:color="000000"/>
              <w:bottom w:val="single" w:sz="4" w:space="0" w:color="000000"/>
              <w:right w:val="single" w:sz="4" w:space="0" w:color="000000"/>
            </w:tcBorders>
            <w:shd w:val="clear" w:color="auto" w:fill="DBE5F1" w:themeFill="accent1" w:themeFillTint="33"/>
            <w:tcMar>
              <w:top w:w="100" w:type="dxa"/>
              <w:left w:w="100" w:type="dxa"/>
              <w:bottom w:w="100" w:type="dxa"/>
              <w:right w:w="100" w:type="dxa"/>
            </w:tcMar>
          </w:tcPr>
          <w:p w14:paraId="6612A507" w14:textId="77777777" w:rsidR="00C71CDB" w:rsidRDefault="00C71CDB" w:rsidP="00DA7C87">
            <w:r>
              <w:t>Relying on suppliers and logistics partners.Relying on suppliers and logistics partners.</w:t>
            </w:r>
          </w:p>
        </w:tc>
      </w:tr>
      <w:tr w:rsidR="00C71CDB" w14:paraId="53484A8A" w14:textId="77777777" w:rsidTr="00322600">
        <w:trPr>
          <w:trHeight w:val="515"/>
        </w:trPr>
        <w:tc>
          <w:tcPr>
            <w:tcW w:w="4665" w:type="dxa"/>
            <w:tcBorders>
              <w:top w:val="single" w:sz="4" w:space="0" w:color="000000"/>
              <w:left w:val="single" w:sz="4" w:space="0" w:color="000000"/>
              <w:bottom w:val="single" w:sz="4" w:space="0" w:color="000000"/>
              <w:right w:val="single" w:sz="4" w:space="0" w:color="000000"/>
            </w:tcBorders>
            <w:shd w:val="clear" w:color="auto" w:fill="DBE5F1" w:themeFill="accent1" w:themeFillTint="33"/>
            <w:tcMar>
              <w:top w:w="100" w:type="dxa"/>
              <w:left w:w="100" w:type="dxa"/>
              <w:bottom w:w="100" w:type="dxa"/>
              <w:right w:w="100" w:type="dxa"/>
            </w:tcMar>
          </w:tcPr>
          <w:p w14:paraId="04336B98" w14:textId="77777777" w:rsidR="00C71CDB" w:rsidRDefault="00C71CDB" w:rsidP="00DA7C87">
            <w:r>
              <w:t>Digital-first customer experience</w:t>
            </w:r>
          </w:p>
        </w:tc>
        <w:tc>
          <w:tcPr>
            <w:tcW w:w="4545" w:type="dxa"/>
            <w:tcBorders>
              <w:top w:val="single" w:sz="4" w:space="0" w:color="000000"/>
              <w:left w:val="single" w:sz="4" w:space="0" w:color="000000"/>
              <w:bottom w:val="single" w:sz="4" w:space="0" w:color="000000"/>
              <w:right w:val="single" w:sz="4" w:space="0" w:color="000000"/>
            </w:tcBorders>
            <w:shd w:val="clear" w:color="auto" w:fill="DBE5F1" w:themeFill="accent1" w:themeFillTint="33"/>
            <w:tcMar>
              <w:top w:w="100" w:type="dxa"/>
              <w:left w:w="100" w:type="dxa"/>
              <w:bottom w:w="100" w:type="dxa"/>
              <w:right w:w="100" w:type="dxa"/>
            </w:tcMar>
          </w:tcPr>
          <w:p w14:paraId="43B35ECA" w14:textId="77777777" w:rsidR="00C71CDB" w:rsidRDefault="00C71CDB" w:rsidP="00DA7C87">
            <w:r>
              <w:t>Amount of funding that was initially available.</w:t>
            </w:r>
          </w:p>
        </w:tc>
      </w:tr>
    </w:tbl>
    <w:p w14:paraId="17608433" w14:textId="77777777" w:rsidR="00C71CDB" w:rsidRDefault="00C71CDB" w:rsidP="00C71CDB"/>
    <w:tbl>
      <w:tblPr>
        <w:tblW w:w="9220" w:type="dxa"/>
        <w:tblBorders>
          <w:top w:val="nil"/>
          <w:left w:val="nil"/>
          <w:bottom w:val="nil"/>
          <w:right w:val="nil"/>
          <w:insideH w:val="nil"/>
          <w:insideV w:val="nil"/>
        </w:tblBorders>
        <w:shd w:val="clear" w:color="auto" w:fill="B8CCE4" w:themeFill="accent1" w:themeFillTint="66"/>
        <w:tblLayout w:type="fixed"/>
        <w:tblLook w:val="0600" w:firstRow="0" w:lastRow="0" w:firstColumn="0" w:lastColumn="0" w:noHBand="1" w:noVBand="1"/>
      </w:tblPr>
      <w:tblGrid>
        <w:gridCol w:w="4640"/>
        <w:gridCol w:w="4580"/>
      </w:tblGrid>
      <w:tr w:rsidR="00C71CDB" w14:paraId="246A7C82" w14:textId="77777777" w:rsidTr="00322600">
        <w:trPr>
          <w:trHeight w:val="515"/>
        </w:trPr>
        <w:tc>
          <w:tcPr>
            <w:tcW w:w="4640" w:type="dxa"/>
            <w:tcBorders>
              <w:top w:val="single" w:sz="4" w:space="0" w:color="000000"/>
              <w:left w:val="single" w:sz="4" w:space="0" w:color="000000"/>
              <w:bottom w:val="single" w:sz="4" w:space="0" w:color="000000"/>
              <w:right w:val="single" w:sz="4" w:space="0" w:color="000000"/>
            </w:tcBorders>
            <w:shd w:val="clear" w:color="auto" w:fill="B8CCE4" w:themeFill="accent1" w:themeFillTint="66"/>
            <w:tcMar>
              <w:top w:w="100" w:type="dxa"/>
              <w:left w:w="100" w:type="dxa"/>
              <w:bottom w:w="100" w:type="dxa"/>
              <w:right w:w="100" w:type="dxa"/>
            </w:tcMar>
          </w:tcPr>
          <w:p w14:paraId="6CBC59DD" w14:textId="77777777" w:rsidR="00C71CDB" w:rsidRDefault="00C71CDB" w:rsidP="00DA7C87">
            <w:r>
              <w:rPr>
                <w:b/>
                <w:bCs/>
              </w:rPr>
              <w:t>Opportunities</w:t>
            </w:r>
          </w:p>
        </w:tc>
        <w:tc>
          <w:tcPr>
            <w:tcW w:w="4580" w:type="dxa"/>
            <w:tcBorders>
              <w:top w:val="single" w:sz="4" w:space="0" w:color="000000"/>
              <w:left w:val="single" w:sz="4" w:space="0" w:color="000000"/>
              <w:bottom w:val="single" w:sz="4" w:space="0" w:color="000000"/>
              <w:right w:val="single" w:sz="4" w:space="0" w:color="000000"/>
            </w:tcBorders>
            <w:shd w:val="clear" w:color="auto" w:fill="B8CCE4" w:themeFill="accent1" w:themeFillTint="66"/>
            <w:tcMar>
              <w:top w:w="100" w:type="dxa"/>
              <w:left w:w="100" w:type="dxa"/>
              <w:bottom w:w="100" w:type="dxa"/>
              <w:right w:w="100" w:type="dxa"/>
            </w:tcMar>
          </w:tcPr>
          <w:p w14:paraId="10D05C1D" w14:textId="77777777" w:rsidR="00C71CDB" w:rsidRDefault="00C71CDB" w:rsidP="00DA7C87">
            <w:r>
              <w:rPr>
                <w:b/>
                <w:bCs/>
              </w:rPr>
              <w:t>Threats</w:t>
            </w:r>
          </w:p>
        </w:tc>
      </w:tr>
      <w:tr w:rsidR="00C71CDB" w14:paraId="0E5FB7D4" w14:textId="77777777" w:rsidTr="00322600">
        <w:trPr>
          <w:trHeight w:val="785"/>
        </w:trPr>
        <w:tc>
          <w:tcPr>
            <w:tcW w:w="4640" w:type="dxa"/>
            <w:tcBorders>
              <w:top w:val="single" w:sz="4" w:space="0" w:color="000000"/>
              <w:left w:val="single" w:sz="4" w:space="0" w:color="000000"/>
              <w:bottom w:val="single" w:sz="4" w:space="0" w:color="000000"/>
              <w:right w:val="single" w:sz="4" w:space="0" w:color="000000"/>
            </w:tcBorders>
            <w:shd w:val="clear" w:color="auto" w:fill="B8CCE4" w:themeFill="accent1" w:themeFillTint="66"/>
            <w:tcMar>
              <w:top w:w="100" w:type="dxa"/>
              <w:left w:w="100" w:type="dxa"/>
              <w:bottom w:w="100" w:type="dxa"/>
              <w:right w:w="100" w:type="dxa"/>
            </w:tcMar>
          </w:tcPr>
          <w:p w14:paraId="24375501" w14:textId="77777777" w:rsidR="00C71CDB" w:rsidRDefault="00C71CDB" w:rsidP="00DA7C87">
            <w:r>
              <w:t>PPWR helps to develop the market for reusable and conforming packaging.</w:t>
            </w:r>
          </w:p>
        </w:tc>
        <w:tc>
          <w:tcPr>
            <w:tcW w:w="4580" w:type="dxa"/>
            <w:tcBorders>
              <w:top w:val="single" w:sz="4" w:space="0" w:color="000000"/>
              <w:left w:val="single" w:sz="4" w:space="0" w:color="000000"/>
              <w:bottom w:val="single" w:sz="4" w:space="0" w:color="000000"/>
              <w:right w:val="single" w:sz="4" w:space="0" w:color="000000"/>
            </w:tcBorders>
            <w:shd w:val="clear" w:color="auto" w:fill="B8CCE4" w:themeFill="accent1" w:themeFillTint="66"/>
            <w:tcMar>
              <w:top w:w="100" w:type="dxa"/>
              <w:left w:w="100" w:type="dxa"/>
              <w:bottom w:w="100" w:type="dxa"/>
              <w:right w:w="100" w:type="dxa"/>
            </w:tcMar>
          </w:tcPr>
          <w:p w14:paraId="79C4CFAA" w14:textId="77777777" w:rsidR="00C71CDB" w:rsidRDefault="00C71CDB" w:rsidP="00DA7C87">
            <w:r>
              <w:t>Scale and resources are good in large manufacturers.</w:t>
            </w:r>
          </w:p>
        </w:tc>
      </w:tr>
      <w:tr w:rsidR="00C71CDB" w14:paraId="522739CE" w14:textId="77777777" w:rsidTr="00322600">
        <w:trPr>
          <w:trHeight w:val="785"/>
        </w:trPr>
        <w:tc>
          <w:tcPr>
            <w:tcW w:w="4640" w:type="dxa"/>
            <w:tcBorders>
              <w:top w:val="single" w:sz="4" w:space="0" w:color="000000"/>
              <w:left w:val="single" w:sz="4" w:space="0" w:color="000000"/>
              <w:bottom w:val="single" w:sz="4" w:space="0" w:color="000000"/>
              <w:right w:val="single" w:sz="4" w:space="0" w:color="000000"/>
            </w:tcBorders>
            <w:shd w:val="clear" w:color="auto" w:fill="B8CCE4" w:themeFill="accent1" w:themeFillTint="66"/>
            <w:tcMar>
              <w:top w:w="100" w:type="dxa"/>
              <w:left w:w="100" w:type="dxa"/>
              <w:bottom w:w="100" w:type="dxa"/>
              <w:right w:w="100" w:type="dxa"/>
            </w:tcMar>
          </w:tcPr>
          <w:p w14:paraId="091BF84A" w14:textId="77777777" w:rsidR="00C71CDB" w:rsidRDefault="00C71CDB" w:rsidP="00DA7C87">
            <w:r>
              <w:t>EU has approximately 34 million SMEs</w:t>
            </w:r>
          </w:p>
        </w:tc>
        <w:tc>
          <w:tcPr>
            <w:tcW w:w="4580" w:type="dxa"/>
            <w:tcBorders>
              <w:top w:val="single" w:sz="4" w:space="0" w:color="000000"/>
              <w:left w:val="single" w:sz="4" w:space="0" w:color="000000"/>
              <w:bottom w:val="single" w:sz="4" w:space="0" w:color="000000"/>
              <w:right w:val="single" w:sz="4" w:space="0" w:color="000000"/>
            </w:tcBorders>
            <w:shd w:val="clear" w:color="auto" w:fill="B8CCE4" w:themeFill="accent1" w:themeFillTint="66"/>
            <w:tcMar>
              <w:top w:w="100" w:type="dxa"/>
              <w:left w:w="100" w:type="dxa"/>
              <w:bottom w:w="100" w:type="dxa"/>
              <w:right w:w="100" w:type="dxa"/>
            </w:tcMar>
          </w:tcPr>
          <w:p w14:paraId="1110F22C" w14:textId="77777777" w:rsidR="00C71CDB" w:rsidRDefault="00C71CDB" w:rsidP="00DA7C87">
            <w:r>
              <w:t>Buyers can easily compare the standard packaging products.</w:t>
            </w:r>
          </w:p>
        </w:tc>
      </w:tr>
      <w:tr w:rsidR="00C71CDB" w14:paraId="6A41A2AA" w14:textId="77777777" w:rsidTr="00322600">
        <w:trPr>
          <w:trHeight w:val="785"/>
        </w:trPr>
        <w:tc>
          <w:tcPr>
            <w:tcW w:w="4640" w:type="dxa"/>
            <w:tcBorders>
              <w:top w:val="single" w:sz="4" w:space="0" w:color="000000"/>
              <w:left w:val="single" w:sz="4" w:space="0" w:color="000000"/>
              <w:bottom w:val="single" w:sz="4" w:space="0" w:color="000000"/>
              <w:right w:val="single" w:sz="4" w:space="0" w:color="000000"/>
            </w:tcBorders>
            <w:shd w:val="clear" w:color="auto" w:fill="B8CCE4" w:themeFill="accent1" w:themeFillTint="66"/>
            <w:tcMar>
              <w:top w:w="100" w:type="dxa"/>
              <w:left w:w="100" w:type="dxa"/>
              <w:bottom w:w="100" w:type="dxa"/>
              <w:right w:w="100" w:type="dxa"/>
            </w:tcMar>
          </w:tcPr>
          <w:p w14:paraId="45E17A0A" w14:textId="77777777" w:rsidR="00C71CDB" w:rsidRDefault="00C71CDB" w:rsidP="00DA7C87">
            <w:r>
              <w:lastRenderedPageBreak/>
              <w:t>In 2024 23.59% of EU enterprises engaged in e-sales.</w:t>
            </w:r>
          </w:p>
        </w:tc>
        <w:tc>
          <w:tcPr>
            <w:tcW w:w="4580" w:type="dxa"/>
            <w:tcBorders>
              <w:top w:val="single" w:sz="4" w:space="0" w:color="000000"/>
              <w:left w:val="single" w:sz="4" w:space="0" w:color="000000"/>
              <w:bottom w:val="single" w:sz="4" w:space="0" w:color="000000"/>
              <w:right w:val="single" w:sz="4" w:space="0" w:color="000000"/>
            </w:tcBorders>
            <w:shd w:val="clear" w:color="auto" w:fill="B8CCE4" w:themeFill="accent1" w:themeFillTint="66"/>
            <w:tcMar>
              <w:top w:w="100" w:type="dxa"/>
              <w:left w:w="100" w:type="dxa"/>
              <w:bottom w:w="100" w:type="dxa"/>
              <w:right w:w="100" w:type="dxa"/>
            </w:tcMar>
          </w:tcPr>
          <w:p w14:paraId="7613A22E" w14:textId="77777777" w:rsidR="00C71CDB" w:rsidRDefault="00C71CDB" w:rsidP="00DA7C87">
            <w:r>
              <w:t>With the possibility of inflation, there might be a rise in packaging and logistics costs.</w:t>
            </w:r>
          </w:p>
        </w:tc>
      </w:tr>
      <w:tr w:rsidR="00C71CDB" w14:paraId="1AA57DA9" w14:textId="77777777" w:rsidTr="00322600">
        <w:trPr>
          <w:trHeight w:val="785"/>
        </w:trPr>
        <w:tc>
          <w:tcPr>
            <w:tcW w:w="4640" w:type="dxa"/>
            <w:tcBorders>
              <w:top w:val="single" w:sz="4" w:space="0" w:color="000000"/>
              <w:left w:val="single" w:sz="4" w:space="0" w:color="000000"/>
              <w:bottom w:val="single" w:sz="4" w:space="0" w:color="000000"/>
              <w:right w:val="single" w:sz="4" w:space="0" w:color="000000"/>
            </w:tcBorders>
            <w:shd w:val="clear" w:color="auto" w:fill="B8CCE4" w:themeFill="accent1" w:themeFillTint="66"/>
            <w:tcMar>
              <w:top w:w="100" w:type="dxa"/>
              <w:left w:w="100" w:type="dxa"/>
              <w:bottom w:w="100" w:type="dxa"/>
              <w:right w:w="100" w:type="dxa"/>
            </w:tcMar>
          </w:tcPr>
          <w:p w14:paraId="730A3995" w14:textId="77777777" w:rsidR="00C71CDB" w:rsidRDefault="00C71CDB" w:rsidP="00DA7C87">
            <w:r>
              <w:t>Packaging waste is still a significant problem.</w:t>
            </w:r>
          </w:p>
        </w:tc>
        <w:tc>
          <w:tcPr>
            <w:tcW w:w="4580" w:type="dxa"/>
            <w:tcBorders>
              <w:top w:val="single" w:sz="4" w:space="0" w:color="000000"/>
              <w:left w:val="single" w:sz="4" w:space="0" w:color="000000"/>
              <w:bottom w:val="single" w:sz="4" w:space="0" w:color="000000"/>
              <w:right w:val="single" w:sz="4" w:space="0" w:color="000000"/>
            </w:tcBorders>
            <w:shd w:val="clear" w:color="auto" w:fill="B8CCE4" w:themeFill="accent1" w:themeFillTint="66"/>
            <w:tcMar>
              <w:top w:w="100" w:type="dxa"/>
              <w:left w:w="100" w:type="dxa"/>
              <w:bottom w:w="100" w:type="dxa"/>
              <w:right w:w="100" w:type="dxa"/>
            </w:tcMar>
          </w:tcPr>
          <w:p w14:paraId="6A50038F" w14:textId="77777777" w:rsidR="00C71CDB" w:rsidRDefault="00C71CDB" w:rsidP="00DA7C87">
            <w:r>
              <w:t>Product demand can be replaced by reuse and packaging reduction.</w:t>
            </w:r>
          </w:p>
        </w:tc>
      </w:tr>
      <w:tr w:rsidR="00C71CDB" w14:paraId="74C4F915" w14:textId="77777777" w:rsidTr="00322600">
        <w:trPr>
          <w:trHeight w:val="785"/>
        </w:trPr>
        <w:tc>
          <w:tcPr>
            <w:tcW w:w="4640" w:type="dxa"/>
            <w:tcBorders>
              <w:top w:val="single" w:sz="4" w:space="0" w:color="000000"/>
              <w:left w:val="single" w:sz="4" w:space="0" w:color="000000"/>
              <w:bottom w:val="single" w:sz="4" w:space="0" w:color="000000"/>
              <w:right w:val="single" w:sz="4" w:space="0" w:color="000000"/>
            </w:tcBorders>
            <w:shd w:val="clear" w:color="auto" w:fill="B8CCE4" w:themeFill="accent1" w:themeFillTint="66"/>
            <w:tcMar>
              <w:top w:w="100" w:type="dxa"/>
              <w:left w:w="100" w:type="dxa"/>
              <w:bottom w:w="100" w:type="dxa"/>
              <w:right w:w="100" w:type="dxa"/>
            </w:tcMar>
          </w:tcPr>
          <w:p w14:paraId="59D287C5" w14:textId="77777777" w:rsidR="00C71CDB" w:rsidRDefault="00C71CDB" w:rsidP="00DA7C87">
            <w:r>
              <w:t>The complexity of regulatory requirements generates a need for guidance.</w:t>
            </w:r>
          </w:p>
        </w:tc>
        <w:tc>
          <w:tcPr>
            <w:tcW w:w="4580" w:type="dxa"/>
            <w:tcBorders>
              <w:top w:val="single" w:sz="4" w:space="0" w:color="000000"/>
              <w:left w:val="single" w:sz="4" w:space="0" w:color="000000"/>
              <w:bottom w:val="single" w:sz="4" w:space="0" w:color="000000"/>
              <w:right w:val="single" w:sz="4" w:space="0" w:color="000000"/>
            </w:tcBorders>
            <w:shd w:val="clear" w:color="auto" w:fill="B8CCE4" w:themeFill="accent1" w:themeFillTint="66"/>
            <w:tcMar>
              <w:top w:w="100" w:type="dxa"/>
              <w:left w:w="100" w:type="dxa"/>
              <w:bottom w:w="100" w:type="dxa"/>
              <w:right w:w="100" w:type="dxa"/>
            </w:tcMar>
          </w:tcPr>
          <w:p w14:paraId="7CAF866D" w14:textId="77777777" w:rsidR="00C71CDB" w:rsidRDefault="00C71CDB" w:rsidP="00DA7C87">
            <w:r>
              <w:t>Weak environmental claims could damage trust</w:t>
            </w:r>
          </w:p>
        </w:tc>
      </w:tr>
    </w:tbl>
    <w:p w14:paraId="2724B9FD" w14:textId="32488AB7" w:rsidR="00EF66B6" w:rsidRPr="00FB7622" w:rsidRDefault="00EF66B6" w:rsidP="00EF66B6">
      <w:pPr>
        <w:pStyle w:val="Heading6"/>
      </w:pPr>
      <w:bookmarkStart w:id="108" w:name="_Toc241008861"/>
      <w:r w:rsidRPr="00FB7622">
        <w:t xml:space="preserve">Table </w:t>
      </w:r>
      <w:r>
        <w:t>5</w:t>
      </w:r>
      <w:r w:rsidRPr="00FB7622">
        <w:t>: “</w:t>
      </w:r>
      <w:r>
        <w:t>SWOT Analysis</w:t>
      </w:r>
      <w:r w:rsidRPr="00FB7622">
        <w:t>”</w:t>
      </w:r>
      <w:bookmarkEnd w:id="108"/>
    </w:p>
    <w:p w14:paraId="234B9F23" w14:textId="61957659" w:rsidR="00EF66B6" w:rsidRDefault="00EF66B6" w:rsidP="00EF66B6">
      <w:pPr>
        <w:jc w:val="center"/>
      </w:pPr>
      <w:r>
        <w:t>(Source: Created by Author)</w:t>
      </w:r>
    </w:p>
    <w:p w14:paraId="439493A3" w14:textId="0FA76147" w:rsidR="00C71CDB" w:rsidRDefault="00C71CDB" w:rsidP="00C71CDB">
      <w:r>
        <w:t>Three key issues thus arise: (1) EcoPack needs to distinguish itself with service and information, not with manufacturing scale; (2) dependence on suppliers needs to be addressed through partnership and multiple suppliers; (3) sustainability has to be of economic and compliance value, not just a marketing message.</w:t>
      </w:r>
    </w:p>
    <w:p w14:paraId="35F0BB8B" w14:textId="77777777" w:rsidR="00C71CDB" w:rsidRDefault="00C71CDB" w:rsidP="00C71CDB">
      <w:pPr>
        <w:pStyle w:val="Heading2"/>
        <w:keepNext w:val="0"/>
        <w:keepLines w:val="0"/>
        <w:rPr>
          <w:b w:val="0"/>
          <w:bCs w:val="0"/>
        </w:rPr>
      </w:pPr>
      <w:bookmarkStart w:id="109" w:name="_vioxkuqeic19" w:colFirst="0" w:colLast="0"/>
      <w:bookmarkStart w:id="110" w:name="_Toc241008248"/>
      <w:bookmarkEnd w:id="109"/>
      <w:r>
        <w:t>7.4 Strategic Alternatives and Strategic Choice</w:t>
      </w:r>
      <w:bookmarkEnd w:id="110"/>
    </w:p>
    <w:p w14:paraId="6F57897A" w14:textId="77777777" w:rsidR="00C71CDB" w:rsidRDefault="00C71CDB" w:rsidP="00C71CDB">
      <w:pPr>
        <w:pStyle w:val="Heading3"/>
        <w:keepNext w:val="0"/>
        <w:keepLines w:val="0"/>
        <w:spacing w:before="280"/>
        <w:rPr>
          <w:b/>
          <w:bCs/>
          <w:color w:val="000000"/>
          <w:sz w:val="24"/>
          <w:szCs w:val="24"/>
        </w:rPr>
      </w:pPr>
      <w:bookmarkStart w:id="111" w:name="_vqdz2qvcnlib" w:colFirst="0" w:colLast="0"/>
      <w:bookmarkStart w:id="112" w:name="_Toc241008249"/>
      <w:bookmarkEnd w:id="111"/>
      <w:r>
        <w:rPr>
          <w:b/>
          <w:bCs/>
          <w:color w:val="000000"/>
          <w:sz w:val="24"/>
          <w:szCs w:val="24"/>
        </w:rPr>
        <w:t>Alternative 1: Digital Sustainable Packaging Marketplace</w:t>
      </w:r>
      <w:bookmarkEnd w:id="112"/>
    </w:p>
    <w:p w14:paraId="0C420030" w14:textId="77777777" w:rsidR="00C71CDB" w:rsidRDefault="00C71CDB" w:rsidP="00C71CDB">
      <w:r>
        <w:t>The first is a digital marketplace, with the option to compare sustainable packaging by material, size, price and sustainability features for SMEs. The great thing about it is that it is accessible. But a basic marketplace would not have much defensibility, due to the fact that digital procurement is offered by established distributors. Competition might then turn into price competition, and EcoPack might lose its influence on the quality and availability of the products supplied.</w:t>
      </w:r>
    </w:p>
    <w:p w14:paraId="5B0DF672" w14:textId="77777777" w:rsidR="00C71CDB" w:rsidRDefault="00C71CDB" w:rsidP="00C71CDB">
      <w:pPr>
        <w:pStyle w:val="Heading3"/>
        <w:keepNext w:val="0"/>
        <w:keepLines w:val="0"/>
        <w:spacing w:before="280"/>
        <w:rPr>
          <w:b/>
          <w:bCs/>
          <w:color w:val="000000"/>
          <w:sz w:val="24"/>
          <w:szCs w:val="24"/>
        </w:rPr>
      </w:pPr>
      <w:bookmarkStart w:id="113" w:name="_svcu2yg7pmf4" w:colFirst="0" w:colLast="0"/>
      <w:bookmarkStart w:id="114" w:name="_Toc241008250"/>
      <w:bookmarkEnd w:id="113"/>
      <w:r>
        <w:rPr>
          <w:b/>
          <w:bCs/>
          <w:color w:val="000000"/>
          <w:sz w:val="24"/>
          <w:szCs w:val="24"/>
        </w:rPr>
        <w:t>Alternative 2: SME Sustainable Packaging Partner</w:t>
      </w:r>
      <w:bookmarkEnd w:id="114"/>
    </w:p>
    <w:p w14:paraId="41B4586B" w14:textId="77777777" w:rsidR="00C71CDB" w:rsidRDefault="00C71CDB" w:rsidP="00C71CDB">
      <w:r>
        <w:lastRenderedPageBreak/>
        <w:t>The second one is a combination of digital purchasing and a managed service. EcoPack would provide a range of packaging, supplier comparison, sustainability information and guidance and repeat-order assistance related to the PPWR.</w:t>
      </w:r>
    </w:p>
    <w:p w14:paraId="3EB0D504" w14:textId="77777777" w:rsidR="00C71CDB" w:rsidRDefault="00C71CDB" w:rsidP="00C71CDB">
      <w:r>
        <w:t>This is an immediate solution to the strategic issue raised in the previous chapters. While SMEs might be able to obtain packaging suppliers, they might lack the expertise needed to evaluate recyclability, material selection, compliance, and total cost all in one. The PPWR makes this information even more relevant as all packaging will be required to be recyclable by 2030 and further requirements are being introduced. This approach is also in line with the resource position of this venture. Manufacturing can be outsourced and EcoPack can focus on customer relations, supplier management, digital convenience and knowledge.</w:t>
      </w:r>
    </w:p>
    <w:p w14:paraId="20E8D39F" w14:textId="77777777" w:rsidR="00C71CDB" w:rsidRDefault="00C71CDB" w:rsidP="00C71CDB">
      <w:pPr>
        <w:pStyle w:val="Heading3"/>
        <w:keepNext w:val="0"/>
        <w:keepLines w:val="0"/>
        <w:spacing w:before="280"/>
        <w:rPr>
          <w:b/>
          <w:bCs/>
          <w:color w:val="000000"/>
          <w:sz w:val="24"/>
          <w:szCs w:val="24"/>
        </w:rPr>
      </w:pPr>
      <w:bookmarkStart w:id="115" w:name="_vh7tpfuatqxi" w:colFirst="0" w:colLast="0"/>
      <w:bookmarkStart w:id="116" w:name="_Toc241008251"/>
      <w:bookmarkEnd w:id="115"/>
      <w:r>
        <w:rPr>
          <w:b/>
          <w:bCs/>
          <w:color w:val="000000"/>
          <w:sz w:val="24"/>
          <w:szCs w:val="24"/>
        </w:rPr>
        <w:t>Alternative 3: Rapid Pan-European Packaging Platform</w:t>
      </w:r>
      <w:bookmarkEnd w:id="116"/>
    </w:p>
    <w:p w14:paraId="1F0B3416" w14:textId="77777777" w:rsidR="00C71CDB" w:rsidRDefault="00C71CDB" w:rsidP="00C71CDB">
      <w:r>
        <w:t>The third plan would be to start a vast platform from the beginning in the various countries and product types in Europe. This may offer a bigger potential scale, but will demand more working capital, logistical capacity, regulatory expertise, multilingual support and supplier coverage.</w:t>
      </w:r>
    </w:p>
    <w:p w14:paraId="0BD9E1C0" w14:textId="77777777" w:rsidR="00C71CDB" w:rsidRDefault="00C71CDB" w:rsidP="00C71CDB">
      <w:r>
        <w:t>The choice is less suitable for a new enterprise with an unknown brand and manufacturing capabilities, financial strength, etc. It also boosts exposure to big players before EcoPack can establish a unique brand.</w:t>
      </w:r>
    </w:p>
    <w:tbl>
      <w:tblPr>
        <w:tblW w:w="9360" w:type="dxa"/>
        <w:tblBorders>
          <w:top w:val="nil"/>
          <w:left w:val="nil"/>
          <w:bottom w:val="nil"/>
          <w:right w:val="nil"/>
          <w:insideH w:val="nil"/>
          <w:insideV w:val="nil"/>
        </w:tblBorders>
        <w:tblLayout w:type="fixed"/>
        <w:tblLook w:val="0600" w:firstRow="0" w:lastRow="0" w:firstColumn="0" w:lastColumn="0" w:noHBand="1" w:noVBand="1"/>
      </w:tblPr>
      <w:tblGrid>
        <w:gridCol w:w="1631"/>
        <w:gridCol w:w="2243"/>
        <w:gridCol w:w="2810"/>
        <w:gridCol w:w="2676"/>
      </w:tblGrid>
      <w:tr w:rsidR="00C71CDB" w14:paraId="6B7FA83F" w14:textId="77777777" w:rsidTr="00EF66B6">
        <w:trPr>
          <w:trHeight w:val="515"/>
        </w:trPr>
        <w:tc>
          <w:tcPr>
            <w:tcW w:w="1631"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0B6273E" w14:textId="77777777" w:rsidR="00C71CDB" w:rsidRDefault="00C71CDB" w:rsidP="00DA7C87">
            <w:r>
              <w:rPr>
                <w:b/>
                <w:bCs/>
              </w:rPr>
              <w:t>Criterion</w:t>
            </w:r>
          </w:p>
        </w:tc>
        <w:tc>
          <w:tcPr>
            <w:tcW w:w="2243"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70C3A9C" w14:textId="77777777" w:rsidR="00C71CDB" w:rsidRDefault="00C71CDB" w:rsidP="00DA7C87">
            <w:r>
              <w:rPr>
                <w:b/>
                <w:bCs/>
              </w:rPr>
              <w:t>Digital marketplace</w:t>
            </w:r>
          </w:p>
        </w:tc>
        <w:tc>
          <w:tcPr>
            <w:tcW w:w="281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B313848" w14:textId="77777777" w:rsidR="00C71CDB" w:rsidRDefault="00C71CDB" w:rsidP="00DA7C87">
            <w:r>
              <w:rPr>
                <w:b/>
                <w:bCs/>
              </w:rPr>
              <w:t>SME packaging partner</w:t>
            </w:r>
          </w:p>
        </w:tc>
        <w:tc>
          <w:tcPr>
            <w:tcW w:w="2676"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A48F22E" w14:textId="77777777" w:rsidR="00C71CDB" w:rsidRDefault="00C71CDB" w:rsidP="00DA7C87">
            <w:r>
              <w:rPr>
                <w:b/>
                <w:bCs/>
              </w:rPr>
              <w:t>Pan-European platform</w:t>
            </w:r>
          </w:p>
        </w:tc>
      </w:tr>
      <w:tr w:rsidR="00C71CDB" w14:paraId="64282051" w14:textId="77777777" w:rsidTr="00EF66B6">
        <w:trPr>
          <w:trHeight w:val="515"/>
        </w:trPr>
        <w:tc>
          <w:tcPr>
            <w:tcW w:w="1631"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B667B6A" w14:textId="77777777" w:rsidR="00C71CDB" w:rsidRDefault="00C71CDB" w:rsidP="00DA7C87">
            <w:r>
              <w:t>Suitability</w:t>
            </w:r>
          </w:p>
        </w:tc>
        <w:tc>
          <w:tcPr>
            <w:tcW w:w="2243" w:type="dxa"/>
            <w:tcBorders>
              <w:top w:val="single" w:sz="4" w:space="0" w:color="000000"/>
              <w:left w:val="single" w:sz="4" w:space="0" w:color="000000"/>
              <w:bottom w:val="single" w:sz="4" w:space="0" w:color="000000"/>
              <w:right w:val="single" w:sz="4" w:space="0" w:color="000000"/>
            </w:tcBorders>
            <w:shd w:val="clear" w:color="auto" w:fill="FF0000"/>
            <w:tcMar>
              <w:top w:w="100" w:type="dxa"/>
              <w:left w:w="100" w:type="dxa"/>
              <w:bottom w:w="100" w:type="dxa"/>
              <w:right w:w="100" w:type="dxa"/>
            </w:tcMar>
          </w:tcPr>
          <w:p w14:paraId="4599552B" w14:textId="77777777" w:rsidR="00C71CDB" w:rsidRDefault="00C71CDB" w:rsidP="00DA7C87">
            <w:r>
              <w:t>High</w:t>
            </w:r>
          </w:p>
        </w:tc>
        <w:tc>
          <w:tcPr>
            <w:tcW w:w="2810" w:type="dxa"/>
            <w:tcBorders>
              <w:top w:val="single" w:sz="4" w:space="0" w:color="000000"/>
              <w:left w:val="single" w:sz="4" w:space="0" w:color="000000"/>
              <w:bottom w:val="single" w:sz="4" w:space="0" w:color="000000"/>
              <w:right w:val="single" w:sz="4" w:space="0" w:color="000000"/>
            </w:tcBorders>
            <w:shd w:val="clear" w:color="auto" w:fill="FF0000"/>
            <w:tcMar>
              <w:top w:w="100" w:type="dxa"/>
              <w:left w:w="100" w:type="dxa"/>
              <w:bottom w:w="100" w:type="dxa"/>
              <w:right w:w="100" w:type="dxa"/>
            </w:tcMar>
          </w:tcPr>
          <w:p w14:paraId="26652D49" w14:textId="77777777" w:rsidR="00C71CDB" w:rsidRDefault="00C71CDB" w:rsidP="00DA7C87">
            <w:r>
              <w:rPr>
                <w:b/>
                <w:bCs/>
              </w:rPr>
              <w:t>Very high</w:t>
            </w:r>
          </w:p>
        </w:tc>
        <w:tc>
          <w:tcPr>
            <w:tcW w:w="2676" w:type="dxa"/>
            <w:tcBorders>
              <w:top w:val="single" w:sz="4" w:space="0" w:color="000000"/>
              <w:left w:val="single" w:sz="4" w:space="0" w:color="000000"/>
              <w:bottom w:val="single" w:sz="4" w:space="0" w:color="000000"/>
              <w:right w:val="single" w:sz="4" w:space="0" w:color="000000"/>
            </w:tcBorders>
            <w:shd w:val="clear" w:color="auto" w:fill="FFFF00"/>
            <w:tcMar>
              <w:top w:w="100" w:type="dxa"/>
              <w:left w:w="100" w:type="dxa"/>
              <w:bottom w:w="100" w:type="dxa"/>
              <w:right w:w="100" w:type="dxa"/>
            </w:tcMar>
          </w:tcPr>
          <w:p w14:paraId="12871B1F" w14:textId="77777777" w:rsidR="00C71CDB" w:rsidRDefault="00C71CDB" w:rsidP="00DA7C87">
            <w:r>
              <w:t>Moderate</w:t>
            </w:r>
          </w:p>
        </w:tc>
      </w:tr>
      <w:tr w:rsidR="00C71CDB" w14:paraId="702E7F05" w14:textId="77777777" w:rsidTr="00EF66B6">
        <w:trPr>
          <w:trHeight w:val="515"/>
        </w:trPr>
        <w:tc>
          <w:tcPr>
            <w:tcW w:w="1631"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26CBC22" w14:textId="77777777" w:rsidR="00C71CDB" w:rsidRDefault="00C71CDB" w:rsidP="00DA7C87">
            <w:r>
              <w:t>Acceptability</w:t>
            </w:r>
          </w:p>
        </w:tc>
        <w:tc>
          <w:tcPr>
            <w:tcW w:w="2243" w:type="dxa"/>
            <w:tcBorders>
              <w:top w:val="single" w:sz="4" w:space="0" w:color="000000"/>
              <w:left w:val="single" w:sz="4" w:space="0" w:color="000000"/>
              <w:bottom w:val="single" w:sz="4" w:space="0" w:color="000000"/>
              <w:right w:val="single" w:sz="4" w:space="0" w:color="000000"/>
            </w:tcBorders>
            <w:shd w:val="clear" w:color="auto" w:fill="FF0000"/>
            <w:tcMar>
              <w:top w:w="100" w:type="dxa"/>
              <w:left w:w="100" w:type="dxa"/>
              <w:bottom w:w="100" w:type="dxa"/>
              <w:right w:w="100" w:type="dxa"/>
            </w:tcMar>
          </w:tcPr>
          <w:p w14:paraId="507A5618" w14:textId="77777777" w:rsidR="00C71CDB" w:rsidRDefault="00C71CDB" w:rsidP="00DA7C87">
            <w:r>
              <w:t>High</w:t>
            </w:r>
          </w:p>
        </w:tc>
        <w:tc>
          <w:tcPr>
            <w:tcW w:w="2810" w:type="dxa"/>
            <w:tcBorders>
              <w:top w:val="single" w:sz="4" w:space="0" w:color="000000"/>
              <w:left w:val="single" w:sz="4" w:space="0" w:color="000000"/>
              <w:bottom w:val="single" w:sz="4" w:space="0" w:color="000000"/>
              <w:right w:val="single" w:sz="4" w:space="0" w:color="000000"/>
            </w:tcBorders>
            <w:shd w:val="clear" w:color="auto" w:fill="FF0000"/>
            <w:tcMar>
              <w:top w:w="100" w:type="dxa"/>
              <w:left w:w="100" w:type="dxa"/>
              <w:bottom w:w="100" w:type="dxa"/>
              <w:right w:w="100" w:type="dxa"/>
            </w:tcMar>
          </w:tcPr>
          <w:p w14:paraId="0045A65F" w14:textId="77777777" w:rsidR="00C71CDB" w:rsidRDefault="00C71CDB" w:rsidP="00DA7C87">
            <w:r>
              <w:rPr>
                <w:b/>
                <w:bCs/>
              </w:rPr>
              <w:t>High</w:t>
            </w:r>
          </w:p>
        </w:tc>
        <w:tc>
          <w:tcPr>
            <w:tcW w:w="2676" w:type="dxa"/>
            <w:tcBorders>
              <w:top w:val="single" w:sz="4" w:space="0" w:color="000000"/>
              <w:left w:val="single" w:sz="4" w:space="0" w:color="000000"/>
              <w:bottom w:val="single" w:sz="4" w:space="0" w:color="000000"/>
              <w:right w:val="single" w:sz="4" w:space="0" w:color="000000"/>
            </w:tcBorders>
            <w:shd w:val="clear" w:color="auto" w:fill="FFFF00"/>
            <w:tcMar>
              <w:top w:w="100" w:type="dxa"/>
              <w:left w:w="100" w:type="dxa"/>
              <w:bottom w:w="100" w:type="dxa"/>
              <w:right w:w="100" w:type="dxa"/>
            </w:tcMar>
          </w:tcPr>
          <w:p w14:paraId="0B0C4137" w14:textId="77777777" w:rsidR="00C71CDB" w:rsidRDefault="00C71CDB" w:rsidP="00DA7C87">
            <w:r>
              <w:t>Moderate</w:t>
            </w:r>
          </w:p>
        </w:tc>
      </w:tr>
      <w:tr w:rsidR="00C71CDB" w14:paraId="5C795AD9" w14:textId="77777777" w:rsidTr="00EF66B6">
        <w:trPr>
          <w:trHeight w:val="515"/>
        </w:trPr>
        <w:tc>
          <w:tcPr>
            <w:tcW w:w="1631"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2CBD932" w14:textId="77777777" w:rsidR="00C71CDB" w:rsidRDefault="00C71CDB" w:rsidP="00DA7C87">
            <w:r>
              <w:t>Feasibility</w:t>
            </w:r>
          </w:p>
        </w:tc>
        <w:tc>
          <w:tcPr>
            <w:tcW w:w="2243" w:type="dxa"/>
            <w:tcBorders>
              <w:top w:val="single" w:sz="4" w:space="0" w:color="000000"/>
              <w:left w:val="single" w:sz="4" w:space="0" w:color="000000"/>
              <w:bottom w:val="single" w:sz="4" w:space="0" w:color="000000"/>
              <w:right w:val="single" w:sz="4" w:space="0" w:color="000000"/>
            </w:tcBorders>
            <w:shd w:val="clear" w:color="auto" w:fill="FF0000"/>
            <w:tcMar>
              <w:top w:w="100" w:type="dxa"/>
              <w:left w:w="100" w:type="dxa"/>
              <w:bottom w:w="100" w:type="dxa"/>
              <w:right w:w="100" w:type="dxa"/>
            </w:tcMar>
          </w:tcPr>
          <w:p w14:paraId="21581D92" w14:textId="77777777" w:rsidR="00C71CDB" w:rsidRDefault="00C71CDB" w:rsidP="00DA7C87">
            <w:r>
              <w:t>High</w:t>
            </w:r>
          </w:p>
        </w:tc>
        <w:tc>
          <w:tcPr>
            <w:tcW w:w="2810" w:type="dxa"/>
            <w:tcBorders>
              <w:top w:val="single" w:sz="4" w:space="0" w:color="000000"/>
              <w:left w:val="single" w:sz="4" w:space="0" w:color="000000"/>
              <w:bottom w:val="single" w:sz="4" w:space="0" w:color="000000"/>
              <w:right w:val="single" w:sz="4" w:space="0" w:color="000000"/>
            </w:tcBorders>
            <w:shd w:val="clear" w:color="auto" w:fill="FF0000"/>
            <w:tcMar>
              <w:top w:w="100" w:type="dxa"/>
              <w:left w:w="100" w:type="dxa"/>
              <w:bottom w:w="100" w:type="dxa"/>
              <w:right w:w="100" w:type="dxa"/>
            </w:tcMar>
          </w:tcPr>
          <w:p w14:paraId="4C732BAD" w14:textId="77777777" w:rsidR="00C71CDB" w:rsidRDefault="00C71CDB" w:rsidP="00DA7C87">
            <w:r>
              <w:rPr>
                <w:b/>
                <w:bCs/>
              </w:rPr>
              <w:t>High with partnerships</w:t>
            </w:r>
          </w:p>
        </w:tc>
        <w:tc>
          <w:tcPr>
            <w:tcW w:w="2676" w:type="dxa"/>
            <w:tcBorders>
              <w:top w:val="single" w:sz="4" w:space="0" w:color="000000"/>
              <w:left w:val="single" w:sz="4" w:space="0" w:color="000000"/>
              <w:bottom w:val="single" w:sz="4" w:space="0" w:color="000000"/>
              <w:right w:val="single" w:sz="4" w:space="0" w:color="000000"/>
            </w:tcBorders>
            <w:shd w:val="clear" w:color="auto" w:fill="FF9900"/>
            <w:tcMar>
              <w:top w:w="100" w:type="dxa"/>
              <w:left w:w="100" w:type="dxa"/>
              <w:bottom w:w="100" w:type="dxa"/>
              <w:right w:w="100" w:type="dxa"/>
            </w:tcMar>
          </w:tcPr>
          <w:p w14:paraId="795F6A2E" w14:textId="77777777" w:rsidR="00C71CDB" w:rsidRDefault="00C71CDB" w:rsidP="00DA7C87">
            <w:r>
              <w:t>Low–moderate</w:t>
            </w:r>
          </w:p>
        </w:tc>
      </w:tr>
      <w:tr w:rsidR="00C71CDB" w14:paraId="0351AE71" w14:textId="77777777" w:rsidTr="00EF66B6">
        <w:trPr>
          <w:trHeight w:val="515"/>
        </w:trPr>
        <w:tc>
          <w:tcPr>
            <w:tcW w:w="1631"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69F25A7" w14:textId="77777777" w:rsidR="00C71CDB" w:rsidRDefault="00C71CDB" w:rsidP="00DA7C87">
            <w:r>
              <w:lastRenderedPageBreak/>
              <w:t>Coherence</w:t>
            </w:r>
          </w:p>
        </w:tc>
        <w:tc>
          <w:tcPr>
            <w:tcW w:w="2243" w:type="dxa"/>
            <w:tcBorders>
              <w:top w:val="single" w:sz="4" w:space="0" w:color="000000"/>
              <w:left w:val="single" w:sz="4" w:space="0" w:color="000000"/>
              <w:bottom w:val="single" w:sz="4" w:space="0" w:color="000000"/>
              <w:right w:val="single" w:sz="4" w:space="0" w:color="000000"/>
            </w:tcBorders>
            <w:shd w:val="clear" w:color="auto" w:fill="FFFF00"/>
            <w:tcMar>
              <w:top w:w="100" w:type="dxa"/>
              <w:left w:w="100" w:type="dxa"/>
              <w:bottom w:w="100" w:type="dxa"/>
              <w:right w:w="100" w:type="dxa"/>
            </w:tcMar>
          </w:tcPr>
          <w:p w14:paraId="127443F3" w14:textId="77777777" w:rsidR="00C71CDB" w:rsidRDefault="00C71CDB" w:rsidP="00DA7C87">
            <w:r>
              <w:t>Moderate</w:t>
            </w:r>
          </w:p>
        </w:tc>
        <w:tc>
          <w:tcPr>
            <w:tcW w:w="2810" w:type="dxa"/>
            <w:tcBorders>
              <w:top w:val="single" w:sz="4" w:space="0" w:color="000000"/>
              <w:left w:val="single" w:sz="4" w:space="0" w:color="000000"/>
              <w:bottom w:val="single" w:sz="4" w:space="0" w:color="000000"/>
              <w:right w:val="single" w:sz="4" w:space="0" w:color="000000"/>
            </w:tcBorders>
            <w:shd w:val="clear" w:color="auto" w:fill="FF0000"/>
            <w:tcMar>
              <w:top w:w="100" w:type="dxa"/>
              <w:left w:w="100" w:type="dxa"/>
              <w:bottom w:w="100" w:type="dxa"/>
              <w:right w:w="100" w:type="dxa"/>
            </w:tcMar>
          </w:tcPr>
          <w:p w14:paraId="115F714F" w14:textId="77777777" w:rsidR="00C71CDB" w:rsidRDefault="00C71CDB" w:rsidP="00DA7C87">
            <w:r>
              <w:rPr>
                <w:b/>
                <w:bCs/>
              </w:rPr>
              <w:t>Very high</w:t>
            </w:r>
          </w:p>
        </w:tc>
        <w:tc>
          <w:tcPr>
            <w:tcW w:w="2676" w:type="dxa"/>
            <w:tcBorders>
              <w:top w:val="single" w:sz="4" w:space="0" w:color="000000"/>
              <w:left w:val="single" w:sz="4" w:space="0" w:color="000000"/>
              <w:bottom w:val="single" w:sz="4" w:space="0" w:color="000000"/>
              <w:right w:val="single" w:sz="4" w:space="0" w:color="000000"/>
            </w:tcBorders>
            <w:shd w:val="clear" w:color="auto" w:fill="FFFF00"/>
            <w:tcMar>
              <w:top w:w="100" w:type="dxa"/>
              <w:left w:w="100" w:type="dxa"/>
              <w:bottom w:w="100" w:type="dxa"/>
              <w:right w:w="100" w:type="dxa"/>
            </w:tcMar>
          </w:tcPr>
          <w:p w14:paraId="158AA7BD" w14:textId="77777777" w:rsidR="00C71CDB" w:rsidRDefault="00C71CDB" w:rsidP="00DA7C87">
            <w:r>
              <w:t>Moderate</w:t>
            </w:r>
          </w:p>
        </w:tc>
      </w:tr>
      <w:tr w:rsidR="00C71CDB" w14:paraId="46EC3A35" w14:textId="77777777" w:rsidTr="00EF66B6">
        <w:trPr>
          <w:trHeight w:val="515"/>
        </w:trPr>
        <w:tc>
          <w:tcPr>
            <w:tcW w:w="1631"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F9DE20A" w14:textId="77777777" w:rsidR="00C71CDB" w:rsidRDefault="00C71CDB" w:rsidP="00DA7C87">
            <w:r>
              <w:t>Defensibility</w:t>
            </w:r>
          </w:p>
        </w:tc>
        <w:tc>
          <w:tcPr>
            <w:tcW w:w="2243" w:type="dxa"/>
            <w:tcBorders>
              <w:top w:val="single" w:sz="4" w:space="0" w:color="000000"/>
              <w:left w:val="single" w:sz="4" w:space="0" w:color="000000"/>
              <w:bottom w:val="single" w:sz="4" w:space="0" w:color="000000"/>
              <w:right w:val="single" w:sz="4" w:space="0" w:color="000000"/>
            </w:tcBorders>
            <w:shd w:val="clear" w:color="auto" w:fill="FF9900"/>
            <w:tcMar>
              <w:top w:w="100" w:type="dxa"/>
              <w:left w:w="100" w:type="dxa"/>
              <w:bottom w:w="100" w:type="dxa"/>
              <w:right w:w="100" w:type="dxa"/>
            </w:tcMar>
          </w:tcPr>
          <w:p w14:paraId="16F5944C" w14:textId="77777777" w:rsidR="00C71CDB" w:rsidRDefault="00C71CDB" w:rsidP="00DA7C87">
            <w:r>
              <w:t>Low–moderate</w:t>
            </w:r>
          </w:p>
        </w:tc>
        <w:tc>
          <w:tcPr>
            <w:tcW w:w="2810" w:type="dxa"/>
            <w:tcBorders>
              <w:top w:val="single" w:sz="4" w:space="0" w:color="000000"/>
              <w:left w:val="single" w:sz="4" w:space="0" w:color="000000"/>
              <w:bottom w:val="single" w:sz="4" w:space="0" w:color="000000"/>
              <w:right w:val="single" w:sz="4" w:space="0" w:color="000000"/>
            </w:tcBorders>
            <w:shd w:val="clear" w:color="auto" w:fill="FF0000"/>
            <w:tcMar>
              <w:top w:w="100" w:type="dxa"/>
              <w:left w:w="100" w:type="dxa"/>
              <w:bottom w:w="100" w:type="dxa"/>
              <w:right w:w="100" w:type="dxa"/>
            </w:tcMar>
          </w:tcPr>
          <w:p w14:paraId="6646D8FC" w14:textId="77777777" w:rsidR="00C71CDB" w:rsidRDefault="00C71CDB" w:rsidP="00DA7C87">
            <w:r>
              <w:rPr>
                <w:b/>
                <w:bCs/>
              </w:rPr>
              <w:t>Moderate–high over time</w:t>
            </w:r>
          </w:p>
        </w:tc>
        <w:tc>
          <w:tcPr>
            <w:tcW w:w="2676" w:type="dxa"/>
            <w:tcBorders>
              <w:top w:val="single" w:sz="4" w:space="0" w:color="000000"/>
              <w:left w:val="single" w:sz="4" w:space="0" w:color="000000"/>
              <w:bottom w:val="single" w:sz="4" w:space="0" w:color="000000"/>
              <w:right w:val="single" w:sz="4" w:space="0" w:color="000000"/>
            </w:tcBorders>
            <w:shd w:val="clear" w:color="auto" w:fill="FFFF00"/>
            <w:tcMar>
              <w:top w:w="100" w:type="dxa"/>
              <w:left w:w="100" w:type="dxa"/>
              <w:bottom w:w="100" w:type="dxa"/>
              <w:right w:w="100" w:type="dxa"/>
            </w:tcMar>
          </w:tcPr>
          <w:p w14:paraId="46FF3049" w14:textId="77777777" w:rsidR="00C71CDB" w:rsidRDefault="00C71CDB" w:rsidP="00DA7C87">
            <w:r>
              <w:t>Moderate</w:t>
            </w:r>
          </w:p>
        </w:tc>
      </w:tr>
      <w:tr w:rsidR="00C71CDB" w14:paraId="64EB7041" w14:textId="77777777" w:rsidTr="00EF66B6">
        <w:trPr>
          <w:trHeight w:val="515"/>
        </w:trPr>
        <w:tc>
          <w:tcPr>
            <w:tcW w:w="1631"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F81ED5A" w14:textId="77777777" w:rsidR="00C71CDB" w:rsidRDefault="00C71CDB" w:rsidP="00DA7C87">
            <w:r>
              <w:t>Principal issue</w:t>
            </w:r>
          </w:p>
        </w:tc>
        <w:tc>
          <w:tcPr>
            <w:tcW w:w="2243" w:type="dxa"/>
            <w:tcBorders>
              <w:top w:val="single" w:sz="4" w:space="0" w:color="000000"/>
              <w:left w:val="single" w:sz="4" w:space="0" w:color="000000"/>
              <w:bottom w:val="single" w:sz="4" w:space="0" w:color="000000"/>
              <w:right w:val="single" w:sz="4" w:space="0" w:color="000000"/>
            </w:tcBorders>
            <w:shd w:val="clear" w:color="auto" w:fill="FF0000"/>
            <w:tcMar>
              <w:top w:w="100" w:type="dxa"/>
              <w:left w:w="100" w:type="dxa"/>
              <w:bottom w:w="100" w:type="dxa"/>
              <w:right w:w="100" w:type="dxa"/>
            </w:tcMar>
          </w:tcPr>
          <w:p w14:paraId="667B7753" w14:textId="77777777" w:rsidR="00C71CDB" w:rsidRDefault="00C71CDB" w:rsidP="00DA7C87">
            <w:r>
              <w:t>Price competition</w:t>
            </w:r>
          </w:p>
        </w:tc>
        <w:tc>
          <w:tcPr>
            <w:tcW w:w="2810" w:type="dxa"/>
            <w:tcBorders>
              <w:top w:val="single" w:sz="4" w:space="0" w:color="000000"/>
              <w:left w:val="single" w:sz="4" w:space="0" w:color="000000"/>
              <w:bottom w:val="single" w:sz="4" w:space="0" w:color="000000"/>
              <w:right w:val="single" w:sz="4" w:space="0" w:color="000000"/>
            </w:tcBorders>
            <w:shd w:val="clear" w:color="auto" w:fill="FF0000"/>
            <w:tcMar>
              <w:top w:w="100" w:type="dxa"/>
              <w:left w:w="100" w:type="dxa"/>
              <w:bottom w:w="100" w:type="dxa"/>
              <w:right w:w="100" w:type="dxa"/>
            </w:tcMar>
          </w:tcPr>
          <w:p w14:paraId="299D9F11" w14:textId="77777777" w:rsidR="00C71CDB" w:rsidRDefault="00C71CDB" w:rsidP="00DA7C87">
            <w:r>
              <w:t>Capability development</w:t>
            </w:r>
          </w:p>
        </w:tc>
        <w:tc>
          <w:tcPr>
            <w:tcW w:w="2676" w:type="dxa"/>
            <w:tcBorders>
              <w:top w:val="single" w:sz="4" w:space="0" w:color="000000"/>
              <w:left w:val="single" w:sz="4" w:space="0" w:color="000000"/>
              <w:bottom w:val="single" w:sz="4" w:space="0" w:color="000000"/>
              <w:right w:val="single" w:sz="4" w:space="0" w:color="000000"/>
            </w:tcBorders>
            <w:shd w:val="clear" w:color="auto" w:fill="FFFF00"/>
            <w:tcMar>
              <w:top w:w="100" w:type="dxa"/>
              <w:left w:w="100" w:type="dxa"/>
              <w:bottom w:w="100" w:type="dxa"/>
              <w:right w:w="100" w:type="dxa"/>
            </w:tcMar>
          </w:tcPr>
          <w:p w14:paraId="1EEC28F1" w14:textId="77777777" w:rsidR="00C71CDB" w:rsidRDefault="00C71CDB" w:rsidP="00DA7C87">
            <w:r>
              <w:t>Capital and complexity</w:t>
            </w:r>
          </w:p>
        </w:tc>
      </w:tr>
    </w:tbl>
    <w:p w14:paraId="7A8B8074" w14:textId="7FDE1317" w:rsidR="00EF66B6" w:rsidRPr="00FB7622" w:rsidRDefault="00EF66B6" w:rsidP="00EF66B6">
      <w:pPr>
        <w:pStyle w:val="Heading6"/>
      </w:pPr>
      <w:bookmarkStart w:id="117" w:name="_Toc241008862"/>
      <w:r w:rsidRPr="00FB7622">
        <w:t xml:space="preserve">Table </w:t>
      </w:r>
      <w:r>
        <w:t>6</w:t>
      </w:r>
      <w:r w:rsidRPr="00FB7622">
        <w:t>: “</w:t>
      </w:r>
      <w:r>
        <w:t>Criteria discussion</w:t>
      </w:r>
      <w:r w:rsidRPr="00FB7622">
        <w:t>”</w:t>
      </w:r>
      <w:bookmarkEnd w:id="117"/>
    </w:p>
    <w:p w14:paraId="7065556F" w14:textId="28F1472C" w:rsidR="00EF66B6" w:rsidRDefault="00EF66B6" w:rsidP="00EF66B6">
      <w:pPr>
        <w:jc w:val="center"/>
      </w:pPr>
      <w:r>
        <w:t>(Source: Created by Author)</w:t>
      </w:r>
    </w:p>
    <w:p w14:paraId="373E4B20" w14:textId="23FE5DE8" w:rsidR="00C71CDB" w:rsidRDefault="00C71CDB" w:rsidP="00C71CDB">
      <w:r>
        <w:t>The evidence indicates that Alternative 2 is the first approach to take with the inclusion of the digital channel from Alternative 1. This route is the best match between customer needs and regulatory adjustment, competitive pressure and available resources. It also allows for incremental expansion, which is a step-up process instead of needing huge capital outlay.</w:t>
      </w:r>
    </w:p>
    <w:p w14:paraId="6BD4D879" w14:textId="77777777" w:rsidR="00C71CDB" w:rsidRDefault="00C71CDB" w:rsidP="00C71CDB">
      <w:pPr>
        <w:pStyle w:val="Heading3"/>
        <w:keepNext w:val="0"/>
        <w:keepLines w:val="0"/>
        <w:spacing w:before="280"/>
        <w:rPr>
          <w:b/>
          <w:bCs/>
          <w:color w:val="000000"/>
          <w:sz w:val="24"/>
          <w:szCs w:val="24"/>
        </w:rPr>
      </w:pPr>
      <w:bookmarkStart w:id="118" w:name="_vqzwbos7hexj" w:colFirst="0" w:colLast="0"/>
      <w:bookmarkStart w:id="119" w:name="_Toc241008252"/>
      <w:bookmarkEnd w:id="118"/>
      <w:r>
        <w:rPr>
          <w:b/>
          <w:bCs/>
          <w:color w:val="000000"/>
          <w:sz w:val="24"/>
          <w:szCs w:val="24"/>
        </w:rPr>
        <w:t>Strategy Statement</w:t>
      </w:r>
      <w:bookmarkEnd w:id="119"/>
    </w:p>
    <w:p w14:paraId="5F818F98" w14:textId="77777777" w:rsidR="00C71CDB" w:rsidRDefault="00C71CDB" w:rsidP="00C71CDB">
      <w:r>
        <w:t>EcoPack Solutions will cater to European small and medium-sized e-commerce businesses by offering them an asset-light digital sustainable-packaging service, which will include curated functional packaging along with practical sustainability and PPWR information. It will have to compete by specialising in the SME sector, and by acquiring convenient and trustworthy sustainability advice, backed by a network of qualified supplier partners and increasingly advanced customer information. It will focus initially on a limited product mix and certain European markets before expanding to Europe.</w:t>
      </w:r>
    </w:p>
    <w:p w14:paraId="086E9AF4" w14:textId="77777777" w:rsidR="00C71CDB" w:rsidRDefault="00C71CDB" w:rsidP="00C71CDB">
      <w:pPr>
        <w:pStyle w:val="Heading2"/>
        <w:keepNext w:val="0"/>
        <w:keepLines w:val="0"/>
        <w:rPr>
          <w:b w:val="0"/>
          <w:bCs w:val="0"/>
        </w:rPr>
      </w:pPr>
      <w:bookmarkStart w:id="120" w:name="_g5lredn2djqr" w:colFirst="0" w:colLast="0"/>
      <w:bookmarkStart w:id="121" w:name="_Toc241008253"/>
      <w:bookmarkEnd w:id="120"/>
      <w:r>
        <w:t>7.5 USP, Value Proposition and Positioning</w:t>
      </w:r>
      <w:bookmarkEnd w:id="121"/>
    </w:p>
    <w:p w14:paraId="163B493A" w14:textId="77777777" w:rsidR="00C71CDB" w:rsidRDefault="00C71CDB" w:rsidP="00C71CDB">
      <w:r>
        <w:t>The proposed USP is:</w:t>
      </w:r>
    </w:p>
    <w:p w14:paraId="7B74ED97" w14:textId="77777777" w:rsidR="00C71CDB" w:rsidRDefault="00C71CDB" w:rsidP="00C71CDB">
      <w:r>
        <w:t>“Sustainable packaging simplified for e-commerce SMEs – curated, practical and compliance-driven.”</w:t>
      </w:r>
    </w:p>
    <w:p w14:paraId="4FCBAA8C" w14:textId="77777777" w:rsidR="00C71CDB" w:rsidRDefault="00C71CDB" w:rsidP="00C71CDB">
      <w:r>
        <w:lastRenderedPageBreak/>
        <w:t>This is an intended USP, and not just a statement of being “eco-friendly”. There are packaging products out there that are already recyclable and sustainable, and that's something that established competitors already provide. In 2025, for instance, Mondi achieved 88% of revenue for reusables, recyclables and compostables; and had circular alternatives available or in development for 98% of its flexible packaging portfolio.</w:t>
      </w:r>
    </w:p>
    <w:p w14:paraId="535A9DE4" w14:textId="77777777" w:rsidR="00C71CDB" w:rsidRDefault="00C71CDB" w:rsidP="00C71CDB">
      <w:r>
        <w:t>EcoPack's differentiation, therefore, is the combination of product selection, sustainability information, regulatory guidance and convenient procurement for SMEs.</w:t>
      </w:r>
    </w:p>
    <w:p w14:paraId="56681648" w14:textId="77777777" w:rsidR="00C71CDB" w:rsidRDefault="00C71CDB" w:rsidP="00C71CDB">
      <w:pPr>
        <w:pStyle w:val="Heading3"/>
        <w:keepNext w:val="0"/>
        <w:keepLines w:val="0"/>
        <w:spacing w:before="280"/>
        <w:rPr>
          <w:b/>
          <w:bCs/>
          <w:color w:val="000000"/>
          <w:sz w:val="24"/>
          <w:szCs w:val="24"/>
        </w:rPr>
      </w:pPr>
      <w:bookmarkStart w:id="122" w:name="_e32075mxo254" w:colFirst="0" w:colLast="0"/>
      <w:bookmarkStart w:id="123" w:name="_Toc241008254"/>
      <w:bookmarkEnd w:id="122"/>
      <w:r>
        <w:rPr>
          <w:b/>
          <w:bCs/>
          <w:color w:val="000000"/>
          <w:sz w:val="24"/>
          <w:szCs w:val="24"/>
        </w:rPr>
        <w:t>Value Proposition</w:t>
      </w:r>
      <w:bookmarkEnd w:id="123"/>
    </w:p>
    <w:p w14:paraId="722BBBEB" w14:textId="77777777" w:rsidR="00C71CDB" w:rsidRDefault="00C71CDB" w:rsidP="00C71CDB">
      <w:pPr>
        <w:ind w:left="600" w:right="600"/>
      </w:pPr>
      <w:r>
        <w:t>EcoPack Solutions offers a curated selection of functional sustainable packaging solutions with a convenient digital purchasing service to European e-commerce SMEs with the need for reliable packaging and growing sustainability and regulatory requirements. EcoPack is different than other packaging suppliers: it not only provides access to product, but also offers both practical support on sustainability and PPWR and simplifies the purchasing process for SMEs to choose packaging based on changing European requirements.</w:t>
      </w:r>
    </w:p>
    <w:p w14:paraId="12D51891" w14:textId="77777777" w:rsidR="00C71CDB" w:rsidRDefault="00C71CDB" w:rsidP="00C71CDB">
      <w:pPr>
        <w:ind w:right="600"/>
      </w:pPr>
      <w:r>
        <w:t>There is a tradeoff to the customer: paying more, needing to switch businesses, and relying on EcoPack's supplier network. In order to prove their value, therefore, EcoPack has to offer competitive pricing, timely delivery, and packaging of appropriate size with credible product information.</w:t>
      </w:r>
    </w:p>
    <w:p w14:paraId="141C1F43" w14:textId="77777777" w:rsidR="00C71CDB" w:rsidRDefault="00C71CDB" w:rsidP="00C71CDB">
      <w:pPr>
        <w:pStyle w:val="Heading2"/>
        <w:keepNext w:val="0"/>
        <w:keepLines w:val="0"/>
        <w:rPr>
          <w:b w:val="0"/>
          <w:bCs w:val="0"/>
        </w:rPr>
      </w:pPr>
      <w:bookmarkStart w:id="124" w:name="_wyi8794do2sg" w:colFirst="0" w:colLast="0"/>
      <w:bookmarkStart w:id="125" w:name="_Toc241008255"/>
      <w:bookmarkEnd w:id="124"/>
      <w:r>
        <w:t>7.6 Competitive Advantage and Key Success Factors</w:t>
      </w:r>
      <w:bookmarkEnd w:id="125"/>
    </w:p>
    <w:p w14:paraId="15E803BE" w14:textId="77777777" w:rsidR="00C71CDB" w:rsidRDefault="00C71CDB" w:rsidP="00C71CDB">
      <w:r>
        <w:t>EcoPack's competitive benefit is still emerging and should be considered a competitive advantage rather than a competitive advantage. The required capabilities are useful but can be copied one at a time. Defensibility needs to be built through a series of relationships, information, learnings and customer trust.</w:t>
      </w:r>
    </w:p>
    <w:p w14:paraId="00E43E8F" w14:textId="77777777" w:rsidR="00C71CDB" w:rsidRDefault="00C71CDB" w:rsidP="00C71CDB">
      <w:pPr>
        <w:pStyle w:val="Heading3"/>
        <w:keepNext w:val="0"/>
        <w:keepLines w:val="0"/>
        <w:spacing w:before="280"/>
        <w:rPr>
          <w:b/>
          <w:bCs/>
          <w:color w:val="000000"/>
          <w:sz w:val="24"/>
          <w:szCs w:val="24"/>
        </w:rPr>
      </w:pPr>
      <w:bookmarkStart w:id="126" w:name="_iygkybi6hc23" w:colFirst="0" w:colLast="0"/>
      <w:bookmarkStart w:id="127" w:name="_Toc241008256"/>
      <w:bookmarkEnd w:id="126"/>
      <w:r>
        <w:rPr>
          <w:b/>
          <w:bCs/>
          <w:color w:val="000000"/>
          <w:sz w:val="24"/>
          <w:szCs w:val="24"/>
        </w:rPr>
        <w:t>1. Supplier capability</w:t>
      </w:r>
      <w:bookmarkEnd w:id="127"/>
    </w:p>
    <w:p w14:paraId="4F409FB5" w14:textId="77777777" w:rsidR="00C71CDB" w:rsidRDefault="00C71CDB" w:rsidP="00C71CDB">
      <w:r>
        <w:lastRenderedPageBreak/>
        <w:t>EcoPack should develop an approved-supplier program that includes product quality, certifications (if applicable), delivery on time, minimum order quantities, pricing and sustainability evidence. With critical products at least two qualified suppliers should be developed to reduce dependency.</w:t>
      </w:r>
    </w:p>
    <w:p w14:paraId="7D3BBF96" w14:textId="77777777" w:rsidR="00C71CDB" w:rsidRDefault="00C71CDB" w:rsidP="00C71CDB">
      <w:pPr>
        <w:pStyle w:val="Heading3"/>
        <w:keepNext w:val="0"/>
        <w:keepLines w:val="0"/>
        <w:spacing w:before="280"/>
        <w:rPr>
          <w:b/>
          <w:bCs/>
          <w:color w:val="000000"/>
          <w:sz w:val="24"/>
          <w:szCs w:val="24"/>
        </w:rPr>
      </w:pPr>
      <w:bookmarkStart w:id="128" w:name="_cfbg5yc1ed6f" w:colFirst="0" w:colLast="0"/>
      <w:bookmarkStart w:id="129" w:name="_Toc241008257"/>
      <w:bookmarkEnd w:id="128"/>
      <w:r>
        <w:rPr>
          <w:b/>
          <w:bCs/>
          <w:color w:val="000000"/>
          <w:sz w:val="24"/>
          <w:szCs w:val="24"/>
        </w:rPr>
        <w:t>2. Regulatory capability</w:t>
      </w:r>
      <w:bookmarkEnd w:id="129"/>
    </w:p>
    <w:p w14:paraId="7831EB2E" w14:textId="77777777" w:rsidR="00C71CDB" w:rsidRDefault="00C71CDB" w:rsidP="00C71CDB">
      <w:r>
        <w:t>The creation of PPWR is a sustained information need. Secondary legislation is still under development, the European Commission states, such as specific rules for recyclability, recycled content and reuse. EcoPack should therefore ensure that it carries out a continuous regulatory monitoring rather than compliance as a one-off activity.</w:t>
      </w:r>
    </w:p>
    <w:p w14:paraId="2E183022" w14:textId="77777777" w:rsidR="00C71CDB" w:rsidRDefault="00C71CDB" w:rsidP="00C71CDB">
      <w:pPr>
        <w:pStyle w:val="Heading3"/>
        <w:keepNext w:val="0"/>
        <w:keepLines w:val="0"/>
        <w:spacing w:before="280"/>
        <w:rPr>
          <w:b/>
          <w:bCs/>
          <w:color w:val="000000"/>
          <w:sz w:val="24"/>
          <w:szCs w:val="24"/>
        </w:rPr>
      </w:pPr>
      <w:bookmarkStart w:id="130" w:name="_6mq0rqgh8wh3" w:colFirst="0" w:colLast="0"/>
      <w:bookmarkStart w:id="131" w:name="_Toc241008258"/>
      <w:bookmarkEnd w:id="130"/>
      <w:r>
        <w:rPr>
          <w:b/>
          <w:bCs/>
          <w:color w:val="000000"/>
          <w:sz w:val="24"/>
          <w:szCs w:val="24"/>
        </w:rPr>
        <w:t>3. Customer-data capability</w:t>
      </w:r>
      <w:bookmarkEnd w:id="131"/>
    </w:p>
    <w:p w14:paraId="70FB5BE5" w14:textId="77777777" w:rsidR="00C71CDB" w:rsidRDefault="00C71CDB" w:rsidP="00C71CDB">
      <w:r>
        <w:t>Repeat orders should provide data on packaging size, order frequency, seasonal demand, material choices etc. This information can be used over time to help make product suggestions, inventory planning, and personalised reordering. Whereas with a generic catalogue, the more customers you service the harder it will be for an outside competitor to duplicate.</w:t>
      </w:r>
    </w:p>
    <w:p w14:paraId="76014E55" w14:textId="77777777" w:rsidR="00C71CDB" w:rsidRDefault="00C71CDB" w:rsidP="00C71CDB">
      <w:pPr>
        <w:pStyle w:val="Heading3"/>
        <w:keepNext w:val="0"/>
        <w:keepLines w:val="0"/>
        <w:spacing w:before="280"/>
        <w:rPr>
          <w:b/>
          <w:bCs/>
          <w:color w:val="000000"/>
          <w:sz w:val="24"/>
          <w:szCs w:val="24"/>
        </w:rPr>
      </w:pPr>
      <w:bookmarkStart w:id="132" w:name="_emlp3p75298i" w:colFirst="0" w:colLast="0"/>
      <w:bookmarkStart w:id="133" w:name="_Toc241008259"/>
      <w:bookmarkEnd w:id="132"/>
      <w:r>
        <w:rPr>
          <w:b/>
          <w:bCs/>
          <w:color w:val="000000"/>
          <w:sz w:val="24"/>
          <w:szCs w:val="24"/>
        </w:rPr>
        <w:t>4. Cost discipline</w:t>
      </w:r>
      <w:bookmarkEnd w:id="133"/>
    </w:p>
    <w:p w14:paraId="2B2713AF" w14:textId="77777777" w:rsidR="00C71CDB" w:rsidRDefault="00C71CDB" w:rsidP="00C71CDB">
      <w:r>
        <w:t>Price discipline is a necessary condition for economic conditions. The inflation rate in the European Union was 2.9 percent as of June 2026, with prices increasing at the fastest rate in Romania (9.2 percent) (Statista, 2025). In July 2026, the ECB composite cost of borrowing for new corporate loans was 3.80%. Therefore, the first phase of manufacturing should be avoided in EcoPack, because it is a capital-intensive process.</w:t>
      </w:r>
    </w:p>
    <w:p w14:paraId="152ADD58" w14:textId="77777777" w:rsidR="00C71CDB" w:rsidRDefault="00C71CDB" w:rsidP="00C71CDB">
      <w:pPr>
        <w:jc w:val="center"/>
      </w:pPr>
      <w:r>
        <w:rPr>
          <w:noProof/>
        </w:rPr>
        <w:lastRenderedPageBreak/>
        <w:drawing>
          <wp:inline distT="114300" distB="114300" distL="114300" distR="114300" wp14:anchorId="37C3F72F" wp14:editId="73EE90C6">
            <wp:extent cx="5943600" cy="3530600"/>
            <wp:effectExtent l="0" t="0" r="0" b="0"/>
            <wp:docPr id="4"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7"/>
                    <a:srcRect/>
                    <a:stretch>
                      <a:fillRect/>
                    </a:stretch>
                  </pic:blipFill>
                  <pic:spPr>
                    <a:xfrm>
                      <a:off x="0" y="0"/>
                      <a:ext cx="5943600" cy="3530600"/>
                    </a:xfrm>
                    <a:prstGeom prst="rect">
                      <a:avLst/>
                    </a:prstGeom>
                    <a:ln/>
                  </pic:spPr>
                </pic:pic>
              </a:graphicData>
            </a:graphic>
          </wp:inline>
        </w:drawing>
      </w:r>
    </w:p>
    <w:p w14:paraId="287A385C" w14:textId="6D35AFD9" w:rsidR="00C71CDB" w:rsidRDefault="00C71CDB" w:rsidP="004503E7">
      <w:pPr>
        <w:pStyle w:val="Heading5"/>
      </w:pPr>
      <w:bookmarkStart w:id="134" w:name="_Toc241007425"/>
      <w:r>
        <w:t>Figure</w:t>
      </w:r>
      <w:r w:rsidR="00322600">
        <w:t xml:space="preserve"> 9</w:t>
      </w:r>
      <w:r>
        <w:t>: “Harmonized index of consumer prices (HICP) inflation rate”</w:t>
      </w:r>
      <w:bookmarkEnd w:id="134"/>
    </w:p>
    <w:p w14:paraId="73D0EE85" w14:textId="77777777" w:rsidR="00C71CDB" w:rsidRDefault="00C71CDB" w:rsidP="00C71CDB">
      <w:pPr>
        <w:jc w:val="center"/>
      </w:pPr>
      <w:r>
        <w:t>(Source: Statista, 2025)</w:t>
      </w:r>
    </w:p>
    <w:tbl>
      <w:tblPr>
        <w:tblW w:w="9360" w:type="dxa"/>
        <w:tblBorders>
          <w:top w:val="nil"/>
          <w:left w:val="nil"/>
          <w:bottom w:val="nil"/>
          <w:right w:val="nil"/>
          <w:insideH w:val="nil"/>
          <w:insideV w:val="nil"/>
        </w:tblBorders>
        <w:shd w:val="clear" w:color="auto" w:fill="EEECE1" w:themeFill="background2"/>
        <w:tblLayout w:type="fixed"/>
        <w:tblLook w:val="0600" w:firstRow="0" w:lastRow="0" w:firstColumn="0" w:lastColumn="0" w:noHBand="1" w:noVBand="1"/>
      </w:tblPr>
      <w:tblGrid>
        <w:gridCol w:w="2215"/>
        <w:gridCol w:w="3408"/>
        <w:gridCol w:w="3737"/>
      </w:tblGrid>
      <w:tr w:rsidR="00C71CDB" w14:paraId="2E1A60AB" w14:textId="77777777" w:rsidTr="00EF66B6">
        <w:trPr>
          <w:trHeight w:val="515"/>
        </w:trPr>
        <w:tc>
          <w:tcPr>
            <w:tcW w:w="2215" w:type="dxa"/>
            <w:tcBorders>
              <w:top w:val="single" w:sz="4" w:space="0" w:color="000000"/>
              <w:left w:val="single" w:sz="4" w:space="0" w:color="000000"/>
              <w:bottom w:val="single" w:sz="4" w:space="0" w:color="000000"/>
              <w:right w:val="single" w:sz="4" w:space="0" w:color="000000"/>
            </w:tcBorders>
            <w:shd w:val="clear" w:color="auto" w:fill="EEECE1" w:themeFill="background2"/>
            <w:tcMar>
              <w:top w:w="100" w:type="dxa"/>
              <w:left w:w="100" w:type="dxa"/>
              <w:bottom w:w="100" w:type="dxa"/>
              <w:right w:w="100" w:type="dxa"/>
            </w:tcMar>
          </w:tcPr>
          <w:p w14:paraId="315B6100" w14:textId="12663843" w:rsidR="00C71CDB" w:rsidRDefault="00322600" w:rsidP="00DA7C87">
            <w:r>
              <w:rPr>
                <w:b/>
                <w:bCs/>
              </w:rPr>
              <w:t>“</w:t>
            </w:r>
            <w:r w:rsidR="00C71CDB">
              <w:rPr>
                <w:b/>
                <w:bCs/>
              </w:rPr>
              <w:t>Key success factor</w:t>
            </w:r>
          </w:p>
        </w:tc>
        <w:tc>
          <w:tcPr>
            <w:tcW w:w="3408" w:type="dxa"/>
            <w:tcBorders>
              <w:top w:val="single" w:sz="4" w:space="0" w:color="000000"/>
              <w:left w:val="single" w:sz="4" w:space="0" w:color="000000"/>
              <w:bottom w:val="single" w:sz="4" w:space="0" w:color="000000"/>
              <w:right w:val="single" w:sz="4" w:space="0" w:color="000000"/>
            </w:tcBorders>
            <w:shd w:val="clear" w:color="auto" w:fill="EEECE1" w:themeFill="background2"/>
            <w:tcMar>
              <w:top w:w="100" w:type="dxa"/>
              <w:left w:w="100" w:type="dxa"/>
              <w:bottom w:w="100" w:type="dxa"/>
              <w:right w:w="100" w:type="dxa"/>
            </w:tcMar>
          </w:tcPr>
          <w:p w14:paraId="19A4FA12" w14:textId="77777777" w:rsidR="00C71CDB" w:rsidRDefault="00C71CDB" w:rsidP="00DA7C87">
            <w:r>
              <w:rPr>
                <w:b/>
                <w:bCs/>
              </w:rPr>
              <w:t>Mechanism</w:t>
            </w:r>
          </w:p>
        </w:tc>
        <w:tc>
          <w:tcPr>
            <w:tcW w:w="3737" w:type="dxa"/>
            <w:tcBorders>
              <w:top w:val="single" w:sz="4" w:space="0" w:color="000000"/>
              <w:left w:val="single" w:sz="4" w:space="0" w:color="000000"/>
              <w:bottom w:val="single" w:sz="4" w:space="0" w:color="000000"/>
              <w:right w:val="single" w:sz="4" w:space="0" w:color="000000"/>
            </w:tcBorders>
            <w:shd w:val="clear" w:color="auto" w:fill="EEECE1" w:themeFill="background2"/>
            <w:tcMar>
              <w:top w:w="100" w:type="dxa"/>
              <w:left w:w="100" w:type="dxa"/>
              <w:bottom w:w="100" w:type="dxa"/>
              <w:right w:w="100" w:type="dxa"/>
            </w:tcMar>
          </w:tcPr>
          <w:p w14:paraId="691A3970" w14:textId="77777777" w:rsidR="00C71CDB" w:rsidRDefault="00C71CDB" w:rsidP="00DA7C87">
            <w:r>
              <w:rPr>
                <w:b/>
                <w:bCs/>
              </w:rPr>
              <w:t>Initial measure</w:t>
            </w:r>
          </w:p>
        </w:tc>
      </w:tr>
      <w:tr w:rsidR="00C71CDB" w14:paraId="6213B814" w14:textId="77777777" w:rsidTr="00EF66B6">
        <w:trPr>
          <w:trHeight w:val="785"/>
        </w:trPr>
        <w:tc>
          <w:tcPr>
            <w:tcW w:w="2215" w:type="dxa"/>
            <w:tcBorders>
              <w:top w:val="single" w:sz="4" w:space="0" w:color="000000"/>
              <w:left w:val="single" w:sz="4" w:space="0" w:color="000000"/>
              <w:bottom w:val="single" w:sz="4" w:space="0" w:color="000000"/>
              <w:right w:val="single" w:sz="4" w:space="0" w:color="000000"/>
            </w:tcBorders>
            <w:shd w:val="clear" w:color="auto" w:fill="EEECE1" w:themeFill="background2"/>
            <w:tcMar>
              <w:top w:w="100" w:type="dxa"/>
              <w:left w:w="100" w:type="dxa"/>
              <w:bottom w:w="100" w:type="dxa"/>
              <w:right w:w="100" w:type="dxa"/>
            </w:tcMar>
          </w:tcPr>
          <w:p w14:paraId="44FB57F0" w14:textId="77777777" w:rsidR="00C71CDB" w:rsidRDefault="00C71CDB" w:rsidP="00DA7C87">
            <w:r>
              <w:t>Supplier reliability</w:t>
            </w:r>
          </w:p>
        </w:tc>
        <w:tc>
          <w:tcPr>
            <w:tcW w:w="3408" w:type="dxa"/>
            <w:tcBorders>
              <w:top w:val="single" w:sz="4" w:space="0" w:color="000000"/>
              <w:left w:val="single" w:sz="4" w:space="0" w:color="000000"/>
              <w:bottom w:val="single" w:sz="4" w:space="0" w:color="000000"/>
              <w:right w:val="single" w:sz="4" w:space="0" w:color="000000"/>
            </w:tcBorders>
            <w:shd w:val="clear" w:color="auto" w:fill="EEECE1" w:themeFill="background2"/>
            <w:tcMar>
              <w:top w:w="100" w:type="dxa"/>
              <w:left w:w="100" w:type="dxa"/>
              <w:bottom w:w="100" w:type="dxa"/>
              <w:right w:w="100" w:type="dxa"/>
            </w:tcMar>
          </w:tcPr>
          <w:p w14:paraId="79696787" w14:textId="77777777" w:rsidR="00C71CDB" w:rsidRDefault="00C71CDB" w:rsidP="00DA7C87">
            <w:r>
              <w:t>Approved supplier system</w:t>
            </w:r>
          </w:p>
        </w:tc>
        <w:tc>
          <w:tcPr>
            <w:tcW w:w="3737" w:type="dxa"/>
            <w:tcBorders>
              <w:top w:val="single" w:sz="4" w:space="0" w:color="000000"/>
              <w:left w:val="single" w:sz="4" w:space="0" w:color="000000"/>
              <w:bottom w:val="single" w:sz="4" w:space="0" w:color="000000"/>
              <w:right w:val="single" w:sz="4" w:space="0" w:color="000000"/>
            </w:tcBorders>
            <w:shd w:val="clear" w:color="auto" w:fill="EEECE1" w:themeFill="background2"/>
            <w:tcMar>
              <w:top w:w="100" w:type="dxa"/>
              <w:left w:w="100" w:type="dxa"/>
              <w:bottom w:w="100" w:type="dxa"/>
              <w:right w:w="100" w:type="dxa"/>
            </w:tcMar>
          </w:tcPr>
          <w:p w14:paraId="5BB5A1F9" w14:textId="77777777" w:rsidR="00C71CDB" w:rsidRDefault="00C71CDB" w:rsidP="00DA7C87">
            <w:r>
              <w:t>Two qualified sources for critical SKUs</w:t>
            </w:r>
          </w:p>
        </w:tc>
      </w:tr>
      <w:tr w:rsidR="00C71CDB" w14:paraId="16EBEA67" w14:textId="77777777" w:rsidTr="00EF66B6">
        <w:trPr>
          <w:trHeight w:val="785"/>
        </w:trPr>
        <w:tc>
          <w:tcPr>
            <w:tcW w:w="2215" w:type="dxa"/>
            <w:tcBorders>
              <w:top w:val="single" w:sz="4" w:space="0" w:color="000000"/>
              <w:left w:val="single" w:sz="4" w:space="0" w:color="000000"/>
              <w:bottom w:val="single" w:sz="4" w:space="0" w:color="000000"/>
              <w:right w:val="single" w:sz="4" w:space="0" w:color="000000"/>
            </w:tcBorders>
            <w:shd w:val="clear" w:color="auto" w:fill="EEECE1" w:themeFill="background2"/>
            <w:tcMar>
              <w:top w:w="100" w:type="dxa"/>
              <w:left w:w="100" w:type="dxa"/>
              <w:bottom w:w="100" w:type="dxa"/>
              <w:right w:w="100" w:type="dxa"/>
            </w:tcMar>
          </w:tcPr>
          <w:p w14:paraId="2989C350" w14:textId="77777777" w:rsidR="00C71CDB" w:rsidRDefault="00C71CDB" w:rsidP="00DA7C87">
            <w:r>
              <w:t>Competitive pricing</w:t>
            </w:r>
          </w:p>
        </w:tc>
        <w:tc>
          <w:tcPr>
            <w:tcW w:w="3408" w:type="dxa"/>
            <w:tcBorders>
              <w:top w:val="single" w:sz="4" w:space="0" w:color="000000"/>
              <w:left w:val="single" w:sz="4" w:space="0" w:color="000000"/>
              <w:bottom w:val="single" w:sz="4" w:space="0" w:color="000000"/>
              <w:right w:val="single" w:sz="4" w:space="0" w:color="000000"/>
            </w:tcBorders>
            <w:shd w:val="clear" w:color="auto" w:fill="EEECE1" w:themeFill="background2"/>
            <w:tcMar>
              <w:top w:w="100" w:type="dxa"/>
              <w:left w:w="100" w:type="dxa"/>
              <w:bottom w:w="100" w:type="dxa"/>
              <w:right w:w="100" w:type="dxa"/>
            </w:tcMar>
          </w:tcPr>
          <w:p w14:paraId="2516AB0E" w14:textId="77777777" w:rsidR="00C71CDB" w:rsidRDefault="00C71CDB" w:rsidP="00DA7C87">
            <w:r>
              <w:t>Supplier comparison and volume negotiation</w:t>
            </w:r>
          </w:p>
        </w:tc>
        <w:tc>
          <w:tcPr>
            <w:tcW w:w="3737" w:type="dxa"/>
            <w:tcBorders>
              <w:top w:val="single" w:sz="4" w:space="0" w:color="000000"/>
              <w:left w:val="single" w:sz="4" w:space="0" w:color="000000"/>
              <w:bottom w:val="single" w:sz="4" w:space="0" w:color="000000"/>
              <w:right w:val="single" w:sz="4" w:space="0" w:color="000000"/>
            </w:tcBorders>
            <w:shd w:val="clear" w:color="auto" w:fill="EEECE1" w:themeFill="background2"/>
            <w:tcMar>
              <w:top w:w="100" w:type="dxa"/>
              <w:left w:w="100" w:type="dxa"/>
              <w:bottom w:w="100" w:type="dxa"/>
              <w:right w:w="100" w:type="dxa"/>
            </w:tcMar>
          </w:tcPr>
          <w:p w14:paraId="71AD0D80" w14:textId="77777777" w:rsidR="00C71CDB" w:rsidRDefault="00C71CDB" w:rsidP="00DA7C87">
            <w:r>
              <w:t>Target margin validated through pilot sales</w:t>
            </w:r>
          </w:p>
        </w:tc>
      </w:tr>
      <w:tr w:rsidR="00C71CDB" w14:paraId="63963DE1" w14:textId="77777777" w:rsidTr="00EF66B6">
        <w:trPr>
          <w:trHeight w:val="785"/>
        </w:trPr>
        <w:tc>
          <w:tcPr>
            <w:tcW w:w="2215" w:type="dxa"/>
            <w:tcBorders>
              <w:top w:val="single" w:sz="4" w:space="0" w:color="000000"/>
              <w:left w:val="single" w:sz="4" w:space="0" w:color="000000"/>
              <w:bottom w:val="single" w:sz="4" w:space="0" w:color="000000"/>
              <w:right w:val="single" w:sz="4" w:space="0" w:color="000000"/>
            </w:tcBorders>
            <w:shd w:val="clear" w:color="auto" w:fill="EEECE1" w:themeFill="background2"/>
            <w:tcMar>
              <w:top w:w="100" w:type="dxa"/>
              <w:left w:w="100" w:type="dxa"/>
              <w:bottom w:w="100" w:type="dxa"/>
              <w:right w:w="100" w:type="dxa"/>
            </w:tcMar>
          </w:tcPr>
          <w:p w14:paraId="738C317B" w14:textId="77777777" w:rsidR="00C71CDB" w:rsidRDefault="00C71CDB" w:rsidP="00DA7C87">
            <w:r>
              <w:t>Regulatory credibility</w:t>
            </w:r>
          </w:p>
        </w:tc>
        <w:tc>
          <w:tcPr>
            <w:tcW w:w="3408" w:type="dxa"/>
            <w:tcBorders>
              <w:top w:val="single" w:sz="4" w:space="0" w:color="000000"/>
              <w:left w:val="single" w:sz="4" w:space="0" w:color="000000"/>
              <w:bottom w:val="single" w:sz="4" w:space="0" w:color="000000"/>
              <w:right w:val="single" w:sz="4" w:space="0" w:color="000000"/>
            </w:tcBorders>
            <w:shd w:val="clear" w:color="auto" w:fill="EEECE1" w:themeFill="background2"/>
            <w:tcMar>
              <w:top w:w="100" w:type="dxa"/>
              <w:left w:w="100" w:type="dxa"/>
              <w:bottom w:w="100" w:type="dxa"/>
              <w:right w:w="100" w:type="dxa"/>
            </w:tcMar>
          </w:tcPr>
          <w:p w14:paraId="64532122" w14:textId="77777777" w:rsidR="00C71CDB" w:rsidRDefault="00C71CDB" w:rsidP="00DA7C87">
            <w:r>
              <w:t>PPWR monitoring and product review</w:t>
            </w:r>
          </w:p>
        </w:tc>
        <w:tc>
          <w:tcPr>
            <w:tcW w:w="3737" w:type="dxa"/>
            <w:tcBorders>
              <w:top w:val="single" w:sz="4" w:space="0" w:color="000000"/>
              <w:left w:val="single" w:sz="4" w:space="0" w:color="000000"/>
              <w:bottom w:val="single" w:sz="4" w:space="0" w:color="000000"/>
              <w:right w:val="single" w:sz="4" w:space="0" w:color="000000"/>
            </w:tcBorders>
            <w:shd w:val="clear" w:color="auto" w:fill="EEECE1" w:themeFill="background2"/>
            <w:tcMar>
              <w:top w:w="100" w:type="dxa"/>
              <w:left w:w="100" w:type="dxa"/>
              <w:bottom w:w="100" w:type="dxa"/>
              <w:right w:w="100" w:type="dxa"/>
            </w:tcMar>
          </w:tcPr>
          <w:p w14:paraId="642B1374" w14:textId="77777777" w:rsidR="00C71CDB" w:rsidRDefault="00C71CDB" w:rsidP="00DA7C87">
            <w:r>
              <w:t>Core products reviewed before listing</w:t>
            </w:r>
          </w:p>
        </w:tc>
      </w:tr>
      <w:tr w:rsidR="00C71CDB" w14:paraId="0667E017" w14:textId="77777777" w:rsidTr="00EF66B6">
        <w:trPr>
          <w:trHeight w:val="785"/>
        </w:trPr>
        <w:tc>
          <w:tcPr>
            <w:tcW w:w="2215" w:type="dxa"/>
            <w:tcBorders>
              <w:top w:val="single" w:sz="4" w:space="0" w:color="000000"/>
              <w:left w:val="single" w:sz="4" w:space="0" w:color="000000"/>
              <w:bottom w:val="single" w:sz="4" w:space="0" w:color="000000"/>
              <w:right w:val="single" w:sz="4" w:space="0" w:color="000000"/>
            </w:tcBorders>
            <w:shd w:val="clear" w:color="auto" w:fill="EEECE1" w:themeFill="background2"/>
            <w:tcMar>
              <w:top w:w="100" w:type="dxa"/>
              <w:left w:w="100" w:type="dxa"/>
              <w:bottom w:w="100" w:type="dxa"/>
              <w:right w:w="100" w:type="dxa"/>
            </w:tcMar>
          </w:tcPr>
          <w:p w14:paraId="15D0BA6E" w14:textId="77777777" w:rsidR="00C71CDB" w:rsidRDefault="00C71CDB" w:rsidP="00DA7C87">
            <w:r>
              <w:lastRenderedPageBreak/>
              <w:t>Digital convenience</w:t>
            </w:r>
          </w:p>
        </w:tc>
        <w:tc>
          <w:tcPr>
            <w:tcW w:w="3408" w:type="dxa"/>
            <w:tcBorders>
              <w:top w:val="single" w:sz="4" w:space="0" w:color="000000"/>
              <w:left w:val="single" w:sz="4" w:space="0" w:color="000000"/>
              <w:bottom w:val="single" w:sz="4" w:space="0" w:color="000000"/>
              <w:right w:val="single" w:sz="4" w:space="0" w:color="000000"/>
            </w:tcBorders>
            <w:shd w:val="clear" w:color="auto" w:fill="EEECE1" w:themeFill="background2"/>
            <w:tcMar>
              <w:top w:w="100" w:type="dxa"/>
              <w:left w:w="100" w:type="dxa"/>
              <w:bottom w:w="100" w:type="dxa"/>
              <w:right w:w="100" w:type="dxa"/>
            </w:tcMar>
          </w:tcPr>
          <w:p w14:paraId="038CD1B3" w14:textId="77777777" w:rsidR="00C71CDB" w:rsidRDefault="00C71CDB" w:rsidP="00DA7C87">
            <w:r>
              <w:t>Search, quotation and repeat-order functions</w:t>
            </w:r>
          </w:p>
        </w:tc>
        <w:tc>
          <w:tcPr>
            <w:tcW w:w="3737" w:type="dxa"/>
            <w:tcBorders>
              <w:top w:val="single" w:sz="4" w:space="0" w:color="000000"/>
              <w:left w:val="single" w:sz="4" w:space="0" w:color="000000"/>
              <w:bottom w:val="single" w:sz="4" w:space="0" w:color="000000"/>
              <w:right w:val="single" w:sz="4" w:space="0" w:color="000000"/>
            </w:tcBorders>
            <w:shd w:val="clear" w:color="auto" w:fill="EEECE1" w:themeFill="background2"/>
            <w:tcMar>
              <w:top w:w="100" w:type="dxa"/>
              <w:left w:w="100" w:type="dxa"/>
              <w:bottom w:w="100" w:type="dxa"/>
              <w:right w:w="100" w:type="dxa"/>
            </w:tcMar>
          </w:tcPr>
          <w:p w14:paraId="4C557B4C" w14:textId="77777777" w:rsidR="00C71CDB" w:rsidRDefault="00C71CDB" w:rsidP="00DA7C87">
            <w:r>
              <w:t>Pilot customers able to order independently</w:t>
            </w:r>
          </w:p>
        </w:tc>
      </w:tr>
      <w:tr w:rsidR="00C71CDB" w14:paraId="7583CDB3" w14:textId="77777777" w:rsidTr="00EF66B6">
        <w:trPr>
          <w:trHeight w:val="785"/>
        </w:trPr>
        <w:tc>
          <w:tcPr>
            <w:tcW w:w="2215" w:type="dxa"/>
            <w:tcBorders>
              <w:top w:val="single" w:sz="4" w:space="0" w:color="000000"/>
              <w:left w:val="single" w:sz="4" w:space="0" w:color="000000"/>
              <w:bottom w:val="single" w:sz="4" w:space="0" w:color="000000"/>
              <w:right w:val="single" w:sz="4" w:space="0" w:color="000000"/>
            </w:tcBorders>
            <w:shd w:val="clear" w:color="auto" w:fill="EEECE1" w:themeFill="background2"/>
            <w:tcMar>
              <w:top w:w="100" w:type="dxa"/>
              <w:left w:w="100" w:type="dxa"/>
              <w:bottom w:w="100" w:type="dxa"/>
              <w:right w:w="100" w:type="dxa"/>
            </w:tcMar>
          </w:tcPr>
          <w:p w14:paraId="5A0C7EC9" w14:textId="77777777" w:rsidR="00C71CDB" w:rsidRDefault="00C71CDB" w:rsidP="00DA7C87">
            <w:r>
              <w:t>Customer retention</w:t>
            </w:r>
          </w:p>
        </w:tc>
        <w:tc>
          <w:tcPr>
            <w:tcW w:w="3408" w:type="dxa"/>
            <w:tcBorders>
              <w:top w:val="single" w:sz="4" w:space="0" w:color="000000"/>
              <w:left w:val="single" w:sz="4" w:space="0" w:color="000000"/>
              <w:bottom w:val="single" w:sz="4" w:space="0" w:color="000000"/>
              <w:right w:val="single" w:sz="4" w:space="0" w:color="000000"/>
            </w:tcBorders>
            <w:shd w:val="clear" w:color="auto" w:fill="EEECE1" w:themeFill="background2"/>
            <w:tcMar>
              <w:top w:w="100" w:type="dxa"/>
              <w:left w:w="100" w:type="dxa"/>
              <w:bottom w:w="100" w:type="dxa"/>
              <w:right w:w="100" w:type="dxa"/>
            </w:tcMar>
          </w:tcPr>
          <w:p w14:paraId="2C68DA35" w14:textId="77777777" w:rsidR="00C71CDB" w:rsidRDefault="00C71CDB" w:rsidP="00DA7C87">
            <w:r>
              <w:t>CRM and reorder system</w:t>
            </w:r>
          </w:p>
        </w:tc>
        <w:tc>
          <w:tcPr>
            <w:tcW w:w="3737" w:type="dxa"/>
            <w:tcBorders>
              <w:top w:val="single" w:sz="4" w:space="0" w:color="000000"/>
              <w:left w:val="single" w:sz="4" w:space="0" w:color="000000"/>
              <w:bottom w:val="single" w:sz="4" w:space="0" w:color="000000"/>
              <w:right w:val="single" w:sz="4" w:space="0" w:color="000000"/>
            </w:tcBorders>
            <w:shd w:val="clear" w:color="auto" w:fill="EEECE1" w:themeFill="background2"/>
            <w:tcMar>
              <w:top w:w="100" w:type="dxa"/>
              <w:left w:w="100" w:type="dxa"/>
              <w:bottom w:w="100" w:type="dxa"/>
              <w:right w:w="100" w:type="dxa"/>
            </w:tcMar>
          </w:tcPr>
          <w:p w14:paraId="4D880064" w14:textId="46AF1D59" w:rsidR="00C71CDB" w:rsidRDefault="00C71CDB" w:rsidP="00DA7C87">
            <w:r>
              <w:t>Repeat-purchase rate monitored after 3</w:t>
            </w:r>
            <w:r w:rsidR="00322600">
              <w:t>-</w:t>
            </w:r>
            <w:r>
              <w:t>6 months</w:t>
            </w:r>
          </w:p>
        </w:tc>
      </w:tr>
      <w:tr w:rsidR="00C71CDB" w14:paraId="0048CE00" w14:textId="77777777" w:rsidTr="00EF66B6">
        <w:trPr>
          <w:trHeight w:val="785"/>
        </w:trPr>
        <w:tc>
          <w:tcPr>
            <w:tcW w:w="2215" w:type="dxa"/>
            <w:tcBorders>
              <w:top w:val="single" w:sz="4" w:space="0" w:color="000000"/>
              <w:left w:val="single" w:sz="4" w:space="0" w:color="000000"/>
              <w:bottom w:val="single" w:sz="4" w:space="0" w:color="000000"/>
              <w:right w:val="single" w:sz="4" w:space="0" w:color="000000"/>
            </w:tcBorders>
            <w:shd w:val="clear" w:color="auto" w:fill="EEECE1" w:themeFill="background2"/>
            <w:tcMar>
              <w:top w:w="100" w:type="dxa"/>
              <w:left w:w="100" w:type="dxa"/>
              <w:bottom w:w="100" w:type="dxa"/>
              <w:right w:w="100" w:type="dxa"/>
            </w:tcMar>
          </w:tcPr>
          <w:p w14:paraId="5C772FE8" w14:textId="77777777" w:rsidR="00C71CDB" w:rsidRDefault="00C71CDB" w:rsidP="00DA7C87">
            <w:r>
              <w:t>Sustainability credibility</w:t>
            </w:r>
          </w:p>
        </w:tc>
        <w:tc>
          <w:tcPr>
            <w:tcW w:w="3408" w:type="dxa"/>
            <w:tcBorders>
              <w:top w:val="single" w:sz="4" w:space="0" w:color="000000"/>
              <w:left w:val="single" w:sz="4" w:space="0" w:color="000000"/>
              <w:bottom w:val="single" w:sz="4" w:space="0" w:color="000000"/>
              <w:right w:val="single" w:sz="4" w:space="0" w:color="000000"/>
            </w:tcBorders>
            <w:shd w:val="clear" w:color="auto" w:fill="EEECE1" w:themeFill="background2"/>
            <w:tcMar>
              <w:top w:w="100" w:type="dxa"/>
              <w:left w:w="100" w:type="dxa"/>
              <w:bottom w:w="100" w:type="dxa"/>
              <w:right w:w="100" w:type="dxa"/>
            </w:tcMar>
          </w:tcPr>
          <w:p w14:paraId="6375B610" w14:textId="77777777" w:rsidR="00C71CDB" w:rsidRDefault="00C71CDB" w:rsidP="00DA7C87">
            <w:r>
              <w:t>Evidence-based product information</w:t>
            </w:r>
          </w:p>
        </w:tc>
        <w:tc>
          <w:tcPr>
            <w:tcW w:w="3737" w:type="dxa"/>
            <w:tcBorders>
              <w:top w:val="single" w:sz="4" w:space="0" w:color="000000"/>
              <w:left w:val="single" w:sz="4" w:space="0" w:color="000000"/>
              <w:bottom w:val="single" w:sz="4" w:space="0" w:color="000000"/>
              <w:right w:val="single" w:sz="4" w:space="0" w:color="000000"/>
            </w:tcBorders>
            <w:shd w:val="clear" w:color="auto" w:fill="EEECE1" w:themeFill="background2"/>
            <w:tcMar>
              <w:top w:w="100" w:type="dxa"/>
              <w:left w:w="100" w:type="dxa"/>
              <w:bottom w:w="100" w:type="dxa"/>
              <w:right w:w="100" w:type="dxa"/>
            </w:tcMar>
          </w:tcPr>
          <w:p w14:paraId="35D67B66" w14:textId="21C7F091" w:rsidR="00C71CDB" w:rsidRDefault="00C71CDB" w:rsidP="00DA7C87">
            <w:r>
              <w:t>Sustainability information for every core SKU</w:t>
            </w:r>
            <w:r w:rsidR="00322600">
              <w:t>”</w:t>
            </w:r>
          </w:p>
        </w:tc>
      </w:tr>
    </w:tbl>
    <w:p w14:paraId="1F8695E9" w14:textId="59AF63DA" w:rsidR="00EF66B6" w:rsidRPr="00FB7622" w:rsidRDefault="00EF66B6" w:rsidP="00EF66B6">
      <w:pPr>
        <w:pStyle w:val="Heading6"/>
      </w:pPr>
      <w:bookmarkStart w:id="135" w:name="_6w3sanv1iikj" w:colFirst="0" w:colLast="0"/>
      <w:bookmarkStart w:id="136" w:name="_Toc241008863"/>
      <w:bookmarkEnd w:id="135"/>
      <w:r w:rsidRPr="00FB7622">
        <w:t xml:space="preserve">Table </w:t>
      </w:r>
      <w:r>
        <w:t>7</w:t>
      </w:r>
      <w:r w:rsidRPr="00FB7622">
        <w:t>: “</w:t>
      </w:r>
      <w:r>
        <w:t>Success factors</w:t>
      </w:r>
      <w:r w:rsidRPr="00FB7622">
        <w:t>”</w:t>
      </w:r>
      <w:bookmarkEnd w:id="136"/>
    </w:p>
    <w:p w14:paraId="640D3B7E" w14:textId="66BE0B63" w:rsidR="00EF66B6" w:rsidRDefault="00EF66B6" w:rsidP="00EF66B6">
      <w:pPr>
        <w:jc w:val="center"/>
      </w:pPr>
      <w:r>
        <w:t>(Source: Created by Author)</w:t>
      </w:r>
    </w:p>
    <w:p w14:paraId="04139698" w14:textId="058F4315" w:rsidR="00C71CDB" w:rsidRDefault="00C71CDB" w:rsidP="00C71CDB">
      <w:pPr>
        <w:pStyle w:val="Heading2"/>
        <w:keepNext w:val="0"/>
        <w:keepLines w:val="0"/>
        <w:rPr>
          <w:b w:val="0"/>
          <w:bCs w:val="0"/>
        </w:rPr>
      </w:pPr>
      <w:bookmarkStart w:id="137" w:name="_Toc241008260"/>
      <w:r>
        <w:t>7.7 Strategic Synthesis</w:t>
      </w:r>
      <w:bookmarkEnd w:id="137"/>
    </w:p>
    <w:p w14:paraId="7E84E85C" w14:textId="77777777" w:rsidR="00C71CDB" w:rsidRDefault="00C71CDB" w:rsidP="00C71CDB">
      <w:r>
        <w:t>The strategic recommendation is that EcoPack should be focused on specialisation of its SME offering, based on an asset-light operating model. It must not scale and compete with the multinational manufacturers on scale, manufacturing capacity or wide range of product lines. Rather, its competitive pitch ought to incorporate friendly to the environment packaging access, as well as digital convenience, regulatory data and practical customer support.</w:t>
      </w:r>
    </w:p>
    <w:p w14:paraId="4BD300E7" w14:textId="77777777" w:rsidR="00C71CDB" w:rsidRDefault="00C71CDB" w:rsidP="00C71CDB">
      <w:r>
        <w:t>The strategy is contingent on supplier economic viability, customer purchase readiness, delivery capability and the veracity of sustainability data. Chapter 8 should then help to write this strategy in the Business Model Canvas so that the proposed value proposition, customer segments, channels, resources, partners, activities, cost streams and revenue streams are aligned.</w:t>
      </w:r>
    </w:p>
    <w:p w14:paraId="2FDB4298" w14:textId="77777777" w:rsidR="00684A66" w:rsidRDefault="00684A66">
      <w:pPr>
        <w:rPr>
          <w:b/>
          <w:bCs/>
        </w:rPr>
      </w:pPr>
      <w:bookmarkStart w:id="138" w:name="_k8fyqt647yky" w:colFirst="0" w:colLast="0"/>
      <w:bookmarkStart w:id="139" w:name="_Toc241008261"/>
      <w:bookmarkEnd w:id="138"/>
      <w:r>
        <w:br w:type="page"/>
      </w:r>
    </w:p>
    <w:p w14:paraId="78D66BC4" w14:textId="485CEC1F" w:rsidR="00C71CDB" w:rsidRDefault="00C71CDB" w:rsidP="00C71CDB">
      <w:pPr>
        <w:pStyle w:val="Heading1"/>
        <w:keepNext w:val="0"/>
        <w:keepLines w:val="0"/>
        <w:rPr>
          <w:b w:val="0"/>
          <w:bCs w:val="0"/>
        </w:rPr>
      </w:pPr>
      <w:r>
        <w:lastRenderedPageBreak/>
        <w:t>Chapter 8: Business Model Canvas</w:t>
      </w:r>
      <w:bookmarkEnd w:id="139"/>
    </w:p>
    <w:p w14:paraId="54F133D7" w14:textId="77777777" w:rsidR="00C71CDB" w:rsidRDefault="00C71CDB" w:rsidP="00C71CDB">
      <w:pPr>
        <w:pStyle w:val="Heading2"/>
        <w:keepNext w:val="0"/>
        <w:keepLines w:val="0"/>
        <w:rPr>
          <w:b w:val="0"/>
          <w:bCs w:val="0"/>
        </w:rPr>
      </w:pPr>
      <w:bookmarkStart w:id="140" w:name="_f8eoe5shw2t6" w:colFirst="0" w:colLast="0"/>
      <w:bookmarkStart w:id="141" w:name="_Toc241008262"/>
      <w:bookmarkEnd w:id="140"/>
      <w:r>
        <w:t>8.1 Business Model Overview</w:t>
      </w:r>
      <w:bookmarkEnd w:id="141"/>
    </w:p>
    <w:p w14:paraId="445E9FD7" w14:textId="77777777" w:rsidR="00C71CDB" w:rsidRDefault="00C71CDB" w:rsidP="00C71CDB">
      <w:r>
        <w:t>The Business Model Canvas (BMC) is a way of describing the strategy in a machine-like manner, as a mechanism for creating, delivering and capturing value which integrates the strategy. The 9 BMC components are connected and rely on each other to ensure sustainable performance; the need for customers to partner with resources, activities, financial mechanisms, and each other more closely to ensure sustainable performance is not dependent on just one component. Sustainable business models need to be evaluated as a holistic system and not as a standalone sustainability initiative (Kassier, 2024). In turn, EcoPack Solutions adopts a digitally enabled and asset light model targeting European e-commerce SMEs.</w:t>
      </w:r>
    </w:p>
    <w:p w14:paraId="7D26C1AF" w14:textId="77777777" w:rsidR="00C71CDB" w:rsidRDefault="00C71CDB" w:rsidP="00C71CDB">
      <w:pPr>
        <w:pStyle w:val="Heading2"/>
        <w:keepNext w:val="0"/>
        <w:keepLines w:val="0"/>
        <w:rPr>
          <w:b w:val="0"/>
          <w:bCs w:val="0"/>
        </w:rPr>
      </w:pPr>
      <w:bookmarkStart w:id="142" w:name="_aerbadyofo2" w:colFirst="0" w:colLast="0"/>
      <w:bookmarkStart w:id="143" w:name="_Toc241008263"/>
      <w:bookmarkEnd w:id="142"/>
      <w:r>
        <w:t>8.2 Customer Segments and Value Proposition</w:t>
      </w:r>
      <w:bookmarkEnd w:id="143"/>
    </w:p>
    <w:p w14:paraId="52E15AD2" w14:textId="77777777" w:rsidR="00C71CDB" w:rsidRDefault="00C71CDB" w:rsidP="00C71CDB">
      <w:r>
        <w:t>The main customer segment is e-commerce SMEs in Europe that need periodic packaging for fulfilment. However, these numbers reveal how far these messages are reaching the market, not whether there is a specific intention to purchase from EcoPack Solutions - which is a "validation assumption".</w:t>
      </w:r>
    </w:p>
    <w:p w14:paraId="2A661B0F" w14:textId="77777777" w:rsidR="00C71CDB" w:rsidRDefault="00C71CDB" w:rsidP="00C71CDB">
      <w:r>
        <w:t>The value proposition is “sustainable packaging made simpler for ecommerce SMEs – curated, practical and compliance focused.” EcoPack will bring together packaging products, product comparison, information on sustainability and digital ordering with practical advice about the PPWR. This proposition answers the cost and environment needs. Under the simulated conditions, in the study conducted in the Journal of Cleaner Production in 2024, a larger box size and improved space utilisation were achieved by optimising e-commerce box dimensions, while also reducing material and emissions (Zghair, and Konathala, 2024). This not only reinforces the “green materials” value proposition, but also the improved offering of packaging choice and resource efficiency.</w:t>
      </w:r>
    </w:p>
    <w:p w14:paraId="2A28D017" w14:textId="77777777" w:rsidR="00C71CDB" w:rsidRDefault="00C71CDB" w:rsidP="00C71CDB">
      <w:r>
        <w:t>Another possible value dimension is in the form of reusable packaging. Therefore, EcoPack should not set reusable packaging as a prerequisite for sustainability but rather depend on customers' operations, return rates and logistics.</w:t>
      </w:r>
    </w:p>
    <w:p w14:paraId="7AC3BA53" w14:textId="77777777" w:rsidR="00C71CDB" w:rsidRDefault="00C71CDB" w:rsidP="00C71CDB">
      <w:pPr>
        <w:pStyle w:val="Heading2"/>
        <w:keepNext w:val="0"/>
        <w:keepLines w:val="0"/>
        <w:rPr>
          <w:b w:val="0"/>
          <w:bCs w:val="0"/>
        </w:rPr>
      </w:pPr>
      <w:bookmarkStart w:id="144" w:name="_qeiawlod5u" w:colFirst="0" w:colLast="0"/>
      <w:bookmarkStart w:id="145" w:name="_Toc241008264"/>
      <w:bookmarkEnd w:id="144"/>
      <w:r>
        <w:lastRenderedPageBreak/>
        <w:t>8.3 Channels and Customer Relationships</w:t>
      </w:r>
      <w:bookmarkEnd w:id="145"/>
    </w:p>
    <w:p w14:paraId="41CFF64B" w14:textId="77777777" w:rsidR="00C71CDB" w:rsidRDefault="00C71CDB" w:rsidP="00C71CDB">
      <w:r>
        <w:t>The primary touch points will be through the EcoPack website, digital product catalogue, quotation/order system, email, search marketing and targeted B2B outreach. The model will integrate the self-service purchase mechanism with personal assistance to make product selection and larger orders.</w:t>
      </w:r>
    </w:p>
    <w:p w14:paraId="622863B3" w14:textId="77777777" w:rsidR="00C71CDB" w:rsidRDefault="00C71CDB" w:rsidP="00C71CDB">
      <w:r>
        <w:t>Customer relationships will be based on reordering, using account management, reorder reminders, customer service and usage-based reorders. This is crucial for the strategy since it is based on ongoing packaging consumption, not one-off sales. For small firms, research shows that elements of the business model are not static but rather are sets of interdependent strategic decisions (Campagnolo et al. 2024).</w:t>
      </w:r>
    </w:p>
    <w:p w14:paraId="4285BCAB" w14:textId="77777777" w:rsidR="00C71CDB" w:rsidRDefault="00C71CDB" w:rsidP="00C71CDB">
      <w:pPr>
        <w:pStyle w:val="Heading2"/>
        <w:keepNext w:val="0"/>
        <w:keepLines w:val="0"/>
        <w:rPr>
          <w:b w:val="0"/>
          <w:bCs w:val="0"/>
        </w:rPr>
      </w:pPr>
      <w:bookmarkStart w:id="146" w:name="_octnmxe7gy8h" w:colFirst="0" w:colLast="0"/>
      <w:bookmarkStart w:id="147" w:name="_Toc241008265"/>
      <w:bookmarkEnd w:id="146"/>
      <w:r>
        <w:t>8.4 Revenue Streams and Cost Structure</w:t>
      </w:r>
      <w:bookmarkEnd w:id="147"/>
    </w:p>
    <w:p w14:paraId="1FA3C284" w14:textId="77777777" w:rsidR="00C71CDB" w:rsidRDefault="00C71CDB" w:rsidP="00C71CDB">
      <w:r>
        <w:t>Product sales will be the main revenue stream with the business customer as the customer. Each order will generate revenue and this will be increased by repeat sales, larger orders, and negotiated business accounts. An additional revenue stream, premium sustainability/compliance-support service, is possible but should not be considered in the initial revenue forecast until it is validated with customers.</w:t>
      </w:r>
    </w:p>
    <w:p w14:paraId="686A05FC" w14:textId="77777777" w:rsidR="00C71CDB" w:rsidRDefault="00C71CDB" w:rsidP="00C71CDB">
      <w:r>
        <w:t>The largest variable expenses will be packaging, fulfilment, transportation, payment processing and order-specific logistics. Fixed or semi fixed costs will cover platform development, employee costs, marketing, insurance and professional/compliance services. In a proposal that EU countries have supported, the European Commission has offered an additional 121 million free CO2 permits to industries for 2026-2030 (Reuters, 2025). These results can't be directly applied to EcoPack's SME customers, but illustrate the financial cost and environmental benefit of packaging optimisation.</w:t>
      </w:r>
    </w:p>
    <w:p w14:paraId="4674920D" w14:textId="77777777" w:rsidR="00C71CDB" w:rsidRDefault="00C71CDB" w:rsidP="00C71CDB">
      <w:pPr>
        <w:pStyle w:val="Heading2"/>
        <w:keepNext w:val="0"/>
        <w:keepLines w:val="0"/>
        <w:rPr>
          <w:b w:val="0"/>
          <w:bCs w:val="0"/>
        </w:rPr>
      </w:pPr>
      <w:bookmarkStart w:id="148" w:name="_l5uu76xbkkvh" w:colFirst="0" w:colLast="0"/>
      <w:bookmarkStart w:id="149" w:name="_Toc241008266"/>
      <w:bookmarkEnd w:id="148"/>
      <w:r>
        <w:t>8.5 Key Resources, Activities and Partnerships</w:t>
      </w:r>
      <w:bookmarkEnd w:id="149"/>
    </w:p>
    <w:p w14:paraId="0113E015" w14:textId="77777777" w:rsidR="00C71CDB" w:rsidRDefault="00C71CDB" w:rsidP="00C71CDB">
      <w:r>
        <w:t xml:space="preserve">The key resources that are important are the digital platform, supplier network, packaging knowledge, PPWR knowledge, customer data, working capital, employees and brand reputation. EcoPack will have its own digital platform, customer relationships and accumulated data, but will </w:t>
      </w:r>
      <w:r>
        <w:lastRenderedPageBreak/>
        <w:t>start to gain access to manufacturing capacity and logistics via external partners. An asset-light model means that there is less capital upfront investment, but it increases reliance on supplier and logistics performance.</w:t>
      </w:r>
    </w:p>
    <w:p w14:paraId="7288338F" w14:textId="77777777" w:rsidR="00C71CDB" w:rsidRDefault="00C71CDB" w:rsidP="00C71CDB">
      <w:r>
        <w:t>The main tasks involve sourcing from suppliers, curating the products, sending sustainability information to the verifiers, monitoring the regulations, managing online catalogues, order processing, quality control and customer support. The potential of data can be a strategic asset over time. Use of reusable packaging, achieving reusable packaging at the same cost as single-use strategies (Issifu, I. and Sumaila, 2025). As more customer purchase data gathers, recommendations could be made on a data-driven basis in the future and incorporated into the EcoPack.</w:t>
      </w:r>
    </w:p>
    <w:p w14:paraId="6E2EDC0D" w14:textId="77777777" w:rsidR="00C71CDB" w:rsidRDefault="00C71CDB" w:rsidP="00C71CDB">
      <w:r>
        <w:t>Key partners will be packaging manufacturers, packaging distributors, logistics companies, technology companies and certification/recycling organisations. Partnerships bring in skills that would be costly to bring in-house on the launch. SME business-model innovation relies on a number of factors, such as mobilization of resources, experiments, mobilization of networks, complementary capabilities.</w:t>
      </w:r>
    </w:p>
    <w:p w14:paraId="16BCC1B5" w14:textId="77777777" w:rsidR="00C71CDB" w:rsidRDefault="00C71CDB" w:rsidP="00C71CDB">
      <w:pPr>
        <w:pStyle w:val="Heading2"/>
        <w:keepNext w:val="0"/>
        <w:keepLines w:val="0"/>
        <w:rPr>
          <w:b w:val="0"/>
          <w:bCs w:val="0"/>
        </w:rPr>
      </w:pPr>
      <w:bookmarkStart w:id="150" w:name="_huuu70ls8kkn" w:colFirst="0" w:colLast="0"/>
      <w:bookmarkStart w:id="151" w:name="_Toc241008267"/>
      <w:bookmarkEnd w:id="150"/>
      <w:r>
        <w:t>8.6 Model Integration and Viability</w:t>
      </w:r>
      <w:bookmarkEnd w:id="151"/>
    </w:p>
    <w:p w14:paraId="625FEE48" w14:textId="77777777" w:rsidR="00C71CDB" w:rsidRDefault="00C71CDB" w:rsidP="00C71CDB">
      <w:r>
        <w:t xml:space="preserve">The nine BMC components are connected to each other: the target SME segment is the source of demand for easy and credible packaging solutions, which, in turn, dictates the value proposition and digital channels; supplier and logistics partnerships allow for delivery; repeat orders generate revenue; whilst procurement, fulfilment and technology create the main costs. The relevance of the model is further increased by the fact that the PPWR starts to apply to the EU from 12 August 2026 and all packaging must be recyclable from 2030. </w:t>
      </w:r>
    </w:p>
    <w:p w14:paraId="1761F90B" w14:textId="74312722" w:rsidR="00C71CDB" w:rsidRPr="00A94E69" w:rsidRDefault="00C71CDB" w:rsidP="00A94E69">
      <w:r>
        <w:t xml:space="preserve">But sustainability doesn't necessarily mean commercial viability. The repeat-purchase rates, gross margins, customer acquisition costs, delivery economics, supplier reliability and willingness to pay for sustainability advice must be validated by EcoPack. </w:t>
      </w:r>
      <w:bookmarkStart w:id="152" w:name="_avzszvhze6qc" w:colFirst="0" w:colLast="0"/>
      <w:bookmarkEnd w:id="152"/>
    </w:p>
    <w:tbl>
      <w:tblPr>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872"/>
        <w:gridCol w:w="1872"/>
        <w:gridCol w:w="1872"/>
        <w:gridCol w:w="1872"/>
        <w:gridCol w:w="1872"/>
      </w:tblGrid>
      <w:tr w:rsidR="00C71CDB" w14:paraId="3BAD63B4" w14:textId="77777777" w:rsidTr="00DA7C87">
        <w:trPr>
          <w:trHeight w:val="440"/>
        </w:trPr>
        <w:tc>
          <w:tcPr>
            <w:tcW w:w="1872" w:type="dxa"/>
            <w:vMerge w:val="restart"/>
            <w:shd w:val="clear" w:color="auto" w:fill="D0E0E3"/>
            <w:tcMar>
              <w:top w:w="100" w:type="dxa"/>
              <w:left w:w="100" w:type="dxa"/>
              <w:bottom w:w="100" w:type="dxa"/>
              <w:right w:w="100" w:type="dxa"/>
            </w:tcMar>
          </w:tcPr>
          <w:p w14:paraId="249BDF7C" w14:textId="10536B4F" w:rsidR="00C71CDB" w:rsidRDefault="00322600" w:rsidP="00DA7C87">
            <w:pPr>
              <w:widowControl w:val="0"/>
              <w:rPr>
                <w:b/>
                <w:bCs/>
                <w:u w:val="single"/>
              </w:rPr>
            </w:pPr>
            <w:r>
              <w:rPr>
                <w:b/>
                <w:bCs/>
                <w:u w:val="single"/>
              </w:rPr>
              <w:lastRenderedPageBreak/>
              <w:t>“</w:t>
            </w:r>
            <w:r w:rsidR="00C71CDB">
              <w:rPr>
                <w:b/>
                <w:bCs/>
                <w:u w:val="single"/>
              </w:rPr>
              <w:t xml:space="preserve">Key partners </w:t>
            </w:r>
          </w:p>
          <w:p w14:paraId="0AD94C47" w14:textId="77777777" w:rsidR="00C71CDB" w:rsidRDefault="00C71CDB" w:rsidP="00DA7C87">
            <w:pPr>
              <w:widowControl w:val="0"/>
            </w:pPr>
            <w:r>
              <w:t>Manufacturers, distributors, logistics services, technology suppliers and certification/recycling organisations</w:t>
            </w:r>
          </w:p>
          <w:p w14:paraId="4D4FE40F" w14:textId="77777777" w:rsidR="00C71CDB" w:rsidRDefault="00C71CDB" w:rsidP="00DA7C87">
            <w:pPr>
              <w:widowControl w:val="0"/>
            </w:pPr>
          </w:p>
          <w:p w14:paraId="0CECE9FF" w14:textId="77777777" w:rsidR="00C71CDB" w:rsidRDefault="00C71CDB" w:rsidP="00DA7C87">
            <w:pPr>
              <w:widowControl w:val="0"/>
            </w:pPr>
          </w:p>
        </w:tc>
        <w:tc>
          <w:tcPr>
            <w:tcW w:w="1872" w:type="dxa"/>
            <w:shd w:val="clear" w:color="auto" w:fill="FFF2CC"/>
            <w:tcMar>
              <w:top w:w="100" w:type="dxa"/>
              <w:left w:w="100" w:type="dxa"/>
              <w:bottom w:w="100" w:type="dxa"/>
              <w:right w:w="100" w:type="dxa"/>
            </w:tcMar>
          </w:tcPr>
          <w:p w14:paraId="77D9873E" w14:textId="77777777" w:rsidR="00C71CDB" w:rsidRDefault="00C71CDB" w:rsidP="00DA7C87">
            <w:pPr>
              <w:widowControl w:val="0"/>
              <w:rPr>
                <w:b/>
                <w:bCs/>
                <w:u w:val="single"/>
              </w:rPr>
            </w:pPr>
            <w:r>
              <w:rPr>
                <w:b/>
                <w:bCs/>
                <w:u w:val="single"/>
              </w:rPr>
              <w:t xml:space="preserve">Key Activities </w:t>
            </w:r>
          </w:p>
          <w:p w14:paraId="6F264AC9" w14:textId="77777777" w:rsidR="00C71CDB" w:rsidRDefault="00C71CDB" w:rsidP="00DA7C87">
            <w:pPr>
              <w:widowControl w:val="0"/>
            </w:pPr>
            <w:r>
              <w:t>Product sourcing, curation, verification, regulatory monitoring, order processing, QA and customer support.</w:t>
            </w:r>
          </w:p>
          <w:p w14:paraId="2B0FE533" w14:textId="77777777" w:rsidR="00C71CDB" w:rsidRDefault="00C71CDB" w:rsidP="00DA7C87">
            <w:pPr>
              <w:widowControl w:val="0"/>
            </w:pPr>
          </w:p>
          <w:p w14:paraId="1BD8A9D3" w14:textId="77777777" w:rsidR="00C71CDB" w:rsidRDefault="00C71CDB" w:rsidP="00DA7C87">
            <w:pPr>
              <w:widowControl w:val="0"/>
            </w:pPr>
          </w:p>
        </w:tc>
        <w:tc>
          <w:tcPr>
            <w:tcW w:w="1872" w:type="dxa"/>
            <w:vMerge w:val="restart"/>
            <w:shd w:val="clear" w:color="auto" w:fill="F4CCCC"/>
            <w:tcMar>
              <w:top w:w="100" w:type="dxa"/>
              <w:left w:w="100" w:type="dxa"/>
              <w:bottom w:w="100" w:type="dxa"/>
              <w:right w:w="100" w:type="dxa"/>
            </w:tcMar>
          </w:tcPr>
          <w:p w14:paraId="61F7C463" w14:textId="77777777" w:rsidR="00C71CDB" w:rsidRDefault="00C71CDB" w:rsidP="00DA7C87">
            <w:pPr>
              <w:widowControl w:val="0"/>
              <w:rPr>
                <w:b/>
                <w:bCs/>
                <w:u w:val="single"/>
              </w:rPr>
            </w:pPr>
            <w:r>
              <w:rPr>
                <w:b/>
                <w:bCs/>
                <w:u w:val="single"/>
              </w:rPr>
              <w:t xml:space="preserve">Value Proposition </w:t>
            </w:r>
          </w:p>
          <w:p w14:paraId="793607C4" w14:textId="77777777" w:rsidR="00C71CDB" w:rsidRDefault="00C71CDB" w:rsidP="00DA7C87">
            <w:pPr>
              <w:widowControl w:val="0"/>
            </w:pPr>
            <w:r>
              <w:t>A convenient, functional and sustainable packaging, complemented by product curation, optimisation information and PPWR guidance.</w:t>
            </w:r>
          </w:p>
          <w:p w14:paraId="28D4E96F" w14:textId="77777777" w:rsidR="00C71CDB" w:rsidRDefault="00C71CDB" w:rsidP="00DA7C87">
            <w:pPr>
              <w:widowControl w:val="0"/>
            </w:pPr>
          </w:p>
          <w:p w14:paraId="0B0C0B4A" w14:textId="77777777" w:rsidR="00C71CDB" w:rsidRDefault="00C71CDB" w:rsidP="00DA7C87">
            <w:pPr>
              <w:widowControl w:val="0"/>
            </w:pPr>
          </w:p>
          <w:p w14:paraId="6819BFB1" w14:textId="77777777" w:rsidR="00C71CDB" w:rsidRDefault="00C71CDB" w:rsidP="00DA7C87">
            <w:pPr>
              <w:widowControl w:val="0"/>
            </w:pPr>
          </w:p>
          <w:p w14:paraId="3EDBD0C7" w14:textId="77777777" w:rsidR="00C71CDB" w:rsidRDefault="00C71CDB" w:rsidP="00DA7C87">
            <w:pPr>
              <w:widowControl w:val="0"/>
            </w:pPr>
          </w:p>
        </w:tc>
        <w:tc>
          <w:tcPr>
            <w:tcW w:w="1872" w:type="dxa"/>
            <w:shd w:val="clear" w:color="auto" w:fill="FCE5CD"/>
            <w:tcMar>
              <w:top w:w="100" w:type="dxa"/>
              <w:left w:w="100" w:type="dxa"/>
              <w:bottom w:w="100" w:type="dxa"/>
              <w:right w:w="100" w:type="dxa"/>
            </w:tcMar>
          </w:tcPr>
          <w:p w14:paraId="11E53637" w14:textId="77777777" w:rsidR="00C71CDB" w:rsidRDefault="00C71CDB" w:rsidP="00DA7C87">
            <w:pPr>
              <w:widowControl w:val="0"/>
              <w:rPr>
                <w:b/>
                <w:bCs/>
                <w:u w:val="single"/>
              </w:rPr>
            </w:pPr>
            <w:r>
              <w:rPr>
                <w:b/>
                <w:bCs/>
                <w:u w:val="single"/>
              </w:rPr>
              <w:t xml:space="preserve">Customer Relationships </w:t>
            </w:r>
          </w:p>
          <w:p w14:paraId="215DA03E" w14:textId="77777777" w:rsidR="00C71CDB" w:rsidRDefault="00C71CDB" w:rsidP="00DA7C87">
            <w:pPr>
              <w:widowControl w:val="0"/>
            </w:pPr>
            <w:r>
              <w:t>Self-service purchasing, account support, reorder reminders, CRM and after-sales service</w:t>
            </w:r>
          </w:p>
          <w:p w14:paraId="1FD93036" w14:textId="77777777" w:rsidR="00C71CDB" w:rsidRDefault="00C71CDB" w:rsidP="00DA7C87">
            <w:pPr>
              <w:widowControl w:val="0"/>
            </w:pPr>
          </w:p>
          <w:p w14:paraId="6A1B383E" w14:textId="77777777" w:rsidR="00C71CDB" w:rsidRDefault="00C71CDB" w:rsidP="00DA7C87">
            <w:pPr>
              <w:widowControl w:val="0"/>
            </w:pPr>
          </w:p>
          <w:p w14:paraId="31499E4E" w14:textId="77777777" w:rsidR="00C71CDB" w:rsidRDefault="00C71CDB" w:rsidP="00DA7C87">
            <w:pPr>
              <w:widowControl w:val="0"/>
            </w:pPr>
          </w:p>
        </w:tc>
        <w:tc>
          <w:tcPr>
            <w:tcW w:w="1872" w:type="dxa"/>
            <w:vMerge w:val="restart"/>
            <w:shd w:val="clear" w:color="auto" w:fill="CFE2F3"/>
            <w:tcMar>
              <w:top w:w="100" w:type="dxa"/>
              <w:left w:w="100" w:type="dxa"/>
              <w:bottom w:w="100" w:type="dxa"/>
              <w:right w:w="100" w:type="dxa"/>
            </w:tcMar>
          </w:tcPr>
          <w:p w14:paraId="704AF2DF" w14:textId="77777777" w:rsidR="00C71CDB" w:rsidRDefault="00C71CDB" w:rsidP="00DA7C87">
            <w:pPr>
              <w:widowControl w:val="0"/>
              <w:rPr>
                <w:b/>
                <w:bCs/>
                <w:u w:val="single"/>
              </w:rPr>
            </w:pPr>
            <w:r>
              <w:rPr>
                <w:b/>
                <w:bCs/>
                <w:u w:val="single"/>
              </w:rPr>
              <w:t xml:space="preserve">Customer Segments: </w:t>
            </w:r>
          </w:p>
          <w:p w14:paraId="06543B5E" w14:textId="77777777" w:rsidR="00C71CDB" w:rsidRDefault="00C71CDB" w:rsidP="00DA7C87">
            <w:pPr>
              <w:widowControl w:val="0"/>
            </w:pPr>
            <w:r>
              <w:t>European SMEs in the ecommerce sector who have regular packaging needs.</w:t>
            </w:r>
          </w:p>
          <w:p w14:paraId="68763D6B" w14:textId="77777777" w:rsidR="00C71CDB" w:rsidRDefault="00C71CDB" w:rsidP="00DA7C87">
            <w:pPr>
              <w:widowControl w:val="0"/>
            </w:pPr>
          </w:p>
          <w:p w14:paraId="1B1F1B86" w14:textId="77777777" w:rsidR="00C71CDB" w:rsidRDefault="00C71CDB" w:rsidP="00DA7C87">
            <w:pPr>
              <w:widowControl w:val="0"/>
            </w:pPr>
          </w:p>
          <w:p w14:paraId="136F9B81" w14:textId="77777777" w:rsidR="00C71CDB" w:rsidRDefault="00C71CDB" w:rsidP="00DA7C87">
            <w:pPr>
              <w:widowControl w:val="0"/>
            </w:pPr>
          </w:p>
        </w:tc>
      </w:tr>
      <w:tr w:rsidR="00C71CDB" w14:paraId="31641089" w14:textId="77777777" w:rsidTr="00DA7C87">
        <w:trPr>
          <w:trHeight w:val="440"/>
        </w:trPr>
        <w:tc>
          <w:tcPr>
            <w:tcW w:w="1872" w:type="dxa"/>
            <w:vMerge/>
            <w:shd w:val="clear" w:color="auto" w:fill="D0E0E3"/>
            <w:tcMar>
              <w:top w:w="100" w:type="dxa"/>
              <w:left w:w="100" w:type="dxa"/>
              <w:bottom w:w="100" w:type="dxa"/>
              <w:right w:w="100" w:type="dxa"/>
            </w:tcMar>
          </w:tcPr>
          <w:p w14:paraId="05D6C0F1" w14:textId="77777777" w:rsidR="00C71CDB" w:rsidRDefault="00C71CDB" w:rsidP="00DA7C87">
            <w:pPr>
              <w:widowControl w:val="0"/>
              <w:spacing w:line="240" w:lineRule="auto"/>
            </w:pPr>
          </w:p>
        </w:tc>
        <w:tc>
          <w:tcPr>
            <w:tcW w:w="1872" w:type="dxa"/>
            <w:shd w:val="clear" w:color="auto" w:fill="EAD1DC"/>
            <w:tcMar>
              <w:top w:w="100" w:type="dxa"/>
              <w:left w:w="100" w:type="dxa"/>
              <w:bottom w:w="100" w:type="dxa"/>
              <w:right w:w="100" w:type="dxa"/>
            </w:tcMar>
          </w:tcPr>
          <w:p w14:paraId="1AB49B25" w14:textId="77777777" w:rsidR="00C71CDB" w:rsidRDefault="00C71CDB" w:rsidP="00DA7C87">
            <w:pPr>
              <w:widowControl w:val="0"/>
              <w:rPr>
                <w:b/>
                <w:bCs/>
                <w:u w:val="single"/>
              </w:rPr>
            </w:pPr>
            <w:r>
              <w:rPr>
                <w:b/>
                <w:bCs/>
                <w:u w:val="single"/>
              </w:rPr>
              <w:t xml:space="preserve">Key Resource </w:t>
            </w:r>
          </w:p>
          <w:p w14:paraId="1DB099C2" w14:textId="77777777" w:rsidR="00C71CDB" w:rsidRDefault="00C71CDB" w:rsidP="00DA7C87">
            <w:pPr>
              <w:widowControl w:val="0"/>
            </w:pPr>
            <w:r>
              <w:t>Digital platform, supplier network, packaging/regulatory knowledge, customer data, working capital and employees</w:t>
            </w:r>
          </w:p>
        </w:tc>
        <w:tc>
          <w:tcPr>
            <w:tcW w:w="1872" w:type="dxa"/>
            <w:vMerge/>
            <w:shd w:val="clear" w:color="auto" w:fill="F4CCCC"/>
            <w:tcMar>
              <w:top w:w="100" w:type="dxa"/>
              <w:left w:w="100" w:type="dxa"/>
              <w:bottom w:w="100" w:type="dxa"/>
              <w:right w:w="100" w:type="dxa"/>
            </w:tcMar>
          </w:tcPr>
          <w:p w14:paraId="1B076D9D" w14:textId="77777777" w:rsidR="00C71CDB" w:rsidRDefault="00C71CDB" w:rsidP="00DA7C87">
            <w:pPr>
              <w:widowControl w:val="0"/>
              <w:spacing w:line="240" w:lineRule="auto"/>
            </w:pPr>
          </w:p>
        </w:tc>
        <w:tc>
          <w:tcPr>
            <w:tcW w:w="1872" w:type="dxa"/>
            <w:shd w:val="clear" w:color="auto" w:fill="EAD1DC"/>
            <w:tcMar>
              <w:top w:w="100" w:type="dxa"/>
              <w:left w:w="100" w:type="dxa"/>
              <w:bottom w:w="100" w:type="dxa"/>
              <w:right w:w="100" w:type="dxa"/>
            </w:tcMar>
          </w:tcPr>
          <w:p w14:paraId="0704D41D" w14:textId="77777777" w:rsidR="00C71CDB" w:rsidRDefault="00C71CDB" w:rsidP="00DA7C87">
            <w:pPr>
              <w:widowControl w:val="0"/>
              <w:rPr>
                <w:b/>
                <w:bCs/>
                <w:u w:val="single"/>
              </w:rPr>
            </w:pPr>
            <w:r>
              <w:rPr>
                <w:b/>
                <w:bCs/>
                <w:u w:val="single"/>
              </w:rPr>
              <w:t xml:space="preserve">Channels </w:t>
            </w:r>
          </w:p>
          <w:p w14:paraId="5F4A193A" w14:textId="77777777" w:rsidR="00C71CDB" w:rsidRDefault="00C71CDB" w:rsidP="00DA7C87">
            <w:pPr>
              <w:widowControl w:val="0"/>
            </w:pPr>
            <w:r>
              <w:t>Website, digital catalogue, quotation/order system, email, search marketing and B2B outreach</w:t>
            </w:r>
          </w:p>
          <w:p w14:paraId="38B6A4DB" w14:textId="77777777" w:rsidR="00C71CDB" w:rsidRDefault="00C71CDB" w:rsidP="00DA7C87">
            <w:pPr>
              <w:widowControl w:val="0"/>
            </w:pPr>
          </w:p>
          <w:p w14:paraId="51DF36C8" w14:textId="77777777" w:rsidR="00C71CDB" w:rsidRDefault="00C71CDB" w:rsidP="00DA7C87">
            <w:pPr>
              <w:widowControl w:val="0"/>
            </w:pPr>
          </w:p>
        </w:tc>
        <w:tc>
          <w:tcPr>
            <w:tcW w:w="1872" w:type="dxa"/>
            <w:vMerge/>
            <w:shd w:val="clear" w:color="auto" w:fill="CFE2F3"/>
            <w:tcMar>
              <w:top w:w="100" w:type="dxa"/>
              <w:left w:w="100" w:type="dxa"/>
              <w:bottom w:w="100" w:type="dxa"/>
              <w:right w:w="100" w:type="dxa"/>
            </w:tcMar>
          </w:tcPr>
          <w:p w14:paraId="7B456C99" w14:textId="77777777" w:rsidR="00C71CDB" w:rsidRDefault="00C71CDB" w:rsidP="00DA7C87">
            <w:pPr>
              <w:widowControl w:val="0"/>
              <w:spacing w:line="240" w:lineRule="auto"/>
            </w:pPr>
          </w:p>
        </w:tc>
      </w:tr>
      <w:tr w:rsidR="00C71CDB" w14:paraId="7DA65036" w14:textId="77777777" w:rsidTr="00DA7C87">
        <w:trPr>
          <w:trHeight w:val="440"/>
        </w:trPr>
        <w:tc>
          <w:tcPr>
            <w:tcW w:w="3744" w:type="dxa"/>
            <w:gridSpan w:val="2"/>
            <w:shd w:val="clear" w:color="auto" w:fill="D9D2E9"/>
            <w:tcMar>
              <w:top w:w="100" w:type="dxa"/>
              <w:left w:w="100" w:type="dxa"/>
              <w:bottom w:w="100" w:type="dxa"/>
              <w:right w:w="100" w:type="dxa"/>
            </w:tcMar>
          </w:tcPr>
          <w:p w14:paraId="66DB216C" w14:textId="77777777" w:rsidR="00C71CDB" w:rsidRDefault="00C71CDB" w:rsidP="00DA7C87">
            <w:pPr>
              <w:widowControl w:val="0"/>
              <w:rPr>
                <w:b/>
                <w:bCs/>
                <w:u w:val="single"/>
              </w:rPr>
            </w:pPr>
            <w:r>
              <w:rPr>
                <w:b/>
                <w:bCs/>
                <w:u w:val="single"/>
              </w:rPr>
              <w:lastRenderedPageBreak/>
              <w:t>Cost Structure:</w:t>
            </w:r>
          </w:p>
          <w:p w14:paraId="7F9E1B46" w14:textId="77777777" w:rsidR="00C71CDB" w:rsidRDefault="00C71CDB" w:rsidP="00DA7C87">
            <w:pPr>
              <w:widowControl w:val="0"/>
            </w:pPr>
            <w:r>
              <w:t>Procurement and fulfilment costs, logistics, platform, staff, marketing costs, payment, insurance and compliance costs</w:t>
            </w:r>
          </w:p>
        </w:tc>
        <w:tc>
          <w:tcPr>
            <w:tcW w:w="5616" w:type="dxa"/>
            <w:gridSpan w:val="3"/>
            <w:shd w:val="clear" w:color="auto" w:fill="D9D2E9"/>
            <w:tcMar>
              <w:top w:w="100" w:type="dxa"/>
              <w:left w:w="100" w:type="dxa"/>
              <w:bottom w:w="100" w:type="dxa"/>
              <w:right w:w="100" w:type="dxa"/>
            </w:tcMar>
          </w:tcPr>
          <w:p w14:paraId="6F8953F9" w14:textId="77777777" w:rsidR="00C71CDB" w:rsidRDefault="00C71CDB" w:rsidP="00DA7C87">
            <w:pPr>
              <w:widowControl w:val="0"/>
              <w:rPr>
                <w:b/>
                <w:bCs/>
                <w:u w:val="single"/>
              </w:rPr>
            </w:pPr>
            <w:r>
              <w:rPr>
                <w:b/>
                <w:bCs/>
                <w:u w:val="single"/>
              </w:rPr>
              <w:t xml:space="preserve">Revenue Stream: </w:t>
            </w:r>
          </w:p>
          <w:p w14:paraId="026767EE" w14:textId="5540C79C" w:rsidR="00C71CDB" w:rsidRDefault="00C71CDB" w:rsidP="00DA7C87">
            <w:pPr>
              <w:widowControl w:val="0"/>
            </w:pPr>
            <w:r>
              <w:t>Within the packaging product sales, the recurring/volume orders and potential future sustainability support are included.</w:t>
            </w:r>
            <w:r w:rsidR="00322600">
              <w:t>”</w:t>
            </w:r>
          </w:p>
          <w:p w14:paraId="540ABB4D" w14:textId="77777777" w:rsidR="00C71CDB" w:rsidRDefault="00C71CDB" w:rsidP="00DA7C87">
            <w:pPr>
              <w:widowControl w:val="0"/>
            </w:pPr>
          </w:p>
          <w:p w14:paraId="3AC04866" w14:textId="77777777" w:rsidR="00C71CDB" w:rsidRDefault="00C71CDB" w:rsidP="00DA7C87">
            <w:pPr>
              <w:widowControl w:val="0"/>
            </w:pPr>
          </w:p>
        </w:tc>
      </w:tr>
    </w:tbl>
    <w:p w14:paraId="19E0DB8F" w14:textId="10E0654F" w:rsidR="00EF66B6" w:rsidRPr="00FB7622" w:rsidRDefault="00EF66B6" w:rsidP="00EF66B6">
      <w:pPr>
        <w:pStyle w:val="Heading6"/>
      </w:pPr>
      <w:bookmarkStart w:id="153" w:name="_tluku37mrdk1" w:colFirst="0" w:colLast="0"/>
      <w:bookmarkStart w:id="154" w:name="_Toc241008864"/>
      <w:bookmarkEnd w:id="153"/>
      <w:r w:rsidRPr="00FB7622">
        <w:t xml:space="preserve">Table </w:t>
      </w:r>
      <w:r>
        <w:t>8</w:t>
      </w:r>
      <w:r w:rsidRPr="00FB7622">
        <w:t>: “</w:t>
      </w:r>
      <w:r>
        <w:t>Business Model Canvas</w:t>
      </w:r>
      <w:r w:rsidRPr="00FB7622">
        <w:t>”</w:t>
      </w:r>
      <w:bookmarkEnd w:id="154"/>
    </w:p>
    <w:p w14:paraId="70601BAE" w14:textId="3EF1DF4A" w:rsidR="00C71CDB" w:rsidRDefault="00EF66B6" w:rsidP="00EF66B6">
      <w:pPr>
        <w:jc w:val="center"/>
      </w:pPr>
      <w:r>
        <w:t>(Source: Created by Author)</w:t>
      </w:r>
    </w:p>
    <w:p w14:paraId="717F835A" w14:textId="77777777" w:rsidR="00684A66" w:rsidRDefault="00684A66">
      <w:pPr>
        <w:rPr>
          <w:b/>
          <w:bCs/>
        </w:rPr>
      </w:pPr>
      <w:bookmarkStart w:id="155" w:name="_epe0r9vkbmve" w:colFirst="0" w:colLast="0"/>
      <w:bookmarkStart w:id="156" w:name="_Toc241008268"/>
      <w:bookmarkEnd w:id="155"/>
      <w:r>
        <w:br w:type="page"/>
      </w:r>
    </w:p>
    <w:p w14:paraId="3212C9FD" w14:textId="09969930" w:rsidR="00C71CDB" w:rsidRDefault="00C71CDB" w:rsidP="00C71CDB">
      <w:pPr>
        <w:pStyle w:val="Heading1"/>
        <w:keepNext w:val="0"/>
        <w:keepLines w:val="0"/>
        <w:rPr>
          <w:b w:val="0"/>
          <w:bCs w:val="0"/>
        </w:rPr>
      </w:pPr>
      <w:r>
        <w:lastRenderedPageBreak/>
        <w:t>Chapter 9: Financial, Marketing and Sales, and Human Capital Management Plan</w:t>
      </w:r>
      <w:bookmarkEnd w:id="156"/>
    </w:p>
    <w:p w14:paraId="15DBB86B" w14:textId="77777777" w:rsidR="00C71CDB" w:rsidRDefault="00C71CDB" w:rsidP="00C71CDB">
      <w:pPr>
        <w:pStyle w:val="Heading2"/>
        <w:keepNext w:val="0"/>
        <w:keepLines w:val="0"/>
        <w:rPr>
          <w:b w:val="0"/>
          <w:bCs w:val="0"/>
        </w:rPr>
      </w:pPr>
      <w:bookmarkStart w:id="157" w:name="_qpjylbpfpva" w:colFirst="0" w:colLast="0"/>
      <w:bookmarkStart w:id="158" w:name="_Toc241008269"/>
      <w:bookmarkEnd w:id="157"/>
      <w:r>
        <w:t>9.1 Integrated Plan Overview</w:t>
      </w:r>
      <w:bookmarkEnd w:id="158"/>
    </w:p>
    <w:p w14:paraId="293E9B9E" w14:textId="77777777" w:rsidR="00C71CDB" w:rsidRDefault="00C71CDB" w:rsidP="00C71CDB">
      <w:r>
        <w:t>EcoPack Solutions will become a digital B2B supplier for SME's in ecommerce in Europe. The first line of products will include recycled corrugated shipping boxes, e-commerce mailer boxes, recycled/recyclable poly mailers, paper mailer bags, padded paper envelopes, compostable mailers and recycled paper void-fill, paper packaging tape. These products are chosen for representing the primary functions in e-commerce fulfilment, which are containment, protection, cushioning and sealing.</w:t>
      </w:r>
    </w:p>
    <w:p w14:paraId="61E4BF75" w14:textId="77777777" w:rsidR="00C71CDB" w:rsidRDefault="00C71CDB" w:rsidP="00C71CDB">
      <w:r>
        <w:t>The three plans are fused together. Product pricing is what creates gross margin, marketing spending is what creates leads, sales conversion is what creates orders and revenue, and employees/ logistics partners are the ones that enable the ability to convert those orders into revenue. This is in line with research on sustainable-business-models, which focuses on the coherence of value creation, value delivery and value capture instead of sustainability being considered as a separate activity (Neesham et al. 2023).</w:t>
      </w:r>
    </w:p>
    <w:p w14:paraId="1F91DB26" w14:textId="77777777" w:rsidR="00C71CDB" w:rsidRDefault="00C71CDB" w:rsidP="00C71CDB">
      <w:pPr>
        <w:pStyle w:val="Heading2"/>
        <w:keepNext w:val="0"/>
        <w:keepLines w:val="0"/>
        <w:rPr>
          <w:b w:val="0"/>
          <w:bCs w:val="0"/>
        </w:rPr>
      </w:pPr>
      <w:bookmarkStart w:id="159" w:name="_t7c2p54qn57d" w:colFirst="0" w:colLast="0"/>
      <w:bookmarkStart w:id="160" w:name="_Toc241008270"/>
      <w:bookmarkEnd w:id="159"/>
      <w:r>
        <w:t>9.2 Financial Plan</w:t>
      </w:r>
      <w:bookmarkEnd w:id="160"/>
    </w:p>
    <w:p w14:paraId="39910D02" w14:textId="77777777" w:rsidR="00C71CDB" w:rsidRDefault="00C71CDB" w:rsidP="00C71CDB">
      <w:pPr>
        <w:pStyle w:val="Heading3"/>
        <w:keepNext w:val="0"/>
        <w:keepLines w:val="0"/>
        <w:spacing w:before="280"/>
        <w:rPr>
          <w:b/>
          <w:bCs/>
          <w:color w:val="000000"/>
          <w:sz w:val="24"/>
          <w:szCs w:val="24"/>
        </w:rPr>
      </w:pPr>
      <w:bookmarkStart w:id="161" w:name="_2xnuu94l40bo" w:colFirst="0" w:colLast="0"/>
      <w:bookmarkStart w:id="162" w:name="_Toc241008271"/>
      <w:bookmarkEnd w:id="161"/>
      <w:r>
        <w:rPr>
          <w:b/>
          <w:bCs/>
          <w:color w:val="000000"/>
          <w:sz w:val="24"/>
          <w:szCs w:val="24"/>
        </w:rPr>
        <w:t>9.2.1 Product range and pricing strategy</w:t>
      </w:r>
      <w:bookmarkEnd w:id="162"/>
    </w:p>
    <w:p w14:paraId="0CACD527" w14:textId="77777777" w:rsidR="00C71CDB" w:rsidRDefault="00C71CDB" w:rsidP="00C71CDB">
      <w:r>
        <w:t>Competitive price is defined as: For this proposal, it is important to keep in mind the volume, dimensions, material, and order quantity of the product, and whether the price includes VAT/delivery, in order to ensure that the price of EcoPack is reasonably close to that of a comparable product sold directly by an established European packaging supplier. A price that is within a working tolerance of about ±5% of the market price is considered a market-matching price. This ±5% has been achieved as a management target rather than an industry target in this business plan.</w:t>
      </w:r>
    </w:p>
    <w:p w14:paraId="5D7A0153" w14:textId="77777777" w:rsidR="00C71CDB" w:rsidRDefault="00C71CDB" w:rsidP="00C71CDB">
      <w:r>
        <w:t xml:space="preserve">Penetration pricing would involve setting the price deliberately very low compared to the prices of similar products to gain customers quickly. EcoPack will not take this route due to the fact that </w:t>
      </w:r>
      <w:r>
        <w:lastRenderedPageBreak/>
        <w:t>their resources are limited and their strategy is centered on service and convenience, product selection, and recommendations and tips for sustainability not on the lowest price.</w:t>
      </w:r>
    </w:p>
    <w:p w14:paraId="2C91A3EC" w14:textId="77777777" w:rsidR="00C71CDB" w:rsidRDefault="00C71CDB" w:rsidP="00C71CDB">
      <w:r>
        <w:t>This is possible to show by current market prices. At the moment, Packhelp offers a plain recyclable shipping box at €0.28 per box with 800 boxes, and €0.26 per box with 1000 boxes. It has a plain e-commerce shipping box that costs €0.70 per unit for 800 units and €0.64 at 2,000 units. Packhelp also has a range of customised ecommerce mailer boxes, which shows that there's already a B2B buying option that's customisation.</w:t>
      </w:r>
    </w:p>
    <w:tbl>
      <w:tblPr>
        <w:tblW w:w="9090" w:type="dxa"/>
        <w:tblBorders>
          <w:top w:val="nil"/>
          <w:left w:val="nil"/>
          <w:bottom w:val="nil"/>
          <w:right w:val="nil"/>
          <w:insideH w:val="nil"/>
          <w:insideV w:val="nil"/>
        </w:tblBorders>
        <w:shd w:val="clear" w:color="auto" w:fill="F2F2F2" w:themeFill="background1" w:themeFillShade="F2"/>
        <w:tblLayout w:type="fixed"/>
        <w:tblLook w:val="0600" w:firstRow="0" w:lastRow="0" w:firstColumn="0" w:lastColumn="0" w:noHBand="1" w:noVBand="1"/>
      </w:tblPr>
      <w:tblGrid>
        <w:gridCol w:w="4115"/>
        <w:gridCol w:w="2480"/>
        <w:gridCol w:w="2495"/>
      </w:tblGrid>
      <w:tr w:rsidR="00C71CDB" w14:paraId="3C6B57F0" w14:textId="77777777" w:rsidTr="00322600">
        <w:trPr>
          <w:trHeight w:val="515"/>
        </w:trPr>
        <w:tc>
          <w:tcPr>
            <w:tcW w:w="4115" w:type="dxa"/>
            <w:tcBorders>
              <w:top w:val="single" w:sz="4" w:space="0" w:color="000000"/>
              <w:left w:val="single" w:sz="4" w:space="0" w:color="000000"/>
              <w:bottom w:val="single" w:sz="4" w:space="0" w:color="000000"/>
              <w:right w:val="single" w:sz="4" w:space="0" w:color="000000"/>
            </w:tcBorders>
            <w:shd w:val="clear" w:color="auto" w:fill="F2F2F2" w:themeFill="background1" w:themeFillShade="F2"/>
            <w:tcMar>
              <w:top w:w="100" w:type="dxa"/>
              <w:left w:w="100" w:type="dxa"/>
              <w:bottom w:w="100" w:type="dxa"/>
              <w:right w:w="100" w:type="dxa"/>
            </w:tcMar>
          </w:tcPr>
          <w:p w14:paraId="6A4A553F" w14:textId="73DDE5B5" w:rsidR="00C71CDB" w:rsidRDefault="00322600" w:rsidP="00DA7C87">
            <w:r>
              <w:rPr>
                <w:b/>
                <w:bCs/>
              </w:rPr>
              <w:t>“</w:t>
            </w:r>
            <w:r w:rsidR="00C71CDB">
              <w:rPr>
                <w:b/>
                <w:bCs/>
              </w:rPr>
              <w:t>Product offered by EcoPack Solutions</w:t>
            </w:r>
          </w:p>
        </w:tc>
        <w:tc>
          <w:tcPr>
            <w:tcW w:w="2480" w:type="dxa"/>
            <w:tcBorders>
              <w:top w:val="single" w:sz="4" w:space="0" w:color="000000"/>
              <w:left w:val="single" w:sz="4" w:space="0" w:color="000000"/>
              <w:bottom w:val="single" w:sz="4" w:space="0" w:color="000000"/>
              <w:right w:val="single" w:sz="4" w:space="0" w:color="000000"/>
            </w:tcBorders>
            <w:shd w:val="clear" w:color="auto" w:fill="F2F2F2" w:themeFill="background1" w:themeFillShade="F2"/>
            <w:tcMar>
              <w:top w:w="100" w:type="dxa"/>
              <w:left w:w="100" w:type="dxa"/>
              <w:bottom w:w="100" w:type="dxa"/>
              <w:right w:w="100" w:type="dxa"/>
            </w:tcMar>
          </w:tcPr>
          <w:p w14:paraId="40B53AC9" w14:textId="77777777" w:rsidR="00C71CDB" w:rsidRDefault="00C71CDB" w:rsidP="00DA7C87">
            <w:r>
              <w:rPr>
                <w:b/>
                <w:bCs/>
              </w:rPr>
              <w:t>Proposed selling price</w:t>
            </w:r>
          </w:p>
        </w:tc>
        <w:tc>
          <w:tcPr>
            <w:tcW w:w="2495" w:type="dxa"/>
            <w:tcBorders>
              <w:top w:val="single" w:sz="4" w:space="0" w:color="000000"/>
              <w:left w:val="single" w:sz="4" w:space="0" w:color="000000"/>
              <w:bottom w:val="single" w:sz="4" w:space="0" w:color="000000"/>
              <w:right w:val="single" w:sz="4" w:space="0" w:color="000000"/>
            </w:tcBorders>
            <w:shd w:val="clear" w:color="auto" w:fill="F2F2F2" w:themeFill="background1" w:themeFillShade="F2"/>
            <w:tcMar>
              <w:top w:w="100" w:type="dxa"/>
              <w:left w:w="100" w:type="dxa"/>
              <w:bottom w:w="100" w:type="dxa"/>
              <w:right w:w="100" w:type="dxa"/>
            </w:tcMar>
          </w:tcPr>
          <w:p w14:paraId="039D1640" w14:textId="77777777" w:rsidR="00C71CDB" w:rsidRDefault="00C71CDB" w:rsidP="00DA7C87">
            <w:r>
              <w:rPr>
                <w:b/>
                <w:bCs/>
              </w:rPr>
              <w:t>Pricing basis</w:t>
            </w:r>
          </w:p>
        </w:tc>
      </w:tr>
      <w:tr w:rsidR="00C71CDB" w14:paraId="43F84C75" w14:textId="77777777" w:rsidTr="00322600">
        <w:trPr>
          <w:trHeight w:val="515"/>
        </w:trPr>
        <w:tc>
          <w:tcPr>
            <w:tcW w:w="4115" w:type="dxa"/>
            <w:tcBorders>
              <w:top w:val="single" w:sz="4" w:space="0" w:color="000000"/>
              <w:left w:val="single" w:sz="4" w:space="0" w:color="000000"/>
              <w:bottom w:val="single" w:sz="4" w:space="0" w:color="000000"/>
              <w:right w:val="single" w:sz="4" w:space="0" w:color="000000"/>
            </w:tcBorders>
            <w:shd w:val="clear" w:color="auto" w:fill="F2F2F2" w:themeFill="background1" w:themeFillShade="F2"/>
            <w:tcMar>
              <w:top w:w="100" w:type="dxa"/>
              <w:left w:w="100" w:type="dxa"/>
              <w:bottom w:w="100" w:type="dxa"/>
              <w:right w:w="100" w:type="dxa"/>
            </w:tcMar>
          </w:tcPr>
          <w:p w14:paraId="7D195EFC" w14:textId="77777777" w:rsidR="00C71CDB" w:rsidRDefault="00C71CDB" w:rsidP="00DA7C87">
            <w:r>
              <w:rPr>
                <w:b/>
                <w:bCs/>
              </w:rPr>
              <w:t>Recycled corrugated shipping box</w:t>
            </w:r>
          </w:p>
        </w:tc>
        <w:tc>
          <w:tcPr>
            <w:tcW w:w="2480" w:type="dxa"/>
            <w:tcBorders>
              <w:top w:val="single" w:sz="4" w:space="0" w:color="000000"/>
              <w:left w:val="single" w:sz="4" w:space="0" w:color="000000"/>
              <w:bottom w:val="single" w:sz="4" w:space="0" w:color="000000"/>
              <w:right w:val="single" w:sz="4" w:space="0" w:color="000000"/>
            </w:tcBorders>
            <w:shd w:val="clear" w:color="auto" w:fill="F2F2F2" w:themeFill="background1" w:themeFillShade="F2"/>
            <w:tcMar>
              <w:top w:w="100" w:type="dxa"/>
              <w:left w:w="100" w:type="dxa"/>
              <w:bottom w:w="100" w:type="dxa"/>
              <w:right w:w="100" w:type="dxa"/>
            </w:tcMar>
          </w:tcPr>
          <w:p w14:paraId="515DF0B7" w14:textId="77777777" w:rsidR="00C71CDB" w:rsidRDefault="00C71CDB" w:rsidP="00DA7C87">
            <w:r>
              <w:rPr>
                <w:b/>
                <w:bCs/>
              </w:rPr>
              <w:t>€0.27/unit</w:t>
            </w:r>
            <w:r>
              <w:t xml:space="preserve"> at 800</w:t>
            </w:r>
          </w:p>
        </w:tc>
        <w:tc>
          <w:tcPr>
            <w:tcW w:w="2495" w:type="dxa"/>
            <w:tcBorders>
              <w:top w:val="single" w:sz="4" w:space="0" w:color="000000"/>
              <w:left w:val="single" w:sz="4" w:space="0" w:color="000000"/>
              <w:bottom w:val="single" w:sz="4" w:space="0" w:color="000000"/>
              <w:right w:val="single" w:sz="4" w:space="0" w:color="000000"/>
            </w:tcBorders>
            <w:shd w:val="clear" w:color="auto" w:fill="F2F2F2" w:themeFill="background1" w:themeFillShade="F2"/>
            <w:tcMar>
              <w:top w:w="100" w:type="dxa"/>
              <w:left w:w="100" w:type="dxa"/>
              <w:bottom w:w="100" w:type="dxa"/>
              <w:right w:w="100" w:type="dxa"/>
            </w:tcMar>
          </w:tcPr>
          <w:p w14:paraId="1BE89066" w14:textId="77777777" w:rsidR="00C71CDB" w:rsidRDefault="00C71CDB" w:rsidP="00DA7C87">
            <w:r>
              <w:t>Market-matching</w:t>
            </w:r>
          </w:p>
        </w:tc>
      </w:tr>
      <w:tr w:rsidR="00C71CDB" w14:paraId="1334AA5D" w14:textId="77777777" w:rsidTr="00322600">
        <w:trPr>
          <w:trHeight w:val="515"/>
        </w:trPr>
        <w:tc>
          <w:tcPr>
            <w:tcW w:w="4115" w:type="dxa"/>
            <w:tcBorders>
              <w:top w:val="single" w:sz="4" w:space="0" w:color="000000"/>
              <w:left w:val="single" w:sz="4" w:space="0" w:color="000000"/>
              <w:bottom w:val="single" w:sz="4" w:space="0" w:color="000000"/>
              <w:right w:val="single" w:sz="4" w:space="0" w:color="000000"/>
            </w:tcBorders>
            <w:shd w:val="clear" w:color="auto" w:fill="F2F2F2" w:themeFill="background1" w:themeFillShade="F2"/>
            <w:tcMar>
              <w:top w:w="100" w:type="dxa"/>
              <w:left w:w="100" w:type="dxa"/>
              <w:bottom w:w="100" w:type="dxa"/>
              <w:right w:w="100" w:type="dxa"/>
            </w:tcMar>
          </w:tcPr>
          <w:p w14:paraId="2799EF36" w14:textId="77777777" w:rsidR="00C71CDB" w:rsidRDefault="00C71CDB" w:rsidP="00DA7C87">
            <w:r>
              <w:rPr>
                <w:b/>
                <w:bCs/>
              </w:rPr>
              <w:t>Plain e-commerce mailer box</w:t>
            </w:r>
          </w:p>
        </w:tc>
        <w:tc>
          <w:tcPr>
            <w:tcW w:w="2480" w:type="dxa"/>
            <w:tcBorders>
              <w:top w:val="single" w:sz="4" w:space="0" w:color="000000"/>
              <w:left w:val="single" w:sz="4" w:space="0" w:color="000000"/>
              <w:bottom w:val="single" w:sz="4" w:space="0" w:color="000000"/>
              <w:right w:val="single" w:sz="4" w:space="0" w:color="000000"/>
            </w:tcBorders>
            <w:shd w:val="clear" w:color="auto" w:fill="F2F2F2" w:themeFill="background1" w:themeFillShade="F2"/>
            <w:tcMar>
              <w:top w:w="100" w:type="dxa"/>
              <w:left w:w="100" w:type="dxa"/>
              <w:bottom w:w="100" w:type="dxa"/>
              <w:right w:w="100" w:type="dxa"/>
            </w:tcMar>
          </w:tcPr>
          <w:p w14:paraId="577AA1C3" w14:textId="77777777" w:rsidR="00C71CDB" w:rsidRDefault="00C71CDB" w:rsidP="00DA7C87">
            <w:r>
              <w:rPr>
                <w:b/>
                <w:bCs/>
              </w:rPr>
              <w:t>€0.68/unit</w:t>
            </w:r>
            <w:r>
              <w:t xml:space="preserve"> at 800</w:t>
            </w:r>
          </w:p>
        </w:tc>
        <w:tc>
          <w:tcPr>
            <w:tcW w:w="2495" w:type="dxa"/>
            <w:tcBorders>
              <w:top w:val="single" w:sz="4" w:space="0" w:color="000000"/>
              <w:left w:val="single" w:sz="4" w:space="0" w:color="000000"/>
              <w:bottom w:val="single" w:sz="4" w:space="0" w:color="000000"/>
              <w:right w:val="single" w:sz="4" w:space="0" w:color="000000"/>
            </w:tcBorders>
            <w:shd w:val="clear" w:color="auto" w:fill="F2F2F2" w:themeFill="background1" w:themeFillShade="F2"/>
            <w:tcMar>
              <w:top w:w="100" w:type="dxa"/>
              <w:left w:w="100" w:type="dxa"/>
              <w:bottom w:w="100" w:type="dxa"/>
              <w:right w:w="100" w:type="dxa"/>
            </w:tcMar>
          </w:tcPr>
          <w:p w14:paraId="169CAA0E" w14:textId="77777777" w:rsidR="00C71CDB" w:rsidRDefault="00C71CDB" w:rsidP="00DA7C87">
            <w:r>
              <w:t>Market-matching</w:t>
            </w:r>
          </w:p>
        </w:tc>
      </w:tr>
      <w:tr w:rsidR="00C71CDB" w14:paraId="28B0C029" w14:textId="77777777" w:rsidTr="00322600">
        <w:trPr>
          <w:trHeight w:val="515"/>
        </w:trPr>
        <w:tc>
          <w:tcPr>
            <w:tcW w:w="4115" w:type="dxa"/>
            <w:tcBorders>
              <w:top w:val="single" w:sz="4" w:space="0" w:color="000000"/>
              <w:left w:val="single" w:sz="4" w:space="0" w:color="000000"/>
              <w:bottom w:val="single" w:sz="4" w:space="0" w:color="000000"/>
              <w:right w:val="single" w:sz="4" w:space="0" w:color="000000"/>
            </w:tcBorders>
            <w:shd w:val="clear" w:color="auto" w:fill="F2F2F2" w:themeFill="background1" w:themeFillShade="F2"/>
            <w:tcMar>
              <w:top w:w="100" w:type="dxa"/>
              <w:left w:w="100" w:type="dxa"/>
              <w:bottom w:w="100" w:type="dxa"/>
              <w:right w:w="100" w:type="dxa"/>
            </w:tcMar>
          </w:tcPr>
          <w:p w14:paraId="66786C01" w14:textId="77777777" w:rsidR="00C71CDB" w:rsidRDefault="00C71CDB" w:rsidP="00DA7C87">
            <w:r>
              <w:rPr>
                <w:b/>
                <w:bCs/>
              </w:rPr>
              <w:t>Recycled poly mailer</w:t>
            </w:r>
          </w:p>
        </w:tc>
        <w:tc>
          <w:tcPr>
            <w:tcW w:w="2480" w:type="dxa"/>
            <w:tcBorders>
              <w:top w:val="single" w:sz="4" w:space="0" w:color="000000"/>
              <w:left w:val="single" w:sz="4" w:space="0" w:color="000000"/>
              <w:bottom w:val="single" w:sz="4" w:space="0" w:color="000000"/>
              <w:right w:val="single" w:sz="4" w:space="0" w:color="000000"/>
            </w:tcBorders>
            <w:shd w:val="clear" w:color="auto" w:fill="F2F2F2" w:themeFill="background1" w:themeFillShade="F2"/>
            <w:tcMar>
              <w:top w:w="100" w:type="dxa"/>
              <w:left w:w="100" w:type="dxa"/>
              <w:bottom w:w="100" w:type="dxa"/>
              <w:right w:w="100" w:type="dxa"/>
            </w:tcMar>
          </w:tcPr>
          <w:p w14:paraId="34D44160" w14:textId="77777777" w:rsidR="00C71CDB" w:rsidRDefault="00C71CDB" w:rsidP="00DA7C87">
            <w:r>
              <w:rPr>
                <w:b/>
                <w:bCs/>
              </w:rPr>
              <w:t>€0.24/unit</w:t>
            </w:r>
            <w:r>
              <w:t xml:space="preserve"> at 1,000</w:t>
            </w:r>
          </w:p>
        </w:tc>
        <w:tc>
          <w:tcPr>
            <w:tcW w:w="2495" w:type="dxa"/>
            <w:tcBorders>
              <w:top w:val="single" w:sz="4" w:space="0" w:color="000000"/>
              <w:left w:val="single" w:sz="4" w:space="0" w:color="000000"/>
              <w:bottom w:val="single" w:sz="4" w:space="0" w:color="000000"/>
              <w:right w:val="single" w:sz="4" w:space="0" w:color="000000"/>
            </w:tcBorders>
            <w:shd w:val="clear" w:color="auto" w:fill="F2F2F2" w:themeFill="background1" w:themeFillShade="F2"/>
            <w:tcMar>
              <w:top w:w="100" w:type="dxa"/>
              <w:left w:w="100" w:type="dxa"/>
              <w:bottom w:w="100" w:type="dxa"/>
              <w:right w:w="100" w:type="dxa"/>
            </w:tcMar>
          </w:tcPr>
          <w:p w14:paraId="4DDCBFA3" w14:textId="77777777" w:rsidR="00C71CDB" w:rsidRDefault="00C71CDB" w:rsidP="00DA7C87">
            <w:r>
              <w:t>Market-matching target</w:t>
            </w:r>
          </w:p>
        </w:tc>
      </w:tr>
      <w:tr w:rsidR="00C71CDB" w14:paraId="2912F40F" w14:textId="77777777" w:rsidTr="00322600">
        <w:trPr>
          <w:trHeight w:val="515"/>
        </w:trPr>
        <w:tc>
          <w:tcPr>
            <w:tcW w:w="4115" w:type="dxa"/>
            <w:tcBorders>
              <w:top w:val="single" w:sz="4" w:space="0" w:color="000000"/>
              <w:left w:val="single" w:sz="4" w:space="0" w:color="000000"/>
              <w:bottom w:val="single" w:sz="4" w:space="0" w:color="000000"/>
              <w:right w:val="single" w:sz="4" w:space="0" w:color="000000"/>
            </w:tcBorders>
            <w:shd w:val="clear" w:color="auto" w:fill="F2F2F2" w:themeFill="background1" w:themeFillShade="F2"/>
            <w:tcMar>
              <w:top w:w="100" w:type="dxa"/>
              <w:left w:w="100" w:type="dxa"/>
              <w:bottom w:w="100" w:type="dxa"/>
              <w:right w:w="100" w:type="dxa"/>
            </w:tcMar>
          </w:tcPr>
          <w:p w14:paraId="1FC8A69C" w14:textId="77777777" w:rsidR="00C71CDB" w:rsidRDefault="00C71CDB" w:rsidP="00DA7C87">
            <w:r>
              <w:rPr>
                <w:b/>
                <w:bCs/>
              </w:rPr>
              <w:t>Kraft paper mailer bag</w:t>
            </w:r>
          </w:p>
        </w:tc>
        <w:tc>
          <w:tcPr>
            <w:tcW w:w="2480" w:type="dxa"/>
            <w:tcBorders>
              <w:top w:val="single" w:sz="4" w:space="0" w:color="000000"/>
              <w:left w:val="single" w:sz="4" w:space="0" w:color="000000"/>
              <w:bottom w:val="single" w:sz="4" w:space="0" w:color="000000"/>
              <w:right w:val="single" w:sz="4" w:space="0" w:color="000000"/>
            </w:tcBorders>
            <w:shd w:val="clear" w:color="auto" w:fill="F2F2F2" w:themeFill="background1" w:themeFillShade="F2"/>
            <w:tcMar>
              <w:top w:w="100" w:type="dxa"/>
              <w:left w:w="100" w:type="dxa"/>
              <w:bottom w:w="100" w:type="dxa"/>
              <w:right w:w="100" w:type="dxa"/>
            </w:tcMar>
          </w:tcPr>
          <w:p w14:paraId="6FAC6D9C" w14:textId="77777777" w:rsidR="00C71CDB" w:rsidRDefault="00C71CDB" w:rsidP="00DA7C87">
            <w:r>
              <w:rPr>
                <w:b/>
                <w:bCs/>
              </w:rPr>
              <w:t>€0.25/unit</w:t>
            </w:r>
            <w:r>
              <w:t xml:space="preserve"> at 750</w:t>
            </w:r>
          </w:p>
        </w:tc>
        <w:tc>
          <w:tcPr>
            <w:tcW w:w="2495" w:type="dxa"/>
            <w:tcBorders>
              <w:top w:val="single" w:sz="4" w:space="0" w:color="000000"/>
              <w:left w:val="single" w:sz="4" w:space="0" w:color="000000"/>
              <w:bottom w:val="single" w:sz="4" w:space="0" w:color="000000"/>
              <w:right w:val="single" w:sz="4" w:space="0" w:color="000000"/>
            </w:tcBorders>
            <w:shd w:val="clear" w:color="auto" w:fill="F2F2F2" w:themeFill="background1" w:themeFillShade="F2"/>
            <w:tcMar>
              <w:top w:w="100" w:type="dxa"/>
              <w:left w:w="100" w:type="dxa"/>
              <w:bottom w:w="100" w:type="dxa"/>
              <w:right w:w="100" w:type="dxa"/>
            </w:tcMar>
          </w:tcPr>
          <w:p w14:paraId="44F5E9B1" w14:textId="77777777" w:rsidR="00C71CDB" w:rsidRDefault="00C71CDB" w:rsidP="00DA7C87">
            <w:r>
              <w:t>Market-matching target</w:t>
            </w:r>
          </w:p>
        </w:tc>
      </w:tr>
      <w:tr w:rsidR="00C71CDB" w14:paraId="7F2D2CF4" w14:textId="77777777" w:rsidTr="00322600">
        <w:trPr>
          <w:trHeight w:val="515"/>
        </w:trPr>
        <w:tc>
          <w:tcPr>
            <w:tcW w:w="4115" w:type="dxa"/>
            <w:tcBorders>
              <w:top w:val="single" w:sz="4" w:space="0" w:color="000000"/>
              <w:left w:val="single" w:sz="4" w:space="0" w:color="000000"/>
              <w:bottom w:val="single" w:sz="4" w:space="0" w:color="000000"/>
              <w:right w:val="single" w:sz="4" w:space="0" w:color="000000"/>
            </w:tcBorders>
            <w:shd w:val="clear" w:color="auto" w:fill="F2F2F2" w:themeFill="background1" w:themeFillShade="F2"/>
            <w:tcMar>
              <w:top w:w="100" w:type="dxa"/>
              <w:left w:w="100" w:type="dxa"/>
              <w:bottom w:w="100" w:type="dxa"/>
              <w:right w:w="100" w:type="dxa"/>
            </w:tcMar>
          </w:tcPr>
          <w:p w14:paraId="5729A53C" w14:textId="77777777" w:rsidR="00C71CDB" w:rsidRDefault="00C71CDB" w:rsidP="00DA7C87">
            <w:r>
              <w:rPr>
                <w:b/>
                <w:bCs/>
              </w:rPr>
              <w:t>Padded paper envelope</w:t>
            </w:r>
          </w:p>
        </w:tc>
        <w:tc>
          <w:tcPr>
            <w:tcW w:w="2480" w:type="dxa"/>
            <w:tcBorders>
              <w:top w:val="single" w:sz="4" w:space="0" w:color="000000"/>
              <w:left w:val="single" w:sz="4" w:space="0" w:color="000000"/>
              <w:bottom w:val="single" w:sz="4" w:space="0" w:color="000000"/>
              <w:right w:val="single" w:sz="4" w:space="0" w:color="000000"/>
            </w:tcBorders>
            <w:shd w:val="clear" w:color="auto" w:fill="F2F2F2" w:themeFill="background1" w:themeFillShade="F2"/>
            <w:tcMar>
              <w:top w:w="100" w:type="dxa"/>
              <w:left w:w="100" w:type="dxa"/>
              <w:bottom w:w="100" w:type="dxa"/>
              <w:right w:w="100" w:type="dxa"/>
            </w:tcMar>
          </w:tcPr>
          <w:p w14:paraId="73B4DB11" w14:textId="77777777" w:rsidR="00C71CDB" w:rsidRDefault="00C71CDB" w:rsidP="00DA7C87">
            <w:r>
              <w:rPr>
                <w:b/>
                <w:bCs/>
              </w:rPr>
              <w:t>€0.30/unit</w:t>
            </w:r>
            <w:r>
              <w:t xml:space="preserve"> at 700</w:t>
            </w:r>
          </w:p>
        </w:tc>
        <w:tc>
          <w:tcPr>
            <w:tcW w:w="2495" w:type="dxa"/>
            <w:tcBorders>
              <w:top w:val="single" w:sz="4" w:space="0" w:color="000000"/>
              <w:left w:val="single" w:sz="4" w:space="0" w:color="000000"/>
              <w:bottom w:val="single" w:sz="4" w:space="0" w:color="000000"/>
              <w:right w:val="single" w:sz="4" w:space="0" w:color="000000"/>
            </w:tcBorders>
            <w:shd w:val="clear" w:color="auto" w:fill="F2F2F2" w:themeFill="background1" w:themeFillShade="F2"/>
            <w:tcMar>
              <w:top w:w="100" w:type="dxa"/>
              <w:left w:w="100" w:type="dxa"/>
              <w:bottom w:w="100" w:type="dxa"/>
              <w:right w:w="100" w:type="dxa"/>
            </w:tcMar>
          </w:tcPr>
          <w:p w14:paraId="7C450712" w14:textId="77777777" w:rsidR="00C71CDB" w:rsidRDefault="00C71CDB" w:rsidP="00DA7C87">
            <w:r>
              <w:t>Market-matching target</w:t>
            </w:r>
          </w:p>
        </w:tc>
      </w:tr>
      <w:tr w:rsidR="00C71CDB" w14:paraId="33B18742" w14:textId="77777777" w:rsidTr="00322600">
        <w:trPr>
          <w:trHeight w:val="515"/>
        </w:trPr>
        <w:tc>
          <w:tcPr>
            <w:tcW w:w="4115" w:type="dxa"/>
            <w:tcBorders>
              <w:top w:val="single" w:sz="4" w:space="0" w:color="000000"/>
              <w:left w:val="single" w:sz="4" w:space="0" w:color="000000"/>
              <w:bottom w:val="single" w:sz="4" w:space="0" w:color="000000"/>
              <w:right w:val="single" w:sz="4" w:space="0" w:color="000000"/>
            </w:tcBorders>
            <w:shd w:val="clear" w:color="auto" w:fill="F2F2F2" w:themeFill="background1" w:themeFillShade="F2"/>
            <w:tcMar>
              <w:top w:w="100" w:type="dxa"/>
              <w:left w:w="100" w:type="dxa"/>
              <w:bottom w:w="100" w:type="dxa"/>
              <w:right w:w="100" w:type="dxa"/>
            </w:tcMar>
          </w:tcPr>
          <w:p w14:paraId="032290BE" w14:textId="77777777" w:rsidR="00C71CDB" w:rsidRDefault="00C71CDB" w:rsidP="00DA7C87">
            <w:r>
              <w:rPr>
                <w:b/>
                <w:bCs/>
              </w:rPr>
              <w:t>Compostable mailer</w:t>
            </w:r>
          </w:p>
        </w:tc>
        <w:tc>
          <w:tcPr>
            <w:tcW w:w="2480" w:type="dxa"/>
            <w:tcBorders>
              <w:top w:val="single" w:sz="4" w:space="0" w:color="000000"/>
              <w:left w:val="single" w:sz="4" w:space="0" w:color="000000"/>
              <w:bottom w:val="single" w:sz="4" w:space="0" w:color="000000"/>
              <w:right w:val="single" w:sz="4" w:space="0" w:color="000000"/>
            </w:tcBorders>
            <w:shd w:val="clear" w:color="auto" w:fill="F2F2F2" w:themeFill="background1" w:themeFillShade="F2"/>
            <w:tcMar>
              <w:top w:w="100" w:type="dxa"/>
              <w:left w:w="100" w:type="dxa"/>
              <w:bottom w:w="100" w:type="dxa"/>
              <w:right w:w="100" w:type="dxa"/>
            </w:tcMar>
          </w:tcPr>
          <w:p w14:paraId="6017857D" w14:textId="77777777" w:rsidR="00C71CDB" w:rsidRDefault="00C71CDB" w:rsidP="00DA7C87">
            <w:r>
              <w:rPr>
                <w:b/>
                <w:bCs/>
              </w:rPr>
              <w:t>€0.40/unit</w:t>
            </w:r>
            <w:r>
              <w:t xml:space="preserve"> at 2,000</w:t>
            </w:r>
          </w:p>
        </w:tc>
        <w:tc>
          <w:tcPr>
            <w:tcW w:w="2495" w:type="dxa"/>
            <w:tcBorders>
              <w:top w:val="single" w:sz="4" w:space="0" w:color="000000"/>
              <w:left w:val="single" w:sz="4" w:space="0" w:color="000000"/>
              <w:bottom w:val="single" w:sz="4" w:space="0" w:color="000000"/>
              <w:right w:val="single" w:sz="4" w:space="0" w:color="000000"/>
            </w:tcBorders>
            <w:shd w:val="clear" w:color="auto" w:fill="F2F2F2" w:themeFill="background1" w:themeFillShade="F2"/>
            <w:tcMar>
              <w:top w:w="100" w:type="dxa"/>
              <w:left w:w="100" w:type="dxa"/>
              <w:bottom w:w="100" w:type="dxa"/>
              <w:right w:w="100" w:type="dxa"/>
            </w:tcMar>
          </w:tcPr>
          <w:p w14:paraId="0168FCA9" w14:textId="77777777" w:rsidR="00C71CDB" w:rsidRDefault="00C71CDB" w:rsidP="00DA7C87">
            <w:r>
              <w:t>Market-matching target</w:t>
            </w:r>
          </w:p>
        </w:tc>
      </w:tr>
      <w:tr w:rsidR="00C71CDB" w14:paraId="159997D9" w14:textId="77777777" w:rsidTr="00322600">
        <w:trPr>
          <w:trHeight w:val="515"/>
        </w:trPr>
        <w:tc>
          <w:tcPr>
            <w:tcW w:w="4115" w:type="dxa"/>
            <w:tcBorders>
              <w:top w:val="single" w:sz="4" w:space="0" w:color="000000"/>
              <w:left w:val="single" w:sz="4" w:space="0" w:color="000000"/>
              <w:bottom w:val="single" w:sz="4" w:space="0" w:color="000000"/>
              <w:right w:val="single" w:sz="4" w:space="0" w:color="000000"/>
            </w:tcBorders>
            <w:shd w:val="clear" w:color="auto" w:fill="F2F2F2" w:themeFill="background1" w:themeFillShade="F2"/>
            <w:tcMar>
              <w:top w:w="100" w:type="dxa"/>
              <w:left w:w="100" w:type="dxa"/>
              <w:bottom w:w="100" w:type="dxa"/>
              <w:right w:w="100" w:type="dxa"/>
            </w:tcMar>
          </w:tcPr>
          <w:p w14:paraId="3C9EBABB" w14:textId="77777777" w:rsidR="00C71CDB" w:rsidRDefault="00C71CDB" w:rsidP="00DA7C87">
            <w:r>
              <w:rPr>
                <w:b/>
                <w:bCs/>
              </w:rPr>
              <w:t>Recycled paper void-fill</w:t>
            </w:r>
          </w:p>
        </w:tc>
        <w:tc>
          <w:tcPr>
            <w:tcW w:w="2480" w:type="dxa"/>
            <w:tcBorders>
              <w:top w:val="single" w:sz="4" w:space="0" w:color="000000"/>
              <w:left w:val="single" w:sz="4" w:space="0" w:color="000000"/>
              <w:bottom w:val="single" w:sz="4" w:space="0" w:color="000000"/>
              <w:right w:val="single" w:sz="4" w:space="0" w:color="000000"/>
            </w:tcBorders>
            <w:shd w:val="clear" w:color="auto" w:fill="F2F2F2" w:themeFill="background1" w:themeFillShade="F2"/>
            <w:tcMar>
              <w:top w:w="100" w:type="dxa"/>
              <w:left w:w="100" w:type="dxa"/>
              <w:bottom w:w="100" w:type="dxa"/>
              <w:right w:w="100" w:type="dxa"/>
            </w:tcMar>
          </w:tcPr>
          <w:p w14:paraId="306E6F6A" w14:textId="77777777" w:rsidR="00C71CDB" w:rsidRDefault="00C71CDB" w:rsidP="00DA7C87">
            <w:r>
              <w:rPr>
                <w:b/>
                <w:bCs/>
              </w:rPr>
              <w:t>€75/pack</w:t>
            </w:r>
          </w:p>
        </w:tc>
        <w:tc>
          <w:tcPr>
            <w:tcW w:w="2495" w:type="dxa"/>
            <w:tcBorders>
              <w:top w:val="single" w:sz="4" w:space="0" w:color="000000"/>
              <w:left w:val="single" w:sz="4" w:space="0" w:color="000000"/>
              <w:bottom w:val="single" w:sz="4" w:space="0" w:color="000000"/>
              <w:right w:val="single" w:sz="4" w:space="0" w:color="000000"/>
            </w:tcBorders>
            <w:shd w:val="clear" w:color="auto" w:fill="F2F2F2" w:themeFill="background1" w:themeFillShade="F2"/>
            <w:tcMar>
              <w:top w:w="100" w:type="dxa"/>
              <w:left w:w="100" w:type="dxa"/>
              <w:bottom w:w="100" w:type="dxa"/>
              <w:right w:w="100" w:type="dxa"/>
            </w:tcMar>
          </w:tcPr>
          <w:p w14:paraId="17B4FEA4" w14:textId="77777777" w:rsidR="00C71CDB" w:rsidRDefault="00C71CDB" w:rsidP="00DA7C87">
            <w:r>
              <w:t>Competitive target</w:t>
            </w:r>
          </w:p>
        </w:tc>
      </w:tr>
      <w:tr w:rsidR="00C71CDB" w14:paraId="3DAA3E43" w14:textId="77777777" w:rsidTr="00322600">
        <w:trPr>
          <w:trHeight w:val="515"/>
        </w:trPr>
        <w:tc>
          <w:tcPr>
            <w:tcW w:w="4115" w:type="dxa"/>
            <w:tcBorders>
              <w:top w:val="single" w:sz="4" w:space="0" w:color="000000"/>
              <w:left w:val="single" w:sz="4" w:space="0" w:color="000000"/>
              <w:bottom w:val="single" w:sz="4" w:space="0" w:color="000000"/>
              <w:right w:val="single" w:sz="4" w:space="0" w:color="000000"/>
            </w:tcBorders>
            <w:shd w:val="clear" w:color="auto" w:fill="F2F2F2" w:themeFill="background1" w:themeFillShade="F2"/>
            <w:tcMar>
              <w:top w:w="100" w:type="dxa"/>
              <w:left w:w="100" w:type="dxa"/>
              <w:bottom w:w="100" w:type="dxa"/>
              <w:right w:w="100" w:type="dxa"/>
            </w:tcMar>
          </w:tcPr>
          <w:p w14:paraId="40631123" w14:textId="77777777" w:rsidR="00C71CDB" w:rsidRDefault="00C71CDB" w:rsidP="00DA7C87">
            <w:r>
              <w:rPr>
                <w:b/>
                <w:bCs/>
              </w:rPr>
              <w:lastRenderedPageBreak/>
              <w:t>Paper packaging tape</w:t>
            </w:r>
          </w:p>
        </w:tc>
        <w:tc>
          <w:tcPr>
            <w:tcW w:w="2480" w:type="dxa"/>
            <w:tcBorders>
              <w:top w:val="single" w:sz="4" w:space="0" w:color="000000"/>
              <w:left w:val="single" w:sz="4" w:space="0" w:color="000000"/>
              <w:bottom w:val="single" w:sz="4" w:space="0" w:color="000000"/>
              <w:right w:val="single" w:sz="4" w:space="0" w:color="000000"/>
            </w:tcBorders>
            <w:shd w:val="clear" w:color="auto" w:fill="F2F2F2" w:themeFill="background1" w:themeFillShade="F2"/>
            <w:tcMar>
              <w:top w:w="100" w:type="dxa"/>
              <w:left w:w="100" w:type="dxa"/>
              <w:bottom w:w="100" w:type="dxa"/>
              <w:right w:w="100" w:type="dxa"/>
            </w:tcMar>
          </w:tcPr>
          <w:p w14:paraId="3395331F" w14:textId="77777777" w:rsidR="00C71CDB" w:rsidRDefault="00C71CDB" w:rsidP="00DA7C87">
            <w:r>
              <w:rPr>
                <w:b/>
                <w:bCs/>
              </w:rPr>
              <w:t>€3.50/roll</w:t>
            </w:r>
          </w:p>
        </w:tc>
        <w:tc>
          <w:tcPr>
            <w:tcW w:w="2495" w:type="dxa"/>
            <w:tcBorders>
              <w:top w:val="single" w:sz="4" w:space="0" w:color="000000"/>
              <w:left w:val="single" w:sz="4" w:space="0" w:color="000000"/>
              <w:bottom w:val="single" w:sz="4" w:space="0" w:color="000000"/>
              <w:right w:val="single" w:sz="4" w:space="0" w:color="000000"/>
            </w:tcBorders>
            <w:shd w:val="clear" w:color="auto" w:fill="F2F2F2" w:themeFill="background1" w:themeFillShade="F2"/>
            <w:tcMar>
              <w:top w:w="100" w:type="dxa"/>
              <w:left w:w="100" w:type="dxa"/>
              <w:bottom w:w="100" w:type="dxa"/>
              <w:right w:w="100" w:type="dxa"/>
            </w:tcMar>
          </w:tcPr>
          <w:p w14:paraId="7DD70A12" w14:textId="53C58EFB" w:rsidR="00C71CDB" w:rsidRDefault="00C71CDB" w:rsidP="00DA7C87">
            <w:r>
              <w:t>Competitive target</w:t>
            </w:r>
            <w:r w:rsidR="00322600">
              <w:t>”</w:t>
            </w:r>
          </w:p>
        </w:tc>
      </w:tr>
    </w:tbl>
    <w:p w14:paraId="035EC335" w14:textId="3B093FF5" w:rsidR="00EF66B6" w:rsidRPr="00FB7622" w:rsidRDefault="00EF66B6" w:rsidP="00EF66B6">
      <w:pPr>
        <w:pStyle w:val="Heading6"/>
      </w:pPr>
      <w:bookmarkStart w:id="163" w:name="_Toc241008865"/>
      <w:r w:rsidRPr="00FB7622">
        <w:t xml:space="preserve">Table </w:t>
      </w:r>
      <w:r>
        <w:t>9</w:t>
      </w:r>
      <w:r w:rsidRPr="00FB7622">
        <w:t>: “</w:t>
      </w:r>
      <w:r>
        <w:t>Products and Pricing</w:t>
      </w:r>
      <w:r w:rsidRPr="00FB7622">
        <w:t>”</w:t>
      </w:r>
      <w:bookmarkEnd w:id="163"/>
    </w:p>
    <w:p w14:paraId="5C82074C" w14:textId="1AC8E1D3" w:rsidR="00EF66B6" w:rsidRDefault="00EF66B6" w:rsidP="00EF66B6">
      <w:pPr>
        <w:jc w:val="center"/>
      </w:pPr>
      <w:r>
        <w:t>(Source: Created by Author)</w:t>
      </w:r>
    </w:p>
    <w:p w14:paraId="47237591" w14:textId="0B9B3662" w:rsidR="00C71CDB" w:rsidRDefault="00C71CDB" w:rsidP="00C71CDB">
      <w:r>
        <w:t>Where a direct comparator for the product is not available, the price for the product reflects a planning assumption, not an actual market price. They will need to be substantiated with supplier quotations prior to launch. As a result, EcoPack will be priced at or near market price and provide added value due to product curation, SME support and PPWR information. The first-order discount can be given as a promotion to acquire customers if it is 5%.</w:t>
      </w:r>
    </w:p>
    <w:p w14:paraId="366224BA" w14:textId="77777777" w:rsidR="00C71CDB" w:rsidRDefault="00C71CDB" w:rsidP="00C71CDB">
      <w:pPr>
        <w:pStyle w:val="Heading3"/>
        <w:keepNext w:val="0"/>
        <w:keepLines w:val="0"/>
        <w:spacing w:before="280"/>
        <w:rPr>
          <w:b/>
          <w:bCs/>
          <w:color w:val="000000"/>
          <w:sz w:val="24"/>
          <w:szCs w:val="24"/>
        </w:rPr>
      </w:pPr>
      <w:bookmarkStart w:id="164" w:name="_4fd6pvnwecxi" w:colFirst="0" w:colLast="0"/>
      <w:bookmarkStart w:id="165" w:name="_Toc241008272"/>
      <w:bookmarkEnd w:id="164"/>
      <w:r>
        <w:rPr>
          <w:b/>
          <w:bCs/>
          <w:color w:val="000000"/>
          <w:sz w:val="24"/>
          <w:szCs w:val="24"/>
        </w:rPr>
        <w:t>9.2.2 Revenue model and assumptions</w:t>
      </w:r>
      <w:bookmarkEnd w:id="165"/>
    </w:p>
    <w:p w14:paraId="6E27C05F" w14:textId="77777777" w:rsidR="00C71CDB" w:rsidRDefault="00C71CDB" w:rsidP="00C71CDB">
      <w:r>
        <w:t>The Average Order Value (AOV) is taken as €350 during Year 1, €365 during Year 2 and €380 during Year 3. This is not a random market number, this is a planning assumption for a mixed product basket. For instance, an SME might order shipping boxes, mailers, protective envelopes and void fill all in a single order.</w:t>
      </w:r>
    </w:p>
    <w:tbl>
      <w:tblPr>
        <w:tblW w:w="5810" w:type="dxa"/>
        <w:jc w:val="center"/>
        <w:tblBorders>
          <w:top w:val="nil"/>
          <w:left w:val="nil"/>
          <w:bottom w:val="nil"/>
          <w:right w:val="nil"/>
          <w:insideH w:val="nil"/>
          <w:insideV w:val="nil"/>
        </w:tblBorders>
        <w:shd w:val="clear" w:color="auto" w:fill="FBD4B4" w:themeFill="accent6" w:themeFillTint="66"/>
        <w:tblLayout w:type="fixed"/>
        <w:tblLook w:val="0600" w:firstRow="0" w:lastRow="0" w:firstColumn="0" w:lastColumn="0" w:noHBand="1" w:noVBand="1"/>
      </w:tblPr>
      <w:tblGrid>
        <w:gridCol w:w="2420"/>
        <w:gridCol w:w="1130"/>
        <w:gridCol w:w="1130"/>
        <w:gridCol w:w="1130"/>
      </w:tblGrid>
      <w:tr w:rsidR="00C71CDB" w14:paraId="23EAC17E" w14:textId="77777777" w:rsidTr="00322600">
        <w:trPr>
          <w:trHeight w:val="515"/>
          <w:jc w:val="center"/>
        </w:trPr>
        <w:tc>
          <w:tcPr>
            <w:tcW w:w="2420" w:type="dxa"/>
            <w:tcBorders>
              <w:top w:val="single" w:sz="4" w:space="0" w:color="000000"/>
              <w:left w:val="single" w:sz="4" w:space="0" w:color="000000"/>
              <w:bottom w:val="single" w:sz="4" w:space="0" w:color="000000"/>
              <w:right w:val="single" w:sz="4" w:space="0" w:color="000000"/>
            </w:tcBorders>
            <w:shd w:val="clear" w:color="auto" w:fill="FBD4B4" w:themeFill="accent6" w:themeFillTint="66"/>
            <w:tcMar>
              <w:top w:w="100" w:type="dxa"/>
              <w:left w:w="100" w:type="dxa"/>
              <w:bottom w:w="100" w:type="dxa"/>
              <w:right w:w="100" w:type="dxa"/>
            </w:tcMar>
          </w:tcPr>
          <w:p w14:paraId="060BDD53" w14:textId="2CAD2E8C" w:rsidR="00C71CDB" w:rsidRDefault="00322600" w:rsidP="00DA7C87">
            <w:r>
              <w:rPr>
                <w:b/>
                <w:bCs/>
              </w:rPr>
              <w:t>“</w:t>
            </w:r>
            <w:r w:rsidR="00C71CDB">
              <w:rPr>
                <w:b/>
                <w:bCs/>
              </w:rPr>
              <w:t>Financial assumption</w:t>
            </w:r>
          </w:p>
        </w:tc>
        <w:tc>
          <w:tcPr>
            <w:tcW w:w="1130" w:type="dxa"/>
            <w:tcBorders>
              <w:top w:val="single" w:sz="4" w:space="0" w:color="000000"/>
              <w:left w:val="single" w:sz="4" w:space="0" w:color="000000"/>
              <w:bottom w:val="single" w:sz="4" w:space="0" w:color="000000"/>
              <w:right w:val="single" w:sz="4" w:space="0" w:color="000000"/>
            </w:tcBorders>
            <w:shd w:val="clear" w:color="auto" w:fill="FBD4B4" w:themeFill="accent6" w:themeFillTint="66"/>
            <w:tcMar>
              <w:top w:w="100" w:type="dxa"/>
              <w:left w:w="100" w:type="dxa"/>
              <w:bottom w:w="100" w:type="dxa"/>
              <w:right w:w="100" w:type="dxa"/>
            </w:tcMar>
          </w:tcPr>
          <w:p w14:paraId="10366058" w14:textId="77777777" w:rsidR="00C71CDB" w:rsidRDefault="00C71CDB" w:rsidP="00DA7C87">
            <w:r>
              <w:rPr>
                <w:b/>
                <w:bCs/>
              </w:rPr>
              <w:t>Year 1</w:t>
            </w:r>
          </w:p>
        </w:tc>
        <w:tc>
          <w:tcPr>
            <w:tcW w:w="1130" w:type="dxa"/>
            <w:tcBorders>
              <w:top w:val="single" w:sz="4" w:space="0" w:color="000000"/>
              <w:left w:val="single" w:sz="4" w:space="0" w:color="000000"/>
              <w:bottom w:val="single" w:sz="4" w:space="0" w:color="000000"/>
              <w:right w:val="single" w:sz="4" w:space="0" w:color="000000"/>
            </w:tcBorders>
            <w:shd w:val="clear" w:color="auto" w:fill="FBD4B4" w:themeFill="accent6" w:themeFillTint="66"/>
            <w:tcMar>
              <w:top w:w="100" w:type="dxa"/>
              <w:left w:w="100" w:type="dxa"/>
              <w:bottom w:w="100" w:type="dxa"/>
              <w:right w:w="100" w:type="dxa"/>
            </w:tcMar>
          </w:tcPr>
          <w:p w14:paraId="111AC35F" w14:textId="77777777" w:rsidR="00C71CDB" w:rsidRDefault="00C71CDB" w:rsidP="00DA7C87">
            <w:r>
              <w:rPr>
                <w:b/>
                <w:bCs/>
              </w:rPr>
              <w:t>Year 2</w:t>
            </w:r>
          </w:p>
        </w:tc>
        <w:tc>
          <w:tcPr>
            <w:tcW w:w="1130" w:type="dxa"/>
            <w:tcBorders>
              <w:top w:val="single" w:sz="4" w:space="0" w:color="000000"/>
              <w:left w:val="single" w:sz="4" w:space="0" w:color="000000"/>
              <w:bottom w:val="single" w:sz="4" w:space="0" w:color="000000"/>
              <w:right w:val="single" w:sz="4" w:space="0" w:color="000000"/>
            </w:tcBorders>
            <w:shd w:val="clear" w:color="auto" w:fill="FBD4B4" w:themeFill="accent6" w:themeFillTint="66"/>
            <w:tcMar>
              <w:top w:w="100" w:type="dxa"/>
              <w:left w:w="100" w:type="dxa"/>
              <w:bottom w:w="100" w:type="dxa"/>
              <w:right w:w="100" w:type="dxa"/>
            </w:tcMar>
          </w:tcPr>
          <w:p w14:paraId="4AC5DE37" w14:textId="77777777" w:rsidR="00C71CDB" w:rsidRDefault="00C71CDB" w:rsidP="00DA7C87">
            <w:r>
              <w:rPr>
                <w:b/>
                <w:bCs/>
              </w:rPr>
              <w:t>Year 3</w:t>
            </w:r>
          </w:p>
        </w:tc>
      </w:tr>
      <w:tr w:rsidR="00C71CDB" w14:paraId="356DDF4C" w14:textId="77777777" w:rsidTr="00322600">
        <w:trPr>
          <w:trHeight w:val="515"/>
          <w:jc w:val="center"/>
        </w:trPr>
        <w:tc>
          <w:tcPr>
            <w:tcW w:w="2420" w:type="dxa"/>
            <w:tcBorders>
              <w:top w:val="single" w:sz="4" w:space="0" w:color="000000"/>
              <w:left w:val="single" w:sz="4" w:space="0" w:color="000000"/>
              <w:bottom w:val="single" w:sz="4" w:space="0" w:color="000000"/>
              <w:right w:val="single" w:sz="4" w:space="0" w:color="000000"/>
            </w:tcBorders>
            <w:shd w:val="clear" w:color="auto" w:fill="FBD4B4" w:themeFill="accent6" w:themeFillTint="66"/>
            <w:tcMar>
              <w:top w:w="100" w:type="dxa"/>
              <w:left w:w="100" w:type="dxa"/>
              <w:bottom w:w="100" w:type="dxa"/>
              <w:right w:w="100" w:type="dxa"/>
            </w:tcMar>
          </w:tcPr>
          <w:p w14:paraId="000DCCA1" w14:textId="77777777" w:rsidR="00C71CDB" w:rsidRDefault="00C71CDB" w:rsidP="00DA7C87">
            <w:r>
              <w:t>Orders</w:t>
            </w:r>
          </w:p>
        </w:tc>
        <w:tc>
          <w:tcPr>
            <w:tcW w:w="1130" w:type="dxa"/>
            <w:tcBorders>
              <w:top w:val="single" w:sz="4" w:space="0" w:color="000000"/>
              <w:left w:val="single" w:sz="4" w:space="0" w:color="000000"/>
              <w:bottom w:val="single" w:sz="4" w:space="0" w:color="000000"/>
              <w:right w:val="single" w:sz="4" w:space="0" w:color="000000"/>
            </w:tcBorders>
            <w:shd w:val="clear" w:color="auto" w:fill="FBD4B4" w:themeFill="accent6" w:themeFillTint="66"/>
            <w:tcMar>
              <w:top w:w="100" w:type="dxa"/>
              <w:left w:w="100" w:type="dxa"/>
              <w:bottom w:w="100" w:type="dxa"/>
              <w:right w:w="100" w:type="dxa"/>
            </w:tcMar>
          </w:tcPr>
          <w:p w14:paraId="2C6FE567" w14:textId="77777777" w:rsidR="00C71CDB" w:rsidRDefault="00C71CDB" w:rsidP="00DA7C87">
            <w:r>
              <w:t>300</w:t>
            </w:r>
          </w:p>
        </w:tc>
        <w:tc>
          <w:tcPr>
            <w:tcW w:w="1130" w:type="dxa"/>
            <w:tcBorders>
              <w:top w:val="single" w:sz="4" w:space="0" w:color="000000"/>
              <w:left w:val="single" w:sz="4" w:space="0" w:color="000000"/>
              <w:bottom w:val="single" w:sz="4" w:space="0" w:color="000000"/>
              <w:right w:val="single" w:sz="4" w:space="0" w:color="000000"/>
            </w:tcBorders>
            <w:shd w:val="clear" w:color="auto" w:fill="FBD4B4" w:themeFill="accent6" w:themeFillTint="66"/>
            <w:tcMar>
              <w:top w:w="100" w:type="dxa"/>
              <w:left w:w="100" w:type="dxa"/>
              <w:bottom w:w="100" w:type="dxa"/>
              <w:right w:w="100" w:type="dxa"/>
            </w:tcMar>
          </w:tcPr>
          <w:p w14:paraId="5BC05AA3" w14:textId="77777777" w:rsidR="00C71CDB" w:rsidRDefault="00C71CDB" w:rsidP="00DA7C87">
            <w:r>
              <w:t>800</w:t>
            </w:r>
          </w:p>
        </w:tc>
        <w:tc>
          <w:tcPr>
            <w:tcW w:w="1130" w:type="dxa"/>
            <w:tcBorders>
              <w:top w:val="single" w:sz="4" w:space="0" w:color="000000"/>
              <w:left w:val="single" w:sz="4" w:space="0" w:color="000000"/>
              <w:bottom w:val="single" w:sz="4" w:space="0" w:color="000000"/>
              <w:right w:val="single" w:sz="4" w:space="0" w:color="000000"/>
            </w:tcBorders>
            <w:shd w:val="clear" w:color="auto" w:fill="FBD4B4" w:themeFill="accent6" w:themeFillTint="66"/>
            <w:tcMar>
              <w:top w:w="100" w:type="dxa"/>
              <w:left w:w="100" w:type="dxa"/>
              <w:bottom w:w="100" w:type="dxa"/>
              <w:right w:w="100" w:type="dxa"/>
            </w:tcMar>
          </w:tcPr>
          <w:p w14:paraId="7D620BDC" w14:textId="77777777" w:rsidR="00C71CDB" w:rsidRDefault="00C71CDB" w:rsidP="00DA7C87">
            <w:r>
              <w:t>1,600</w:t>
            </w:r>
          </w:p>
        </w:tc>
      </w:tr>
      <w:tr w:rsidR="00C71CDB" w14:paraId="4501D89F" w14:textId="77777777" w:rsidTr="00322600">
        <w:trPr>
          <w:trHeight w:val="515"/>
          <w:jc w:val="center"/>
        </w:trPr>
        <w:tc>
          <w:tcPr>
            <w:tcW w:w="2420" w:type="dxa"/>
            <w:tcBorders>
              <w:top w:val="single" w:sz="4" w:space="0" w:color="000000"/>
              <w:left w:val="single" w:sz="4" w:space="0" w:color="000000"/>
              <w:bottom w:val="single" w:sz="4" w:space="0" w:color="000000"/>
              <w:right w:val="single" w:sz="4" w:space="0" w:color="000000"/>
            </w:tcBorders>
            <w:shd w:val="clear" w:color="auto" w:fill="FBD4B4" w:themeFill="accent6" w:themeFillTint="66"/>
            <w:tcMar>
              <w:top w:w="100" w:type="dxa"/>
              <w:left w:w="100" w:type="dxa"/>
              <w:bottom w:w="100" w:type="dxa"/>
              <w:right w:w="100" w:type="dxa"/>
            </w:tcMar>
          </w:tcPr>
          <w:p w14:paraId="531C417F" w14:textId="77777777" w:rsidR="00C71CDB" w:rsidRDefault="00C71CDB" w:rsidP="00DA7C87">
            <w:r>
              <w:t>Average order value</w:t>
            </w:r>
          </w:p>
        </w:tc>
        <w:tc>
          <w:tcPr>
            <w:tcW w:w="1130" w:type="dxa"/>
            <w:tcBorders>
              <w:top w:val="single" w:sz="4" w:space="0" w:color="000000"/>
              <w:left w:val="single" w:sz="4" w:space="0" w:color="000000"/>
              <w:bottom w:val="single" w:sz="4" w:space="0" w:color="000000"/>
              <w:right w:val="single" w:sz="4" w:space="0" w:color="000000"/>
            </w:tcBorders>
            <w:shd w:val="clear" w:color="auto" w:fill="FBD4B4" w:themeFill="accent6" w:themeFillTint="66"/>
            <w:tcMar>
              <w:top w:w="100" w:type="dxa"/>
              <w:left w:w="100" w:type="dxa"/>
              <w:bottom w:w="100" w:type="dxa"/>
              <w:right w:w="100" w:type="dxa"/>
            </w:tcMar>
          </w:tcPr>
          <w:p w14:paraId="7E098BA3" w14:textId="77777777" w:rsidR="00C71CDB" w:rsidRDefault="00C71CDB" w:rsidP="00DA7C87">
            <w:r>
              <w:t>€350</w:t>
            </w:r>
          </w:p>
        </w:tc>
        <w:tc>
          <w:tcPr>
            <w:tcW w:w="1130" w:type="dxa"/>
            <w:tcBorders>
              <w:top w:val="single" w:sz="4" w:space="0" w:color="000000"/>
              <w:left w:val="single" w:sz="4" w:space="0" w:color="000000"/>
              <w:bottom w:val="single" w:sz="4" w:space="0" w:color="000000"/>
              <w:right w:val="single" w:sz="4" w:space="0" w:color="000000"/>
            </w:tcBorders>
            <w:shd w:val="clear" w:color="auto" w:fill="FBD4B4" w:themeFill="accent6" w:themeFillTint="66"/>
            <w:tcMar>
              <w:top w:w="100" w:type="dxa"/>
              <w:left w:w="100" w:type="dxa"/>
              <w:bottom w:w="100" w:type="dxa"/>
              <w:right w:w="100" w:type="dxa"/>
            </w:tcMar>
          </w:tcPr>
          <w:p w14:paraId="4F3ED8A3" w14:textId="77777777" w:rsidR="00C71CDB" w:rsidRDefault="00C71CDB" w:rsidP="00DA7C87">
            <w:r>
              <w:t>€365</w:t>
            </w:r>
          </w:p>
        </w:tc>
        <w:tc>
          <w:tcPr>
            <w:tcW w:w="1130" w:type="dxa"/>
            <w:tcBorders>
              <w:top w:val="single" w:sz="4" w:space="0" w:color="000000"/>
              <w:left w:val="single" w:sz="4" w:space="0" w:color="000000"/>
              <w:bottom w:val="single" w:sz="4" w:space="0" w:color="000000"/>
              <w:right w:val="single" w:sz="4" w:space="0" w:color="000000"/>
            </w:tcBorders>
            <w:shd w:val="clear" w:color="auto" w:fill="FBD4B4" w:themeFill="accent6" w:themeFillTint="66"/>
            <w:tcMar>
              <w:top w:w="100" w:type="dxa"/>
              <w:left w:w="100" w:type="dxa"/>
              <w:bottom w:w="100" w:type="dxa"/>
              <w:right w:w="100" w:type="dxa"/>
            </w:tcMar>
          </w:tcPr>
          <w:p w14:paraId="3909B8C3" w14:textId="77777777" w:rsidR="00C71CDB" w:rsidRDefault="00C71CDB" w:rsidP="00DA7C87">
            <w:r>
              <w:t>€380</w:t>
            </w:r>
          </w:p>
        </w:tc>
      </w:tr>
      <w:tr w:rsidR="00C71CDB" w14:paraId="307903A4" w14:textId="77777777" w:rsidTr="00322600">
        <w:trPr>
          <w:trHeight w:val="515"/>
          <w:jc w:val="center"/>
        </w:trPr>
        <w:tc>
          <w:tcPr>
            <w:tcW w:w="2420" w:type="dxa"/>
            <w:tcBorders>
              <w:top w:val="single" w:sz="4" w:space="0" w:color="000000"/>
              <w:left w:val="single" w:sz="4" w:space="0" w:color="000000"/>
              <w:bottom w:val="single" w:sz="4" w:space="0" w:color="000000"/>
              <w:right w:val="single" w:sz="4" w:space="0" w:color="000000"/>
            </w:tcBorders>
            <w:shd w:val="clear" w:color="auto" w:fill="FBD4B4" w:themeFill="accent6" w:themeFillTint="66"/>
            <w:tcMar>
              <w:top w:w="100" w:type="dxa"/>
              <w:left w:w="100" w:type="dxa"/>
              <w:bottom w:w="100" w:type="dxa"/>
              <w:right w:w="100" w:type="dxa"/>
            </w:tcMar>
          </w:tcPr>
          <w:p w14:paraId="72E0260C" w14:textId="77777777" w:rsidR="00C71CDB" w:rsidRDefault="00C71CDB" w:rsidP="00DA7C87">
            <w:r>
              <w:t>Revenue</w:t>
            </w:r>
          </w:p>
        </w:tc>
        <w:tc>
          <w:tcPr>
            <w:tcW w:w="1130" w:type="dxa"/>
            <w:tcBorders>
              <w:top w:val="single" w:sz="4" w:space="0" w:color="000000"/>
              <w:left w:val="single" w:sz="4" w:space="0" w:color="000000"/>
              <w:bottom w:val="single" w:sz="4" w:space="0" w:color="000000"/>
              <w:right w:val="single" w:sz="4" w:space="0" w:color="000000"/>
            </w:tcBorders>
            <w:shd w:val="clear" w:color="auto" w:fill="FBD4B4" w:themeFill="accent6" w:themeFillTint="66"/>
            <w:tcMar>
              <w:top w:w="100" w:type="dxa"/>
              <w:left w:w="100" w:type="dxa"/>
              <w:bottom w:w="100" w:type="dxa"/>
              <w:right w:w="100" w:type="dxa"/>
            </w:tcMar>
          </w:tcPr>
          <w:p w14:paraId="1C2095D8" w14:textId="77777777" w:rsidR="00C71CDB" w:rsidRDefault="00C71CDB" w:rsidP="00DA7C87">
            <w:r>
              <w:rPr>
                <w:b/>
                <w:bCs/>
              </w:rPr>
              <w:t>€105,000</w:t>
            </w:r>
          </w:p>
        </w:tc>
        <w:tc>
          <w:tcPr>
            <w:tcW w:w="1130" w:type="dxa"/>
            <w:tcBorders>
              <w:top w:val="single" w:sz="4" w:space="0" w:color="000000"/>
              <w:left w:val="single" w:sz="4" w:space="0" w:color="000000"/>
              <w:bottom w:val="single" w:sz="4" w:space="0" w:color="000000"/>
              <w:right w:val="single" w:sz="4" w:space="0" w:color="000000"/>
            </w:tcBorders>
            <w:shd w:val="clear" w:color="auto" w:fill="FBD4B4" w:themeFill="accent6" w:themeFillTint="66"/>
            <w:tcMar>
              <w:top w:w="100" w:type="dxa"/>
              <w:left w:w="100" w:type="dxa"/>
              <w:bottom w:w="100" w:type="dxa"/>
              <w:right w:w="100" w:type="dxa"/>
            </w:tcMar>
          </w:tcPr>
          <w:p w14:paraId="29214022" w14:textId="77777777" w:rsidR="00C71CDB" w:rsidRDefault="00C71CDB" w:rsidP="00DA7C87">
            <w:r>
              <w:rPr>
                <w:b/>
                <w:bCs/>
              </w:rPr>
              <w:t>€292,000</w:t>
            </w:r>
          </w:p>
        </w:tc>
        <w:tc>
          <w:tcPr>
            <w:tcW w:w="1130" w:type="dxa"/>
            <w:tcBorders>
              <w:top w:val="single" w:sz="4" w:space="0" w:color="000000"/>
              <w:left w:val="single" w:sz="4" w:space="0" w:color="000000"/>
              <w:bottom w:val="single" w:sz="4" w:space="0" w:color="000000"/>
              <w:right w:val="single" w:sz="4" w:space="0" w:color="000000"/>
            </w:tcBorders>
            <w:shd w:val="clear" w:color="auto" w:fill="FBD4B4" w:themeFill="accent6" w:themeFillTint="66"/>
            <w:tcMar>
              <w:top w:w="100" w:type="dxa"/>
              <w:left w:w="100" w:type="dxa"/>
              <w:bottom w:w="100" w:type="dxa"/>
              <w:right w:w="100" w:type="dxa"/>
            </w:tcMar>
          </w:tcPr>
          <w:p w14:paraId="7BA628D2" w14:textId="77777777" w:rsidR="00C71CDB" w:rsidRDefault="00C71CDB" w:rsidP="00DA7C87">
            <w:r>
              <w:rPr>
                <w:b/>
                <w:bCs/>
              </w:rPr>
              <w:t>€608,000</w:t>
            </w:r>
          </w:p>
        </w:tc>
      </w:tr>
      <w:tr w:rsidR="00C71CDB" w14:paraId="54C9C317" w14:textId="77777777" w:rsidTr="00322600">
        <w:trPr>
          <w:trHeight w:val="515"/>
          <w:jc w:val="center"/>
        </w:trPr>
        <w:tc>
          <w:tcPr>
            <w:tcW w:w="2420" w:type="dxa"/>
            <w:tcBorders>
              <w:top w:val="single" w:sz="4" w:space="0" w:color="000000"/>
              <w:left w:val="single" w:sz="4" w:space="0" w:color="000000"/>
              <w:bottom w:val="single" w:sz="4" w:space="0" w:color="000000"/>
              <w:right w:val="single" w:sz="4" w:space="0" w:color="000000"/>
            </w:tcBorders>
            <w:shd w:val="clear" w:color="auto" w:fill="FBD4B4" w:themeFill="accent6" w:themeFillTint="66"/>
            <w:tcMar>
              <w:top w:w="100" w:type="dxa"/>
              <w:left w:w="100" w:type="dxa"/>
              <w:bottom w:w="100" w:type="dxa"/>
              <w:right w:w="100" w:type="dxa"/>
            </w:tcMar>
          </w:tcPr>
          <w:p w14:paraId="2D8D6E17" w14:textId="77777777" w:rsidR="00C71CDB" w:rsidRDefault="00C71CDB" w:rsidP="00DA7C87">
            <w:r>
              <w:lastRenderedPageBreak/>
              <w:t>Gross margin</w:t>
            </w:r>
          </w:p>
        </w:tc>
        <w:tc>
          <w:tcPr>
            <w:tcW w:w="1130" w:type="dxa"/>
            <w:tcBorders>
              <w:top w:val="single" w:sz="4" w:space="0" w:color="000000"/>
              <w:left w:val="single" w:sz="4" w:space="0" w:color="000000"/>
              <w:bottom w:val="single" w:sz="4" w:space="0" w:color="000000"/>
              <w:right w:val="single" w:sz="4" w:space="0" w:color="000000"/>
            </w:tcBorders>
            <w:shd w:val="clear" w:color="auto" w:fill="FBD4B4" w:themeFill="accent6" w:themeFillTint="66"/>
            <w:tcMar>
              <w:top w:w="100" w:type="dxa"/>
              <w:left w:w="100" w:type="dxa"/>
              <w:bottom w:w="100" w:type="dxa"/>
              <w:right w:w="100" w:type="dxa"/>
            </w:tcMar>
          </w:tcPr>
          <w:p w14:paraId="25C53515" w14:textId="77777777" w:rsidR="00C71CDB" w:rsidRDefault="00C71CDB" w:rsidP="00DA7C87">
            <w:r>
              <w:t>30%</w:t>
            </w:r>
          </w:p>
        </w:tc>
        <w:tc>
          <w:tcPr>
            <w:tcW w:w="1130" w:type="dxa"/>
            <w:tcBorders>
              <w:top w:val="single" w:sz="4" w:space="0" w:color="000000"/>
              <w:left w:val="single" w:sz="4" w:space="0" w:color="000000"/>
              <w:bottom w:val="single" w:sz="4" w:space="0" w:color="000000"/>
              <w:right w:val="single" w:sz="4" w:space="0" w:color="000000"/>
            </w:tcBorders>
            <w:shd w:val="clear" w:color="auto" w:fill="FBD4B4" w:themeFill="accent6" w:themeFillTint="66"/>
            <w:tcMar>
              <w:top w:w="100" w:type="dxa"/>
              <w:left w:w="100" w:type="dxa"/>
              <w:bottom w:w="100" w:type="dxa"/>
              <w:right w:w="100" w:type="dxa"/>
            </w:tcMar>
          </w:tcPr>
          <w:p w14:paraId="19924078" w14:textId="77777777" w:rsidR="00C71CDB" w:rsidRDefault="00C71CDB" w:rsidP="00DA7C87">
            <w:r>
              <w:t>32%</w:t>
            </w:r>
          </w:p>
        </w:tc>
        <w:tc>
          <w:tcPr>
            <w:tcW w:w="1130" w:type="dxa"/>
            <w:tcBorders>
              <w:top w:val="single" w:sz="4" w:space="0" w:color="000000"/>
              <w:left w:val="single" w:sz="4" w:space="0" w:color="000000"/>
              <w:bottom w:val="single" w:sz="4" w:space="0" w:color="000000"/>
              <w:right w:val="single" w:sz="4" w:space="0" w:color="000000"/>
            </w:tcBorders>
            <w:shd w:val="clear" w:color="auto" w:fill="FBD4B4" w:themeFill="accent6" w:themeFillTint="66"/>
            <w:tcMar>
              <w:top w:w="100" w:type="dxa"/>
              <w:left w:w="100" w:type="dxa"/>
              <w:bottom w:w="100" w:type="dxa"/>
              <w:right w:w="100" w:type="dxa"/>
            </w:tcMar>
          </w:tcPr>
          <w:p w14:paraId="1AC00D45" w14:textId="77777777" w:rsidR="00C71CDB" w:rsidRDefault="00C71CDB" w:rsidP="00DA7C87">
            <w:r>
              <w:t>33%</w:t>
            </w:r>
          </w:p>
        </w:tc>
      </w:tr>
      <w:tr w:rsidR="00C71CDB" w14:paraId="08D47F41" w14:textId="77777777" w:rsidTr="00322600">
        <w:trPr>
          <w:trHeight w:val="515"/>
          <w:jc w:val="center"/>
        </w:trPr>
        <w:tc>
          <w:tcPr>
            <w:tcW w:w="2420" w:type="dxa"/>
            <w:tcBorders>
              <w:top w:val="single" w:sz="4" w:space="0" w:color="000000"/>
              <w:left w:val="single" w:sz="4" w:space="0" w:color="000000"/>
              <w:bottom w:val="single" w:sz="4" w:space="0" w:color="000000"/>
              <w:right w:val="single" w:sz="4" w:space="0" w:color="000000"/>
            </w:tcBorders>
            <w:shd w:val="clear" w:color="auto" w:fill="FBD4B4" w:themeFill="accent6" w:themeFillTint="66"/>
            <w:tcMar>
              <w:top w:w="100" w:type="dxa"/>
              <w:left w:w="100" w:type="dxa"/>
              <w:bottom w:w="100" w:type="dxa"/>
              <w:right w:w="100" w:type="dxa"/>
            </w:tcMar>
          </w:tcPr>
          <w:p w14:paraId="5B4E3DF1" w14:textId="77777777" w:rsidR="00C71CDB" w:rsidRDefault="00C71CDB" w:rsidP="00DA7C87">
            <w:r>
              <w:t>Gross profit</w:t>
            </w:r>
          </w:p>
        </w:tc>
        <w:tc>
          <w:tcPr>
            <w:tcW w:w="1130" w:type="dxa"/>
            <w:tcBorders>
              <w:top w:val="single" w:sz="4" w:space="0" w:color="000000"/>
              <w:left w:val="single" w:sz="4" w:space="0" w:color="000000"/>
              <w:bottom w:val="single" w:sz="4" w:space="0" w:color="000000"/>
              <w:right w:val="single" w:sz="4" w:space="0" w:color="000000"/>
            </w:tcBorders>
            <w:shd w:val="clear" w:color="auto" w:fill="FBD4B4" w:themeFill="accent6" w:themeFillTint="66"/>
            <w:tcMar>
              <w:top w:w="100" w:type="dxa"/>
              <w:left w:w="100" w:type="dxa"/>
              <w:bottom w:w="100" w:type="dxa"/>
              <w:right w:w="100" w:type="dxa"/>
            </w:tcMar>
          </w:tcPr>
          <w:p w14:paraId="63AB38AA" w14:textId="77777777" w:rsidR="00C71CDB" w:rsidRDefault="00C71CDB" w:rsidP="00DA7C87">
            <w:r>
              <w:rPr>
                <w:b/>
                <w:bCs/>
              </w:rPr>
              <w:t>€31,500</w:t>
            </w:r>
          </w:p>
        </w:tc>
        <w:tc>
          <w:tcPr>
            <w:tcW w:w="1130" w:type="dxa"/>
            <w:tcBorders>
              <w:top w:val="single" w:sz="4" w:space="0" w:color="000000"/>
              <w:left w:val="single" w:sz="4" w:space="0" w:color="000000"/>
              <w:bottom w:val="single" w:sz="4" w:space="0" w:color="000000"/>
              <w:right w:val="single" w:sz="4" w:space="0" w:color="000000"/>
            </w:tcBorders>
            <w:shd w:val="clear" w:color="auto" w:fill="FBD4B4" w:themeFill="accent6" w:themeFillTint="66"/>
            <w:tcMar>
              <w:top w:w="100" w:type="dxa"/>
              <w:left w:w="100" w:type="dxa"/>
              <w:bottom w:w="100" w:type="dxa"/>
              <w:right w:w="100" w:type="dxa"/>
            </w:tcMar>
          </w:tcPr>
          <w:p w14:paraId="3AA9C419" w14:textId="77777777" w:rsidR="00C71CDB" w:rsidRDefault="00C71CDB" w:rsidP="00DA7C87">
            <w:r>
              <w:rPr>
                <w:b/>
                <w:bCs/>
              </w:rPr>
              <w:t>€93,440</w:t>
            </w:r>
          </w:p>
        </w:tc>
        <w:tc>
          <w:tcPr>
            <w:tcW w:w="1130" w:type="dxa"/>
            <w:tcBorders>
              <w:top w:val="single" w:sz="4" w:space="0" w:color="000000"/>
              <w:left w:val="single" w:sz="4" w:space="0" w:color="000000"/>
              <w:bottom w:val="single" w:sz="4" w:space="0" w:color="000000"/>
              <w:right w:val="single" w:sz="4" w:space="0" w:color="000000"/>
            </w:tcBorders>
            <w:shd w:val="clear" w:color="auto" w:fill="FBD4B4" w:themeFill="accent6" w:themeFillTint="66"/>
            <w:tcMar>
              <w:top w:w="100" w:type="dxa"/>
              <w:left w:w="100" w:type="dxa"/>
              <w:bottom w:w="100" w:type="dxa"/>
              <w:right w:w="100" w:type="dxa"/>
            </w:tcMar>
          </w:tcPr>
          <w:p w14:paraId="1DD4D3F7" w14:textId="1EA97D5E" w:rsidR="00C71CDB" w:rsidRDefault="00C71CDB" w:rsidP="00DA7C87">
            <w:r>
              <w:rPr>
                <w:b/>
                <w:bCs/>
              </w:rPr>
              <w:t>€200,640</w:t>
            </w:r>
            <w:r w:rsidR="00322600">
              <w:rPr>
                <w:b/>
                <w:bCs/>
              </w:rPr>
              <w:t>”</w:t>
            </w:r>
          </w:p>
        </w:tc>
      </w:tr>
    </w:tbl>
    <w:p w14:paraId="40BCB3CE" w14:textId="250A0948" w:rsidR="00EF66B6" w:rsidRPr="00FB7622" w:rsidRDefault="00EF66B6" w:rsidP="00EF66B6">
      <w:pPr>
        <w:pStyle w:val="Heading6"/>
      </w:pPr>
      <w:bookmarkStart w:id="166" w:name="_Toc241008866"/>
      <w:r w:rsidRPr="00FB7622">
        <w:t>Table 1</w:t>
      </w:r>
      <w:r>
        <w:t>0</w:t>
      </w:r>
      <w:r w:rsidRPr="00FB7622">
        <w:t>: “</w:t>
      </w:r>
      <w:r>
        <w:t>Financial Assumptions</w:t>
      </w:r>
      <w:r w:rsidRPr="00FB7622">
        <w:t>”</w:t>
      </w:r>
      <w:bookmarkEnd w:id="166"/>
    </w:p>
    <w:p w14:paraId="061A79BB" w14:textId="27E1CA72" w:rsidR="00EF66B6" w:rsidRDefault="00EF66B6" w:rsidP="00EF66B6">
      <w:pPr>
        <w:jc w:val="center"/>
      </w:pPr>
      <w:r>
        <w:t>(Source: Created by Author)</w:t>
      </w:r>
    </w:p>
    <w:p w14:paraId="5B228FE4" w14:textId="6CE77258" w:rsidR="00C71CDB" w:rsidRDefault="00C71CDB" w:rsidP="00C71CDB">
      <w:r>
        <w:t>The 30% Year-1 gross margin target must be verified by supplier's quotes. It is intentionally treated as an assumption to be tested since EcoPack will first purchase packaging from manufacturers/distributors, and not manufacture packaging.</w:t>
      </w:r>
    </w:p>
    <w:p w14:paraId="57F70F45" w14:textId="77777777" w:rsidR="00C71CDB" w:rsidRDefault="00C71CDB" w:rsidP="00C71CDB">
      <w:pPr>
        <w:pStyle w:val="Heading3"/>
        <w:keepNext w:val="0"/>
        <w:keepLines w:val="0"/>
        <w:spacing w:before="280"/>
        <w:rPr>
          <w:b/>
          <w:bCs/>
          <w:color w:val="000000"/>
          <w:sz w:val="24"/>
          <w:szCs w:val="24"/>
        </w:rPr>
      </w:pPr>
      <w:bookmarkStart w:id="167" w:name="_z8iqyxu2e3xm" w:colFirst="0" w:colLast="0"/>
      <w:bookmarkStart w:id="168" w:name="_Toc241008273"/>
      <w:bookmarkEnd w:id="167"/>
      <w:r>
        <w:rPr>
          <w:b/>
          <w:bCs/>
          <w:color w:val="000000"/>
          <w:sz w:val="24"/>
          <w:szCs w:val="24"/>
        </w:rPr>
        <w:t>9.2.3 Start-up costs and operating forecast</w:t>
      </w:r>
      <w:bookmarkEnd w:id="168"/>
    </w:p>
    <w:p w14:paraId="3C11A40E" w14:textId="77777777" w:rsidR="00C71CDB" w:rsidRDefault="00C71CDB" w:rsidP="00C71CDB">
      <w:r>
        <w:t>Estimated start-up expenditure is €20,000: website and ordering system (€6,000), branding/content (€3,000), legal/registration/insurance (€2,500), software/equipment (€2,500), launch marketing (€3,000) and professional preparation (€3,000). The total initial capital requirement is €30,000 with an additional €10,000 in working capital reserve.</w:t>
      </w:r>
    </w:p>
    <w:tbl>
      <w:tblPr>
        <w:tblW w:w="5945" w:type="dxa"/>
        <w:jc w:val="center"/>
        <w:tblBorders>
          <w:top w:val="nil"/>
          <w:left w:val="nil"/>
          <w:bottom w:val="nil"/>
          <w:right w:val="nil"/>
          <w:insideH w:val="nil"/>
          <w:insideV w:val="nil"/>
        </w:tblBorders>
        <w:shd w:val="clear" w:color="auto" w:fill="EAF1DD" w:themeFill="accent3" w:themeFillTint="33"/>
        <w:tblLayout w:type="fixed"/>
        <w:tblLook w:val="0600" w:firstRow="0" w:lastRow="0" w:firstColumn="0" w:lastColumn="0" w:noHBand="1" w:noVBand="1"/>
      </w:tblPr>
      <w:tblGrid>
        <w:gridCol w:w="2540"/>
        <w:gridCol w:w="1055"/>
        <w:gridCol w:w="1175"/>
        <w:gridCol w:w="1175"/>
      </w:tblGrid>
      <w:tr w:rsidR="00C71CDB" w14:paraId="4E8B9899" w14:textId="77777777" w:rsidTr="00322600">
        <w:trPr>
          <w:trHeight w:val="515"/>
          <w:jc w:val="center"/>
        </w:trPr>
        <w:tc>
          <w:tcPr>
            <w:tcW w:w="2540" w:type="dxa"/>
            <w:tcBorders>
              <w:top w:val="single" w:sz="4" w:space="0" w:color="000000"/>
              <w:left w:val="single" w:sz="4" w:space="0" w:color="000000"/>
              <w:bottom w:val="single" w:sz="4" w:space="0" w:color="000000"/>
              <w:right w:val="single" w:sz="4" w:space="0" w:color="000000"/>
            </w:tcBorders>
            <w:shd w:val="clear" w:color="auto" w:fill="EAF1DD" w:themeFill="accent3" w:themeFillTint="33"/>
            <w:tcMar>
              <w:top w:w="100" w:type="dxa"/>
              <w:left w:w="100" w:type="dxa"/>
              <w:bottom w:w="100" w:type="dxa"/>
              <w:right w:w="100" w:type="dxa"/>
            </w:tcMar>
          </w:tcPr>
          <w:p w14:paraId="0BCF8CB3" w14:textId="7B5A54E4" w:rsidR="00C71CDB" w:rsidRDefault="00322600" w:rsidP="00DA7C87">
            <w:r>
              <w:rPr>
                <w:b/>
                <w:bCs/>
              </w:rPr>
              <w:t>“</w:t>
            </w:r>
            <w:r w:rsidR="00C71CDB">
              <w:rPr>
                <w:b/>
                <w:bCs/>
              </w:rPr>
              <w:t>€</w:t>
            </w:r>
          </w:p>
        </w:tc>
        <w:tc>
          <w:tcPr>
            <w:tcW w:w="1055" w:type="dxa"/>
            <w:tcBorders>
              <w:top w:val="single" w:sz="4" w:space="0" w:color="000000"/>
              <w:left w:val="single" w:sz="4" w:space="0" w:color="000000"/>
              <w:bottom w:val="single" w:sz="4" w:space="0" w:color="000000"/>
              <w:right w:val="single" w:sz="4" w:space="0" w:color="000000"/>
            </w:tcBorders>
            <w:shd w:val="clear" w:color="auto" w:fill="EAF1DD" w:themeFill="accent3" w:themeFillTint="33"/>
            <w:tcMar>
              <w:top w:w="100" w:type="dxa"/>
              <w:left w:w="100" w:type="dxa"/>
              <w:bottom w:w="100" w:type="dxa"/>
              <w:right w:w="100" w:type="dxa"/>
            </w:tcMar>
          </w:tcPr>
          <w:p w14:paraId="345559D0" w14:textId="77777777" w:rsidR="00C71CDB" w:rsidRDefault="00C71CDB" w:rsidP="00DA7C87">
            <w:r>
              <w:rPr>
                <w:b/>
                <w:bCs/>
              </w:rPr>
              <w:t>Year 1</w:t>
            </w:r>
          </w:p>
        </w:tc>
        <w:tc>
          <w:tcPr>
            <w:tcW w:w="1175" w:type="dxa"/>
            <w:tcBorders>
              <w:top w:val="single" w:sz="4" w:space="0" w:color="000000"/>
              <w:left w:val="single" w:sz="4" w:space="0" w:color="000000"/>
              <w:bottom w:val="single" w:sz="4" w:space="0" w:color="000000"/>
              <w:right w:val="single" w:sz="4" w:space="0" w:color="000000"/>
            </w:tcBorders>
            <w:shd w:val="clear" w:color="auto" w:fill="EAF1DD" w:themeFill="accent3" w:themeFillTint="33"/>
            <w:tcMar>
              <w:top w:w="100" w:type="dxa"/>
              <w:left w:w="100" w:type="dxa"/>
              <w:bottom w:w="100" w:type="dxa"/>
              <w:right w:w="100" w:type="dxa"/>
            </w:tcMar>
          </w:tcPr>
          <w:p w14:paraId="49634F89" w14:textId="77777777" w:rsidR="00C71CDB" w:rsidRDefault="00C71CDB" w:rsidP="00DA7C87">
            <w:r>
              <w:rPr>
                <w:b/>
                <w:bCs/>
              </w:rPr>
              <w:t>Year 2</w:t>
            </w:r>
          </w:p>
        </w:tc>
        <w:tc>
          <w:tcPr>
            <w:tcW w:w="1175" w:type="dxa"/>
            <w:tcBorders>
              <w:top w:val="single" w:sz="4" w:space="0" w:color="000000"/>
              <w:left w:val="single" w:sz="4" w:space="0" w:color="000000"/>
              <w:bottom w:val="single" w:sz="4" w:space="0" w:color="000000"/>
              <w:right w:val="single" w:sz="4" w:space="0" w:color="000000"/>
            </w:tcBorders>
            <w:shd w:val="clear" w:color="auto" w:fill="EAF1DD" w:themeFill="accent3" w:themeFillTint="33"/>
            <w:tcMar>
              <w:top w:w="100" w:type="dxa"/>
              <w:left w:w="100" w:type="dxa"/>
              <w:bottom w:w="100" w:type="dxa"/>
              <w:right w:w="100" w:type="dxa"/>
            </w:tcMar>
          </w:tcPr>
          <w:p w14:paraId="01EF25D9" w14:textId="77777777" w:rsidR="00C71CDB" w:rsidRDefault="00C71CDB" w:rsidP="00DA7C87">
            <w:r>
              <w:rPr>
                <w:b/>
                <w:bCs/>
              </w:rPr>
              <w:t>Year 3</w:t>
            </w:r>
          </w:p>
        </w:tc>
      </w:tr>
      <w:tr w:rsidR="00C71CDB" w14:paraId="2B1F9D42" w14:textId="77777777" w:rsidTr="00322600">
        <w:trPr>
          <w:trHeight w:val="515"/>
          <w:jc w:val="center"/>
        </w:trPr>
        <w:tc>
          <w:tcPr>
            <w:tcW w:w="2540" w:type="dxa"/>
            <w:tcBorders>
              <w:top w:val="single" w:sz="4" w:space="0" w:color="000000"/>
              <w:left w:val="single" w:sz="4" w:space="0" w:color="000000"/>
              <w:bottom w:val="single" w:sz="4" w:space="0" w:color="000000"/>
              <w:right w:val="single" w:sz="4" w:space="0" w:color="000000"/>
            </w:tcBorders>
            <w:shd w:val="clear" w:color="auto" w:fill="EAF1DD" w:themeFill="accent3" w:themeFillTint="33"/>
            <w:tcMar>
              <w:top w:w="100" w:type="dxa"/>
              <w:left w:w="100" w:type="dxa"/>
              <w:bottom w:w="100" w:type="dxa"/>
              <w:right w:w="100" w:type="dxa"/>
            </w:tcMar>
          </w:tcPr>
          <w:p w14:paraId="5C6A0A36" w14:textId="77777777" w:rsidR="00C71CDB" w:rsidRDefault="00C71CDB" w:rsidP="00DA7C87">
            <w:r>
              <w:t>Revenue</w:t>
            </w:r>
          </w:p>
        </w:tc>
        <w:tc>
          <w:tcPr>
            <w:tcW w:w="1055" w:type="dxa"/>
            <w:tcBorders>
              <w:top w:val="single" w:sz="4" w:space="0" w:color="000000"/>
              <w:left w:val="single" w:sz="4" w:space="0" w:color="000000"/>
              <w:bottom w:val="single" w:sz="4" w:space="0" w:color="000000"/>
              <w:right w:val="single" w:sz="4" w:space="0" w:color="000000"/>
            </w:tcBorders>
            <w:shd w:val="clear" w:color="auto" w:fill="EAF1DD" w:themeFill="accent3" w:themeFillTint="33"/>
            <w:tcMar>
              <w:top w:w="100" w:type="dxa"/>
              <w:left w:w="100" w:type="dxa"/>
              <w:bottom w:w="100" w:type="dxa"/>
              <w:right w:w="100" w:type="dxa"/>
            </w:tcMar>
          </w:tcPr>
          <w:p w14:paraId="6B16A849" w14:textId="77777777" w:rsidR="00C71CDB" w:rsidRDefault="00C71CDB" w:rsidP="00DA7C87">
            <w:r>
              <w:t>105,000</w:t>
            </w:r>
          </w:p>
        </w:tc>
        <w:tc>
          <w:tcPr>
            <w:tcW w:w="1175" w:type="dxa"/>
            <w:tcBorders>
              <w:top w:val="single" w:sz="4" w:space="0" w:color="000000"/>
              <w:left w:val="single" w:sz="4" w:space="0" w:color="000000"/>
              <w:bottom w:val="single" w:sz="4" w:space="0" w:color="000000"/>
              <w:right w:val="single" w:sz="4" w:space="0" w:color="000000"/>
            </w:tcBorders>
            <w:shd w:val="clear" w:color="auto" w:fill="EAF1DD" w:themeFill="accent3" w:themeFillTint="33"/>
            <w:tcMar>
              <w:top w:w="100" w:type="dxa"/>
              <w:left w:w="100" w:type="dxa"/>
              <w:bottom w:w="100" w:type="dxa"/>
              <w:right w:w="100" w:type="dxa"/>
            </w:tcMar>
          </w:tcPr>
          <w:p w14:paraId="5F42DD39" w14:textId="77777777" w:rsidR="00C71CDB" w:rsidRDefault="00C71CDB" w:rsidP="00DA7C87">
            <w:r>
              <w:t>292,000</w:t>
            </w:r>
          </w:p>
        </w:tc>
        <w:tc>
          <w:tcPr>
            <w:tcW w:w="1175" w:type="dxa"/>
            <w:tcBorders>
              <w:top w:val="single" w:sz="4" w:space="0" w:color="000000"/>
              <w:left w:val="single" w:sz="4" w:space="0" w:color="000000"/>
              <w:bottom w:val="single" w:sz="4" w:space="0" w:color="000000"/>
              <w:right w:val="single" w:sz="4" w:space="0" w:color="000000"/>
            </w:tcBorders>
            <w:shd w:val="clear" w:color="auto" w:fill="EAF1DD" w:themeFill="accent3" w:themeFillTint="33"/>
            <w:tcMar>
              <w:top w:w="100" w:type="dxa"/>
              <w:left w:w="100" w:type="dxa"/>
              <w:bottom w:w="100" w:type="dxa"/>
              <w:right w:w="100" w:type="dxa"/>
            </w:tcMar>
          </w:tcPr>
          <w:p w14:paraId="232DB258" w14:textId="77777777" w:rsidR="00C71CDB" w:rsidRDefault="00C71CDB" w:rsidP="00DA7C87">
            <w:r>
              <w:t>608,000</w:t>
            </w:r>
          </w:p>
        </w:tc>
      </w:tr>
      <w:tr w:rsidR="00C71CDB" w14:paraId="3736C4F4" w14:textId="77777777" w:rsidTr="00322600">
        <w:trPr>
          <w:trHeight w:val="515"/>
          <w:jc w:val="center"/>
        </w:trPr>
        <w:tc>
          <w:tcPr>
            <w:tcW w:w="2540" w:type="dxa"/>
            <w:tcBorders>
              <w:top w:val="single" w:sz="4" w:space="0" w:color="000000"/>
              <w:left w:val="single" w:sz="4" w:space="0" w:color="000000"/>
              <w:bottom w:val="single" w:sz="4" w:space="0" w:color="000000"/>
              <w:right w:val="single" w:sz="4" w:space="0" w:color="000000"/>
            </w:tcBorders>
            <w:shd w:val="clear" w:color="auto" w:fill="EAF1DD" w:themeFill="accent3" w:themeFillTint="33"/>
            <w:tcMar>
              <w:top w:w="100" w:type="dxa"/>
              <w:left w:w="100" w:type="dxa"/>
              <w:bottom w:w="100" w:type="dxa"/>
              <w:right w:w="100" w:type="dxa"/>
            </w:tcMar>
          </w:tcPr>
          <w:p w14:paraId="76E0A4CC" w14:textId="77777777" w:rsidR="00C71CDB" w:rsidRDefault="00C71CDB" w:rsidP="00DA7C87">
            <w:r>
              <w:t>Product/fulfilment costs</w:t>
            </w:r>
          </w:p>
        </w:tc>
        <w:tc>
          <w:tcPr>
            <w:tcW w:w="1055" w:type="dxa"/>
            <w:tcBorders>
              <w:top w:val="single" w:sz="4" w:space="0" w:color="000000"/>
              <w:left w:val="single" w:sz="4" w:space="0" w:color="000000"/>
              <w:bottom w:val="single" w:sz="4" w:space="0" w:color="000000"/>
              <w:right w:val="single" w:sz="4" w:space="0" w:color="000000"/>
            </w:tcBorders>
            <w:shd w:val="clear" w:color="auto" w:fill="EAF1DD" w:themeFill="accent3" w:themeFillTint="33"/>
            <w:tcMar>
              <w:top w:w="100" w:type="dxa"/>
              <w:left w:w="100" w:type="dxa"/>
              <w:bottom w:w="100" w:type="dxa"/>
              <w:right w:w="100" w:type="dxa"/>
            </w:tcMar>
          </w:tcPr>
          <w:p w14:paraId="231F0C50" w14:textId="77777777" w:rsidR="00C71CDB" w:rsidRDefault="00C71CDB" w:rsidP="00DA7C87">
            <w:r>
              <w:t>(73,500)</w:t>
            </w:r>
          </w:p>
        </w:tc>
        <w:tc>
          <w:tcPr>
            <w:tcW w:w="1175" w:type="dxa"/>
            <w:tcBorders>
              <w:top w:val="single" w:sz="4" w:space="0" w:color="000000"/>
              <w:left w:val="single" w:sz="4" w:space="0" w:color="000000"/>
              <w:bottom w:val="single" w:sz="4" w:space="0" w:color="000000"/>
              <w:right w:val="single" w:sz="4" w:space="0" w:color="000000"/>
            </w:tcBorders>
            <w:shd w:val="clear" w:color="auto" w:fill="EAF1DD" w:themeFill="accent3" w:themeFillTint="33"/>
            <w:tcMar>
              <w:top w:w="100" w:type="dxa"/>
              <w:left w:w="100" w:type="dxa"/>
              <w:bottom w:w="100" w:type="dxa"/>
              <w:right w:w="100" w:type="dxa"/>
            </w:tcMar>
          </w:tcPr>
          <w:p w14:paraId="7928299B" w14:textId="77777777" w:rsidR="00C71CDB" w:rsidRDefault="00C71CDB" w:rsidP="00DA7C87">
            <w:r>
              <w:t>(198,560)</w:t>
            </w:r>
          </w:p>
        </w:tc>
        <w:tc>
          <w:tcPr>
            <w:tcW w:w="1175" w:type="dxa"/>
            <w:tcBorders>
              <w:top w:val="single" w:sz="4" w:space="0" w:color="000000"/>
              <w:left w:val="single" w:sz="4" w:space="0" w:color="000000"/>
              <w:bottom w:val="single" w:sz="4" w:space="0" w:color="000000"/>
              <w:right w:val="single" w:sz="4" w:space="0" w:color="000000"/>
            </w:tcBorders>
            <w:shd w:val="clear" w:color="auto" w:fill="EAF1DD" w:themeFill="accent3" w:themeFillTint="33"/>
            <w:tcMar>
              <w:top w:w="100" w:type="dxa"/>
              <w:left w:w="100" w:type="dxa"/>
              <w:bottom w:w="100" w:type="dxa"/>
              <w:right w:w="100" w:type="dxa"/>
            </w:tcMar>
          </w:tcPr>
          <w:p w14:paraId="14D129A1" w14:textId="77777777" w:rsidR="00C71CDB" w:rsidRDefault="00C71CDB" w:rsidP="00DA7C87">
            <w:r>
              <w:t>(407,360)</w:t>
            </w:r>
          </w:p>
        </w:tc>
      </w:tr>
      <w:tr w:rsidR="00C71CDB" w14:paraId="59A666B4" w14:textId="77777777" w:rsidTr="00322600">
        <w:trPr>
          <w:trHeight w:val="515"/>
          <w:jc w:val="center"/>
        </w:trPr>
        <w:tc>
          <w:tcPr>
            <w:tcW w:w="2540" w:type="dxa"/>
            <w:tcBorders>
              <w:top w:val="single" w:sz="4" w:space="0" w:color="000000"/>
              <w:left w:val="single" w:sz="4" w:space="0" w:color="000000"/>
              <w:bottom w:val="single" w:sz="4" w:space="0" w:color="000000"/>
              <w:right w:val="single" w:sz="4" w:space="0" w:color="000000"/>
            </w:tcBorders>
            <w:shd w:val="clear" w:color="auto" w:fill="EAF1DD" w:themeFill="accent3" w:themeFillTint="33"/>
            <w:tcMar>
              <w:top w:w="100" w:type="dxa"/>
              <w:left w:w="100" w:type="dxa"/>
              <w:bottom w:w="100" w:type="dxa"/>
              <w:right w:w="100" w:type="dxa"/>
            </w:tcMar>
          </w:tcPr>
          <w:p w14:paraId="4B2E98B6" w14:textId="77777777" w:rsidR="00C71CDB" w:rsidRDefault="00C71CDB" w:rsidP="00DA7C87">
            <w:r>
              <w:rPr>
                <w:b/>
                <w:bCs/>
              </w:rPr>
              <w:t>Gross profit</w:t>
            </w:r>
          </w:p>
        </w:tc>
        <w:tc>
          <w:tcPr>
            <w:tcW w:w="1055" w:type="dxa"/>
            <w:tcBorders>
              <w:top w:val="single" w:sz="4" w:space="0" w:color="000000"/>
              <w:left w:val="single" w:sz="4" w:space="0" w:color="000000"/>
              <w:bottom w:val="single" w:sz="4" w:space="0" w:color="000000"/>
              <w:right w:val="single" w:sz="4" w:space="0" w:color="000000"/>
            </w:tcBorders>
            <w:shd w:val="clear" w:color="auto" w:fill="EAF1DD" w:themeFill="accent3" w:themeFillTint="33"/>
            <w:tcMar>
              <w:top w:w="100" w:type="dxa"/>
              <w:left w:w="100" w:type="dxa"/>
              <w:bottom w:w="100" w:type="dxa"/>
              <w:right w:w="100" w:type="dxa"/>
            </w:tcMar>
          </w:tcPr>
          <w:p w14:paraId="55A55050" w14:textId="77777777" w:rsidR="00C71CDB" w:rsidRDefault="00C71CDB" w:rsidP="00DA7C87">
            <w:r>
              <w:rPr>
                <w:b/>
                <w:bCs/>
              </w:rPr>
              <w:t>31,500</w:t>
            </w:r>
          </w:p>
        </w:tc>
        <w:tc>
          <w:tcPr>
            <w:tcW w:w="1175" w:type="dxa"/>
            <w:tcBorders>
              <w:top w:val="single" w:sz="4" w:space="0" w:color="000000"/>
              <w:left w:val="single" w:sz="4" w:space="0" w:color="000000"/>
              <w:bottom w:val="single" w:sz="4" w:space="0" w:color="000000"/>
              <w:right w:val="single" w:sz="4" w:space="0" w:color="000000"/>
            </w:tcBorders>
            <w:shd w:val="clear" w:color="auto" w:fill="EAF1DD" w:themeFill="accent3" w:themeFillTint="33"/>
            <w:tcMar>
              <w:top w:w="100" w:type="dxa"/>
              <w:left w:w="100" w:type="dxa"/>
              <w:bottom w:w="100" w:type="dxa"/>
              <w:right w:w="100" w:type="dxa"/>
            </w:tcMar>
          </w:tcPr>
          <w:p w14:paraId="4206F0DE" w14:textId="77777777" w:rsidR="00C71CDB" w:rsidRDefault="00C71CDB" w:rsidP="00DA7C87">
            <w:r>
              <w:rPr>
                <w:b/>
                <w:bCs/>
              </w:rPr>
              <w:t>93,440</w:t>
            </w:r>
          </w:p>
        </w:tc>
        <w:tc>
          <w:tcPr>
            <w:tcW w:w="1175" w:type="dxa"/>
            <w:tcBorders>
              <w:top w:val="single" w:sz="4" w:space="0" w:color="000000"/>
              <w:left w:val="single" w:sz="4" w:space="0" w:color="000000"/>
              <w:bottom w:val="single" w:sz="4" w:space="0" w:color="000000"/>
              <w:right w:val="single" w:sz="4" w:space="0" w:color="000000"/>
            </w:tcBorders>
            <w:shd w:val="clear" w:color="auto" w:fill="EAF1DD" w:themeFill="accent3" w:themeFillTint="33"/>
            <w:tcMar>
              <w:top w:w="100" w:type="dxa"/>
              <w:left w:w="100" w:type="dxa"/>
              <w:bottom w:w="100" w:type="dxa"/>
              <w:right w:w="100" w:type="dxa"/>
            </w:tcMar>
          </w:tcPr>
          <w:p w14:paraId="1F534C64" w14:textId="77777777" w:rsidR="00C71CDB" w:rsidRDefault="00C71CDB" w:rsidP="00DA7C87">
            <w:r>
              <w:rPr>
                <w:b/>
                <w:bCs/>
              </w:rPr>
              <w:t>200,640</w:t>
            </w:r>
          </w:p>
        </w:tc>
      </w:tr>
      <w:tr w:rsidR="00C71CDB" w14:paraId="57673E20" w14:textId="77777777" w:rsidTr="00322600">
        <w:trPr>
          <w:trHeight w:val="515"/>
          <w:jc w:val="center"/>
        </w:trPr>
        <w:tc>
          <w:tcPr>
            <w:tcW w:w="2540" w:type="dxa"/>
            <w:tcBorders>
              <w:top w:val="single" w:sz="4" w:space="0" w:color="000000"/>
              <w:left w:val="single" w:sz="4" w:space="0" w:color="000000"/>
              <w:bottom w:val="single" w:sz="4" w:space="0" w:color="000000"/>
              <w:right w:val="single" w:sz="4" w:space="0" w:color="000000"/>
            </w:tcBorders>
            <w:shd w:val="clear" w:color="auto" w:fill="EAF1DD" w:themeFill="accent3" w:themeFillTint="33"/>
            <w:tcMar>
              <w:top w:w="100" w:type="dxa"/>
              <w:left w:w="100" w:type="dxa"/>
              <w:bottom w:w="100" w:type="dxa"/>
              <w:right w:w="100" w:type="dxa"/>
            </w:tcMar>
          </w:tcPr>
          <w:p w14:paraId="5FBEE114" w14:textId="77777777" w:rsidR="00C71CDB" w:rsidRDefault="00C71CDB" w:rsidP="00DA7C87">
            <w:r>
              <w:lastRenderedPageBreak/>
              <w:t>Operating costs</w:t>
            </w:r>
          </w:p>
        </w:tc>
        <w:tc>
          <w:tcPr>
            <w:tcW w:w="1055" w:type="dxa"/>
            <w:tcBorders>
              <w:top w:val="single" w:sz="4" w:space="0" w:color="000000"/>
              <w:left w:val="single" w:sz="4" w:space="0" w:color="000000"/>
              <w:bottom w:val="single" w:sz="4" w:space="0" w:color="000000"/>
              <w:right w:val="single" w:sz="4" w:space="0" w:color="000000"/>
            </w:tcBorders>
            <w:shd w:val="clear" w:color="auto" w:fill="EAF1DD" w:themeFill="accent3" w:themeFillTint="33"/>
            <w:tcMar>
              <w:top w:w="100" w:type="dxa"/>
              <w:left w:w="100" w:type="dxa"/>
              <w:bottom w:w="100" w:type="dxa"/>
              <w:right w:w="100" w:type="dxa"/>
            </w:tcMar>
          </w:tcPr>
          <w:p w14:paraId="38CDA65D" w14:textId="77777777" w:rsidR="00C71CDB" w:rsidRDefault="00C71CDB" w:rsidP="00DA7C87">
            <w:r>
              <w:t>(58,000)</w:t>
            </w:r>
          </w:p>
        </w:tc>
        <w:tc>
          <w:tcPr>
            <w:tcW w:w="1175" w:type="dxa"/>
            <w:tcBorders>
              <w:top w:val="single" w:sz="4" w:space="0" w:color="000000"/>
              <w:left w:val="single" w:sz="4" w:space="0" w:color="000000"/>
              <w:bottom w:val="single" w:sz="4" w:space="0" w:color="000000"/>
              <w:right w:val="single" w:sz="4" w:space="0" w:color="000000"/>
            </w:tcBorders>
            <w:shd w:val="clear" w:color="auto" w:fill="EAF1DD" w:themeFill="accent3" w:themeFillTint="33"/>
            <w:tcMar>
              <w:top w:w="100" w:type="dxa"/>
              <w:left w:w="100" w:type="dxa"/>
              <w:bottom w:w="100" w:type="dxa"/>
              <w:right w:w="100" w:type="dxa"/>
            </w:tcMar>
          </w:tcPr>
          <w:p w14:paraId="44741F6B" w14:textId="77777777" w:rsidR="00C71CDB" w:rsidRDefault="00C71CDB" w:rsidP="00DA7C87">
            <w:r>
              <w:t>(72,000)</w:t>
            </w:r>
          </w:p>
        </w:tc>
        <w:tc>
          <w:tcPr>
            <w:tcW w:w="1175" w:type="dxa"/>
            <w:tcBorders>
              <w:top w:val="single" w:sz="4" w:space="0" w:color="000000"/>
              <w:left w:val="single" w:sz="4" w:space="0" w:color="000000"/>
              <w:bottom w:val="single" w:sz="4" w:space="0" w:color="000000"/>
              <w:right w:val="single" w:sz="4" w:space="0" w:color="000000"/>
            </w:tcBorders>
            <w:shd w:val="clear" w:color="auto" w:fill="EAF1DD" w:themeFill="accent3" w:themeFillTint="33"/>
            <w:tcMar>
              <w:top w:w="100" w:type="dxa"/>
              <w:left w:w="100" w:type="dxa"/>
              <w:bottom w:w="100" w:type="dxa"/>
              <w:right w:w="100" w:type="dxa"/>
            </w:tcMar>
          </w:tcPr>
          <w:p w14:paraId="35E61959" w14:textId="77777777" w:rsidR="00C71CDB" w:rsidRDefault="00C71CDB" w:rsidP="00DA7C87">
            <w:r>
              <w:t>(125,000)</w:t>
            </w:r>
          </w:p>
        </w:tc>
      </w:tr>
      <w:tr w:rsidR="00C71CDB" w14:paraId="391EBD89" w14:textId="77777777" w:rsidTr="00322600">
        <w:trPr>
          <w:trHeight w:val="515"/>
          <w:jc w:val="center"/>
        </w:trPr>
        <w:tc>
          <w:tcPr>
            <w:tcW w:w="2540" w:type="dxa"/>
            <w:tcBorders>
              <w:top w:val="single" w:sz="4" w:space="0" w:color="000000"/>
              <w:left w:val="single" w:sz="4" w:space="0" w:color="000000"/>
              <w:bottom w:val="single" w:sz="4" w:space="0" w:color="000000"/>
              <w:right w:val="single" w:sz="4" w:space="0" w:color="000000"/>
            </w:tcBorders>
            <w:shd w:val="clear" w:color="auto" w:fill="EAF1DD" w:themeFill="accent3" w:themeFillTint="33"/>
            <w:tcMar>
              <w:top w:w="100" w:type="dxa"/>
              <w:left w:w="100" w:type="dxa"/>
              <w:bottom w:w="100" w:type="dxa"/>
              <w:right w:w="100" w:type="dxa"/>
            </w:tcMar>
          </w:tcPr>
          <w:p w14:paraId="2EC746D0" w14:textId="77777777" w:rsidR="00C71CDB" w:rsidRDefault="00C71CDB" w:rsidP="00DA7C87">
            <w:r>
              <w:rPr>
                <w:b/>
                <w:bCs/>
              </w:rPr>
              <w:t>Operating profit/(loss)</w:t>
            </w:r>
          </w:p>
        </w:tc>
        <w:tc>
          <w:tcPr>
            <w:tcW w:w="1055" w:type="dxa"/>
            <w:tcBorders>
              <w:top w:val="single" w:sz="4" w:space="0" w:color="000000"/>
              <w:left w:val="single" w:sz="4" w:space="0" w:color="000000"/>
              <w:bottom w:val="single" w:sz="4" w:space="0" w:color="000000"/>
              <w:right w:val="single" w:sz="4" w:space="0" w:color="000000"/>
            </w:tcBorders>
            <w:shd w:val="clear" w:color="auto" w:fill="EAF1DD" w:themeFill="accent3" w:themeFillTint="33"/>
            <w:tcMar>
              <w:top w:w="100" w:type="dxa"/>
              <w:left w:w="100" w:type="dxa"/>
              <w:bottom w:w="100" w:type="dxa"/>
              <w:right w:w="100" w:type="dxa"/>
            </w:tcMar>
          </w:tcPr>
          <w:p w14:paraId="2DF476B3" w14:textId="77777777" w:rsidR="00C71CDB" w:rsidRDefault="00C71CDB" w:rsidP="00DA7C87">
            <w:r>
              <w:rPr>
                <w:b/>
                <w:bCs/>
              </w:rPr>
              <w:t>(26,500)</w:t>
            </w:r>
          </w:p>
        </w:tc>
        <w:tc>
          <w:tcPr>
            <w:tcW w:w="1175" w:type="dxa"/>
            <w:tcBorders>
              <w:top w:val="single" w:sz="4" w:space="0" w:color="000000"/>
              <w:left w:val="single" w:sz="4" w:space="0" w:color="000000"/>
              <w:bottom w:val="single" w:sz="4" w:space="0" w:color="000000"/>
              <w:right w:val="single" w:sz="4" w:space="0" w:color="000000"/>
            </w:tcBorders>
            <w:shd w:val="clear" w:color="auto" w:fill="EAF1DD" w:themeFill="accent3" w:themeFillTint="33"/>
            <w:tcMar>
              <w:top w:w="100" w:type="dxa"/>
              <w:left w:w="100" w:type="dxa"/>
              <w:bottom w:w="100" w:type="dxa"/>
              <w:right w:w="100" w:type="dxa"/>
            </w:tcMar>
          </w:tcPr>
          <w:p w14:paraId="167A8267" w14:textId="77777777" w:rsidR="00C71CDB" w:rsidRDefault="00C71CDB" w:rsidP="00DA7C87">
            <w:r>
              <w:rPr>
                <w:b/>
                <w:bCs/>
              </w:rPr>
              <w:t>21,440</w:t>
            </w:r>
          </w:p>
        </w:tc>
        <w:tc>
          <w:tcPr>
            <w:tcW w:w="1175" w:type="dxa"/>
            <w:tcBorders>
              <w:top w:val="single" w:sz="4" w:space="0" w:color="000000"/>
              <w:left w:val="single" w:sz="4" w:space="0" w:color="000000"/>
              <w:bottom w:val="single" w:sz="4" w:space="0" w:color="000000"/>
              <w:right w:val="single" w:sz="4" w:space="0" w:color="000000"/>
            </w:tcBorders>
            <w:shd w:val="clear" w:color="auto" w:fill="EAF1DD" w:themeFill="accent3" w:themeFillTint="33"/>
            <w:tcMar>
              <w:top w:w="100" w:type="dxa"/>
              <w:left w:w="100" w:type="dxa"/>
              <w:bottom w:w="100" w:type="dxa"/>
              <w:right w:w="100" w:type="dxa"/>
            </w:tcMar>
          </w:tcPr>
          <w:p w14:paraId="74E966EE" w14:textId="3D95C6C3" w:rsidR="00C71CDB" w:rsidRDefault="00C71CDB" w:rsidP="00DA7C87">
            <w:r>
              <w:rPr>
                <w:b/>
                <w:bCs/>
              </w:rPr>
              <w:t>75,640</w:t>
            </w:r>
            <w:r w:rsidR="00322600">
              <w:rPr>
                <w:b/>
                <w:bCs/>
              </w:rPr>
              <w:t>”</w:t>
            </w:r>
          </w:p>
        </w:tc>
      </w:tr>
    </w:tbl>
    <w:p w14:paraId="52BAFDFE" w14:textId="0042F6C1" w:rsidR="00EF66B6" w:rsidRPr="00FB7622" w:rsidRDefault="00EF66B6" w:rsidP="00EF66B6">
      <w:pPr>
        <w:pStyle w:val="Heading6"/>
      </w:pPr>
      <w:bookmarkStart w:id="169" w:name="_Toc241008867"/>
      <w:r w:rsidRPr="00FB7622">
        <w:t>Table 1</w:t>
      </w:r>
      <w:r>
        <w:t>1</w:t>
      </w:r>
      <w:r w:rsidRPr="00FB7622">
        <w:t>: “</w:t>
      </w:r>
      <w:r>
        <w:t>Profits</w:t>
      </w:r>
      <w:r w:rsidRPr="00FB7622">
        <w:t>”</w:t>
      </w:r>
      <w:bookmarkEnd w:id="169"/>
    </w:p>
    <w:p w14:paraId="52D1B935" w14:textId="53EDC2C7" w:rsidR="00EF66B6" w:rsidRDefault="00EF66B6" w:rsidP="00EF66B6">
      <w:pPr>
        <w:jc w:val="center"/>
      </w:pPr>
      <w:r>
        <w:t>(Source: Created by Author)</w:t>
      </w:r>
    </w:p>
    <w:p w14:paraId="6B59FB05" w14:textId="40212693" w:rsidR="00C71CDB" w:rsidRDefault="00C71CDB" w:rsidP="00C71CDB">
      <w:r>
        <w:t>Loss in the first year is due to customer acquisition and platform development, and establishment of supplier relationships. Year 2 is expected to be profitable under the volume assumptions.</w:t>
      </w:r>
    </w:p>
    <w:p w14:paraId="75FFEF3E" w14:textId="77777777" w:rsidR="00C71CDB" w:rsidRDefault="00C71CDB" w:rsidP="00C71CDB">
      <w:pPr>
        <w:pStyle w:val="Heading3"/>
        <w:keepNext w:val="0"/>
        <w:keepLines w:val="0"/>
        <w:spacing w:before="280"/>
        <w:rPr>
          <w:b/>
          <w:bCs/>
          <w:color w:val="000000"/>
          <w:sz w:val="24"/>
          <w:szCs w:val="24"/>
        </w:rPr>
      </w:pPr>
      <w:bookmarkStart w:id="170" w:name="_r0tpmbup4spu" w:colFirst="0" w:colLast="0"/>
      <w:bookmarkStart w:id="171" w:name="_Toc241008274"/>
      <w:bookmarkEnd w:id="170"/>
      <w:r>
        <w:rPr>
          <w:b/>
          <w:bCs/>
          <w:color w:val="000000"/>
          <w:sz w:val="24"/>
          <w:szCs w:val="24"/>
        </w:rPr>
        <w:t>9.2.4 Break-even and sensitivity</w:t>
      </w:r>
      <w:bookmarkEnd w:id="171"/>
    </w:p>
    <w:p w14:paraId="768A043F" w14:textId="77777777" w:rsidR="00C71CDB" w:rsidRDefault="00C71CDB" w:rsidP="00C71CDB">
      <w:r>
        <w:t>With an AOV of €350 and contribution margin of 30%, contribution per order = €105. The average annual fixed operating costs are about €58 000:</w:t>
      </w:r>
    </w:p>
    <w:p w14:paraId="27D1E64A" w14:textId="77777777" w:rsidR="00C71CDB" w:rsidRDefault="00C71CDB" w:rsidP="00C71CDB">
      <w:r>
        <w:t>Break-even orders = €58,000 ÷ €105 = 553 orders per year.</w:t>
      </w:r>
    </w:p>
    <w:p w14:paraId="3A7C7309" w14:textId="77777777" w:rsidR="00C71CDB" w:rsidRDefault="00C71CDB" w:rsidP="00C71CDB">
      <w:r>
        <w:t>This translates to almost 46 orders per month, or an annual revenue of €193,550 at the Year-1 AOV.</w:t>
      </w:r>
    </w:p>
    <w:tbl>
      <w:tblPr>
        <w:tblW w:w="7860" w:type="dxa"/>
        <w:jc w:val="center"/>
        <w:tblBorders>
          <w:top w:val="nil"/>
          <w:left w:val="nil"/>
          <w:bottom w:val="nil"/>
          <w:right w:val="nil"/>
          <w:insideH w:val="nil"/>
          <w:insideV w:val="nil"/>
        </w:tblBorders>
        <w:shd w:val="clear" w:color="auto" w:fill="E5DFEC" w:themeFill="accent4" w:themeFillTint="33"/>
        <w:tblLayout w:type="fixed"/>
        <w:tblLook w:val="0600" w:firstRow="0" w:lastRow="0" w:firstColumn="0" w:lastColumn="0" w:noHBand="1" w:noVBand="1"/>
      </w:tblPr>
      <w:tblGrid>
        <w:gridCol w:w="1200"/>
        <w:gridCol w:w="960"/>
        <w:gridCol w:w="1230"/>
        <w:gridCol w:w="1155"/>
        <w:gridCol w:w="3315"/>
      </w:tblGrid>
      <w:tr w:rsidR="00C71CDB" w14:paraId="4A69A05E" w14:textId="77777777" w:rsidTr="00322600">
        <w:trPr>
          <w:trHeight w:val="515"/>
          <w:jc w:val="center"/>
        </w:trPr>
        <w:tc>
          <w:tcPr>
            <w:tcW w:w="1200" w:type="dxa"/>
            <w:tcBorders>
              <w:top w:val="single" w:sz="4" w:space="0" w:color="000000"/>
              <w:left w:val="single" w:sz="4" w:space="0" w:color="000000"/>
              <w:bottom w:val="single" w:sz="4" w:space="0" w:color="000000"/>
              <w:right w:val="single" w:sz="4" w:space="0" w:color="000000"/>
            </w:tcBorders>
            <w:shd w:val="clear" w:color="auto" w:fill="E5DFEC" w:themeFill="accent4" w:themeFillTint="33"/>
            <w:tcMar>
              <w:top w:w="100" w:type="dxa"/>
              <w:left w:w="100" w:type="dxa"/>
              <w:bottom w:w="100" w:type="dxa"/>
              <w:right w:w="100" w:type="dxa"/>
            </w:tcMar>
          </w:tcPr>
          <w:p w14:paraId="5355E50E" w14:textId="572E8A85" w:rsidR="00C71CDB" w:rsidRDefault="00322600" w:rsidP="00DA7C87">
            <w:r>
              <w:rPr>
                <w:b/>
                <w:bCs/>
              </w:rPr>
              <w:t>“</w:t>
            </w:r>
            <w:r w:rsidR="00C71CDB">
              <w:rPr>
                <w:b/>
                <w:bCs/>
              </w:rPr>
              <w:t>Scenario</w:t>
            </w:r>
          </w:p>
        </w:tc>
        <w:tc>
          <w:tcPr>
            <w:tcW w:w="960" w:type="dxa"/>
            <w:tcBorders>
              <w:top w:val="single" w:sz="4" w:space="0" w:color="000000"/>
              <w:left w:val="single" w:sz="4" w:space="0" w:color="000000"/>
              <w:bottom w:val="single" w:sz="4" w:space="0" w:color="000000"/>
              <w:right w:val="single" w:sz="4" w:space="0" w:color="000000"/>
            </w:tcBorders>
            <w:shd w:val="clear" w:color="auto" w:fill="E5DFEC" w:themeFill="accent4" w:themeFillTint="33"/>
            <w:tcMar>
              <w:top w:w="100" w:type="dxa"/>
              <w:left w:w="100" w:type="dxa"/>
              <w:bottom w:w="100" w:type="dxa"/>
              <w:right w:w="100" w:type="dxa"/>
            </w:tcMar>
          </w:tcPr>
          <w:p w14:paraId="21411A30" w14:textId="77777777" w:rsidR="00C71CDB" w:rsidRDefault="00C71CDB" w:rsidP="00DA7C87">
            <w:r>
              <w:rPr>
                <w:b/>
                <w:bCs/>
              </w:rPr>
              <w:t>Orders</w:t>
            </w:r>
          </w:p>
        </w:tc>
        <w:tc>
          <w:tcPr>
            <w:tcW w:w="1230" w:type="dxa"/>
            <w:tcBorders>
              <w:top w:val="single" w:sz="4" w:space="0" w:color="000000"/>
              <w:left w:val="single" w:sz="4" w:space="0" w:color="000000"/>
              <w:bottom w:val="single" w:sz="4" w:space="0" w:color="000000"/>
              <w:right w:val="single" w:sz="4" w:space="0" w:color="000000"/>
            </w:tcBorders>
            <w:shd w:val="clear" w:color="auto" w:fill="E5DFEC" w:themeFill="accent4" w:themeFillTint="33"/>
            <w:tcMar>
              <w:top w:w="100" w:type="dxa"/>
              <w:left w:w="100" w:type="dxa"/>
              <w:bottom w:w="100" w:type="dxa"/>
              <w:right w:w="100" w:type="dxa"/>
            </w:tcMar>
          </w:tcPr>
          <w:p w14:paraId="59965D95" w14:textId="77777777" w:rsidR="00C71CDB" w:rsidRDefault="00C71CDB" w:rsidP="00DA7C87">
            <w:r>
              <w:rPr>
                <w:b/>
                <w:bCs/>
              </w:rPr>
              <w:t>AOV</w:t>
            </w:r>
          </w:p>
        </w:tc>
        <w:tc>
          <w:tcPr>
            <w:tcW w:w="1155" w:type="dxa"/>
            <w:tcBorders>
              <w:top w:val="single" w:sz="4" w:space="0" w:color="000000"/>
              <w:left w:val="single" w:sz="4" w:space="0" w:color="000000"/>
              <w:bottom w:val="single" w:sz="4" w:space="0" w:color="000000"/>
              <w:right w:val="single" w:sz="4" w:space="0" w:color="000000"/>
            </w:tcBorders>
            <w:shd w:val="clear" w:color="auto" w:fill="E5DFEC" w:themeFill="accent4" w:themeFillTint="33"/>
            <w:tcMar>
              <w:top w:w="100" w:type="dxa"/>
              <w:left w:w="100" w:type="dxa"/>
              <w:bottom w:w="100" w:type="dxa"/>
              <w:right w:w="100" w:type="dxa"/>
            </w:tcMar>
          </w:tcPr>
          <w:p w14:paraId="7890F52B" w14:textId="77777777" w:rsidR="00C71CDB" w:rsidRDefault="00C71CDB" w:rsidP="00DA7C87">
            <w:r>
              <w:rPr>
                <w:b/>
                <w:bCs/>
              </w:rPr>
              <w:t>Gross margin</w:t>
            </w:r>
          </w:p>
        </w:tc>
        <w:tc>
          <w:tcPr>
            <w:tcW w:w="3315" w:type="dxa"/>
            <w:tcBorders>
              <w:top w:val="single" w:sz="4" w:space="0" w:color="000000"/>
              <w:left w:val="single" w:sz="4" w:space="0" w:color="000000"/>
              <w:bottom w:val="single" w:sz="4" w:space="0" w:color="000000"/>
              <w:right w:val="single" w:sz="4" w:space="0" w:color="000000"/>
            </w:tcBorders>
            <w:shd w:val="clear" w:color="auto" w:fill="E5DFEC" w:themeFill="accent4" w:themeFillTint="33"/>
            <w:tcMar>
              <w:top w:w="100" w:type="dxa"/>
              <w:left w:w="100" w:type="dxa"/>
              <w:bottom w:w="100" w:type="dxa"/>
              <w:right w:w="100" w:type="dxa"/>
            </w:tcMar>
          </w:tcPr>
          <w:p w14:paraId="6C1A5CDE" w14:textId="77777777" w:rsidR="00C71CDB" w:rsidRDefault="00C71CDB" w:rsidP="00DA7C87">
            <w:r>
              <w:rPr>
                <w:b/>
                <w:bCs/>
              </w:rPr>
              <w:t>Interpretation</w:t>
            </w:r>
          </w:p>
        </w:tc>
      </w:tr>
      <w:tr w:rsidR="00C71CDB" w14:paraId="6BA98E75" w14:textId="77777777" w:rsidTr="00322600">
        <w:trPr>
          <w:trHeight w:val="515"/>
          <w:jc w:val="center"/>
        </w:trPr>
        <w:tc>
          <w:tcPr>
            <w:tcW w:w="1200" w:type="dxa"/>
            <w:tcBorders>
              <w:top w:val="single" w:sz="4" w:space="0" w:color="000000"/>
              <w:left w:val="single" w:sz="4" w:space="0" w:color="000000"/>
              <w:bottom w:val="single" w:sz="4" w:space="0" w:color="000000"/>
              <w:right w:val="single" w:sz="4" w:space="0" w:color="000000"/>
            </w:tcBorders>
            <w:shd w:val="clear" w:color="auto" w:fill="E5DFEC" w:themeFill="accent4" w:themeFillTint="33"/>
            <w:tcMar>
              <w:top w:w="100" w:type="dxa"/>
              <w:left w:w="100" w:type="dxa"/>
              <w:bottom w:w="100" w:type="dxa"/>
              <w:right w:w="100" w:type="dxa"/>
            </w:tcMar>
          </w:tcPr>
          <w:p w14:paraId="513A0965" w14:textId="77777777" w:rsidR="00C71CDB" w:rsidRDefault="00C71CDB" w:rsidP="00DA7C87">
            <w:r>
              <w:t>Downside</w:t>
            </w:r>
          </w:p>
        </w:tc>
        <w:tc>
          <w:tcPr>
            <w:tcW w:w="960" w:type="dxa"/>
            <w:tcBorders>
              <w:top w:val="single" w:sz="4" w:space="0" w:color="000000"/>
              <w:left w:val="single" w:sz="4" w:space="0" w:color="000000"/>
              <w:bottom w:val="single" w:sz="4" w:space="0" w:color="000000"/>
              <w:right w:val="single" w:sz="4" w:space="0" w:color="000000"/>
            </w:tcBorders>
            <w:shd w:val="clear" w:color="auto" w:fill="E5DFEC" w:themeFill="accent4" w:themeFillTint="33"/>
            <w:tcMar>
              <w:top w:w="100" w:type="dxa"/>
              <w:left w:w="100" w:type="dxa"/>
              <w:bottom w:w="100" w:type="dxa"/>
              <w:right w:w="100" w:type="dxa"/>
            </w:tcMar>
          </w:tcPr>
          <w:p w14:paraId="3A8739F7" w14:textId="77777777" w:rsidR="00C71CDB" w:rsidRDefault="00C71CDB" w:rsidP="00DA7C87">
            <w:r>
              <w:t>220</w:t>
            </w:r>
          </w:p>
        </w:tc>
        <w:tc>
          <w:tcPr>
            <w:tcW w:w="1230" w:type="dxa"/>
            <w:tcBorders>
              <w:top w:val="single" w:sz="4" w:space="0" w:color="000000"/>
              <w:left w:val="single" w:sz="4" w:space="0" w:color="000000"/>
              <w:bottom w:val="single" w:sz="4" w:space="0" w:color="000000"/>
              <w:right w:val="single" w:sz="4" w:space="0" w:color="000000"/>
            </w:tcBorders>
            <w:shd w:val="clear" w:color="auto" w:fill="E5DFEC" w:themeFill="accent4" w:themeFillTint="33"/>
            <w:tcMar>
              <w:top w:w="100" w:type="dxa"/>
              <w:left w:w="100" w:type="dxa"/>
              <w:bottom w:w="100" w:type="dxa"/>
              <w:right w:w="100" w:type="dxa"/>
            </w:tcMar>
          </w:tcPr>
          <w:p w14:paraId="70C77D23" w14:textId="77777777" w:rsidR="00C71CDB" w:rsidRDefault="00C71CDB" w:rsidP="00DA7C87">
            <w:r>
              <w:t>€330</w:t>
            </w:r>
          </w:p>
        </w:tc>
        <w:tc>
          <w:tcPr>
            <w:tcW w:w="1155" w:type="dxa"/>
            <w:tcBorders>
              <w:top w:val="single" w:sz="4" w:space="0" w:color="000000"/>
              <w:left w:val="single" w:sz="4" w:space="0" w:color="000000"/>
              <w:bottom w:val="single" w:sz="4" w:space="0" w:color="000000"/>
              <w:right w:val="single" w:sz="4" w:space="0" w:color="000000"/>
            </w:tcBorders>
            <w:shd w:val="clear" w:color="auto" w:fill="E5DFEC" w:themeFill="accent4" w:themeFillTint="33"/>
            <w:tcMar>
              <w:top w:w="100" w:type="dxa"/>
              <w:left w:w="100" w:type="dxa"/>
              <w:bottom w:w="100" w:type="dxa"/>
              <w:right w:w="100" w:type="dxa"/>
            </w:tcMar>
          </w:tcPr>
          <w:p w14:paraId="3018A1B3" w14:textId="77777777" w:rsidR="00C71CDB" w:rsidRDefault="00C71CDB" w:rsidP="00DA7C87">
            <w:r>
              <w:t>27%</w:t>
            </w:r>
          </w:p>
        </w:tc>
        <w:tc>
          <w:tcPr>
            <w:tcW w:w="3315" w:type="dxa"/>
            <w:tcBorders>
              <w:top w:val="single" w:sz="4" w:space="0" w:color="000000"/>
              <w:left w:val="single" w:sz="4" w:space="0" w:color="000000"/>
              <w:bottom w:val="single" w:sz="4" w:space="0" w:color="000000"/>
              <w:right w:val="single" w:sz="4" w:space="0" w:color="000000"/>
            </w:tcBorders>
            <w:shd w:val="clear" w:color="auto" w:fill="E5DFEC" w:themeFill="accent4" w:themeFillTint="33"/>
            <w:tcMar>
              <w:top w:w="100" w:type="dxa"/>
              <w:left w:w="100" w:type="dxa"/>
              <w:bottom w:w="100" w:type="dxa"/>
              <w:right w:w="100" w:type="dxa"/>
            </w:tcMar>
          </w:tcPr>
          <w:p w14:paraId="3C001EC7" w14:textId="77777777" w:rsidR="00C71CDB" w:rsidRDefault="00C71CDB" w:rsidP="00DA7C87">
            <w:r>
              <w:t>Significant cash pressure</w:t>
            </w:r>
          </w:p>
        </w:tc>
      </w:tr>
      <w:tr w:rsidR="00C71CDB" w14:paraId="716FFD83" w14:textId="77777777" w:rsidTr="00322600">
        <w:trPr>
          <w:trHeight w:val="515"/>
          <w:jc w:val="center"/>
        </w:trPr>
        <w:tc>
          <w:tcPr>
            <w:tcW w:w="1200" w:type="dxa"/>
            <w:tcBorders>
              <w:top w:val="single" w:sz="4" w:space="0" w:color="000000"/>
              <w:left w:val="single" w:sz="4" w:space="0" w:color="000000"/>
              <w:bottom w:val="single" w:sz="4" w:space="0" w:color="000000"/>
              <w:right w:val="single" w:sz="4" w:space="0" w:color="000000"/>
            </w:tcBorders>
            <w:shd w:val="clear" w:color="auto" w:fill="E5DFEC" w:themeFill="accent4" w:themeFillTint="33"/>
            <w:tcMar>
              <w:top w:w="100" w:type="dxa"/>
              <w:left w:w="100" w:type="dxa"/>
              <w:bottom w:w="100" w:type="dxa"/>
              <w:right w:w="100" w:type="dxa"/>
            </w:tcMar>
          </w:tcPr>
          <w:p w14:paraId="62CB1A5C" w14:textId="77777777" w:rsidR="00C71CDB" w:rsidRDefault="00C71CDB" w:rsidP="00DA7C87">
            <w:r>
              <w:rPr>
                <w:b/>
                <w:bCs/>
              </w:rPr>
              <w:t>Base</w:t>
            </w:r>
          </w:p>
        </w:tc>
        <w:tc>
          <w:tcPr>
            <w:tcW w:w="960" w:type="dxa"/>
            <w:tcBorders>
              <w:top w:val="single" w:sz="4" w:space="0" w:color="000000"/>
              <w:left w:val="single" w:sz="4" w:space="0" w:color="000000"/>
              <w:bottom w:val="single" w:sz="4" w:space="0" w:color="000000"/>
              <w:right w:val="single" w:sz="4" w:space="0" w:color="000000"/>
            </w:tcBorders>
            <w:shd w:val="clear" w:color="auto" w:fill="E5DFEC" w:themeFill="accent4" w:themeFillTint="33"/>
            <w:tcMar>
              <w:top w:w="100" w:type="dxa"/>
              <w:left w:w="100" w:type="dxa"/>
              <w:bottom w:w="100" w:type="dxa"/>
              <w:right w:w="100" w:type="dxa"/>
            </w:tcMar>
          </w:tcPr>
          <w:p w14:paraId="24BF1F01" w14:textId="77777777" w:rsidR="00C71CDB" w:rsidRDefault="00C71CDB" w:rsidP="00DA7C87">
            <w:r>
              <w:rPr>
                <w:b/>
                <w:bCs/>
              </w:rPr>
              <w:t>300</w:t>
            </w:r>
          </w:p>
        </w:tc>
        <w:tc>
          <w:tcPr>
            <w:tcW w:w="1230" w:type="dxa"/>
            <w:tcBorders>
              <w:top w:val="single" w:sz="4" w:space="0" w:color="000000"/>
              <w:left w:val="single" w:sz="4" w:space="0" w:color="000000"/>
              <w:bottom w:val="single" w:sz="4" w:space="0" w:color="000000"/>
              <w:right w:val="single" w:sz="4" w:space="0" w:color="000000"/>
            </w:tcBorders>
            <w:shd w:val="clear" w:color="auto" w:fill="E5DFEC" w:themeFill="accent4" w:themeFillTint="33"/>
            <w:tcMar>
              <w:top w:w="100" w:type="dxa"/>
              <w:left w:w="100" w:type="dxa"/>
              <w:bottom w:w="100" w:type="dxa"/>
              <w:right w:w="100" w:type="dxa"/>
            </w:tcMar>
          </w:tcPr>
          <w:p w14:paraId="53152C33" w14:textId="77777777" w:rsidR="00C71CDB" w:rsidRDefault="00C71CDB" w:rsidP="00DA7C87">
            <w:r>
              <w:rPr>
                <w:b/>
                <w:bCs/>
              </w:rPr>
              <w:t>€350</w:t>
            </w:r>
          </w:p>
        </w:tc>
        <w:tc>
          <w:tcPr>
            <w:tcW w:w="1155" w:type="dxa"/>
            <w:tcBorders>
              <w:top w:val="single" w:sz="4" w:space="0" w:color="000000"/>
              <w:left w:val="single" w:sz="4" w:space="0" w:color="000000"/>
              <w:bottom w:val="single" w:sz="4" w:space="0" w:color="000000"/>
              <w:right w:val="single" w:sz="4" w:space="0" w:color="000000"/>
            </w:tcBorders>
            <w:shd w:val="clear" w:color="auto" w:fill="E5DFEC" w:themeFill="accent4" w:themeFillTint="33"/>
            <w:tcMar>
              <w:top w:w="100" w:type="dxa"/>
              <w:left w:w="100" w:type="dxa"/>
              <w:bottom w:w="100" w:type="dxa"/>
              <w:right w:w="100" w:type="dxa"/>
            </w:tcMar>
          </w:tcPr>
          <w:p w14:paraId="6E4D7B43" w14:textId="77777777" w:rsidR="00C71CDB" w:rsidRDefault="00C71CDB" w:rsidP="00DA7C87">
            <w:r>
              <w:rPr>
                <w:b/>
                <w:bCs/>
              </w:rPr>
              <w:t>30%</w:t>
            </w:r>
          </w:p>
        </w:tc>
        <w:tc>
          <w:tcPr>
            <w:tcW w:w="3315" w:type="dxa"/>
            <w:tcBorders>
              <w:top w:val="single" w:sz="4" w:space="0" w:color="000000"/>
              <w:left w:val="single" w:sz="4" w:space="0" w:color="000000"/>
              <w:bottom w:val="single" w:sz="4" w:space="0" w:color="000000"/>
              <w:right w:val="single" w:sz="4" w:space="0" w:color="000000"/>
            </w:tcBorders>
            <w:shd w:val="clear" w:color="auto" w:fill="E5DFEC" w:themeFill="accent4" w:themeFillTint="33"/>
            <w:tcMar>
              <w:top w:w="100" w:type="dxa"/>
              <w:left w:w="100" w:type="dxa"/>
              <w:bottom w:w="100" w:type="dxa"/>
              <w:right w:w="100" w:type="dxa"/>
            </w:tcMar>
          </w:tcPr>
          <w:p w14:paraId="2D7EB845" w14:textId="77777777" w:rsidR="00C71CDB" w:rsidRDefault="00C71CDB" w:rsidP="00DA7C87">
            <w:r>
              <w:t>Planned Year-1 loss</w:t>
            </w:r>
          </w:p>
        </w:tc>
      </w:tr>
      <w:tr w:rsidR="00C71CDB" w14:paraId="43C44E5D" w14:textId="77777777" w:rsidTr="00322600">
        <w:trPr>
          <w:trHeight w:val="515"/>
          <w:jc w:val="center"/>
        </w:trPr>
        <w:tc>
          <w:tcPr>
            <w:tcW w:w="1200" w:type="dxa"/>
            <w:tcBorders>
              <w:top w:val="single" w:sz="4" w:space="0" w:color="000000"/>
              <w:left w:val="single" w:sz="4" w:space="0" w:color="000000"/>
              <w:bottom w:val="single" w:sz="4" w:space="0" w:color="000000"/>
              <w:right w:val="single" w:sz="4" w:space="0" w:color="000000"/>
            </w:tcBorders>
            <w:shd w:val="clear" w:color="auto" w:fill="E5DFEC" w:themeFill="accent4" w:themeFillTint="33"/>
            <w:tcMar>
              <w:top w:w="100" w:type="dxa"/>
              <w:left w:w="100" w:type="dxa"/>
              <w:bottom w:w="100" w:type="dxa"/>
              <w:right w:w="100" w:type="dxa"/>
            </w:tcMar>
          </w:tcPr>
          <w:p w14:paraId="705D919C" w14:textId="77777777" w:rsidR="00C71CDB" w:rsidRDefault="00C71CDB" w:rsidP="00DA7C87">
            <w:r>
              <w:lastRenderedPageBreak/>
              <w:t>Upside</w:t>
            </w:r>
          </w:p>
        </w:tc>
        <w:tc>
          <w:tcPr>
            <w:tcW w:w="960" w:type="dxa"/>
            <w:tcBorders>
              <w:top w:val="single" w:sz="4" w:space="0" w:color="000000"/>
              <w:left w:val="single" w:sz="4" w:space="0" w:color="000000"/>
              <w:bottom w:val="single" w:sz="4" w:space="0" w:color="000000"/>
              <w:right w:val="single" w:sz="4" w:space="0" w:color="000000"/>
            </w:tcBorders>
            <w:shd w:val="clear" w:color="auto" w:fill="E5DFEC" w:themeFill="accent4" w:themeFillTint="33"/>
            <w:tcMar>
              <w:top w:w="100" w:type="dxa"/>
              <w:left w:w="100" w:type="dxa"/>
              <w:bottom w:w="100" w:type="dxa"/>
              <w:right w:w="100" w:type="dxa"/>
            </w:tcMar>
          </w:tcPr>
          <w:p w14:paraId="50A7F3CC" w14:textId="77777777" w:rsidR="00C71CDB" w:rsidRDefault="00C71CDB" w:rsidP="00DA7C87">
            <w:r>
              <w:t>380</w:t>
            </w:r>
          </w:p>
        </w:tc>
        <w:tc>
          <w:tcPr>
            <w:tcW w:w="1230" w:type="dxa"/>
            <w:tcBorders>
              <w:top w:val="single" w:sz="4" w:space="0" w:color="000000"/>
              <w:left w:val="single" w:sz="4" w:space="0" w:color="000000"/>
              <w:bottom w:val="single" w:sz="4" w:space="0" w:color="000000"/>
              <w:right w:val="single" w:sz="4" w:space="0" w:color="000000"/>
            </w:tcBorders>
            <w:shd w:val="clear" w:color="auto" w:fill="E5DFEC" w:themeFill="accent4" w:themeFillTint="33"/>
            <w:tcMar>
              <w:top w:w="100" w:type="dxa"/>
              <w:left w:w="100" w:type="dxa"/>
              <w:bottom w:w="100" w:type="dxa"/>
              <w:right w:w="100" w:type="dxa"/>
            </w:tcMar>
          </w:tcPr>
          <w:p w14:paraId="5640C920" w14:textId="77777777" w:rsidR="00C71CDB" w:rsidRDefault="00C71CDB" w:rsidP="00DA7C87">
            <w:r>
              <w:t>€360</w:t>
            </w:r>
          </w:p>
        </w:tc>
        <w:tc>
          <w:tcPr>
            <w:tcW w:w="1155" w:type="dxa"/>
            <w:tcBorders>
              <w:top w:val="single" w:sz="4" w:space="0" w:color="000000"/>
              <w:left w:val="single" w:sz="4" w:space="0" w:color="000000"/>
              <w:bottom w:val="single" w:sz="4" w:space="0" w:color="000000"/>
              <w:right w:val="single" w:sz="4" w:space="0" w:color="000000"/>
            </w:tcBorders>
            <w:shd w:val="clear" w:color="auto" w:fill="E5DFEC" w:themeFill="accent4" w:themeFillTint="33"/>
            <w:tcMar>
              <w:top w:w="100" w:type="dxa"/>
              <w:left w:w="100" w:type="dxa"/>
              <w:bottom w:w="100" w:type="dxa"/>
              <w:right w:w="100" w:type="dxa"/>
            </w:tcMar>
          </w:tcPr>
          <w:p w14:paraId="0E70BFAC" w14:textId="77777777" w:rsidR="00C71CDB" w:rsidRDefault="00C71CDB" w:rsidP="00DA7C87">
            <w:r>
              <w:t>32%</w:t>
            </w:r>
          </w:p>
        </w:tc>
        <w:tc>
          <w:tcPr>
            <w:tcW w:w="3315" w:type="dxa"/>
            <w:tcBorders>
              <w:top w:val="single" w:sz="4" w:space="0" w:color="000000"/>
              <w:left w:val="single" w:sz="4" w:space="0" w:color="000000"/>
              <w:bottom w:val="single" w:sz="4" w:space="0" w:color="000000"/>
              <w:right w:val="single" w:sz="4" w:space="0" w:color="000000"/>
            </w:tcBorders>
            <w:shd w:val="clear" w:color="auto" w:fill="E5DFEC" w:themeFill="accent4" w:themeFillTint="33"/>
            <w:tcMar>
              <w:top w:w="100" w:type="dxa"/>
              <w:left w:w="100" w:type="dxa"/>
              <w:bottom w:w="100" w:type="dxa"/>
              <w:right w:w="100" w:type="dxa"/>
            </w:tcMar>
          </w:tcPr>
          <w:p w14:paraId="1675E44E" w14:textId="3DFB090C" w:rsidR="00C71CDB" w:rsidRDefault="00C71CDB" w:rsidP="00DA7C87">
            <w:r>
              <w:t>Faster route towards break-even</w:t>
            </w:r>
            <w:r w:rsidR="00322600">
              <w:t>”</w:t>
            </w:r>
          </w:p>
        </w:tc>
      </w:tr>
    </w:tbl>
    <w:p w14:paraId="5EDDCEE6" w14:textId="09EF7282" w:rsidR="00EF66B6" w:rsidRPr="00FB7622" w:rsidRDefault="00EF66B6" w:rsidP="00EF66B6">
      <w:pPr>
        <w:pStyle w:val="Heading6"/>
      </w:pPr>
      <w:bookmarkStart w:id="172" w:name="_Toc241008868"/>
      <w:r w:rsidRPr="00FB7622">
        <w:t>Table 1</w:t>
      </w:r>
      <w:r>
        <w:t>2</w:t>
      </w:r>
      <w:r w:rsidRPr="00FB7622">
        <w:t>: “</w:t>
      </w:r>
      <w:r>
        <w:t>Breakeven</w:t>
      </w:r>
      <w:r w:rsidRPr="00FB7622">
        <w:t>”</w:t>
      </w:r>
      <w:bookmarkEnd w:id="172"/>
    </w:p>
    <w:p w14:paraId="558EB5B5" w14:textId="70A05E96" w:rsidR="00EF66B6" w:rsidRDefault="00EF66B6" w:rsidP="00EF66B6">
      <w:pPr>
        <w:jc w:val="center"/>
      </w:pPr>
      <w:r>
        <w:t>(Source: Created by Author)</w:t>
      </w:r>
    </w:p>
    <w:p w14:paraId="5CFF314E" w14:textId="240100F6" w:rsidR="00C71CDB" w:rsidRDefault="00C71CDB" w:rsidP="00C71CDB">
      <w:r>
        <w:t>The only important variables are order volume and gross margin. Monthly orders and AOV, gross margin, CAC, repeat purchasing and cash balance should all be tracked.</w:t>
      </w:r>
    </w:p>
    <w:p w14:paraId="45137047" w14:textId="77777777" w:rsidR="00C71CDB" w:rsidRDefault="00C71CDB" w:rsidP="00C71CDB">
      <w:pPr>
        <w:pStyle w:val="Heading2"/>
        <w:keepNext w:val="0"/>
        <w:keepLines w:val="0"/>
        <w:rPr>
          <w:b w:val="0"/>
          <w:bCs w:val="0"/>
        </w:rPr>
      </w:pPr>
      <w:bookmarkStart w:id="173" w:name="_lt5e5mguu455" w:colFirst="0" w:colLast="0"/>
      <w:bookmarkStart w:id="174" w:name="_Toc241008275"/>
      <w:bookmarkEnd w:id="173"/>
      <w:r>
        <w:t>9.3 Marketing and Sales Plan</w:t>
      </w:r>
      <w:bookmarkEnd w:id="174"/>
    </w:p>
    <w:p w14:paraId="15C71FB3" w14:textId="77777777" w:rsidR="00C71CDB" w:rsidRDefault="00C71CDB" w:rsidP="00C71CDB">
      <w:pPr>
        <w:pStyle w:val="Heading3"/>
        <w:keepNext w:val="0"/>
        <w:keepLines w:val="0"/>
        <w:spacing w:before="280"/>
        <w:rPr>
          <w:b/>
          <w:bCs/>
          <w:color w:val="000000"/>
          <w:sz w:val="24"/>
          <w:szCs w:val="24"/>
        </w:rPr>
      </w:pPr>
      <w:bookmarkStart w:id="175" w:name="_e1h13g4lo2lb" w:colFirst="0" w:colLast="0"/>
      <w:bookmarkStart w:id="176" w:name="_Toc241008276"/>
      <w:bookmarkEnd w:id="175"/>
      <w:r>
        <w:rPr>
          <w:b/>
          <w:bCs/>
          <w:color w:val="000000"/>
          <w:sz w:val="24"/>
          <w:szCs w:val="24"/>
        </w:rPr>
        <w:t>9.3.1 Target market and positioning</w:t>
      </w:r>
      <w:bookmarkEnd w:id="176"/>
    </w:p>
    <w:p w14:paraId="1317C995" w14:textId="77777777" w:rsidR="00C71CDB" w:rsidRDefault="00C71CDB" w:rsidP="00C71CDB">
      <w:pPr>
        <w:ind w:right="600"/>
      </w:pPr>
      <w:r>
        <w:t>The target customer is European e-commerce SMEs shipping physical consumer products, especially those companies that need to produce packaging in a regular fashion. Typically, the buyer will be the founder, procurement manager or operations manager.</w:t>
      </w:r>
    </w:p>
    <w:p w14:paraId="129D0B69" w14:textId="77777777" w:rsidR="00C71CDB" w:rsidRDefault="00C71CDB" w:rsidP="00C71CDB">
      <w:pPr>
        <w:ind w:right="600"/>
      </w:pPr>
      <w:r>
        <w:t>A digital buying environment exists for the segment. EcoPack will thus rely on a digital acquisition approach instead of the development of a costly field-sales force from the start.</w:t>
      </w:r>
    </w:p>
    <w:p w14:paraId="2DCB6A0D" w14:textId="77777777" w:rsidR="00C71CDB" w:rsidRDefault="00C71CDB" w:rsidP="00C71CDB">
      <w:pPr>
        <w:ind w:right="600"/>
      </w:pPr>
      <w:r>
        <w:t>The positioning is:</w:t>
      </w:r>
    </w:p>
    <w:p w14:paraId="6FB04352" w14:textId="77777777" w:rsidR="00C71CDB" w:rsidRDefault="00C71CDB" w:rsidP="00C71CDB">
      <w:pPr>
        <w:ind w:left="600" w:right="600"/>
      </w:pPr>
      <w:r>
        <w:t>EcoPack Solutions is the sustainable packaging partner for European ecommerce SMEs offering competitively priced packaging, simple digital buying and advice to help get the best out of sustainability.</w:t>
      </w:r>
    </w:p>
    <w:p w14:paraId="58138F62" w14:textId="77777777" w:rsidR="00C71CDB" w:rsidRDefault="00C71CDB" w:rsidP="00C71CDB">
      <w:pPr>
        <w:rPr>
          <w:b/>
          <w:bCs/>
        </w:rPr>
      </w:pPr>
      <w:r>
        <w:t xml:space="preserve">The central message will be </w:t>
      </w:r>
      <w:r>
        <w:rPr>
          <w:b/>
          <w:bCs/>
        </w:rPr>
        <w:t>“Right-size. Recycle. Reorder.”</w:t>
      </w:r>
    </w:p>
    <w:p w14:paraId="01708057" w14:textId="77777777" w:rsidR="00C71CDB" w:rsidRDefault="00C71CDB" w:rsidP="00C71CDB">
      <w:r>
        <w:t xml:space="preserve">This is backed by peer-reviewed research that demonstrates packaging design and logistics can also provide environmental and operational benefits for e-commerce. García-Arca et al. (2025) list packaging optimisation, material selection and logistics as key factors for a sustainable e-commerce. These results corroborate the idea to sell packaging-selection expertise as a service, </w:t>
      </w:r>
      <w:r>
        <w:lastRenderedPageBreak/>
        <w:t>but the percentages should not be taken as a guarantee of the applicability for all EcoPack customers.</w:t>
      </w:r>
    </w:p>
    <w:p w14:paraId="53F845FF" w14:textId="77777777" w:rsidR="00C71CDB" w:rsidRDefault="00C71CDB" w:rsidP="00C71CDB">
      <w:pPr>
        <w:pStyle w:val="Heading3"/>
        <w:keepNext w:val="0"/>
        <w:keepLines w:val="0"/>
        <w:spacing w:before="280"/>
        <w:rPr>
          <w:b/>
          <w:bCs/>
          <w:color w:val="000000"/>
          <w:sz w:val="24"/>
          <w:szCs w:val="24"/>
        </w:rPr>
      </w:pPr>
      <w:bookmarkStart w:id="177" w:name="_p6pl6tgg6h06" w:colFirst="0" w:colLast="0"/>
      <w:bookmarkStart w:id="178" w:name="_Toc241008277"/>
      <w:bookmarkEnd w:id="177"/>
      <w:r>
        <w:rPr>
          <w:b/>
          <w:bCs/>
          <w:color w:val="000000"/>
          <w:sz w:val="24"/>
          <w:szCs w:val="24"/>
        </w:rPr>
        <w:t>9.3.2 Marketing mix</w:t>
      </w:r>
      <w:bookmarkEnd w:id="178"/>
    </w:p>
    <w:tbl>
      <w:tblPr>
        <w:tblW w:w="9220" w:type="dxa"/>
        <w:tblBorders>
          <w:top w:val="nil"/>
          <w:left w:val="nil"/>
          <w:bottom w:val="nil"/>
          <w:right w:val="nil"/>
          <w:insideH w:val="nil"/>
          <w:insideV w:val="nil"/>
        </w:tblBorders>
        <w:shd w:val="clear" w:color="auto" w:fill="DAEEF3" w:themeFill="accent5" w:themeFillTint="33"/>
        <w:tblLayout w:type="fixed"/>
        <w:tblLook w:val="0600" w:firstRow="0" w:lastRow="0" w:firstColumn="0" w:lastColumn="0" w:noHBand="1" w:noVBand="1"/>
      </w:tblPr>
      <w:tblGrid>
        <w:gridCol w:w="1910"/>
        <w:gridCol w:w="7310"/>
      </w:tblGrid>
      <w:tr w:rsidR="00C71CDB" w14:paraId="483EE96D" w14:textId="77777777" w:rsidTr="00322600">
        <w:trPr>
          <w:trHeight w:val="515"/>
        </w:trPr>
        <w:tc>
          <w:tcPr>
            <w:tcW w:w="1910" w:type="dxa"/>
            <w:tcBorders>
              <w:top w:val="single" w:sz="4" w:space="0" w:color="000000"/>
              <w:left w:val="single" w:sz="4" w:space="0" w:color="000000"/>
              <w:bottom w:val="single" w:sz="4" w:space="0" w:color="000000"/>
              <w:right w:val="single" w:sz="4" w:space="0" w:color="000000"/>
            </w:tcBorders>
            <w:shd w:val="clear" w:color="auto" w:fill="DAEEF3" w:themeFill="accent5" w:themeFillTint="33"/>
            <w:tcMar>
              <w:top w:w="100" w:type="dxa"/>
              <w:left w:w="100" w:type="dxa"/>
              <w:bottom w:w="100" w:type="dxa"/>
              <w:right w:w="100" w:type="dxa"/>
            </w:tcMar>
          </w:tcPr>
          <w:p w14:paraId="76A230E9" w14:textId="6DD7FDE0" w:rsidR="00C71CDB" w:rsidRDefault="00322600" w:rsidP="00DA7C87">
            <w:r>
              <w:rPr>
                <w:b/>
                <w:bCs/>
              </w:rPr>
              <w:t>“</w:t>
            </w:r>
            <w:r w:rsidR="00C71CDB">
              <w:rPr>
                <w:b/>
                <w:bCs/>
              </w:rPr>
              <w:t>7P</w:t>
            </w:r>
          </w:p>
        </w:tc>
        <w:tc>
          <w:tcPr>
            <w:tcW w:w="7310" w:type="dxa"/>
            <w:tcBorders>
              <w:top w:val="single" w:sz="4" w:space="0" w:color="000000"/>
              <w:left w:val="single" w:sz="4" w:space="0" w:color="000000"/>
              <w:bottom w:val="single" w:sz="4" w:space="0" w:color="000000"/>
              <w:right w:val="single" w:sz="4" w:space="0" w:color="000000"/>
            </w:tcBorders>
            <w:shd w:val="clear" w:color="auto" w:fill="DAEEF3" w:themeFill="accent5" w:themeFillTint="33"/>
            <w:tcMar>
              <w:top w:w="100" w:type="dxa"/>
              <w:left w:w="100" w:type="dxa"/>
              <w:bottom w:w="100" w:type="dxa"/>
              <w:right w:w="100" w:type="dxa"/>
            </w:tcMar>
          </w:tcPr>
          <w:p w14:paraId="473B47D1" w14:textId="77777777" w:rsidR="00C71CDB" w:rsidRDefault="00C71CDB" w:rsidP="00DA7C87">
            <w:r>
              <w:rPr>
                <w:b/>
                <w:bCs/>
              </w:rPr>
              <w:t>EcoPack implementation</w:t>
            </w:r>
          </w:p>
        </w:tc>
      </w:tr>
      <w:tr w:rsidR="00C71CDB" w14:paraId="38AD6956" w14:textId="77777777" w:rsidTr="00322600">
        <w:trPr>
          <w:trHeight w:val="515"/>
        </w:trPr>
        <w:tc>
          <w:tcPr>
            <w:tcW w:w="1910" w:type="dxa"/>
            <w:tcBorders>
              <w:top w:val="single" w:sz="4" w:space="0" w:color="000000"/>
              <w:left w:val="single" w:sz="4" w:space="0" w:color="000000"/>
              <w:bottom w:val="single" w:sz="4" w:space="0" w:color="000000"/>
              <w:right w:val="single" w:sz="4" w:space="0" w:color="000000"/>
            </w:tcBorders>
            <w:shd w:val="clear" w:color="auto" w:fill="DAEEF3" w:themeFill="accent5" w:themeFillTint="33"/>
            <w:tcMar>
              <w:top w:w="100" w:type="dxa"/>
              <w:left w:w="100" w:type="dxa"/>
              <w:bottom w:w="100" w:type="dxa"/>
              <w:right w:w="100" w:type="dxa"/>
            </w:tcMar>
          </w:tcPr>
          <w:p w14:paraId="308DE5E5" w14:textId="77777777" w:rsidR="00C71CDB" w:rsidRDefault="00C71CDB" w:rsidP="00DA7C87">
            <w:r>
              <w:rPr>
                <w:b/>
                <w:bCs/>
              </w:rPr>
              <w:t>Product</w:t>
            </w:r>
          </w:p>
        </w:tc>
        <w:tc>
          <w:tcPr>
            <w:tcW w:w="7310" w:type="dxa"/>
            <w:tcBorders>
              <w:top w:val="single" w:sz="4" w:space="0" w:color="000000"/>
              <w:left w:val="single" w:sz="4" w:space="0" w:color="000000"/>
              <w:bottom w:val="single" w:sz="4" w:space="0" w:color="000000"/>
              <w:right w:val="single" w:sz="4" w:space="0" w:color="000000"/>
            </w:tcBorders>
            <w:shd w:val="clear" w:color="auto" w:fill="DAEEF3" w:themeFill="accent5" w:themeFillTint="33"/>
            <w:tcMar>
              <w:top w:w="100" w:type="dxa"/>
              <w:left w:w="100" w:type="dxa"/>
              <w:bottom w:w="100" w:type="dxa"/>
              <w:right w:w="100" w:type="dxa"/>
            </w:tcMar>
          </w:tcPr>
          <w:p w14:paraId="4EB9603A" w14:textId="77777777" w:rsidR="00C71CDB" w:rsidRDefault="00C71CDB" w:rsidP="00DA7C87">
            <w:r>
              <w:t>Seven key packaging categories including those that are recyclable/recycled.</w:t>
            </w:r>
          </w:p>
        </w:tc>
      </w:tr>
      <w:tr w:rsidR="00C71CDB" w14:paraId="31DEC5E5" w14:textId="77777777" w:rsidTr="00322600">
        <w:trPr>
          <w:trHeight w:val="515"/>
        </w:trPr>
        <w:tc>
          <w:tcPr>
            <w:tcW w:w="1910" w:type="dxa"/>
            <w:tcBorders>
              <w:top w:val="single" w:sz="4" w:space="0" w:color="000000"/>
              <w:left w:val="single" w:sz="4" w:space="0" w:color="000000"/>
              <w:bottom w:val="single" w:sz="4" w:space="0" w:color="000000"/>
              <w:right w:val="single" w:sz="4" w:space="0" w:color="000000"/>
            </w:tcBorders>
            <w:shd w:val="clear" w:color="auto" w:fill="DAEEF3" w:themeFill="accent5" w:themeFillTint="33"/>
            <w:tcMar>
              <w:top w:w="100" w:type="dxa"/>
              <w:left w:w="100" w:type="dxa"/>
              <w:bottom w:w="100" w:type="dxa"/>
              <w:right w:w="100" w:type="dxa"/>
            </w:tcMar>
          </w:tcPr>
          <w:p w14:paraId="6FAEE108" w14:textId="77777777" w:rsidR="00C71CDB" w:rsidRDefault="00C71CDB" w:rsidP="00DA7C87">
            <w:r>
              <w:rPr>
                <w:b/>
                <w:bCs/>
              </w:rPr>
              <w:t>Price</w:t>
            </w:r>
          </w:p>
        </w:tc>
        <w:tc>
          <w:tcPr>
            <w:tcW w:w="7310" w:type="dxa"/>
            <w:tcBorders>
              <w:top w:val="single" w:sz="4" w:space="0" w:color="000000"/>
              <w:left w:val="single" w:sz="4" w:space="0" w:color="000000"/>
              <w:bottom w:val="single" w:sz="4" w:space="0" w:color="000000"/>
              <w:right w:val="single" w:sz="4" w:space="0" w:color="000000"/>
            </w:tcBorders>
            <w:shd w:val="clear" w:color="auto" w:fill="DAEEF3" w:themeFill="accent5" w:themeFillTint="33"/>
            <w:tcMar>
              <w:top w:w="100" w:type="dxa"/>
              <w:left w:w="100" w:type="dxa"/>
              <w:bottom w:w="100" w:type="dxa"/>
              <w:right w:w="100" w:type="dxa"/>
            </w:tcMar>
          </w:tcPr>
          <w:p w14:paraId="22FBD31D" w14:textId="77777777" w:rsidR="00C71CDB" w:rsidRDefault="00C71CDB" w:rsidP="00DA7C87">
            <w:r>
              <w:t>Discount on volume, limited to a maximum of 3-8% of the market.</w:t>
            </w:r>
          </w:p>
        </w:tc>
      </w:tr>
      <w:tr w:rsidR="00C71CDB" w14:paraId="39F905C2" w14:textId="77777777" w:rsidTr="00322600">
        <w:trPr>
          <w:trHeight w:val="785"/>
        </w:trPr>
        <w:tc>
          <w:tcPr>
            <w:tcW w:w="1910" w:type="dxa"/>
            <w:tcBorders>
              <w:top w:val="single" w:sz="4" w:space="0" w:color="000000"/>
              <w:left w:val="single" w:sz="4" w:space="0" w:color="000000"/>
              <w:bottom w:val="single" w:sz="4" w:space="0" w:color="000000"/>
              <w:right w:val="single" w:sz="4" w:space="0" w:color="000000"/>
            </w:tcBorders>
            <w:shd w:val="clear" w:color="auto" w:fill="DAEEF3" w:themeFill="accent5" w:themeFillTint="33"/>
            <w:tcMar>
              <w:top w:w="100" w:type="dxa"/>
              <w:left w:w="100" w:type="dxa"/>
              <w:bottom w:w="100" w:type="dxa"/>
              <w:right w:w="100" w:type="dxa"/>
            </w:tcMar>
          </w:tcPr>
          <w:p w14:paraId="4A5AAB2C" w14:textId="77777777" w:rsidR="00C71CDB" w:rsidRDefault="00C71CDB" w:rsidP="00DA7C87">
            <w:r>
              <w:rPr>
                <w:b/>
                <w:bCs/>
              </w:rPr>
              <w:t>Place</w:t>
            </w:r>
          </w:p>
        </w:tc>
        <w:tc>
          <w:tcPr>
            <w:tcW w:w="7310" w:type="dxa"/>
            <w:tcBorders>
              <w:top w:val="single" w:sz="4" w:space="0" w:color="000000"/>
              <w:left w:val="single" w:sz="4" w:space="0" w:color="000000"/>
              <w:bottom w:val="single" w:sz="4" w:space="0" w:color="000000"/>
              <w:right w:val="single" w:sz="4" w:space="0" w:color="000000"/>
            </w:tcBorders>
            <w:shd w:val="clear" w:color="auto" w:fill="DAEEF3" w:themeFill="accent5" w:themeFillTint="33"/>
            <w:tcMar>
              <w:top w:w="100" w:type="dxa"/>
              <w:left w:w="100" w:type="dxa"/>
              <w:bottom w:w="100" w:type="dxa"/>
              <w:right w:w="100" w:type="dxa"/>
            </w:tcMar>
          </w:tcPr>
          <w:p w14:paraId="13658DAE" w14:textId="77777777" w:rsidR="00C71CDB" w:rsidRDefault="00C71CDB" w:rsidP="00DA7C87">
            <w:r>
              <w:t>website, digital catalogue, online quotation and supplier/logistics network.</w:t>
            </w:r>
          </w:p>
        </w:tc>
      </w:tr>
      <w:tr w:rsidR="00C71CDB" w14:paraId="09011A77" w14:textId="77777777" w:rsidTr="00322600">
        <w:trPr>
          <w:trHeight w:val="785"/>
        </w:trPr>
        <w:tc>
          <w:tcPr>
            <w:tcW w:w="1910" w:type="dxa"/>
            <w:tcBorders>
              <w:top w:val="single" w:sz="4" w:space="0" w:color="000000"/>
              <w:left w:val="single" w:sz="4" w:space="0" w:color="000000"/>
              <w:bottom w:val="single" w:sz="4" w:space="0" w:color="000000"/>
              <w:right w:val="single" w:sz="4" w:space="0" w:color="000000"/>
            </w:tcBorders>
            <w:shd w:val="clear" w:color="auto" w:fill="DAEEF3" w:themeFill="accent5" w:themeFillTint="33"/>
            <w:tcMar>
              <w:top w:w="100" w:type="dxa"/>
              <w:left w:w="100" w:type="dxa"/>
              <w:bottom w:w="100" w:type="dxa"/>
              <w:right w:w="100" w:type="dxa"/>
            </w:tcMar>
          </w:tcPr>
          <w:p w14:paraId="215EAA23" w14:textId="77777777" w:rsidR="00C71CDB" w:rsidRDefault="00C71CDB" w:rsidP="00DA7C87">
            <w:r>
              <w:rPr>
                <w:b/>
                <w:bCs/>
              </w:rPr>
              <w:t>Promotion</w:t>
            </w:r>
          </w:p>
        </w:tc>
        <w:tc>
          <w:tcPr>
            <w:tcW w:w="7310" w:type="dxa"/>
            <w:tcBorders>
              <w:top w:val="single" w:sz="4" w:space="0" w:color="000000"/>
              <w:left w:val="single" w:sz="4" w:space="0" w:color="000000"/>
              <w:bottom w:val="single" w:sz="4" w:space="0" w:color="000000"/>
              <w:right w:val="single" w:sz="4" w:space="0" w:color="000000"/>
            </w:tcBorders>
            <w:shd w:val="clear" w:color="auto" w:fill="DAEEF3" w:themeFill="accent5" w:themeFillTint="33"/>
            <w:tcMar>
              <w:top w:w="100" w:type="dxa"/>
              <w:left w:w="100" w:type="dxa"/>
              <w:bottom w:w="100" w:type="dxa"/>
              <w:right w:w="100" w:type="dxa"/>
            </w:tcMar>
          </w:tcPr>
          <w:p w14:paraId="47B1BF34" w14:textId="77777777" w:rsidR="00C71CDB" w:rsidRDefault="00C71CDB" w:rsidP="00DA7C87">
            <w:r>
              <w:t>Google search, LinkedIn, email outreach, content marketing and B2B partnerships</w:t>
            </w:r>
          </w:p>
        </w:tc>
      </w:tr>
      <w:tr w:rsidR="00C71CDB" w14:paraId="2CE3CCF2" w14:textId="77777777" w:rsidTr="00322600">
        <w:trPr>
          <w:trHeight w:val="515"/>
        </w:trPr>
        <w:tc>
          <w:tcPr>
            <w:tcW w:w="1910" w:type="dxa"/>
            <w:tcBorders>
              <w:top w:val="single" w:sz="4" w:space="0" w:color="000000"/>
              <w:left w:val="single" w:sz="4" w:space="0" w:color="000000"/>
              <w:bottom w:val="single" w:sz="4" w:space="0" w:color="000000"/>
              <w:right w:val="single" w:sz="4" w:space="0" w:color="000000"/>
            </w:tcBorders>
            <w:shd w:val="clear" w:color="auto" w:fill="DAEEF3" w:themeFill="accent5" w:themeFillTint="33"/>
            <w:tcMar>
              <w:top w:w="100" w:type="dxa"/>
              <w:left w:w="100" w:type="dxa"/>
              <w:bottom w:w="100" w:type="dxa"/>
              <w:right w:w="100" w:type="dxa"/>
            </w:tcMar>
          </w:tcPr>
          <w:p w14:paraId="0A610247" w14:textId="77777777" w:rsidR="00C71CDB" w:rsidRDefault="00C71CDB" w:rsidP="00DA7C87">
            <w:r>
              <w:rPr>
                <w:b/>
                <w:bCs/>
              </w:rPr>
              <w:t>People</w:t>
            </w:r>
          </w:p>
        </w:tc>
        <w:tc>
          <w:tcPr>
            <w:tcW w:w="7310" w:type="dxa"/>
            <w:tcBorders>
              <w:top w:val="single" w:sz="4" w:space="0" w:color="000000"/>
              <w:left w:val="single" w:sz="4" w:space="0" w:color="000000"/>
              <w:bottom w:val="single" w:sz="4" w:space="0" w:color="000000"/>
              <w:right w:val="single" w:sz="4" w:space="0" w:color="000000"/>
            </w:tcBorders>
            <w:shd w:val="clear" w:color="auto" w:fill="DAEEF3" w:themeFill="accent5" w:themeFillTint="33"/>
            <w:tcMar>
              <w:top w:w="100" w:type="dxa"/>
              <w:left w:w="100" w:type="dxa"/>
              <w:bottom w:w="100" w:type="dxa"/>
              <w:right w:w="100" w:type="dxa"/>
            </w:tcMar>
          </w:tcPr>
          <w:p w14:paraId="46A1165D" w14:textId="77777777" w:rsidR="00C71CDB" w:rsidRDefault="00C71CDB" w:rsidP="00DA7C87">
            <w:r>
              <w:t>Packaging-informed sales and customer-support staff</w:t>
            </w:r>
          </w:p>
        </w:tc>
      </w:tr>
      <w:tr w:rsidR="00C71CDB" w14:paraId="1D9F6020" w14:textId="77777777" w:rsidTr="00322600">
        <w:trPr>
          <w:trHeight w:val="785"/>
        </w:trPr>
        <w:tc>
          <w:tcPr>
            <w:tcW w:w="1910" w:type="dxa"/>
            <w:tcBorders>
              <w:top w:val="single" w:sz="4" w:space="0" w:color="000000"/>
              <w:left w:val="single" w:sz="4" w:space="0" w:color="000000"/>
              <w:bottom w:val="single" w:sz="4" w:space="0" w:color="000000"/>
              <w:right w:val="single" w:sz="4" w:space="0" w:color="000000"/>
            </w:tcBorders>
            <w:shd w:val="clear" w:color="auto" w:fill="DAEEF3" w:themeFill="accent5" w:themeFillTint="33"/>
            <w:tcMar>
              <w:top w:w="100" w:type="dxa"/>
              <w:left w:w="100" w:type="dxa"/>
              <w:bottom w:w="100" w:type="dxa"/>
              <w:right w:w="100" w:type="dxa"/>
            </w:tcMar>
          </w:tcPr>
          <w:p w14:paraId="3A3A2D9E" w14:textId="77777777" w:rsidR="00C71CDB" w:rsidRDefault="00C71CDB" w:rsidP="00DA7C87">
            <w:r>
              <w:rPr>
                <w:b/>
                <w:bCs/>
              </w:rPr>
              <w:lastRenderedPageBreak/>
              <w:t>Process</w:t>
            </w:r>
          </w:p>
        </w:tc>
        <w:tc>
          <w:tcPr>
            <w:tcW w:w="7310" w:type="dxa"/>
            <w:tcBorders>
              <w:top w:val="single" w:sz="4" w:space="0" w:color="000000"/>
              <w:left w:val="single" w:sz="4" w:space="0" w:color="000000"/>
              <w:bottom w:val="single" w:sz="4" w:space="0" w:color="000000"/>
              <w:right w:val="single" w:sz="4" w:space="0" w:color="000000"/>
            </w:tcBorders>
            <w:shd w:val="clear" w:color="auto" w:fill="DAEEF3" w:themeFill="accent5" w:themeFillTint="33"/>
            <w:tcMar>
              <w:top w:w="100" w:type="dxa"/>
              <w:left w:w="100" w:type="dxa"/>
              <w:bottom w:w="100" w:type="dxa"/>
              <w:right w:w="100" w:type="dxa"/>
            </w:tcMar>
          </w:tcPr>
          <w:p w14:paraId="64F4C7BC" w14:textId="77777777" w:rsidR="00C71CDB" w:rsidRDefault="00C71CDB" w:rsidP="00DA7C87">
            <w:r>
              <w:rPr>
                <w:noProof/>
              </w:rPr>
              <w:drawing>
                <wp:inline distT="114300" distB="114300" distL="114300" distR="114300" wp14:anchorId="2234FFCE" wp14:editId="66464FAF">
                  <wp:extent cx="4138666" cy="3429930"/>
                  <wp:effectExtent l="0" t="0" r="0" b="0"/>
                  <wp:docPr id="10"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8"/>
                          <a:srcRect/>
                          <a:stretch>
                            <a:fillRect/>
                          </a:stretch>
                        </pic:blipFill>
                        <pic:spPr>
                          <a:xfrm>
                            <a:off x="0" y="0"/>
                            <a:ext cx="4138666" cy="3429930"/>
                          </a:xfrm>
                          <a:prstGeom prst="rect">
                            <a:avLst/>
                          </a:prstGeom>
                          <a:ln/>
                        </pic:spPr>
                      </pic:pic>
                    </a:graphicData>
                  </a:graphic>
                </wp:inline>
              </w:drawing>
            </w:r>
          </w:p>
        </w:tc>
      </w:tr>
      <w:tr w:rsidR="00C71CDB" w14:paraId="7924D1D5" w14:textId="77777777" w:rsidTr="00322600">
        <w:trPr>
          <w:trHeight w:val="785"/>
        </w:trPr>
        <w:tc>
          <w:tcPr>
            <w:tcW w:w="1910" w:type="dxa"/>
            <w:tcBorders>
              <w:top w:val="single" w:sz="4" w:space="0" w:color="000000"/>
              <w:left w:val="single" w:sz="4" w:space="0" w:color="000000"/>
              <w:bottom w:val="single" w:sz="4" w:space="0" w:color="000000"/>
              <w:right w:val="single" w:sz="4" w:space="0" w:color="000000"/>
            </w:tcBorders>
            <w:shd w:val="clear" w:color="auto" w:fill="DAEEF3" w:themeFill="accent5" w:themeFillTint="33"/>
            <w:tcMar>
              <w:top w:w="100" w:type="dxa"/>
              <w:left w:w="100" w:type="dxa"/>
              <w:bottom w:w="100" w:type="dxa"/>
              <w:right w:w="100" w:type="dxa"/>
            </w:tcMar>
          </w:tcPr>
          <w:p w14:paraId="06376386" w14:textId="77777777" w:rsidR="00C71CDB" w:rsidRDefault="00C71CDB" w:rsidP="00DA7C87">
            <w:r>
              <w:rPr>
                <w:b/>
                <w:bCs/>
              </w:rPr>
              <w:t>Physical evidence</w:t>
            </w:r>
          </w:p>
        </w:tc>
        <w:tc>
          <w:tcPr>
            <w:tcW w:w="7310" w:type="dxa"/>
            <w:tcBorders>
              <w:top w:val="single" w:sz="4" w:space="0" w:color="000000"/>
              <w:left w:val="single" w:sz="4" w:space="0" w:color="000000"/>
              <w:bottom w:val="single" w:sz="4" w:space="0" w:color="000000"/>
              <w:right w:val="single" w:sz="4" w:space="0" w:color="000000"/>
            </w:tcBorders>
            <w:shd w:val="clear" w:color="auto" w:fill="DAEEF3" w:themeFill="accent5" w:themeFillTint="33"/>
            <w:tcMar>
              <w:top w:w="100" w:type="dxa"/>
              <w:left w:w="100" w:type="dxa"/>
              <w:bottom w:w="100" w:type="dxa"/>
              <w:right w:w="100" w:type="dxa"/>
            </w:tcMar>
          </w:tcPr>
          <w:p w14:paraId="15F1D27D" w14:textId="768223CB" w:rsidR="00C71CDB" w:rsidRDefault="00C71CDB" w:rsidP="00DA7C87">
            <w:r>
              <w:t>Specifications, supplier credentials, sustainability evidence, reviews and case studies</w:t>
            </w:r>
            <w:r w:rsidR="00322600">
              <w:t>”</w:t>
            </w:r>
          </w:p>
        </w:tc>
      </w:tr>
    </w:tbl>
    <w:p w14:paraId="7306BA5E" w14:textId="62047E76" w:rsidR="00EF66B6" w:rsidRPr="00FB7622" w:rsidRDefault="00EF66B6" w:rsidP="00EF66B6">
      <w:pPr>
        <w:pStyle w:val="Heading6"/>
      </w:pPr>
      <w:bookmarkStart w:id="179" w:name="_Toc241008869"/>
      <w:r w:rsidRPr="00FB7622">
        <w:t>Table 1</w:t>
      </w:r>
      <w:r>
        <w:t>3</w:t>
      </w:r>
      <w:r w:rsidRPr="00FB7622">
        <w:t>: “</w:t>
      </w:r>
      <w:r>
        <w:t>Marketing mix</w:t>
      </w:r>
      <w:r w:rsidRPr="00FB7622">
        <w:t>”</w:t>
      </w:r>
      <w:bookmarkEnd w:id="179"/>
    </w:p>
    <w:p w14:paraId="015D4AAF" w14:textId="04D298CD" w:rsidR="00EF66B6" w:rsidRDefault="00EF66B6" w:rsidP="00EF66B6">
      <w:pPr>
        <w:jc w:val="center"/>
      </w:pPr>
      <w:r>
        <w:t>(Source: Created by Author)</w:t>
      </w:r>
    </w:p>
    <w:p w14:paraId="1492E313" w14:textId="4E006CDD" w:rsidR="00C71CDB" w:rsidRDefault="00C71CDB" w:rsidP="00C71CDB">
      <w:r>
        <w:t>The environmental proposition should be based on facts. This is particularly relevant given the PPWR will take effect across the EU from 12 August 2026, sets harmonised packaging requirements and will make all packaging recyclable from 2030. It also introduces measures relating to empty space, reuse and packaging waste reduction.</w:t>
      </w:r>
    </w:p>
    <w:p w14:paraId="621E0BC5" w14:textId="77777777" w:rsidR="00C71CDB" w:rsidRDefault="00C71CDB" w:rsidP="00C71CDB">
      <w:pPr>
        <w:pStyle w:val="Heading3"/>
        <w:keepNext w:val="0"/>
        <w:keepLines w:val="0"/>
        <w:spacing w:before="280"/>
        <w:rPr>
          <w:b/>
          <w:bCs/>
          <w:color w:val="000000"/>
          <w:sz w:val="24"/>
          <w:szCs w:val="24"/>
        </w:rPr>
      </w:pPr>
      <w:bookmarkStart w:id="180" w:name="_rsazeo43bhwt" w:colFirst="0" w:colLast="0"/>
      <w:bookmarkStart w:id="181" w:name="_Toc241008278"/>
      <w:bookmarkEnd w:id="180"/>
      <w:r>
        <w:rPr>
          <w:b/>
          <w:bCs/>
          <w:color w:val="000000"/>
          <w:sz w:val="24"/>
          <w:szCs w:val="24"/>
        </w:rPr>
        <w:t>9.3.3 Customer acquisition and sales</w:t>
      </w:r>
      <w:bookmarkEnd w:id="181"/>
    </w:p>
    <w:p w14:paraId="35B6636D" w14:textId="77777777" w:rsidR="00C71CDB" w:rsidRDefault="00C71CDB" w:rsidP="00C71CDB">
      <w:r>
        <w:t>The 300 orders equates to 25 orders a month, which is the Year-1 objective. With a qualified-lead-to-order conversion rate of 5%, EcoPack needs about 6,000 qualified leads in Year 1.</w:t>
      </w:r>
    </w:p>
    <w:p w14:paraId="311124CA" w14:textId="77777777" w:rsidR="00C71CDB" w:rsidRDefault="00C71CDB" w:rsidP="00C71CDB">
      <w:r>
        <w:lastRenderedPageBreak/>
        <w:t>The marketing budget will be €15,000, made up of €3,000 for launching the product and a recurring €12,000 for acquiring the product. If 300 orders are made, the suggested CAC for each order is €50. €50 CAC means that after paying €105 per order, there are €55 left before fixed overheads. As a result, marketing can be undertaken economically as long as CAC is materially lower than contribution per order.</w:t>
      </w:r>
    </w:p>
    <w:p w14:paraId="79BD2B34" w14:textId="77777777" w:rsidR="00C71CDB" w:rsidRDefault="00C71CDB" w:rsidP="00C71CDB">
      <w:r>
        <w:t>Volume quotations will be provided for larger customers. Existing customers will be reminded to reorder and suggested alternatives. Research on sustainable packaging also suggests that the economic and environmental aspects should also be taken into account, which is why EcoPack has not depended solely on an environmental appeal.</w:t>
      </w:r>
    </w:p>
    <w:p w14:paraId="692F5137" w14:textId="77777777" w:rsidR="00C71CDB" w:rsidRDefault="00C71CDB" w:rsidP="00C71CDB">
      <w:pPr>
        <w:pStyle w:val="Heading2"/>
        <w:keepNext w:val="0"/>
        <w:keepLines w:val="0"/>
        <w:rPr>
          <w:b w:val="0"/>
          <w:bCs w:val="0"/>
        </w:rPr>
      </w:pPr>
      <w:bookmarkStart w:id="182" w:name="_vjk6eadxadw5" w:colFirst="0" w:colLast="0"/>
      <w:bookmarkStart w:id="183" w:name="_Toc241008279"/>
      <w:bookmarkEnd w:id="182"/>
      <w:r>
        <w:t>9.4 Human Capital Management Plan</w:t>
      </w:r>
      <w:bookmarkEnd w:id="183"/>
    </w:p>
    <w:p w14:paraId="574B9767" w14:textId="77777777" w:rsidR="00C71CDB" w:rsidRDefault="00C71CDB" w:rsidP="00C71CDB">
      <w:r>
        <w:t>EcoPack will initially use a lean structure.</w:t>
      </w:r>
    </w:p>
    <w:tbl>
      <w:tblPr>
        <w:tblW w:w="9360" w:type="dxa"/>
        <w:tblBorders>
          <w:top w:val="nil"/>
          <w:left w:val="nil"/>
          <w:bottom w:val="nil"/>
          <w:right w:val="nil"/>
          <w:insideH w:val="nil"/>
          <w:insideV w:val="nil"/>
        </w:tblBorders>
        <w:shd w:val="clear" w:color="auto" w:fill="EAF1DD" w:themeFill="accent3" w:themeFillTint="33"/>
        <w:tblLayout w:type="fixed"/>
        <w:tblLook w:val="0600" w:firstRow="0" w:lastRow="0" w:firstColumn="0" w:lastColumn="0" w:noHBand="1" w:noVBand="1"/>
      </w:tblPr>
      <w:tblGrid>
        <w:gridCol w:w="2951"/>
        <w:gridCol w:w="1335"/>
        <w:gridCol w:w="5074"/>
      </w:tblGrid>
      <w:tr w:rsidR="00C71CDB" w14:paraId="667CDFA7" w14:textId="77777777" w:rsidTr="00EF66B6">
        <w:trPr>
          <w:trHeight w:val="515"/>
        </w:trPr>
        <w:tc>
          <w:tcPr>
            <w:tcW w:w="2951" w:type="dxa"/>
            <w:tcBorders>
              <w:top w:val="single" w:sz="4" w:space="0" w:color="000000"/>
              <w:left w:val="single" w:sz="4" w:space="0" w:color="000000"/>
              <w:bottom w:val="single" w:sz="4" w:space="0" w:color="000000"/>
              <w:right w:val="single" w:sz="4" w:space="0" w:color="000000"/>
            </w:tcBorders>
            <w:shd w:val="clear" w:color="auto" w:fill="EAF1DD" w:themeFill="accent3" w:themeFillTint="33"/>
            <w:tcMar>
              <w:top w:w="100" w:type="dxa"/>
              <w:left w:w="100" w:type="dxa"/>
              <w:bottom w:w="100" w:type="dxa"/>
              <w:right w:w="100" w:type="dxa"/>
            </w:tcMar>
          </w:tcPr>
          <w:p w14:paraId="09FC1DE4" w14:textId="144F2073" w:rsidR="00C71CDB" w:rsidRDefault="00322600" w:rsidP="00DA7C87">
            <w:r>
              <w:rPr>
                <w:b/>
                <w:bCs/>
              </w:rPr>
              <w:t>“</w:t>
            </w:r>
            <w:r w:rsidR="00C71CDB">
              <w:rPr>
                <w:b/>
                <w:bCs/>
              </w:rPr>
              <w:t>Role</w:t>
            </w:r>
          </w:p>
        </w:tc>
        <w:tc>
          <w:tcPr>
            <w:tcW w:w="1335" w:type="dxa"/>
            <w:tcBorders>
              <w:top w:val="single" w:sz="4" w:space="0" w:color="000000"/>
              <w:left w:val="single" w:sz="4" w:space="0" w:color="000000"/>
              <w:bottom w:val="single" w:sz="4" w:space="0" w:color="000000"/>
              <w:right w:val="single" w:sz="4" w:space="0" w:color="000000"/>
            </w:tcBorders>
            <w:shd w:val="clear" w:color="auto" w:fill="EAF1DD" w:themeFill="accent3" w:themeFillTint="33"/>
            <w:tcMar>
              <w:top w:w="100" w:type="dxa"/>
              <w:left w:w="100" w:type="dxa"/>
              <w:bottom w:w="100" w:type="dxa"/>
              <w:right w:w="100" w:type="dxa"/>
            </w:tcMar>
          </w:tcPr>
          <w:p w14:paraId="281374A5" w14:textId="77777777" w:rsidR="00C71CDB" w:rsidRDefault="00C71CDB" w:rsidP="00DA7C87">
            <w:r>
              <w:rPr>
                <w:b/>
                <w:bCs/>
              </w:rPr>
              <w:t>Number</w:t>
            </w:r>
          </w:p>
        </w:tc>
        <w:tc>
          <w:tcPr>
            <w:tcW w:w="5074" w:type="dxa"/>
            <w:tcBorders>
              <w:top w:val="single" w:sz="4" w:space="0" w:color="000000"/>
              <w:left w:val="single" w:sz="4" w:space="0" w:color="000000"/>
              <w:bottom w:val="single" w:sz="4" w:space="0" w:color="000000"/>
              <w:right w:val="single" w:sz="4" w:space="0" w:color="000000"/>
            </w:tcBorders>
            <w:shd w:val="clear" w:color="auto" w:fill="EAF1DD" w:themeFill="accent3" w:themeFillTint="33"/>
            <w:tcMar>
              <w:top w:w="100" w:type="dxa"/>
              <w:left w:w="100" w:type="dxa"/>
              <w:bottom w:w="100" w:type="dxa"/>
              <w:right w:w="100" w:type="dxa"/>
            </w:tcMar>
          </w:tcPr>
          <w:p w14:paraId="0D6E95FE" w14:textId="77777777" w:rsidR="00C71CDB" w:rsidRDefault="00C71CDB" w:rsidP="00DA7C87">
            <w:r>
              <w:rPr>
                <w:b/>
                <w:bCs/>
              </w:rPr>
              <w:t>Main responsibility</w:t>
            </w:r>
          </w:p>
        </w:tc>
      </w:tr>
      <w:tr w:rsidR="00C71CDB" w14:paraId="419B1A5B" w14:textId="77777777" w:rsidTr="00EF66B6">
        <w:trPr>
          <w:trHeight w:val="785"/>
        </w:trPr>
        <w:tc>
          <w:tcPr>
            <w:tcW w:w="2951" w:type="dxa"/>
            <w:tcBorders>
              <w:top w:val="single" w:sz="4" w:space="0" w:color="000000"/>
              <w:left w:val="single" w:sz="4" w:space="0" w:color="000000"/>
              <w:bottom w:val="single" w:sz="4" w:space="0" w:color="000000"/>
              <w:right w:val="single" w:sz="4" w:space="0" w:color="000000"/>
            </w:tcBorders>
            <w:shd w:val="clear" w:color="auto" w:fill="EAF1DD" w:themeFill="accent3" w:themeFillTint="33"/>
            <w:tcMar>
              <w:top w:w="100" w:type="dxa"/>
              <w:left w:w="100" w:type="dxa"/>
              <w:bottom w:w="100" w:type="dxa"/>
              <w:right w:w="100" w:type="dxa"/>
            </w:tcMar>
          </w:tcPr>
          <w:p w14:paraId="5F9CF437" w14:textId="77777777" w:rsidR="00C71CDB" w:rsidRDefault="00C71CDB" w:rsidP="00DA7C87">
            <w:r>
              <w:t>Founder/General Manager</w:t>
            </w:r>
          </w:p>
        </w:tc>
        <w:tc>
          <w:tcPr>
            <w:tcW w:w="1335" w:type="dxa"/>
            <w:tcBorders>
              <w:top w:val="single" w:sz="4" w:space="0" w:color="000000"/>
              <w:left w:val="single" w:sz="4" w:space="0" w:color="000000"/>
              <w:bottom w:val="single" w:sz="4" w:space="0" w:color="000000"/>
              <w:right w:val="single" w:sz="4" w:space="0" w:color="000000"/>
            </w:tcBorders>
            <w:shd w:val="clear" w:color="auto" w:fill="EAF1DD" w:themeFill="accent3" w:themeFillTint="33"/>
            <w:tcMar>
              <w:top w:w="100" w:type="dxa"/>
              <w:left w:w="100" w:type="dxa"/>
              <w:bottom w:w="100" w:type="dxa"/>
              <w:right w:w="100" w:type="dxa"/>
            </w:tcMar>
          </w:tcPr>
          <w:p w14:paraId="2351C710" w14:textId="77777777" w:rsidR="00C71CDB" w:rsidRDefault="00C71CDB" w:rsidP="00DA7C87">
            <w:r>
              <w:t>1</w:t>
            </w:r>
          </w:p>
        </w:tc>
        <w:tc>
          <w:tcPr>
            <w:tcW w:w="5074" w:type="dxa"/>
            <w:tcBorders>
              <w:top w:val="single" w:sz="4" w:space="0" w:color="000000"/>
              <w:left w:val="single" w:sz="4" w:space="0" w:color="000000"/>
              <w:bottom w:val="single" w:sz="4" w:space="0" w:color="000000"/>
              <w:right w:val="single" w:sz="4" w:space="0" w:color="000000"/>
            </w:tcBorders>
            <w:shd w:val="clear" w:color="auto" w:fill="EAF1DD" w:themeFill="accent3" w:themeFillTint="33"/>
            <w:tcMar>
              <w:top w:w="100" w:type="dxa"/>
              <w:left w:w="100" w:type="dxa"/>
              <w:bottom w:w="100" w:type="dxa"/>
              <w:right w:w="100" w:type="dxa"/>
            </w:tcMar>
          </w:tcPr>
          <w:p w14:paraId="134E6591" w14:textId="77777777" w:rsidR="00C71CDB" w:rsidRDefault="00C71CDB" w:rsidP="00DA7C87">
            <w:r>
              <w:t>Strategies, financial management, supplier management and key accounts</w:t>
            </w:r>
          </w:p>
        </w:tc>
      </w:tr>
      <w:tr w:rsidR="00C71CDB" w14:paraId="11AE76CC" w14:textId="77777777" w:rsidTr="00EF66B6">
        <w:trPr>
          <w:trHeight w:val="785"/>
        </w:trPr>
        <w:tc>
          <w:tcPr>
            <w:tcW w:w="2951" w:type="dxa"/>
            <w:tcBorders>
              <w:top w:val="single" w:sz="4" w:space="0" w:color="000000"/>
              <w:left w:val="single" w:sz="4" w:space="0" w:color="000000"/>
              <w:bottom w:val="single" w:sz="4" w:space="0" w:color="000000"/>
              <w:right w:val="single" w:sz="4" w:space="0" w:color="000000"/>
            </w:tcBorders>
            <w:shd w:val="clear" w:color="auto" w:fill="EAF1DD" w:themeFill="accent3" w:themeFillTint="33"/>
            <w:tcMar>
              <w:top w:w="100" w:type="dxa"/>
              <w:left w:w="100" w:type="dxa"/>
              <w:bottom w:w="100" w:type="dxa"/>
              <w:right w:w="100" w:type="dxa"/>
            </w:tcMar>
          </w:tcPr>
          <w:p w14:paraId="764EF51D" w14:textId="77777777" w:rsidR="00C71CDB" w:rsidRDefault="00C71CDB" w:rsidP="00DA7C87">
            <w:r>
              <w:t>Sales &amp; Operations Executive</w:t>
            </w:r>
          </w:p>
        </w:tc>
        <w:tc>
          <w:tcPr>
            <w:tcW w:w="1335" w:type="dxa"/>
            <w:tcBorders>
              <w:top w:val="single" w:sz="4" w:space="0" w:color="000000"/>
              <w:left w:val="single" w:sz="4" w:space="0" w:color="000000"/>
              <w:bottom w:val="single" w:sz="4" w:space="0" w:color="000000"/>
              <w:right w:val="single" w:sz="4" w:space="0" w:color="000000"/>
            </w:tcBorders>
            <w:shd w:val="clear" w:color="auto" w:fill="EAF1DD" w:themeFill="accent3" w:themeFillTint="33"/>
            <w:tcMar>
              <w:top w:w="100" w:type="dxa"/>
              <w:left w:w="100" w:type="dxa"/>
              <w:bottom w:w="100" w:type="dxa"/>
              <w:right w:w="100" w:type="dxa"/>
            </w:tcMar>
          </w:tcPr>
          <w:p w14:paraId="4E1E547E" w14:textId="77777777" w:rsidR="00C71CDB" w:rsidRDefault="00C71CDB" w:rsidP="00DA7C87">
            <w:r>
              <w:t>1 FTE</w:t>
            </w:r>
          </w:p>
        </w:tc>
        <w:tc>
          <w:tcPr>
            <w:tcW w:w="5074" w:type="dxa"/>
            <w:tcBorders>
              <w:top w:val="single" w:sz="4" w:space="0" w:color="000000"/>
              <w:left w:val="single" w:sz="4" w:space="0" w:color="000000"/>
              <w:bottom w:val="single" w:sz="4" w:space="0" w:color="000000"/>
              <w:right w:val="single" w:sz="4" w:space="0" w:color="000000"/>
            </w:tcBorders>
            <w:shd w:val="clear" w:color="auto" w:fill="EAF1DD" w:themeFill="accent3" w:themeFillTint="33"/>
            <w:tcMar>
              <w:top w:w="100" w:type="dxa"/>
              <w:left w:w="100" w:type="dxa"/>
              <w:bottom w:w="100" w:type="dxa"/>
              <w:right w:w="100" w:type="dxa"/>
            </w:tcMar>
          </w:tcPr>
          <w:p w14:paraId="7C9C4275" w14:textId="77777777" w:rsidR="00C71CDB" w:rsidRDefault="00C71CDB" w:rsidP="00DA7C87">
            <w:r>
              <w:t>Leads, quotations, CRM, orders and customer support.</w:t>
            </w:r>
          </w:p>
        </w:tc>
      </w:tr>
      <w:tr w:rsidR="00C71CDB" w14:paraId="51A3D38A" w14:textId="77777777" w:rsidTr="00EF66B6">
        <w:trPr>
          <w:trHeight w:val="515"/>
        </w:trPr>
        <w:tc>
          <w:tcPr>
            <w:tcW w:w="2951" w:type="dxa"/>
            <w:tcBorders>
              <w:top w:val="single" w:sz="4" w:space="0" w:color="000000"/>
              <w:left w:val="single" w:sz="4" w:space="0" w:color="000000"/>
              <w:bottom w:val="single" w:sz="4" w:space="0" w:color="000000"/>
              <w:right w:val="single" w:sz="4" w:space="0" w:color="000000"/>
            </w:tcBorders>
            <w:shd w:val="clear" w:color="auto" w:fill="EAF1DD" w:themeFill="accent3" w:themeFillTint="33"/>
            <w:tcMar>
              <w:top w:w="100" w:type="dxa"/>
              <w:left w:w="100" w:type="dxa"/>
              <w:bottom w:w="100" w:type="dxa"/>
              <w:right w:w="100" w:type="dxa"/>
            </w:tcMar>
          </w:tcPr>
          <w:p w14:paraId="6D101FFC" w14:textId="77777777" w:rsidR="00C71CDB" w:rsidRDefault="00C71CDB" w:rsidP="00DA7C87">
            <w:r>
              <w:t>Accountant</w:t>
            </w:r>
          </w:p>
        </w:tc>
        <w:tc>
          <w:tcPr>
            <w:tcW w:w="1335" w:type="dxa"/>
            <w:tcBorders>
              <w:top w:val="single" w:sz="4" w:space="0" w:color="000000"/>
              <w:left w:val="single" w:sz="4" w:space="0" w:color="000000"/>
              <w:bottom w:val="single" w:sz="4" w:space="0" w:color="000000"/>
              <w:right w:val="single" w:sz="4" w:space="0" w:color="000000"/>
            </w:tcBorders>
            <w:shd w:val="clear" w:color="auto" w:fill="EAF1DD" w:themeFill="accent3" w:themeFillTint="33"/>
            <w:tcMar>
              <w:top w:w="100" w:type="dxa"/>
              <w:left w:w="100" w:type="dxa"/>
              <w:bottom w:w="100" w:type="dxa"/>
              <w:right w:w="100" w:type="dxa"/>
            </w:tcMar>
          </w:tcPr>
          <w:p w14:paraId="1EA80960" w14:textId="77777777" w:rsidR="00C71CDB" w:rsidRDefault="00C71CDB" w:rsidP="00DA7C87">
            <w:r>
              <w:t>Outsourced</w:t>
            </w:r>
          </w:p>
        </w:tc>
        <w:tc>
          <w:tcPr>
            <w:tcW w:w="5074" w:type="dxa"/>
            <w:tcBorders>
              <w:top w:val="single" w:sz="4" w:space="0" w:color="000000"/>
              <w:left w:val="single" w:sz="4" w:space="0" w:color="000000"/>
              <w:bottom w:val="single" w:sz="4" w:space="0" w:color="000000"/>
              <w:right w:val="single" w:sz="4" w:space="0" w:color="000000"/>
            </w:tcBorders>
            <w:shd w:val="clear" w:color="auto" w:fill="EAF1DD" w:themeFill="accent3" w:themeFillTint="33"/>
            <w:tcMar>
              <w:top w:w="100" w:type="dxa"/>
              <w:left w:w="100" w:type="dxa"/>
              <w:bottom w:w="100" w:type="dxa"/>
              <w:right w:w="100" w:type="dxa"/>
            </w:tcMar>
          </w:tcPr>
          <w:p w14:paraId="2F7C610C" w14:textId="77777777" w:rsidR="00C71CDB" w:rsidRDefault="00C71CDB" w:rsidP="00DA7C87">
            <w:r>
              <w:t>Accounts, tax and reporting</w:t>
            </w:r>
          </w:p>
        </w:tc>
      </w:tr>
      <w:tr w:rsidR="00C71CDB" w14:paraId="161A7C38" w14:textId="77777777" w:rsidTr="00EF66B6">
        <w:trPr>
          <w:trHeight w:val="515"/>
        </w:trPr>
        <w:tc>
          <w:tcPr>
            <w:tcW w:w="2951" w:type="dxa"/>
            <w:tcBorders>
              <w:top w:val="single" w:sz="4" w:space="0" w:color="000000"/>
              <w:left w:val="single" w:sz="4" w:space="0" w:color="000000"/>
              <w:bottom w:val="single" w:sz="4" w:space="0" w:color="000000"/>
              <w:right w:val="single" w:sz="4" w:space="0" w:color="000000"/>
            </w:tcBorders>
            <w:shd w:val="clear" w:color="auto" w:fill="EAF1DD" w:themeFill="accent3" w:themeFillTint="33"/>
            <w:tcMar>
              <w:top w:w="100" w:type="dxa"/>
              <w:left w:w="100" w:type="dxa"/>
              <w:bottom w:w="100" w:type="dxa"/>
              <w:right w:w="100" w:type="dxa"/>
            </w:tcMar>
          </w:tcPr>
          <w:p w14:paraId="14F7283B" w14:textId="77777777" w:rsidR="00C71CDB" w:rsidRDefault="00C71CDB" w:rsidP="00DA7C87">
            <w:r>
              <w:t>Digital/IT specialist</w:t>
            </w:r>
          </w:p>
        </w:tc>
        <w:tc>
          <w:tcPr>
            <w:tcW w:w="1335" w:type="dxa"/>
            <w:tcBorders>
              <w:top w:val="single" w:sz="4" w:space="0" w:color="000000"/>
              <w:left w:val="single" w:sz="4" w:space="0" w:color="000000"/>
              <w:bottom w:val="single" w:sz="4" w:space="0" w:color="000000"/>
              <w:right w:val="single" w:sz="4" w:space="0" w:color="000000"/>
            </w:tcBorders>
            <w:shd w:val="clear" w:color="auto" w:fill="EAF1DD" w:themeFill="accent3" w:themeFillTint="33"/>
            <w:tcMar>
              <w:top w:w="100" w:type="dxa"/>
              <w:left w:w="100" w:type="dxa"/>
              <w:bottom w:w="100" w:type="dxa"/>
              <w:right w:w="100" w:type="dxa"/>
            </w:tcMar>
          </w:tcPr>
          <w:p w14:paraId="68CF23C4" w14:textId="77777777" w:rsidR="00C71CDB" w:rsidRDefault="00C71CDB" w:rsidP="00DA7C87">
            <w:r>
              <w:t>Outsourced</w:t>
            </w:r>
          </w:p>
        </w:tc>
        <w:tc>
          <w:tcPr>
            <w:tcW w:w="5074" w:type="dxa"/>
            <w:tcBorders>
              <w:top w:val="single" w:sz="4" w:space="0" w:color="000000"/>
              <w:left w:val="single" w:sz="4" w:space="0" w:color="000000"/>
              <w:bottom w:val="single" w:sz="4" w:space="0" w:color="000000"/>
              <w:right w:val="single" w:sz="4" w:space="0" w:color="000000"/>
            </w:tcBorders>
            <w:shd w:val="clear" w:color="auto" w:fill="EAF1DD" w:themeFill="accent3" w:themeFillTint="33"/>
            <w:tcMar>
              <w:top w:w="100" w:type="dxa"/>
              <w:left w:w="100" w:type="dxa"/>
              <w:bottom w:w="100" w:type="dxa"/>
              <w:right w:w="100" w:type="dxa"/>
            </w:tcMar>
          </w:tcPr>
          <w:p w14:paraId="6D9C0937" w14:textId="77777777" w:rsidR="00C71CDB" w:rsidRDefault="00C71CDB" w:rsidP="00DA7C87">
            <w:r>
              <w:t>Website and technical maintenance</w:t>
            </w:r>
          </w:p>
        </w:tc>
      </w:tr>
      <w:tr w:rsidR="00C71CDB" w14:paraId="5A4BB43B" w14:textId="77777777" w:rsidTr="00EF66B6">
        <w:trPr>
          <w:trHeight w:val="515"/>
        </w:trPr>
        <w:tc>
          <w:tcPr>
            <w:tcW w:w="2951" w:type="dxa"/>
            <w:tcBorders>
              <w:top w:val="single" w:sz="4" w:space="0" w:color="000000"/>
              <w:left w:val="single" w:sz="4" w:space="0" w:color="000000"/>
              <w:bottom w:val="single" w:sz="4" w:space="0" w:color="000000"/>
              <w:right w:val="single" w:sz="4" w:space="0" w:color="000000"/>
            </w:tcBorders>
            <w:shd w:val="clear" w:color="auto" w:fill="EAF1DD" w:themeFill="accent3" w:themeFillTint="33"/>
            <w:tcMar>
              <w:top w:w="100" w:type="dxa"/>
              <w:left w:w="100" w:type="dxa"/>
              <w:bottom w:w="100" w:type="dxa"/>
              <w:right w:w="100" w:type="dxa"/>
            </w:tcMar>
          </w:tcPr>
          <w:p w14:paraId="111C1FED" w14:textId="77777777" w:rsidR="00C71CDB" w:rsidRDefault="00C71CDB" w:rsidP="00DA7C87">
            <w:r>
              <w:lastRenderedPageBreak/>
              <w:t>Logistics provider</w:t>
            </w:r>
          </w:p>
        </w:tc>
        <w:tc>
          <w:tcPr>
            <w:tcW w:w="1335" w:type="dxa"/>
            <w:tcBorders>
              <w:top w:val="single" w:sz="4" w:space="0" w:color="000000"/>
              <w:left w:val="single" w:sz="4" w:space="0" w:color="000000"/>
              <w:bottom w:val="single" w:sz="4" w:space="0" w:color="000000"/>
              <w:right w:val="single" w:sz="4" w:space="0" w:color="000000"/>
            </w:tcBorders>
            <w:shd w:val="clear" w:color="auto" w:fill="EAF1DD" w:themeFill="accent3" w:themeFillTint="33"/>
            <w:tcMar>
              <w:top w:w="100" w:type="dxa"/>
              <w:left w:w="100" w:type="dxa"/>
              <w:bottom w:w="100" w:type="dxa"/>
              <w:right w:w="100" w:type="dxa"/>
            </w:tcMar>
          </w:tcPr>
          <w:p w14:paraId="7F0187AF" w14:textId="77777777" w:rsidR="00C71CDB" w:rsidRDefault="00C71CDB" w:rsidP="00DA7C87">
            <w:r>
              <w:t>Partner</w:t>
            </w:r>
          </w:p>
        </w:tc>
        <w:tc>
          <w:tcPr>
            <w:tcW w:w="5074" w:type="dxa"/>
            <w:tcBorders>
              <w:top w:val="single" w:sz="4" w:space="0" w:color="000000"/>
              <w:left w:val="single" w:sz="4" w:space="0" w:color="000000"/>
              <w:bottom w:val="single" w:sz="4" w:space="0" w:color="000000"/>
              <w:right w:val="single" w:sz="4" w:space="0" w:color="000000"/>
            </w:tcBorders>
            <w:shd w:val="clear" w:color="auto" w:fill="EAF1DD" w:themeFill="accent3" w:themeFillTint="33"/>
            <w:tcMar>
              <w:top w:w="100" w:type="dxa"/>
              <w:left w:w="100" w:type="dxa"/>
              <w:bottom w:w="100" w:type="dxa"/>
              <w:right w:w="100" w:type="dxa"/>
            </w:tcMar>
          </w:tcPr>
          <w:p w14:paraId="78BF3470" w14:textId="4A29C511" w:rsidR="00C71CDB" w:rsidRDefault="00C71CDB" w:rsidP="00DA7C87">
            <w:r>
              <w:t>Storage, fulfilment and delivery</w:t>
            </w:r>
            <w:r w:rsidR="00322600">
              <w:t>”</w:t>
            </w:r>
          </w:p>
        </w:tc>
      </w:tr>
    </w:tbl>
    <w:p w14:paraId="2A11AEDA" w14:textId="495D8080" w:rsidR="00EF66B6" w:rsidRPr="00FB7622" w:rsidRDefault="00EF66B6" w:rsidP="00EF66B6">
      <w:pPr>
        <w:pStyle w:val="Heading6"/>
      </w:pPr>
      <w:bookmarkStart w:id="184" w:name="_Toc241008870"/>
      <w:r w:rsidRPr="00FB7622">
        <w:t>Table 1</w:t>
      </w:r>
      <w:r>
        <w:t>4</w:t>
      </w:r>
      <w:r w:rsidRPr="00FB7622">
        <w:t>: “</w:t>
      </w:r>
      <w:r>
        <w:t>Human Management</w:t>
      </w:r>
      <w:r w:rsidRPr="00FB7622">
        <w:t>”</w:t>
      </w:r>
      <w:bookmarkEnd w:id="184"/>
    </w:p>
    <w:p w14:paraId="4B9B90E0" w14:textId="229EE61A" w:rsidR="00EF66B6" w:rsidRDefault="00EF66B6" w:rsidP="00EF66B6">
      <w:pPr>
        <w:jc w:val="center"/>
      </w:pPr>
      <w:r>
        <w:t>(Source: Created by Author)</w:t>
      </w:r>
    </w:p>
    <w:p w14:paraId="254E2BE7" w14:textId="45543C56" w:rsidR="00C71CDB" w:rsidRDefault="00C71CDB" w:rsidP="00C71CDB">
      <w:r>
        <w:t>The Year-1 labour and specialist-support budget is some €42,000 of which €18,000 is founder remuneration, €20,000 is employment cost in sales/operations and approximately €4,000 is outsourced support.</w:t>
      </w:r>
    </w:p>
    <w:p w14:paraId="42F7090C" w14:textId="77777777" w:rsidR="00C71CDB" w:rsidRDefault="00C71CDB" w:rsidP="00C71CDB">
      <w:r>
        <w:t>This assumption should be fine-tuned for the country of employment selected. Average EU hourly labour costs in 2025 are reported to be €34.90, but the hourly rates vary widely from €12.00 in Bulgaria to €56.80 in Luxembourg, so EcoPack can't make a single European wage assumption for all locations.</w:t>
      </w:r>
    </w:p>
    <w:p w14:paraId="1A22D9D1" w14:textId="77777777" w:rsidR="00C71CDB" w:rsidRDefault="00C71CDB" w:rsidP="00C71CDB">
      <w:r>
        <w:t>Emphasis will be placed on B2B sales, CRM, packaging knowledge and supplier coordination, with an emphasis on customer service. Product specifications, PPWR, training in sustainability claims, CRM and complaint management. We will have metrics such as response time, qualified leads, quotation conversions, AOV, gross margin and repeat orders.</w:t>
      </w:r>
    </w:p>
    <w:p w14:paraId="5E2B25D3" w14:textId="77777777" w:rsidR="00684A66" w:rsidRDefault="00684A66">
      <w:pPr>
        <w:rPr>
          <w:b/>
          <w:bCs/>
        </w:rPr>
      </w:pPr>
      <w:bookmarkStart w:id="185" w:name="_khz2xlp9zo23" w:colFirst="0" w:colLast="0"/>
      <w:bookmarkStart w:id="186" w:name="_Toc241008280"/>
      <w:bookmarkEnd w:id="185"/>
      <w:r>
        <w:br w:type="page"/>
      </w:r>
    </w:p>
    <w:p w14:paraId="460AF334" w14:textId="43DF0762" w:rsidR="00C71CDB" w:rsidRDefault="00C71CDB" w:rsidP="00C71CDB">
      <w:pPr>
        <w:pStyle w:val="Heading1"/>
        <w:keepNext w:val="0"/>
        <w:keepLines w:val="0"/>
        <w:rPr>
          <w:b w:val="0"/>
          <w:bCs w:val="0"/>
        </w:rPr>
      </w:pPr>
      <w:r>
        <w:lastRenderedPageBreak/>
        <w:t>Chapter 10: Operations Plan</w:t>
      </w:r>
      <w:bookmarkEnd w:id="186"/>
    </w:p>
    <w:p w14:paraId="2D20E849" w14:textId="77777777" w:rsidR="00C71CDB" w:rsidRDefault="00C71CDB" w:rsidP="00C71CDB">
      <w:pPr>
        <w:pStyle w:val="Heading2"/>
        <w:keepNext w:val="0"/>
        <w:keepLines w:val="0"/>
        <w:rPr>
          <w:b w:val="0"/>
          <w:bCs w:val="0"/>
        </w:rPr>
      </w:pPr>
      <w:bookmarkStart w:id="187" w:name="_2hq6oblys8s1" w:colFirst="0" w:colLast="0"/>
      <w:bookmarkStart w:id="188" w:name="_Toc241008281"/>
      <w:bookmarkEnd w:id="187"/>
      <w:r>
        <w:t>10.1 Operating model, scope and frameworks</w:t>
      </w:r>
      <w:bookmarkEnd w:id="188"/>
    </w:p>
    <w:p w14:paraId="627BFC8D" w14:textId="77777777" w:rsidR="00C71CDB" w:rsidRDefault="00C71CDB" w:rsidP="00C71CDB">
      <w:r>
        <w:t>EcoPack Solutions will be an asset-light, digitally coordinated sustainable packaging solutions provider to European e-commerce SMEs. At the launch of the business, the company will not produce packaging. Rather, it will find specific packaging from recognized European manufacturers and distributors, order this packaging via a digital ordering platform and utilize third-party logistics (3PL) companies or supplier-direct fulfilment. This design is designed to allow EcoPack to focus on product curation, customer service, sustainability data and supplier coordination, while reducing capital expenditure.</w:t>
      </w:r>
    </w:p>
    <w:p w14:paraId="4994AABA" w14:textId="77777777" w:rsidR="00C71CDB" w:rsidRDefault="00C71CDB" w:rsidP="00C71CDB">
      <w:r>
        <w:t>This is in line with sustainable supply-chain studies, which have identified supplying power, supplier capability, sustainability and cooperation and risk as key dimensions of supplier selection especially for SMEs (Sun, and Lu, 2026). Value proposition is guaranteed to be delivered consistently by using process mapping, inventory-control and quality-management principles.</w:t>
      </w:r>
    </w:p>
    <w:p w14:paraId="676684EC" w14:textId="77777777" w:rsidR="00C71CDB" w:rsidRDefault="00C71CDB" w:rsidP="00C71CDB">
      <w:pPr>
        <w:pStyle w:val="Heading2"/>
        <w:keepNext w:val="0"/>
        <w:keepLines w:val="0"/>
        <w:rPr>
          <w:b w:val="0"/>
          <w:bCs w:val="0"/>
        </w:rPr>
      </w:pPr>
      <w:bookmarkStart w:id="189" w:name="_95j7wkcv0g3d" w:colFirst="0" w:colLast="0"/>
      <w:bookmarkStart w:id="190" w:name="_Toc241008282"/>
      <w:bookmarkEnd w:id="189"/>
      <w:r>
        <w:t>10.2 Operational workflow and capacity</w:t>
      </w:r>
      <w:bookmarkEnd w:id="190"/>
    </w:p>
    <w:p w14:paraId="63064C64" w14:textId="77777777" w:rsidR="00C71CDB" w:rsidRDefault="00C71CDB" w:rsidP="00C71CDB">
      <w:r>
        <w:t>The operating procedure starts with an online enquiry, quotation or order from an SME. Sales and Operations Executive confirms the packaging type, dimension, quantity and delivery destination and payment status. The order-management system then checks the availability of the supplier/3PL. Available products are fulfilled and unavailable products initiate procurement from an approved supplier. The last stage includes quality checking, delivery confirmation, invoicing and customer feedback.</w:t>
      </w:r>
    </w:p>
    <w:p w14:paraId="31FE7667" w14:textId="77777777" w:rsidR="00C71CDB" w:rsidRDefault="00C71CDB" w:rsidP="00C71CDB">
      <w:pPr>
        <w:jc w:val="center"/>
        <w:rPr>
          <w:b/>
          <w:bCs/>
        </w:rPr>
      </w:pPr>
      <w:bookmarkStart w:id="191" w:name="_oziz9z6yt2bo" w:colFirst="0" w:colLast="0"/>
      <w:bookmarkEnd w:id="191"/>
      <w:r>
        <w:rPr>
          <w:b/>
          <w:bCs/>
          <w:noProof/>
        </w:rPr>
        <w:lastRenderedPageBreak/>
        <w:drawing>
          <wp:inline distT="114300" distB="114300" distL="114300" distR="114300" wp14:anchorId="326BE236" wp14:editId="6FD21232">
            <wp:extent cx="4793403" cy="4148138"/>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9"/>
                    <a:srcRect/>
                    <a:stretch>
                      <a:fillRect/>
                    </a:stretch>
                  </pic:blipFill>
                  <pic:spPr>
                    <a:xfrm>
                      <a:off x="0" y="0"/>
                      <a:ext cx="4793403" cy="4148138"/>
                    </a:xfrm>
                    <a:prstGeom prst="rect">
                      <a:avLst/>
                    </a:prstGeom>
                    <a:ln/>
                  </pic:spPr>
                </pic:pic>
              </a:graphicData>
            </a:graphic>
          </wp:inline>
        </w:drawing>
      </w:r>
    </w:p>
    <w:p w14:paraId="0A112649" w14:textId="72E890B8" w:rsidR="00C71CDB" w:rsidRDefault="00C71CDB" w:rsidP="004503E7">
      <w:pPr>
        <w:pStyle w:val="Heading5"/>
      </w:pPr>
      <w:bookmarkStart w:id="192" w:name="_Toc241007426"/>
      <w:r>
        <w:t>Figure</w:t>
      </w:r>
      <w:r w:rsidR="00322600">
        <w:t xml:space="preserve"> 10</w:t>
      </w:r>
      <w:r>
        <w:t>: “EcoPack Solutions operational flow”</w:t>
      </w:r>
      <w:bookmarkEnd w:id="192"/>
    </w:p>
    <w:p w14:paraId="4EF68254" w14:textId="77777777" w:rsidR="00C71CDB" w:rsidRDefault="00C71CDB" w:rsidP="00C71CDB">
      <w:pPr>
        <w:jc w:val="center"/>
      </w:pPr>
      <w:r>
        <w:t>(Source: Created by author)</w:t>
      </w:r>
    </w:p>
    <w:p w14:paraId="61F2B91D" w14:textId="77777777" w:rsidR="00C71CDB" w:rsidRDefault="00C71CDB" w:rsidP="00C71CDB">
      <w:r>
        <w:t>The Founder/General Manager will be responsible for the strategic suppliers, financial and regulatory decisions, and the Sales and Operations Executive will be responsible for handling quotations, customer communication, purchasing coordination, and routine exceptions. Selected IT activities will be outsourced as well as accounting.</w:t>
      </w:r>
    </w:p>
    <w:p w14:paraId="37B47D41" w14:textId="77777777" w:rsidR="00C71CDB" w:rsidRDefault="00C71CDB" w:rsidP="00C71CDB">
      <w:r>
        <w:t>Chapter 9 predicts 300 orders in Year 1, 800 orders in Year 2 and 1,600 orders in Year 3, or about 25, 67, and 133 orders per month, respectively. This demand isn't enough to warrant owned manufacturing or a big warehouse at launch. Physical production is therefore likely to be the least likely early constraint, as is supplier response, order coordination and customer service. A quotation standard might be to respond within 1 business day to a standard quotation request.</w:t>
      </w:r>
    </w:p>
    <w:p w14:paraId="2235F9C9" w14:textId="77777777" w:rsidR="00C71CDB" w:rsidRDefault="00C71CDB" w:rsidP="00C71CDB">
      <w:pPr>
        <w:pStyle w:val="Heading2"/>
        <w:keepNext w:val="0"/>
        <w:keepLines w:val="0"/>
        <w:rPr>
          <w:b w:val="0"/>
          <w:bCs w:val="0"/>
        </w:rPr>
      </w:pPr>
      <w:bookmarkStart w:id="193" w:name="_gof4odc9m04" w:colFirst="0" w:colLast="0"/>
      <w:bookmarkStart w:id="194" w:name="_Toc241008283"/>
      <w:bookmarkEnd w:id="193"/>
      <w:r>
        <w:t>10.3 Location, facilities and technology</w:t>
      </w:r>
      <w:bookmarkEnd w:id="194"/>
    </w:p>
    <w:p w14:paraId="0BBC5F53" w14:textId="77777777" w:rsidR="00C71CDB" w:rsidRDefault="00C71CDB" w:rsidP="00C71CDB">
      <w:r>
        <w:lastRenderedPageBreak/>
        <w:t>EcoPack will start with a small EU administrative/shared workspace, with outsourced warehousing and fulfilment. Having a retail store or a factory that has to be paid for but is not required to generate the forecast sales volume would be a fixed cost not necessary for the forecast sales volume. Therefore the administrative area chosen should have a firm internet connection, access to courier services, transport systems and a good availability of the required labor.</w:t>
      </w:r>
    </w:p>
    <w:p w14:paraId="54A1BBAF" w14:textId="77777777" w:rsidR="00C71CDB" w:rsidRDefault="00C71CDB" w:rsidP="00C71CDB">
      <w:r>
        <w:t>The essential technology infrastructure is:</w:t>
      </w:r>
    </w:p>
    <w:tbl>
      <w:tblPr>
        <w:tblW w:w="6115" w:type="dxa"/>
        <w:jc w:val="center"/>
        <w:tblBorders>
          <w:top w:val="nil"/>
          <w:left w:val="nil"/>
          <w:bottom w:val="nil"/>
          <w:right w:val="nil"/>
          <w:insideH w:val="nil"/>
          <w:insideV w:val="nil"/>
        </w:tblBorders>
        <w:shd w:val="clear" w:color="auto" w:fill="DAEEF3" w:themeFill="accent5" w:themeFillTint="33"/>
        <w:tblLayout w:type="fixed"/>
        <w:tblLook w:val="0600" w:firstRow="0" w:lastRow="0" w:firstColumn="0" w:lastColumn="0" w:noHBand="1" w:noVBand="1"/>
      </w:tblPr>
      <w:tblGrid>
        <w:gridCol w:w="2360"/>
        <w:gridCol w:w="3755"/>
      </w:tblGrid>
      <w:tr w:rsidR="00C71CDB" w14:paraId="48FA4DB9" w14:textId="77777777" w:rsidTr="00322600">
        <w:trPr>
          <w:trHeight w:val="515"/>
          <w:jc w:val="center"/>
        </w:trPr>
        <w:tc>
          <w:tcPr>
            <w:tcW w:w="2360" w:type="dxa"/>
            <w:tcBorders>
              <w:top w:val="single" w:sz="4" w:space="0" w:color="000000"/>
              <w:left w:val="single" w:sz="4" w:space="0" w:color="000000"/>
              <w:bottom w:val="single" w:sz="4" w:space="0" w:color="000000"/>
              <w:right w:val="single" w:sz="4" w:space="0" w:color="000000"/>
            </w:tcBorders>
            <w:shd w:val="clear" w:color="auto" w:fill="DAEEF3" w:themeFill="accent5" w:themeFillTint="33"/>
            <w:tcMar>
              <w:top w:w="100" w:type="dxa"/>
              <w:left w:w="100" w:type="dxa"/>
              <w:bottom w:w="100" w:type="dxa"/>
              <w:right w:w="100" w:type="dxa"/>
            </w:tcMar>
          </w:tcPr>
          <w:p w14:paraId="5BA9FBD1" w14:textId="35074AC7" w:rsidR="00C71CDB" w:rsidRDefault="00322600" w:rsidP="00DA7C87">
            <w:r>
              <w:rPr>
                <w:b/>
                <w:bCs/>
              </w:rPr>
              <w:t>“</w:t>
            </w:r>
            <w:r w:rsidR="00C71CDB">
              <w:rPr>
                <w:b/>
                <w:bCs/>
              </w:rPr>
              <w:t>Requirement</w:t>
            </w:r>
          </w:p>
        </w:tc>
        <w:tc>
          <w:tcPr>
            <w:tcW w:w="3755" w:type="dxa"/>
            <w:tcBorders>
              <w:top w:val="single" w:sz="4" w:space="0" w:color="000000"/>
              <w:left w:val="single" w:sz="4" w:space="0" w:color="000000"/>
              <w:bottom w:val="single" w:sz="4" w:space="0" w:color="000000"/>
              <w:right w:val="single" w:sz="4" w:space="0" w:color="000000"/>
            </w:tcBorders>
            <w:shd w:val="clear" w:color="auto" w:fill="DAEEF3" w:themeFill="accent5" w:themeFillTint="33"/>
            <w:tcMar>
              <w:top w:w="100" w:type="dxa"/>
              <w:left w:w="100" w:type="dxa"/>
              <w:bottom w:w="100" w:type="dxa"/>
              <w:right w:w="100" w:type="dxa"/>
            </w:tcMar>
          </w:tcPr>
          <w:p w14:paraId="232E7990" w14:textId="77777777" w:rsidR="00C71CDB" w:rsidRDefault="00C71CDB" w:rsidP="00DA7C87">
            <w:r>
              <w:rPr>
                <w:b/>
                <w:bCs/>
              </w:rPr>
              <w:t>Proposed system</w:t>
            </w:r>
          </w:p>
        </w:tc>
      </w:tr>
      <w:tr w:rsidR="00C71CDB" w14:paraId="3E6B095F" w14:textId="77777777" w:rsidTr="00322600">
        <w:trPr>
          <w:trHeight w:val="515"/>
          <w:jc w:val="center"/>
        </w:trPr>
        <w:tc>
          <w:tcPr>
            <w:tcW w:w="2360" w:type="dxa"/>
            <w:tcBorders>
              <w:top w:val="single" w:sz="4" w:space="0" w:color="000000"/>
              <w:left w:val="single" w:sz="4" w:space="0" w:color="000000"/>
              <w:bottom w:val="single" w:sz="4" w:space="0" w:color="000000"/>
              <w:right w:val="single" w:sz="4" w:space="0" w:color="000000"/>
            </w:tcBorders>
            <w:shd w:val="clear" w:color="auto" w:fill="DAEEF3" w:themeFill="accent5" w:themeFillTint="33"/>
            <w:tcMar>
              <w:top w:w="100" w:type="dxa"/>
              <w:left w:w="100" w:type="dxa"/>
              <w:bottom w:w="100" w:type="dxa"/>
              <w:right w:w="100" w:type="dxa"/>
            </w:tcMar>
          </w:tcPr>
          <w:p w14:paraId="458485D4" w14:textId="77777777" w:rsidR="00C71CDB" w:rsidRDefault="00C71CDB" w:rsidP="00DA7C87">
            <w:r>
              <w:t>Customer ordering</w:t>
            </w:r>
          </w:p>
        </w:tc>
        <w:tc>
          <w:tcPr>
            <w:tcW w:w="3755" w:type="dxa"/>
            <w:tcBorders>
              <w:top w:val="single" w:sz="4" w:space="0" w:color="000000"/>
              <w:left w:val="single" w:sz="4" w:space="0" w:color="000000"/>
              <w:bottom w:val="single" w:sz="4" w:space="0" w:color="000000"/>
              <w:right w:val="single" w:sz="4" w:space="0" w:color="000000"/>
            </w:tcBorders>
            <w:shd w:val="clear" w:color="auto" w:fill="DAEEF3" w:themeFill="accent5" w:themeFillTint="33"/>
            <w:tcMar>
              <w:top w:w="100" w:type="dxa"/>
              <w:left w:w="100" w:type="dxa"/>
              <w:bottom w:w="100" w:type="dxa"/>
              <w:right w:w="100" w:type="dxa"/>
            </w:tcMar>
          </w:tcPr>
          <w:p w14:paraId="080EE4C5" w14:textId="77777777" w:rsidR="00C71CDB" w:rsidRDefault="00C71CDB" w:rsidP="00DA7C87">
            <w:r>
              <w:t>E-commerce website/order portal</w:t>
            </w:r>
          </w:p>
        </w:tc>
      </w:tr>
      <w:tr w:rsidR="00C71CDB" w14:paraId="52EABAE1" w14:textId="77777777" w:rsidTr="00322600">
        <w:trPr>
          <w:trHeight w:val="515"/>
          <w:jc w:val="center"/>
        </w:trPr>
        <w:tc>
          <w:tcPr>
            <w:tcW w:w="2360" w:type="dxa"/>
            <w:tcBorders>
              <w:top w:val="single" w:sz="4" w:space="0" w:color="000000"/>
              <w:left w:val="single" w:sz="4" w:space="0" w:color="000000"/>
              <w:bottom w:val="single" w:sz="4" w:space="0" w:color="000000"/>
              <w:right w:val="single" w:sz="4" w:space="0" w:color="000000"/>
            </w:tcBorders>
            <w:shd w:val="clear" w:color="auto" w:fill="DAEEF3" w:themeFill="accent5" w:themeFillTint="33"/>
            <w:tcMar>
              <w:top w:w="100" w:type="dxa"/>
              <w:left w:w="100" w:type="dxa"/>
              <w:bottom w:w="100" w:type="dxa"/>
              <w:right w:w="100" w:type="dxa"/>
            </w:tcMar>
          </w:tcPr>
          <w:p w14:paraId="2B535702" w14:textId="77777777" w:rsidR="00C71CDB" w:rsidRDefault="00C71CDB" w:rsidP="00DA7C87">
            <w:r>
              <w:t>Customer information</w:t>
            </w:r>
          </w:p>
        </w:tc>
        <w:tc>
          <w:tcPr>
            <w:tcW w:w="3755" w:type="dxa"/>
            <w:tcBorders>
              <w:top w:val="single" w:sz="4" w:space="0" w:color="000000"/>
              <w:left w:val="single" w:sz="4" w:space="0" w:color="000000"/>
              <w:bottom w:val="single" w:sz="4" w:space="0" w:color="000000"/>
              <w:right w:val="single" w:sz="4" w:space="0" w:color="000000"/>
            </w:tcBorders>
            <w:shd w:val="clear" w:color="auto" w:fill="DAEEF3" w:themeFill="accent5" w:themeFillTint="33"/>
            <w:tcMar>
              <w:top w:w="100" w:type="dxa"/>
              <w:left w:w="100" w:type="dxa"/>
              <w:bottom w:w="100" w:type="dxa"/>
              <w:right w:w="100" w:type="dxa"/>
            </w:tcMar>
          </w:tcPr>
          <w:p w14:paraId="373DA4DE" w14:textId="77777777" w:rsidR="00C71CDB" w:rsidRDefault="00C71CDB" w:rsidP="00DA7C87">
            <w:r>
              <w:t>CRM</w:t>
            </w:r>
          </w:p>
        </w:tc>
      </w:tr>
      <w:tr w:rsidR="00C71CDB" w14:paraId="3A9E76C1" w14:textId="77777777" w:rsidTr="00322600">
        <w:trPr>
          <w:trHeight w:val="515"/>
          <w:jc w:val="center"/>
        </w:trPr>
        <w:tc>
          <w:tcPr>
            <w:tcW w:w="2360" w:type="dxa"/>
            <w:tcBorders>
              <w:top w:val="single" w:sz="4" w:space="0" w:color="000000"/>
              <w:left w:val="single" w:sz="4" w:space="0" w:color="000000"/>
              <w:bottom w:val="single" w:sz="4" w:space="0" w:color="000000"/>
              <w:right w:val="single" w:sz="4" w:space="0" w:color="000000"/>
            </w:tcBorders>
            <w:shd w:val="clear" w:color="auto" w:fill="DAEEF3" w:themeFill="accent5" w:themeFillTint="33"/>
            <w:tcMar>
              <w:top w:w="100" w:type="dxa"/>
              <w:left w:w="100" w:type="dxa"/>
              <w:bottom w:w="100" w:type="dxa"/>
              <w:right w:w="100" w:type="dxa"/>
            </w:tcMar>
          </w:tcPr>
          <w:p w14:paraId="1210289A" w14:textId="77777777" w:rsidR="00C71CDB" w:rsidRDefault="00C71CDB" w:rsidP="00DA7C87">
            <w:r>
              <w:t>Purchasing and stock</w:t>
            </w:r>
          </w:p>
        </w:tc>
        <w:tc>
          <w:tcPr>
            <w:tcW w:w="3755" w:type="dxa"/>
            <w:tcBorders>
              <w:top w:val="single" w:sz="4" w:space="0" w:color="000000"/>
              <w:left w:val="single" w:sz="4" w:space="0" w:color="000000"/>
              <w:bottom w:val="single" w:sz="4" w:space="0" w:color="000000"/>
              <w:right w:val="single" w:sz="4" w:space="0" w:color="000000"/>
            </w:tcBorders>
            <w:shd w:val="clear" w:color="auto" w:fill="DAEEF3" w:themeFill="accent5" w:themeFillTint="33"/>
            <w:tcMar>
              <w:top w:w="100" w:type="dxa"/>
              <w:left w:w="100" w:type="dxa"/>
              <w:bottom w:w="100" w:type="dxa"/>
              <w:right w:w="100" w:type="dxa"/>
            </w:tcMar>
          </w:tcPr>
          <w:p w14:paraId="10F24DC7" w14:textId="77777777" w:rsidR="00C71CDB" w:rsidRDefault="00C71CDB" w:rsidP="00DA7C87">
            <w:r>
              <w:t>Inventory/order-management system</w:t>
            </w:r>
          </w:p>
        </w:tc>
      </w:tr>
      <w:tr w:rsidR="00C71CDB" w14:paraId="25C917E7" w14:textId="77777777" w:rsidTr="00322600">
        <w:trPr>
          <w:trHeight w:val="515"/>
          <w:jc w:val="center"/>
        </w:trPr>
        <w:tc>
          <w:tcPr>
            <w:tcW w:w="2360" w:type="dxa"/>
            <w:tcBorders>
              <w:top w:val="single" w:sz="4" w:space="0" w:color="000000"/>
              <w:left w:val="single" w:sz="4" w:space="0" w:color="000000"/>
              <w:bottom w:val="single" w:sz="4" w:space="0" w:color="000000"/>
              <w:right w:val="single" w:sz="4" w:space="0" w:color="000000"/>
            </w:tcBorders>
            <w:shd w:val="clear" w:color="auto" w:fill="DAEEF3" w:themeFill="accent5" w:themeFillTint="33"/>
            <w:tcMar>
              <w:top w:w="100" w:type="dxa"/>
              <w:left w:w="100" w:type="dxa"/>
              <w:bottom w:w="100" w:type="dxa"/>
              <w:right w:w="100" w:type="dxa"/>
            </w:tcMar>
          </w:tcPr>
          <w:p w14:paraId="6C3E8B13" w14:textId="77777777" w:rsidR="00C71CDB" w:rsidRDefault="00C71CDB" w:rsidP="00DA7C87">
            <w:r>
              <w:t>Payment</w:t>
            </w:r>
          </w:p>
        </w:tc>
        <w:tc>
          <w:tcPr>
            <w:tcW w:w="3755" w:type="dxa"/>
            <w:tcBorders>
              <w:top w:val="single" w:sz="4" w:space="0" w:color="000000"/>
              <w:left w:val="single" w:sz="4" w:space="0" w:color="000000"/>
              <w:bottom w:val="single" w:sz="4" w:space="0" w:color="000000"/>
              <w:right w:val="single" w:sz="4" w:space="0" w:color="000000"/>
            </w:tcBorders>
            <w:shd w:val="clear" w:color="auto" w:fill="DAEEF3" w:themeFill="accent5" w:themeFillTint="33"/>
            <w:tcMar>
              <w:top w:w="100" w:type="dxa"/>
              <w:left w:w="100" w:type="dxa"/>
              <w:bottom w:w="100" w:type="dxa"/>
              <w:right w:w="100" w:type="dxa"/>
            </w:tcMar>
          </w:tcPr>
          <w:p w14:paraId="366A4440" w14:textId="77777777" w:rsidR="00C71CDB" w:rsidRDefault="00C71CDB" w:rsidP="00DA7C87">
            <w:r>
              <w:t>Secure payment platform</w:t>
            </w:r>
          </w:p>
        </w:tc>
      </w:tr>
      <w:tr w:rsidR="00C71CDB" w14:paraId="1992C95D" w14:textId="77777777" w:rsidTr="00322600">
        <w:trPr>
          <w:trHeight w:val="515"/>
          <w:jc w:val="center"/>
        </w:trPr>
        <w:tc>
          <w:tcPr>
            <w:tcW w:w="2360" w:type="dxa"/>
            <w:tcBorders>
              <w:top w:val="single" w:sz="4" w:space="0" w:color="000000"/>
              <w:left w:val="single" w:sz="4" w:space="0" w:color="000000"/>
              <w:bottom w:val="single" w:sz="4" w:space="0" w:color="000000"/>
              <w:right w:val="single" w:sz="4" w:space="0" w:color="000000"/>
            </w:tcBorders>
            <w:shd w:val="clear" w:color="auto" w:fill="DAEEF3" w:themeFill="accent5" w:themeFillTint="33"/>
            <w:tcMar>
              <w:top w:w="100" w:type="dxa"/>
              <w:left w:w="100" w:type="dxa"/>
              <w:bottom w:w="100" w:type="dxa"/>
              <w:right w:w="100" w:type="dxa"/>
            </w:tcMar>
          </w:tcPr>
          <w:p w14:paraId="2EA6CBCA" w14:textId="77777777" w:rsidR="00C71CDB" w:rsidRDefault="00C71CDB" w:rsidP="00DA7C87">
            <w:r>
              <w:t>Finance</w:t>
            </w:r>
          </w:p>
        </w:tc>
        <w:tc>
          <w:tcPr>
            <w:tcW w:w="3755" w:type="dxa"/>
            <w:tcBorders>
              <w:top w:val="single" w:sz="4" w:space="0" w:color="000000"/>
              <w:left w:val="single" w:sz="4" w:space="0" w:color="000000"/>
              <w:bottom w:val="single" w:sz="4" w:space="0" w:color="000000"/>
              <w:right w:val="single" w:sz="4" w:space="0" w:color="000000"/>
            </w:tcBorders>
            <w:shd w:val="clear" w:color="auto" w:fill="DAEEF3" w:themeFill="accent5" w:themeFillTint="33"/>
            <w:tcMar>
              <w:top w:w="100" w:type="dxa"/>
              <w:left w:w="100" w:type="dxa"/>
              <w:bottom w:w="100" w:type="dxa"/>
              <w:right w:w="100" w:type="dxa"/>
            </w:tcMar>
          </w:tcPr>
          <w:p w14:paraId="4FE4DA2D" w14:textId="77777777" w:rsidR="00C71CDB" w:rsidRDefault="00C71CDB" w:rsidP="00DA7C87">
            <w:r>
              <w:t>Cloud accounting</w:t>
            </w:r>
          </w:p>
        </w:tc>
      </w:tr>
      <w:tr w:rsidR="00C71CDB" w14:paraId="45493C4F" w14:textId="77777777" w:rsidTr="00322600">
        <w:trPr>
          <w:trHeight w:val="515"/>
          <w:jc w:val="center"/>
        </w:trPr>
        <w:tc>
          <w:tcPr>
            <w:tcW w:w="2360" w:type="dxa"/>
            <w:tcBorders>
              <w:top w:val="single" w:sz="4" w:space="0" w:color="000000"/>
              <w:left w:val="single" w:sz="4" w:space="0" w:color="000000"/>
              <w:bottom w:val="single" w:sz="4" w:space="0" w:color="000000"/>
              <w:right w:val="single" w:sz="4" w:space="0" w:color="000000"/>
            </w:tcBorders>
            <w:shd w:val="clear" w:color="auto" w:fill="DAEEF3" w:themeFill="accent5" w:themeFillTint="33"/>
            <w:tcMar>
              <w:top w:w="100" w:type="dxa"/>
              <w:left w:w="100" w:type="dxa"/>
              <w:bottom w:w="100" w:type="dxa"/>
              <w:right w:w="100" w:type="dxa"/>
            </w:tcMar>
          </w:tcPr>
          <w:p w14:paraId="2F43C689" w14:textId="77777777" w:rsidR="00C71CDB" w:rsidRDefault="00C71CDB" w:rsidP="00DA7C87">
            <w:r>
              <w:t>Supplier information</w:t>
            </w:r>
          </w:p>
        </w:tc>
        <w:tc>
          <w:tcPr>
            <w:tcW w:w="3755" w:type="dxa"/>
            <w:tcBorders>
              <w:top w:val="single" w:sz="4" w:space="0" w:color="000000"/>
              <w:left w:val="single" w:sz="4" w:space="0" w:color="000000"/>
              <w:bottom w:val="single" w:sz="4" w:space="0" w:color="000000"/>
              <w:right w:val="single" w:sz="4" w:space="0" w:color="000000"/>
            </w:tcBorders>
            <w:shd w:val="clear" w:color="auto" w:fill="DAEEF3" w:themeFill="accent5" w:themeFillTint="33"/>
            <w:tcMar>
              <w:top w:w="100" w:type="dxa"/>
              <w:left w:w="100" w:type="dxa"/>
              <w:bottom w:w="100" w:type="dxa"/>
              <w:right w:w="100" w:type="dxa"/>
            </w:tcMar>
          </w:tcPr>
          <w:p w14:paraId="56242FC3" w14:textId="77777777" w:rsidR="00C71CDB" w:rsidRDefault="00C71CDB" w:rsidP="00DA7C87">
            <w:r>
              <w:t>Supplier database</w:t>
            </w:r>
          </w:p>
        </w:tc>
      </w:tr>
      <w:tr w:rsidR="00C71CDB" w14:paraId="707B853B" w14:textId="77777777" w:rsidTr="00322600">
        <w:trPr>
          <w:trHeight w:val="515"/>
          <w:jc w:val="center"/>
        </w:trPr>
        <w:tc>
          <w:tcPr>
            <w:tcW w:w="2360" w:type="dxa"/>
            <w:tcBorders>
              <w:top w:val="single" w:sz="4" w:space="0" w:color="000000"/>
              <w:left w:val="single" w:sz="4" w:space="0" w:color="000000"/>
              <w:bottom w:val="single" w:sz="4" w:space="0" w:color="000000"/>
              <w:right w:val="single" w:sz="4" w:space="0" w:color="000000"/>
            </w:tcBorders>
            <w:shd w:val="clear" w:color="auto" w:fill="DAEEF3" w:themeFill="accent5" w:themeFillTint="33"/>
            <w:tcMar>
              <w:top w:w="100" w:type="dxa"/>
              <w:left w:w="100" w:type="dxa"/>
              <w:bottom w:w="100" w:type="dxa"/>
              <w:right w:w="100" w:type="dxa"/>
            </w:tcMar>
          </w:tcPr>
          <w:p w14:paraId="259B6ED4" w14:textId="77777777" w:rsidR="00C71CDB" w:rsidRDefault="00C71CDB" w:rsidP="00DA7C87">
            <w:r>
              <w:t>Compliance evidence</w:t>
            </w:r>
          </w:p>
        </w:tc>
        <w:tc>
          <w:tcPr>
            <w:tcW w:w="3755" w:type="dxa"/>
            <w:tcBorders>
              <w:top w:val="single" w:sz="4" w:space="0" w:color="000000"/>
              <w:left w:val="single" w:sz="4" w:space="0" w:color="000000"/>
              <w:bottom w:val="single" w:sz="4" w:space="0" w:color="000000"/>
              <w:right w:val="single" w:sz="4" w:space="0" w:color="000000"/>
            </w:tcBorders>
            <w:shd w:val="clear" w:color="auto" w:fill="DAEEF3" w:themeFill="accent5" w:themeFillTint="33"/>
            <w:tcMar>
              <w:top w:w="100" w:type="dxa"/>
              <w:left w:w="100" w:type="dxa"/>
              <w:bottom w:w="100" w:type="dxa"/>
              <w:right w:w="100" w:type="dxa"/>
            </w:tcMar>
          </w:tcPr>
          <w:p w14:paraId="56F78378" w14:textId="77777777" w:rsidR="00C71CDB" w:rsidRDefault="00C71CDB" w:rsidP="00DA7C87">
            <w:r>
              <w:t>Digital document repository</w:t>
            </w:r>
          </w:p>
        </w:tc>
      </w:tr>
      <w:tr w:rsidR="00C71CDB" w14:paraId="4C78A4C1" w14:textId="77777777" w:rsidTr="00322600">
        <w:trPr>
          <w:trHeight w:val="515"/>
          <w:jc w:val="center"/>
        </w:trPr>
        <w:tc>
          <w:tcPr>
            <w:tcW w:w="2360" w:type="dxa"/>
            <w:tcBorders>
              <w:top w:val="single" w:sz="4" w:space="0" w:color="000000"/>
              <w:left w:val="single" w:sz="4" w:space="0" w:color="000000"/>
              <w:bottom w:val="single" w:sz="4" w:space="0" w:color="000000"/>
              <w:right w:val="single" w:sz="4" w:space="0" w:color="000000"/>
            </w:tcBorders>
            <w:shd w:val="clear" w:color="auto" w:fill="DAEEF3" w:themeFill="accent5" w:themeFillTint="33"/>
            <w:tcMar>
              <w:top w:w="100" w:type="dxa"/>
              <w:left w:w="100" w:type="dxa"/>
              <w:bottom w:w="100" w:type="dxa"/>
              <w:right w:w="100" w:type="dxa"/>
            </w:tcMar>
          </w:tcPr>
          <w:p w14:paraId="4DB32530" w14:textId="77777777" w:rsidR="00C71CDB" w:rsidRDefault="00C71CDB" w:rsidP="00DA7C87">
            <w:r>
              <w:t>Customer support</w:t>
            </w:r>
          </w:p>
        </w:tc>
        <w:tc>
          <w:tcPr>
            <w:tcW w:w="3755" w:type="dxa"/>
            <w:tcBorders>
              <w:top w:val="single" w:sz="4" w:space="0" w:color="000000"/>
              <w:left w:val="single" w:sz="4" w:space="0" w:color="000000"/>
              <w:bottom w:val="single" w:sz="4" w:space="0" w:color="000000"/>
              <w:right w:val="single" w:sz="4" w:space="0" w:color="000000"/>
            </w:tcBorders>
            <w:shd w:val="clear" w:color="auto" w:fill="DAEEF3" w:themeFill="accent5" w:themeFillTint="33"/>
            <w:tcMar>
              <w:top w:w="100" w:type="dxa"/>
              <w:left w:w="100" w:type="dxa"/>
              <w:bottom w:w="100" w:type="dxa"/>
              <w:right w:w="100" w:type="dxa"/>
            </w:tcMar>
          </w:tcPr>
          <w:p w14:paraId="6CA68CE8" w14:textId="77777777" w:rsidR="00C71CDB" w:rsidRDefault="00C71CDB" w:rsidP="00DA7C87">
            <w:r>
              <w:t>CRM/email system</w:t>
            </w:r>
          </w:p>
        </w:tc>
      </w:tr>
      <w:tr w:rsidR="00C71CDB" w14:paraId="641B1994" w14:textId="77777777" w:rsidTr="00322600">
        <w:trPr>
          <w:trHeight w:val="515"/>
          <w:jc w:val="center"/>
        </w:trPr>
        <w:tc>
          <w:tcPr>
            <w:tcW w:w="2360" w:type="dxa"/>
            <w:tcBorders>
              <w:top w:val="single" w:sz="4" w:space="0" w:color="000000"/>
              <w:left w:val="single" w:sz="4" w:space="0" w:color="000000"/>
              <w:bottom w:val="single" w:sz="4" w:space="0" w:color="000000"/>
              <w:right w:val="single" w:sz="4" w:space="0" w:color="000000"/>
            </w:tcBorders>
            <w:shd w:val="clear" w:color="auto" w:fill="DAEEF3" w:themeFill="accent5" w:themeFillTint="33"/>
            <w:tcMar>
              <w:top w:w="100" w:type="dxa"/>
              <w:left w:w="100" w:type="dxa"/>
              <w:bottom w:w="100" w:type="dxa"/>
              <w:right w:w="100" w:type="dxa"/>
            </w:tcMar>
          </w:tcPr>
          <w:p w14:paraId="4B555F59" w14:textId="77777777" w:rsidR="00C71CDB" w:rsidRDefault="00C71CDB" w:rsidP="00DA7C87">
            <w:r>
              <w:lastRenderedPageBreak/>
              <w:t>Performance control</w:t>
            </w:r>
          </w:p>
        </w:tc>
        <w:tc>
          <w:tcPr>
            <w:tcW w:w="3755" w:type="dxa"/>
            <w:tcBorders>
              <w:top w:val="single" w:sz="4" w:space="0" w:color="000000"/>
              <w:left w:val="single" w:sz="4" w:space="0" w:color="000000"/>
              <w:bottom w:val="single" w:sz="4" w:space="0" w:color="000000"/>
              <w:right w:val="single" w:sz="4" w:space="0" w:color="000000"/>
            </w:tcBorders>
            <w:shd w:val="clear" w:color="auto" w:fill="DAEEF3" w:themeFill="accent5" w:themeFillTint="33"/>
            <w:tcMar>
              <w:top w:w="100" w:type="dxa"/>
              <w:left w:w="100" w:type="dxa"/>
              <w:bottom w:w="100" w:type="dxa"/>
              <w:right w:w="100" w:type="dxa"/>
            </w:tcMar>
          </w:tcPr>
          <w:p w14:paraId="2537AE01" w14:textId="32D0E609" w:rsidR="00C71CDB" w:rsidRDefault="00C71CDB" w:rsidP="00DA7C87">
            <w:r>
              <w:t>Monthly KPI dashboard</w:t>
            </w:r>
            <w:r w:rsidR="00322600">
              <w:t>”</w:t>
            </w:r>
          </w:p>
        </w:tc>
      </w:tr>
    </w:tbl>
    <w:p w14:paraId="6E31AF77" w14:textId="56D97A2B" w:rsidR="00EF66B6" w:rsidRPr="00FB7622" w:rsidRDefault="00EF66B6" w:rsidP="00EF66B6">
      <w:pPr>
        <w:pStyle w:val="Heading6"/>
      </w:pPr>
      <w:bookmarkStart w:id="195" w:name="_Toc241008871"/>
      <w:r w:rsidRPr="00FB7622">
        <w:t>Table 1</w:t>
      </w:r>
      <w:r>
        <w:t>5</w:t>
      </w:r>
      <w:r w:rsidRPr="00FB7622">
        <w:t>: “</w:t>
      </w:r>
      <w:r>
        <w:t>Technology infrastructure</w:t>
      </w:r>
      <w:r w:rsidRPr="00FB7622">
        <w:t>”</w:t>
      </w:r>
      <w:bookmarkEnd w:id="195"/>
    </w:p>
    <w:p w14:paraId="735DBD3D" w14:textId="49306998" w:rsidR="00EF66B6" w:rsidRDefault="00EF66B6" w:rsidP="00EF66B6">
      <w:pPr>
        <w:jc w:val="center"/>
      </w:pPr>
      <w:r>
        <w:t>(Source: Created by Author)</w:t>
      </w:r>
    </w:p>
    <w:p w14:paraId="7EB12BF6" w14:textId="46BD9DDB" w:rsidR="00C71CDB" w:rsidRDefault="00C71CDB" w:rsidP="00C71CDB">
      <w:r>
        <w:t xml:space="preserve">Technology should integrate ordering, purchasing, inventory, invoices and delivery details of customers to reduce duplicative administration. This is crucial not just for the materials used for packaging, but also for logistics and digital coordination for sustainable e-commerce. </w:t>
      </w:r>
    </w:p>
    <w:p w14:paraId="6DF07D77" w14:textId="77777777" w:rsidR="00C71CDB" w:rsidRDefault="00C71CDB" w:rsidP="00C71CDB">
      <w:pPr>
        <w:pStyle w:val="Heading2"/>
        <w:keepNext w:val="0"/>
        <w:keepLines w:val="0"/>
        <w:rPr>
          <w:b w:val="0"/>
          <w:bCs w:val="0"/>
        </w:rPr>
      </w:pPr>
      <w:bookmarkStart w:id="196" w:name="_jp0pw8suffwr" w:colFirst="0" w:colLast="0"/>
      <w:bookmarkStart w:id="197" w:name="_Toc241008284"/>
      <w:bookmarkEnd w:id="196"/>
      <w:r>
        <w:t>10.4 Supply chain, procurement, inventory and logistics</w:t>
      </w:r>
      <w:bookmarkEnd w:id="197"/>
    </w:p>
    <w:p w14:paraId="3E0A3D3C" w14:textId="77777777" w:rsidR="00C71CDB" w:rsidRDefault="00C71CDB" w:rsidP="00C71CDB">
      <w:r>
        <w:t>EcoPack will not be dependent on a single manufacturer, but will utilize several approved suppliers. Prices, size, quality of items, minimum order quantities, lead times, reliability, sustainability evidence, scalability will be taken into account during the selection process. According to academic research, sustainability and resilience should be taken together at the supplier selection stage, as disruption can have an impact on cost and service performance (Messaoudi, et al. 2025).</w:t>
      </w:r>
    </w:p>
    <w:p w14:paraId="29DBFC24" w14:textId="77777777" w:rsidR="00C71CDB" w:rsidRDefault="00C71CDB" w:rsidP="00C71CDB">
      <w:r>
        <w:t>The first product line will be recycled corrugated boxes, plain e-commerce mailer boxes, recycled poly mailers, kraft paper mailer bags, padded paper envelopes, compostable mailer boxes and recycled paper void-fill and paper packaging tape.</w:t>
      </w:r>
    </w:p>
    <w:p w14:paraId="7764C6A5" w14:textId="77777777" w:rsidR="00C71CDB" w:rsidRDefault="00C71CDB" w:rsidP="00C71CDB">
      <w:r>
        <w:t>A controlled low stock approach will be used for inventory. Both fast-moving standard products and customised and slow-moving products can be placed with a 3PL partner. A preliminary order trigger can be activated based on an estimate of the expected demand for approximately two weeks, which should be calculated taking into account the supplier's 'lead time'. This ensures that cash is not used to store inventory and also helps mitigate against out-of-stock situations.</w:t>
      </w:r>
    </w:p>
    <w:p w14:paraId="70259269" w14:textId="77777777" w:rsidR="00C71CDB" w:rsidRDefault="00C71CDB" w:rsidP="00C71CDB">
      <w:r>
        <w:t>EcoPack should have a backup supplier of critical product categories. Inbound products will be delivered via the 3PL or manufacturer and outbound will be sent via established parcel and freight carriers.</w:t>
      </w:r>
    </w:p>
    <w:p w14:paraId="6C6ECAB1" w14:textId="77777777" w:rsidR="00C71CDB" w:rsidRDefault="00C71CDB" w:rsidP="00C71CDB">
      <w:pPr>
        <w:pStyle w:val="Heading2"/>
        <w:keepNext w:val="0"/>
        <w:keepLines w:val="0"/>
        <w:rPr>
          <w:b w:val="0"/>
          <w:bCs w:val="0"/>
        </w:rPr>
      </w:pPr>
      <w:bookmarkStart w:id="198" w:name="_iayxl1nz8xsy" w:colFirst="0" w:colLast="0"/>
      <w:bookmarkStart w:id="199" w:name="_Toc241008285"/>
      <w:bookmarkEnd w:id="198"/>
      <w:r>
        <w:lastRenderedPageBreak/>
        <w:t>10.5 Quality, compliance and operational controls</w:t>
      </w:r>
      <w:bookmarkEnd w:id="199"/>
    </w:p>
    <w:p w14:paraId="7162CE93" w14:textId="77777777" w:rsidR="00C71CDB" w:rsidRDefault="00C71CDB" w:rsidP="00C71CDB">
      <w:r>
        <w:t>Ensuring quality will be achieved using documented specifications, approved suppliers and order-level checks. Each catalogue product will keep a record of dimensions, material, intended application, supplier info and sustainability evidence. Orders will then be verified with these records prior to fulfilment.</w:t>
      </w:r>
    </w:p>
    <w:p w14:paraId="769BDB5B" w14:textId="77777777" w:rsidR="00C71CDB" w:rsidRDefault="00C71CDB" w:rsidP="00C71CDB">
      <w:r>
        <w:t>Proposed Year 1 operating targets are:</w:t>
      </w:r>
    </w:p>
    <w:tbl>
      <w:tblPr>
        <w:tblW w:w="4975" w:type="dxa"/>
        <w:jc w:val="center"/>
        <w:tblBorders>
          <w:top w:val="nil"/>
          <w:left w:val="nil"/>
          <w:bottom w:val="nil"/>
          <w:right w:val="nil"/>
          <w:insideH w:val="nil"/>
          <w:insideV w:val="nil"/>
        </w:tblBorders>
        <w:tblLayout w:type="fixed"/>
        <w:tblLook w:val="0600" w:firstRow="0" w:lastRow="0" w:firstColumn="0" w:lastColumn="0" w:noHBand="1" w:noVBand="1"/>
      </w:tblPr>
      <w:tblGrid>
        <w:gridCol w:w="3125"/>
        <w:gridCol w:w="1850"/>
      </w:tblGrid>
      <w:tr w:rsidR="00C71CDB" w:rsidRPr="00322600" w14:paraId="62728B4E" w14:textId="77777777" w:rsidTr="00322600">
        <w:trPr>
          <w:trHeight w:val="515"/>
          <w:jc w:val="center"/>
        </w:trPr>
        <w:tc>
          <w:tcPr>
            <w:tcW w:w="312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43B18EF" w14:textId="36360430" w:rsidR="00C71CDB" w:rsidRPr="00322600" w:rsidRDefault="00322600" w:rsidP="00DA7C87">
            <w:r>
              <w:rPr>
                <w:b/>
                <w:bCs/>
              </w:rPr>
              <w:t>“</w:t>
            </w:r>
            <w:r w:rsidR="00C71CDB" w:rsidRPr="00322600">
              <w:rPr>
                <w:b/>
                <w:bCs/>
              </w:rPr>
              <w:t>KPI</w:t>
            </w:r>
          </w:p>
        </w:tc>
        <w:tc>
          <w:tcPr>
            <w:tcW w:w="185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A3871CC" w14:textId="77777777" w:rsidR="00C71CDB" w:rsidRPr="00322600" w:rsidRDefault="00C71CDB" w:rsidP="00DA7C87">
            <w:r w:rsidRPr="00322600">
              <w:rPr>
                <w:b/>
                <w:bCs/>
              </w:rPr>
              <w:t>Target</w:t>
            </w:r>
          </w:p>
        </w:tc>
      </w:tr>
      <w:tr w:rsidR="00C71CDB" w:rsidRPr="00322600" w14:paraId="6D393206" w14:textId="77777777" w:rsidTr="00322600">
        <w:trPr>
          <w:trHeight w:val="515"/>
          <w:jc w:val="center"/>
        </w:trPr>
        <w:tc>
          <w:tcPr>
            <w:tcW w:w="312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F571443" w14:textId="77777777" w:rsidR="00C71CDB" w:rsidRPr="00322600" w:rsidRDefault="00C71CDB" w:rsidP="00DA7C87">
            <w:r w:rsidRPr="00322600">
              <w:t>Order accuracy</w:t>
            </w:r>
          </w:p>
        </w:tc>
        <w:tc>
          <w:tcPr>
            <w:tcW w:w="185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AB141E2" w14:textId="77777777" w:rsidR="00C71CDB" w:rsidRPr="00322600" w:rsidRDefault="00C71CDB" w:rsidP="00DA7C87">
            <w:r w:rsidRPr="00322600">
              <w:rPr>
                <w:rFonts w:eastAsia="Gungsuh"/>
              </w:rPr>
              <w:t>≥98%</w:t>
            </w:r>
          </w:p>
        </w:tc>
      </w:tr>
      <w:tr w:rsidR="00C71CDB" w:rsidRPr="00322600" w14:paraId="10612DD2" w14:textId="77777777" w:rsidTr="00322600">
        <w:trPr>
          <w:trHeight w:val="515"/>
          <w:jc w:val="center"/>
        </w:trPr>
        <w:tc>
          <w:tcPr>
            <w:tcW w:w="312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640EF7D" w14:textId="77777777" w:rsidR="00C71CDB" w:rsidRPr="00322600" w:rsidRDefault="00C71CDB" w:rsidP="00DA7C87">
            <w:r w:rsidRPr="00322600">
              <w:t>Standard quotation response</w:t>
            </w:r>
          </w:p>
        </w:tc>
        <w:tc>
          <w:tcPr>
            <w:tcW w:w="185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4306A0C" w14:textId="77777777" w:rsidR="00C71CDB" w:rsidRPr="00322600" w:rsidRDefault="00C71CDB" w:rsidP="00DA7C87">
            <w:r w:rsidRPr="00322600">
              <w:rPr>
                <w:rFonts w:eastAsia="Gungsuh"/>
              </w:rPr>
              <w:t>≤1 business day</w:t>
            </w:r>
          </w:p>
        </w:tc>
      </w:tr>
      <w:tr w:rsidR="00C71CDB" w:rsidRPr="00322600" w14:paraId="0CDF5BCF" w14:textId="77777777" w:rsidTr="00322600">
        <w:trPr>
          <w:trHeight w:val="515"/>
          <w:jc w:val="center"/>
        </w:trPr>
        <w:tc>
          <w:tcPr>
            <w:tcW w:w="312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B27947F" w14:textId="77777777" w:rsidR="00C71CDB" w:rsidRPr="00322600" w:rsidRDefault="00C71CDB" w:rsidP="00DA7C87">
            <w:r w:rsidRPr="00322600">
              <w:t>Supplier on-time performance</w:t>
            </w:r>
          </w:p>
        </w:tc>
        <w:tc>
          <w:tcPr>
            <w:tcW w:w="185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878C9B8" w14:textId="77777777" w:rsidR="00C71CDB" w:rsidRPr="00322600" w:rsidRDefault="00C71CDB" w:rsidP="00DA7C87">
            <w:r w:rsidRPr="00322600">
              <w:rPr>
                <w:rFonts w:eastAsia="Gungsuh"/>
              </w:rPr>
              <w:t>≥95%</w:t>
            </w:r>
          </w:p>
        </w:tc>
      </w:tr>
      <w:tr w:rsidR="00C71CDB" w:rsidRPr="00322600" w14:paraId="4B8CB0E3" w14:textId="77777777" w:rsidTr="00322600">
        <w:trPr>
          <w:trHeight w:val="515"/>
          <w:jc w:val="center"/>
        </w:trPr>
        <w:tc>
          <w:tcPr>
            <w:tcW w:w="312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FD1BE02" w14:textId="77777777" w:rsidR="00C71CDB" w:rsidRPr="00322600" w:rsidRDefault="00C71CDB" w:rsidP="00DA7C87">
            <w:r w:rsidRPr="00322600">
              <w:t>Incorrect/damaged orders</w:t>
            </w:r>
          </w:p>
        </w:tc>
        <w:tc>
          <w:tcPr>
            <w:tcW w:w="185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C733A33" w14:textId="77777777" w:rsidR="00C71CDB" w:rsidRPr="00322600" w:rsidRDefault="00C71CDB" w:rsidP="00DA7C87">
            <w:r w:rsidRPr="00322600">
              <w:rPr>
                <w:rFonts w:eastAsia="Gungsuh"/>
              </w:rPr>
              <w:t>≤2%</w:t>
            </w:r>
          </w:p>
        </w:tc>
      </w:tr>
      <w:tr w:rsidR="00C71CDB" w:rsidRPr="00322600" w14:paraId="1D8F7584" w14:textId="77777777" w:rsidTr="00322600">
        <w:trPr>
          <w:trHeight w:val="515"/>
          <w:jc w:val="center"/>
        </w:trPr>
        <w:tc>
          <w:tcPr>
            <w:tcW w:w="312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F6ABFB1" w14:textId="77777777" w:rsidR="00C71CDB" w:rsidRPr="00322600" w:rsidRDefault="00C71CDB" w:rsidP="00DA7C87">
            <w:r w:rsidRPr="00322600">
              <w:t>Standard complaint response</w:t>
            </w:r>
          </w:p>
        </w:tc>
        <w:tc>
          <w:tcPr>
            <w:tcW w:w="185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D48D139" w14:textId="7CA1BDBF" w:rsidR="00C71CDB" w:rsidRPr="00322600" w:rsidRDefault="00C71CDB" w:rsidP="00DA7C87">
            <w:r w:rsidRPr="00322600">
              <w:rPr>
                <w:rFonts w:eastAsia="Gungsuh"/>
              </w:rPr>
              <w:t>≤2 business days</w:t>
            </w:r>
            <w:r w:rsidR="00322600" w:rsidRPr="00322600">
              <w:rPr>
                <w:rFonts w:eastAsia="Gungsuh"/>
              </w:rPr>
              <w:t>”</w:t>
            </w:r>
          </w:p>
        </w:tc>
      </w:tr>
    </w:tbl>
    <w:p w14:paraId="7B8EF963" w14:textId="1418696A" w:rsidR="00EF66B6" w:rsidRPr="00FB7622" w:rsidRDefault="00EF66B6" w:rsidP="00EF66B6">
      <w:pPr>
        <w:pStyle w:val="Heading6"/>
      </w:pPr>
      <w:bookmarkStart w:id="200" w:name="_Toc241008872"/>
      <w:r w:rsidRPr="00FB7622">
        <w:t>Table 1</w:t>
      </w:r>
      <w:r>
        <w:t>6</w:t>
      </w:r>
      <w:r w:rsidRPr="00FB7622">
        <w:t>: “</w:t>
      </w:r>
      <w:r>
        <w:t>KPIs</w:t>
      </w:r>
      <w:r w:rsidRPr="00FB7622">
        <w:t>”</w:t>
      </w:r>
      <w:bookmarkEnd w:id="200"/>
    </w:p>
    <w:p w14:paraId="374F62D3" w14:textId="6DAE8681" w:rsidR="00EF66B6" w:rsidRDefault="00EF66B6" w:rsidP="00EF66B6">
      <w:pPr>
        <w:jc w:val="center"/>
      </w:pPr>
      <w:r>
        <w:t>(Source: Created by Author)</w:t>
      </w:r>
    </w:p>
    <w:p w14:paraId="239BFB88" w14:textId="0A63F234" w:rsidR="00C71CDB" w:rsidRDefault="00C71CDB" w:rsidP="00C71CDB">
      <w:r>
        <w:t xml:space="preserve">EU Packaging and Packaging Waste Regulation (PPWR) has been of particular interest as it has started to apply from 12 August 2026. The Regulation sets harmonised packaging requirements, such as recyclability and recycled plastic content, initially by 2030 all packaging must be </w:t>
      </w:r>
      <w:r>
        <w:lastRenderedPageBreak/>
        <w:t>recyclable. EcoPack should therefore have supplier declarations, materials data and evidence of certification and records supporting environmental claims.</w:t>
      </w:r>
    </w:p>
    <w:p w14:paraId="320D5B30" w14:textId="77777777" w:rsidR="00C71CDB" w:rsidRDefault="00C71CDB" w:rsidP="00C71CDB">
      <w:r>
        <w:t>Digital model also needs suitable data protection. Access controls, secure payment systems, backups, privacy procedure and established retention policies should be used to protect customer and employee information. Compliance should, therefore, be integrated into the purchasing/sales and record keeping routines so that it becomes a part of the day-to-day operations of the business, rather than a separate task at the end of the process.</w:t>
      </w:r>
    </w:p>
    <w:p w14:paraId="456FFE8E" w14:textId="77777777" w:rsidR="00C71CDB" w:rsidRDefault="00C71CDB" w:rsidP="00C71CDB">
      <w:pPr>
        <w:pStyle w:val="Heading2"/>
        <w:keepNext w:val="0"/>
        <w:keepLines w:val="0"/>
        <w:rPr>
          <w:b w:val="0"/>
          <w:bCs w:val="0"/>
        </w:rPr>
      </w:pPr>
      <w:bookmarkStart w:id="201" w:name="_ujs5grxa0148" w:colFirst="0" w:colLast="0"/>
      <w:bookmarkStart w:id="202" w:name="_Toc241008286"/>
      <w:bookmarkEnd w:id="201"/>
      <w:r>
        <w:t>10.6 Operational synthesis</w:t>
      </w:r>
      <w:bookmarkEnd w:id="202"/>
    </w:p>
    <w:p w14:paraId="74855750" w14:textId="77777777" w:rsidR="00C71CDB" w:rsidRDefault="00C71CDB" w:rsidP="00C71CDB">
      <w:r>
        <w:t>The proposed operating system fits in the sales forecast for Year 1, no investment in manufacturing or in warehouses, but control over suppliers, product information and customer service. The top-three key dependencies are supplier dependability, 3PL performance, and digital-system availability and regulatory documentation. The number of orders per year has grown from 300 to 1,600 – but this growth will be a phased one, through the use of additional 3PL capacity, supplier contracts and staffing, but not by sudden investment in owned infrastructure.</w:t>
      </w:r>
    </w:p>
    <w:p w14:paraId="78DDFD3A" w14:textId="77777777" w:rsidR="00684A66" w:rsidRDefault="00684A66">
      <w:pPr>
        <w:rPr>
          <w:b/>
          <w:bCs/>
        </w:rPr>
      </w:pPr>
      <w:bookmarkStart w:id="203" w:name="_b97mx2osn4od" w:colFirst="0" w:colLast="0"/>
      <w:bookmarkStart w:id="204" w:name="_Toc241008287"/>
      <w:bookmarkEnd w:id="203"/>
      <w:r>
        <w:br w:type="page"/>
      </w:r>
    </w:p>
    <w:p w14:paraId="3A738E13" w14:textId="3856E6B8" w:rsidR="00C71CDB" w:rsidRDefault="00C71CDB" w:rsidP="00C71CDB">
      <w:pPr>
        <w:pStyle w:val="Heading1"/>
        <w:keepNext w:val="0"/>
        <w:keepLines w:val="0"/>
        <w:rPr>
          <w:b w:val="0"/>
          <w:bCs w:val="0"/>
        </w:rPr>
      </w:pPr>
      <w:r>
        <w:lastRenderedPageBreak/>
        <w:t>Chapter 11: Feasibility Analysis</w:t>
      </w:r>
      <w:bookmarkEnd w:id="204"/>
    </w:p>
    <w:p w14:paraId="7E1E4C09" w14:textId="77777777" w:rsidR="00C71CDB" w:rsidRDefault="00C71CDB" w:rsidP="00C71CDB">
      <w:pPr>
        <w:pStyle w:val="Heading2"/>
        <w:keepNext w:val="0"/>
        <w:keepLines w:val="0"/>
        <w:rPr>
          <w:b w:val="0"/>
          <w:bCs w:val="0"/>
        </w:rPr>
      </w:pPr>
      <w:bookmarkStart w:id="205" w:name="_64420g8t5ulf" w:colFirst="0" w:colLast="0"/>
      <w:bookmarkStart w:id="206" w:name="_Toc241008288"/>
      <w:bookmarkEnd w:id="205"/>
      <w:r>
        <w:t>11.1 Feasibility basis and decision criteria</w:t>
      </w:r>
      <w:bookmarkEnd w:id="206"/>
    </w:p>
    <w:p w14:paraId="6B57ED01" w14:textId="77777777" w:rsidR="00C71CDB" w:rsidRDefault="00C71CDB" w:rsidP="00C71CDB">
      <w:r>
        <w:t>The feasibility is evaluated, on the ethical, market, operational, financial and strategic sides. The aim is to assess if the evidence accumulated in Chapters 5–10 is sufficient to enable implementation and that there are important uncertainties that can be managed.</w:t>
      </w:r>
    </w:p>
    <w:p w14:paraId="272C2365" w14:textId="77777777" w:rsidR="00C71CDB" w:rsidRDefault="00C71CDB" w:rsidP="00C71CDB">
      <w:pPr>
        <w:pStyle w:val="Heading2"/>
        <w:keepNext w:val="0"/>
        <w:keepLines w:val="0"/>
        <w:rPr>
          <w:b w:val="0"/>
          <w:bCs w:val="0"/>
        </w:rPr>
      </w:pPr>
      <w:bookmarkStart w:id="207" w:name="_20ez754hmbrh" w:colFirst="0" w:colLast="0"/>
      <w:bookmarkStart w:id="208" w:name="_Toc241008289"/>
      <w:bookmarkEnd w:id="207"/>
      <w:r>
        <w:t>11.2 Ethical and market feasibility</w:t>
      </w:r>
      <w:bookmarkEnd w:id="208"/>
    </w:p>
    <w:p w14:paraId="6356A00C" w14:textId="77777777" w:rsidR="00C71CDB" w:rsidRDefault="00C71CDB" w:rsidP="00C71CDB">
      <w:r>
        <w:t>There is a solid market basis. In 2024, 23.59% of EU enterprises engaged in e-sales, with e-sales accounting for 19.49% of total enterprise turnover, according to Eurostat. Of the small businesses, 21.38% made e-sales and 31.67% of the medium-sized enterprises did so. This gives an indication that there is a large number of potential customers for the packaging suppliers who cater to the online businesses.</w:t>
      </w:r>
    </w:p>
    <w:p w14:paraId="0D46DBB5" w14:textId="77777777" w:rsidR="00C71CDB" w:rsidRDefault="00C71CDB" w:rsidP="00C71CDB">
      <w:r>
        <w:t xml:space="preserve">A large part of packaging demand focuses on the environment. The PPWR was introduced, in part, because of the expected growth in EU packaging waste; according to the European Commission, without action packaging waste was estimated to increase by 19% by 2030 and up to 46% for plastic packaging waste. </w:t>
      </w:r>
    </w:p>
    <w:p w14:paraId="72675F14" w14:textId="77777777" w:rsidR="00C71CDB" w:rsidRDefault="00C71CDB" w:rsidP="00C71CDB">
      <w:r>
        <w:t>But need does not imply willingness to pay, especially when it comes to the environment. EcoPack therefore does not use penetration pricing instead, it uses competitive market-matching. When comparing prices, you need to make sure that they are standardized to account for the same size, material, order quantity, VAT and delivery.</w:t>
      </w:r>
    </w:p>
    <w:p w14:paraId="02B7888B" w14:textId="77777777" w:rsidR="00C71CDB" w:rsidRDefault="00C71CDB" w:rsidP="00C71CDB">
      <w:r>
        <w:t>Truthful sustainability communication is also a precondition for ethical feasibility. Such terms as “recyclable”, “compostable” or “recycled” must be used only if supported by supplier documentation. This lessens the potential for falsehoods to customers and safeguards the integrity of the suggested value proposition.</w:t>
      </w:r>
    </w:p>
    <w:p w14:paraId="55FDDCCA" w14:textId="77777777" w:rsidR="00C71CDB" w:rsidRDefault="00C71CDB" w:rsidP="00C71CDB">
      <w:pPr>
        <w:pStyle w:val="Heading2"/>
        <w:keepNext w:val="0"/>
        <w:keepLines w:val="0"/>
        <w:rPr>
          <w:b w:val="0"/>
          <w:bCs w:val="0"/>
        </w:rPr>
      </w:pPr>
      <w:bookmarkStart w:id="209" w:name="_876l49f77w17" w:colFirst="0" w:colLast="0"/>
      <w:bookmarkStart w:id="210" w:name="_Toc241008290"/>
      <w:bookmarkEnd w:id="209"/>
      <w:r>
        <w:t>11.3 Technical and operational feasibility</w:t>
      </w:r>
      <w:bookmarkEnd w:id="210"/>
    </w:p>
    <w:p w14:paraId="070C163E" w14:textId="77777777" w:rsidR="00C71CDB" w:rsidRDefault="00C71CDB" w:rsidP="00C71CDB">
      <w:r>
        <w:lastRenderedPageBreak/>
        <w:t>The concept of operating is technically viable because EcoPack doesn't need its own manufacturing facility. Digital ordering, approved suppliers, 3PL fulfillment and a small internal team is right for the first 300-order forecast for Year 1.</w:t>
      </w:r>
    </w:p>
    <w:p w14:paraId="75BDFF5E" w14:textId="77777777" w:rsidR="00C71CDB" w:rsidRDefault="00C71CDB" w:rsidP="00C71CDB">
      <w:r>
        <w:t>The main operational drawback is reliance on suppliers and logistics. This can be achieved through multi-sourcing, alternate suppliers, documented product specifications and controlled inventory. Logistics also poses a balance between speed and sustainability. Therefore delivery times should be avoided to be promised as short as possible where this would cause unnecessary cost or environmental impact in the logistics.</w:t>
      </w:r>
    </w:p>
    <w:p w14:paraId="14FAB7DB" w14:textId="77777777" w:rsidR="00C71CDB" w:rsidRDefault="00C71CDB" w:rsidP="00C71CDB">
      <w:pPr>
        <w:pStyle w:val="Heading2"/>
        <w:keepNext w:val="0"/>
        <w:keepLines w:val="0"/>
        <w:rPr>
          <w:b w:val="0"/>
          <w:bCs w:val="0"/>
        </w:rPr>
      </w:pPr>
      <w:bookmarkStart w:id="211" w:name="_iyp9qlb4pm6v" w:colFirst="0" w:colLast="0"/>
      <w:bookmarkStart w:id="212" w:name="_Toc241008291"/>
      <w:bookmarkEnd w:id="211"/>
      <w:r>
        <w:t>11.4 Financial feasibility</w:t>
      </w:r>
      <w:bookmarkEnd w:id="212"/>
    </w:p>
    <w:p w14:paraId="716C0607" w14:textId="77777777" w:rsidR="00C71CDB" w:rsidRDefault="00C71CDB" w:rsidP="00C71CDB">
      <w:r>
        <w:t>Chapter 9 forecasts revenue of €105,000 in Year 1, €292,000 in Year 2 and €608,000 in Year 3, with gross margins of 30%, 32% and 33%. Thus, the total gross profit in year 1 is about €31,500 and the total operating costs are €58,000, resulting in an expected operating loss of €26,500.</w:t>
      </w:r>
    </w:p>
    <w:p w14:paraId="58302098" w14:textId="77777777" w:rsidR="00C71CDB" w:rsidRDefault="00C71CDB" w:rsidP="00C71CDB">
      <w:r>
        <w:t>On the basis of the contribution per order (€105) of the average order and fixed operating costs (€58,000), the calculated break-even point is around 553 orders per year. The Year 1 forecast of 300 orders is therefore below break-even level for the accountant, and the €30,000 funding and €10,000 working capital reserve are important to ensure survival during the launch period.</w:t>
      </w:r>
    </w:p>
    <w:p w14:paraId="495F5058" w14:textId="77777777" w:rsidR="00C71CDB" w:rsidRDefault="00C71CDB" w:rsidP="00C71CDB">
      <w:r>
        <w:t>The major financial risks involve customer acquisition costs, supplier price increases and lower demand, as well as lower margins. The products of EcoPack should thus be first developed for repeat buyers and negotiated with suppliers, followed by the control of the stock, and marketing expenses, rather than raising fixed costs.</w:t>
      </w:r>
    </w:p>
    <w:p w14:paraId="689A13BD" w14:textId="77777777" w:rsidR="00C71CDB" w:rsidRDefault="00C71CDB" w:rsidP="00C71CDB">
      <w:pPr>
        <w:pStyle w:val="Heading2"/>
        <w:keepNext w:val="0"/>
        <w:keepLines w:val="0"/>
        <w:rPr>
          <w:b w:val="0"/>
          <w:bCs w:val="0"/>
        </w:rPr>
      </w:pPr>
      <w:bookmarkStart w:id="213" w:name="_4yvug2c7fazu" w:colFirst="0" w:colLast="0"/>
      <w:bookmarkStart w:id="214" w:name="_Toc241008292"/>
      <w:bookmarkEnd w:id="213"/>
      <w:r>
        <w:t>11.5 Strategic fit and risk matrix</w:t>
      </w:r>
      <w:bookmarkEnd w:id="214"/>
    </w:p>
    <w:p w14:paraId="240A2242" w14:textId="5010A379" w:rsidR="00C71CDB" w:rsidRPr="00A94E69" w:rsidRDefault="00C71CDB" w:rsidP="00A94E69">
      <w:r>
        <w:t>The SME Sustainable Packaging Partner strategy aligns with the market opportunity, as it balances the sustainable packaging supply with digital convenience and sustainability guidance while eliminating the need for scale. Sustainable procurement and packaging practices have also been linked to better SME performance when bolstered by eco-innovation capabilities (Oduro, 2024).</w:t>
      </w:r>
      <w:bookmarkStart w:id="215" w:name="_c7vzoqlig62o" w:colFirst="0" w:colLast="0"/>
      <w:bookmarkEnd w:id="215"/>
    </w:p>
    <w:tbl>
      <w:tblPr>
        <w:tblW w:w="9360" w:type="dxa"/>
        <w:tblBorders>
          <w:top w:val="nil"/>
          <w:left w:val="nil"/>
          <w:bottom w:val="nil"/>
          <w:right w:val="nil"/>
          <w:insideH w:val="nil"/>
          <w:insideV w:val="nil"/>
        </w:tblBorders>
        <w:tblLayout w:type="fixed"/>
        <w:tblLook w:val="0600" w:firstRow="0" w:lastRow="0" w:firstColumn="0" w:lastColumn="0" w:noHBand="1" w:noVBand="1"/>
      </w:tblPr>
      <w:tblGrid>
        <w:gridCol w:w="1879"/>
        <w:gridCol w:w="1344"/>
        <w:gridCol w:w="998"/>
        <w:gridCol w:w="1085"/>
        <w:gridCol w:w="4054"/>
      </w:tblGrid>
      <w:tr w:rsidR="00C71CDB" w14:paraId="7F945BE0" w14:textId="77777777" w:rsidTr="00EF66B6">
        <w:trPr>
          <w:trHeight w:val="785"/>
        </w:trPr>
        <w:tc>
          <w:tcPr>
            <w:tcW w:w="1879"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3D11438" w14:textId="77777777" w:rsidR="00C71CDB" w:rsidRDefault="00C71CDB" w:rsidP="00DA7C87">
            <w:r>
              <w:rPr>
                <w:b/>
                <w:bCs/>
              </w:rPr>
              <w:lastRenderedPageBreak/>
              <w:t>Risk</w:t>
            </w:r>
          </w:p>
        </w:tc>
        <w:tc>
          <w:tcPr>
            <w:tcW w:w="1344"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70184CD" w14:textId="77777777" w:rsidR="00C71CDB" w:rsidRDefault="00C71CDB" w:rsidP="00DA7C87">
            <w:r>
              <w:rPr>
                <w:b/>
                <w:bCs/>
              </w:rPr>
              <w:t>Likelihood</w:t>
            </w:r>
          </w:p>
        </w:tc>
        <w:tc>
          <w:tcPr>
            <w:tcW w:w="998"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050B239" w14:textId="77777777" w:rsidR="00C71CDB" w:rsidRDefault="00C71CDB" w:rsidP="00DA7C87">
            <w:r>
              <w:rPr>
                <w:b/>
                <w:bCs/>
              </w:rPr>
              <w:t>Impact</w:t>
            </w:r>
          </w:p>
        </w:tc>
        <w:tc>
          <w:tcPr>
            <w:tcW w:w="108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2D1F107" w14:textId="77777777" w:rsidR="00C71CDB" w:rsidRDefault="00C71CDB" w:rsidP="00DA7C87">
            <w:r>
              <w:rPr>
                <w:b/>
                <w:bCs/>
              </w:rPr>
              <w:t>Risk level</w:t>
            </w:r>
          </w:p>
        </w:tc>
        <w:tc>
          <w:tcPr>
            <w:tcW w:w="4054"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B18557C" w14:textId="77777777" w:rsidR="00C71CDB" w:rsidRDefault="00C71CDB" w:rsidP="00DA7C87">
            <w:r>
              <w:rPr>
                <w:b/>
                <w:bCs/>
              </w:rPr>
              <w:t>Mitigation / trigger</w:t>
            </w:r>
          </w:p>
        </w:tc>
      </w:tr>
      <w:tr w:rsidR="00C71CDB" w14:paraId="3EF70BBD" w14:textId="77777777" w:rsidTr="00EF66B6">
        <w:trPr>
          <w:trHeight w:val="1340"/>
        </w:trPr>
        <w:tc>
          <w:tcPr>
            <w:tcW w:w="1879"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9958B72" w14:textId="77777777" w:rsidR="00C71CDB" w:rsidRDefault="00C71CDB" w:rsidP="00DA7C87">
            <w:r>
              <w:t>Demand below 300 Year 1 orders</w:t>
            </w:r>
          </w:p>
        </w:tc>
        <w:tc>
          <w:tcPr>
            <w:tcW w:w="1344" w:type="dxa"/>
            <w:tcBorders>
              <w:top w:val="single" w:sz="4" w:space="0" w:color="000000"/>
              <w:left w:val="single" w:sz="4" w:space="0" w:color="000000"/>
              <w:bottom w:val="single" w:sz="4" w:space="0" w:color="000000"/>
              <w:right w:val="single" w:sz="4" w:space="0" w:color="000000"/>
            </w:tcBorders>
            <w:shd w:val="clear" w:color="auto" w:fill="FFFF00"/>
            <w:tcMar>
              <w:top w:w="100" w:type="dxa"/>
              <w:left w:w="100" w:type="dxa"/>
              <w:bottom w:w="100" w:type="dxa"/>
              <w:right w:w="100" w:type="dxa"/>
            </w:tcMar>
          </w:tcPr>
          <w:p w14:paraId="791383FB" w14:textId="77777777" w:rsidR="00C71CDB" w:rsidRDefault="00C71CDB" w:rsidP="00DA7C87">
            <w:r>
              <w:t>Medium</w:t>
            </w:r>
          </w:p>
        </w:tc>
        <w:tc>
          <w:tcPr>
            <w:tcW w:w="998" w:type="dxa"/>
            <w:tcBorders>
              <w:top w:val="single" w:sz="4" w:space="0" w:color="000000"/>
              <w:left w:val="single" w:sz="4" w:space="0" w:color="000000"/>
              <w:bottom w:val="single" w:sz="4" w:space="0" w:color="000000"/>
              <w:right w:val="single" w:sz="4" w:space="0" w:color="000000"/>
            </w:tcBorders>
            <w:shd w:val="clear" w:color="auto" w:fill="FF0000"/>
            <w:tcMar>
              <w:top w:w="100" w:type="dxa"/>
              <w:left w:w="100" w:type="dxa"/>
              <w:bottom w:w="100" w:type="dxa"/>
              <w:right w:w="100" w:type="dxa"/>
            </w:tcMar>
          </w:tcPr>
          <w:p w14:paraId="7CBB1FDA" w14:textId="77777777" w:rsidR="00C71CDB" w:rsidRDefault="00C71CDB" w:rsidP="00DA7C87">
            <w:r>
              <w:t>High</w:t>
            </w:r>
          </w:p>
        </w:tc>
        <w:tc>
          <w:tcPr>
            <w:tcW w:w="1085" w:type="dxa"/>
            <w:tcBorders>
              <w:top w:val="single" w:sz="4" w:space="0" w:color="000000"/>
              <w:left w:val="single" w:sz="4" w:space="0" w:color="000000"/>
              <w:bottom w:val="single" w:sz="4" w:space="0" w:color="000000"/>
              <w:right w:val="single" w:sz="4" w:space="0" w:color="000000"/>
            </w:tcBorders>
            <w:shd w:val="clear" w:color="auto" w:fill="FF0000"/>
            <w:tcMar>
              <w:top w:w="100" w:type="dxa"/>
              <w:left w:w="100" w:type="dxa"/>
              <w:bottom w:w="100" w:type="dxa"/>
              <w:right w:w="100" w:type="dxa"/>
            </w:tcMar>
          </w:tcPr>
          <w:p w14:paraId="31C1EF26" w14:textId="77777777" w:rsidR="00C71CDB" w:rsidRDefault="00C71CDB" w:rsidP="00DA7C87">
            <w:r>
              <w:rPr>
                <w:b/>
                <w:bCs/>
              </w:rPr>
              <w:t>High</w:t>
            </w:r>
          </w:p>
        </w:tc>
        <w:tc>
          <w:tcPr>
            <w:tcW w:w="4054"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8004F81" w14:textId="77777777" w:rsidR="00C71CDB" w:rsidRDefault="00C71CDB" w:rsidP="00DA7C87">
            <w:r>
              <w:t>Track lead/month and increase discretionary marketing &amp; fixed if below target; reduce discretionary marketing &amp; fixed if above target;</w:t>
            </w:r>
          </w:p>
        </w:tc>
      </w:tr>
      <w:tr w:rsidR="00C71CDB" w14:paraId="544E6979" w14:textId="77777777" w:rsidTr="00EF66B6">
        <w:trPr>
          <w:trHeight w:val="1070"/>
        </w:trPr>
        <w:tc>
          <w:tcPr>
            <w:tcW w:w="1879"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68A1F83" w14:textId="77777777" w:rsidR="00C71CDB" w:rsidRDefault="00C71CDB" w:rsidP="00DA7C87">
            <w:r>
              <w:t>Supplier failure or delay</w:t>
            </w:r>
          </w:p>
        </w:tc>
        <w:tc>
          <w:tcPr>
            <w:tcW w:w="1344" w:type="dxa"/>
            <w:tcBorders>
              <w:top w:val="single" w:sz="4" w:space="0" w:color="000000"/>
              <w:left w:val="single" w:sz="4" w:space="0" w:color="000000"/>
              <w:bottom w:val="single" w:sz="4" w:space="0" w:color="000000"/>
              <w:right w:val="single" w:sz="4" w:space="0" w:color="000000"/>
            </w:tcBorders>
            <w:shd w:val="clear" w:color="auto" w:fill="FFFF00"/>
            <w:tcMar>
              <w:top w:w="100" w:type="dxa"/>
              <w:left w:w="100" w:type="dxa"/>
              <w:bottom w:w="100" w:type="dxa"/>
              <w:right w:w="100" w:type="dxa"/>
            </w:tcMar>
          </w:tcPr>
          <w:p w14:paraId="1BE7B3DE" w14:textId="77777777" w:rsidR="00C71CDB" w:rsidRDefault="00C71CDB" w:rsidP="00DA7C87">
            <w:r>
              <w:t>Medium</w:t>
            </w:r>
          </w:p>
        </w:tc>
        <w:tc>
          <w:tcPr>
            <w:tcW w:w="998" w:type="dxa"/>
            <w:tcBorders>
              <w:top w:val="single" w:sz="4" w:space="0" w:color="000000"/>
              <w:left w:val="single" w:sz="4" w:space="0" w:color="000000"/>
              <w:bottom w:val="single" w:sz="4" w:space="0" w:color="000000"/>
              <w:right w:val="single" w:sz="4" w:space="0" w:color="000000"/>
            </w:tcBorders>
            <w:shd w:val="clear" w:color="auto" w:fill="FF0000"/>
            <w:tcMar>
              <w:top w:w="100" w:type="dxa"/>
              <w:left w:w="100" w:type="dxa"/>
              <w:bottom w:w="100" w:type="dxa"/>
              <w:right w:w="100" w:type="dxa"/>
            </w:tcMar>
          </w:tcPr>
          <w:p w14:paraId="22EC05DF" w14:textId="77777777" w:rsidR="00C71CDB" w:rsidRDefault="00C71CDB" w:rsidP="00DA7C87">
            <w:r>
              <w:t>High</w:t>
            </w:r>
          </w:p>
        </w:tc>
        <w:tc>
          <w:tcPr>
            <w:tcW w:w="1085" w:type="dxa"/>
            <w:tcBorders>
              <w:top w:val="single" w:sz="4" w:space="0" w:color="000000"/>
              <w:left w:val="single" w:sz="4" w:space="0" w:color="000000"/>
              <w:bottom w:val="single" w:sz="4" w:space="0" w:color="000000"/>
              <w:right w:val="single" w:sz="4" w:space="0" w:color="000000"/>
            </w:tcBorders>
            <w:shd w:val="clear" w:color="auto" w:fill="FF0000"/>
            <w:tcMar>
              <w:top w:w="100" w:type="dxa"/>
              <w:left w:w="100" w:type="dxa"/>
              <w:bottom w:w="100" w:type="dxa"/>
              <w:right w:w="100" w:type="dxa"/>
            </w:tcMar>
          </w:tcPr>
          <w:p w14:paraId="53A9F4A8" w14:textId="77777777" w:rsidR="00C71CDB" w:rsidRDefault="00C71CDB" w:rsidP="00DA7C87">
            <w:r>
              <w:rPr>
                <w:b/>
                <w:bCs/>
              </w:rPr>
              <w:t>High</w:t>
            </w:r>
          </w:p>
        </w:tc>
        <w:tc>
          <w:tcPr>
            <w:tcW w:w="4054"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A1BB729" w14:textId="77777777" w:rsidR="00C71CDB" w:rsidRDefault="00C71CDB" w:rsidP="00DA7C87">
            <w:r>
              <w:t>Pre-qualify alternative suppliers; maintain controlled safety stock for core products</w:t>
            </w:r>
          </w:p>
        </w:tc>
      </w:tr>
      <w:tr w:rsidR="00C71CDB" w14:paraId="52C133FA" w14:textId="77777777" w:rsidTr="00EF66B6">
        <w:trPr>
          <w:trHeight w:val="1070"/>
        </w:trPr>
        <w:tc>
          <w:tcPr>
            <w:tcW w:w="1879"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F312F08" w14:textId="77777777" w:rsidR="00C71CDB" w:rsidRDefault="00C71CDB" w:rsidP="00DA7C87">
            <w:r>
              <w:t>Gross margin below 30%</w:t>
            </w:r>
          </w:p>
        </w:tc>
        <w:tc>
          <w:tcPr>
            <w:tcW w:w="1344" w:type="dxa"/>
            <w:tcBorders>
              <w:top w:val="single" w:sz="4" w:space="0" w:color="000000"/>
              <w:left w:val="single" w:sz="4" w:space="0" w:color="000000"/>
              <w:bottom w:val="single" w:sz="4" w:space="0" w:color="000000"/>
              <w:right w:val="single" w:sz="4" w:space="0" w:color="000000"/>
            </w:tcBorders>
            <w:shd w:val="clear" w:color="auto" w:fill="FFFF00"/>
            <w:tcMar>
              <w:top w:w="100" w:type="dxa"/>
              <w:left w:w="100" w:type="dxa"/>
              <w:bottom w:w="100" w:type="dxa"/>
              <w:right w:w="100" w:type="dxa"/>
            </w:tcMar>
          </w:tcPr>
          <w:p w14:paraId="7CE62B35" w14:textId="77777777" w:rsidR="00C71CDB" w:rsidRDefault="00C71CDB" w:rsidP="00DA7C87">
            <w:r>
              <w:t>Medium</w:t>
            </w:r>
          </w:p>
        </w:tc>
        <w:tc>
          <w:tcPr>
            <w:tcW w:w="998" w:type="dxa"/>
            <w:tcBorders>
              <w:top w:val="single" w:sz="4" w:space="0" w:color="000000"/>
              <w:left w:val="single" w:sz="4" w:space="0" w:color="000000"/>
              <w:bottom w:val="single" w:sz="4" w:space="0" w:color="000000"/>
              <w:right w:val="single" w:sz="4" w:space="0" w:color="000000"/>
            </w:tcBorders>
            <w:shd w:val="clear" w:color="auto" w:fill="FF0000"/>
            <w:tcMar>
              <w:top w:w="100" w:type="dxa"/>
              <w:left w:w="100" w:type="dxa"/>
              <w:bottom w:w="100" w:type="dxa"/>
              <w:right w:w="100" w:type="dxa"/>
            </w:tcMar>
          </w:tcPr>
          <w:p w14:paraId="25148046" w14:textId="77777777" w:rsidR="00C71CDB" w:rsidRDefault="00C71CDB" w:rsidP="00DA7C87">
            <w:r>
              <w:t>High</w:t>
            </w:r>
          </w:p>
        </w:tc>
        <w:tc>
          <w:tcPr>
            <w:tcW w:w="1085" w:type="dxa"/>
            <w:tcBorders>
              <w:top w:val="single" w:sz="4" w:space="0" w:color="000000"/>
              <w:left w:val="single" w:sz="4" w:space="0" w:color="000000"/>
              <w:bottom w:val="single" w:sz="4" w:space="0" w:color="000000"/>
              <w:right w:val="single" w:sz="4" w:space="0" w:color="000000"/>
            </w:tcBorders>
            <w:shd w:val="clear" w:color="auto" w:fill="FF0000"/>
            <w:tcMar>
              <w:top w:w="100" w:type="dxa"/>
              <w:left w:w="100" w:type="dxa"/>
              <w:bottom w:w="100" w:type="dxa"/>
              <w:right w:w="100" w:type="dxa"/>
            </w:tcMar>
          </w:tcPr>
          <w:p w14:paraId="1E89C630" w14:textId="77777777" w:rsidR="00C71CDB" w:rsidRDefault="00C71CDB" w:rsidP="00DA7C87">
            <w:r>
              <w:rPr>
                <w:b/>
                <w:bCs/>
              </w:rPr>
              <w:t>High</w:t>
            </w:r>
          </w:p>
        </w:tc>
        <w:tc>
          <w:tcPr>
            <w:tcW w:w="4054"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684E13A" w14:textId="77777777" w:rsidR="00C71CDB" w:rsidRDefault="00C71CDB" w:rsidP="00DA7C87">
            <w:r>
              <w:t>Identify and pre-qualify alternate suppliers; keep “controlled” inventory of essential products;</w:t>
            </w:r>
          </w:p>
        </w:tc>
      </w:tr>
      <w:tr w:rsidR="00C71CDB" w14:paraId="6F9DB4E9" w14:textId="77777777" w:rsidTr="00EF66B6">
        <w:trPr>
          <w:trHeight w:val="1070"/>
        </w:trPr>
        <w:tc>
          <w:tcPr>
            <w:tcW w:w="1879"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8F3E9B7" w14:textId="77777777" w:rsidR="00C71CDB" w:rsidRDefault="00C71CDB" w:rsidP="00DA7C87">
            <w:r>
              <w:t>Incorrect sustainability claim</w:t>
            </w:r>
          </w:p>
        </w:tc>
        <w:tc>
          <w:tcPr>
            <w:tcW w:w="1344" w:type="dxa"/>
            <w:tcBorders>
              <w:top w:val="single" w:sz="4" w:space="0" w:color="000000"/>
              <w:left w:val="single" w:sz="4" w:space="0" w:color="000000"/>
              <w:bottom w:val="single" w:sz="4" w:space="0" w:color="000000"/>
              <w:right w:val="single" w:sz="4" w:space="0" w:color="000000"/>
            </w:tcBorders>
            <w:shd w:val="clear" w:color="auto" w:fill="FF9900"/>
            <w:tcMar>
              <w:top w:w="100" w:type="dxa"/>
              <w:left w:w="100" w:type="dxa"/>
              <w:bottom w:w="100" w:type="dxa"/>
              <w:right w:w="100" w:type="dxa"/>
            </w:tcMar>
          </w:tcPr>
          <w:p w14:paraId="205A00E7" w14:textId="77777777" w:rsidR="00C71CDB" w:rsidRDefault="00C71CDB" w:rsidP="00DA7C87">
            <w:r>
              <w:t>Low–Medium</w:t>
            </w:r>
          </w:p>
        </w:tc>
        <w:tc>
          <w:tcPr>
            <w:tcW w:w="998" w:type="dxa"/>
            <w:tcBorders>
              <w:top w:val="single" w:sz="4" w:space="0" w:color="000000"/>
              <w:left w:val="single" w:sz="4" w:space="0" w:color="000000"/>
              <w:bottom w:val="single" w:sz="4" w:space="0" w:color="000000"/>
              <w:right w:val="single" w:sz="4" w:space="0" w:color="000000"/>
            </w:tcBorders>
            <w:shd w:val="clear" w:color="auto" w:fill="FF0000"/>
            <w:tcMar>
              <w:top w:w="100" w:type="dxa"/>
              <w:left w:w="100" w:type="dxa"/>
              <w:bottom w:w="100" w:type="dxa"/>
              <w:right w:w="100" w:type="dxa"/>
            </w:tcMar>
          </w:tcPr>
          <w:p w14:paraId="37E15537" w14:textId="77777777" w:rsidR="00C71CDB" w:rsidRDefault="00C71CDB" w:rsidP="00DA7C87">
            <w:r>
              <w:t>High</w:t>
            </w:r>
          </w:p>
        </w:tc>
        <w:tc>
          <w:tcPr>
            <w:tcW w:w="1085" w:type="dxa"/>
            <w:tcBorders>
              <w:top w:val="single" w:sz="4" w:space="0" w:color="000000"/>
              <w:left w:val="single" w:sz="4" w:space="0" w:color="000000"/>
              <w:bottom w:val="single" w:sz="4" w:space="0" w:color="000000"/>
              <w:right w:val="single" w:sz="4" w:space="0" w:color="000000"/>
            </w:tcBorders>
            <w:shd w:val="clear" w:color="auto" w:fill="FF0000"/>
            <w:tcMar>
              <w:top w:w="100" w:type="dxa"/>
              <w:left w:w="100" w:type="dxa"/>
              <w:bottom w:w="100" w:type="dxa"/>
              <w:right w:w="100" w:type="dxa"/>
            </w:tcMar>
          </w:tcPr>
          <w:p w14:paraId="5A8EFAC4" w14:textId="77777777" w:rsidR="00C71CDB" w:rsidRDefault="00C71CDB" w:rsidP="00DA7C87">
            <w:r>
              <w:rPr>
                <w:b/>
                <w:bCs/>
              </w:rPr>
              <w:t>High</w:t>
            </w:r>
          </w:p>
        </w:tc>
        <w:tc>
          <w:tcPr>
            <w:tcW w:w="4054"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A371E99" w14:textId="77777777" w:rsidR="00C71CDB" w:rsidRDefault="00C71CDB" w:rsidP="00DA7C87">
            <w:r>
              <w:t>Price review quarterly; renegotiate procurement prices; eliminate products with a low profit margin.</w:t>
            </w:r>
          </w:p>
        </w:tc>
      </w:tr>
      <w:tr w:rsidR="00C71CDB" w14:paraId="562929A1" w14:textId="77777777" w:rsidTr="00EF66B6">
        <w:trPr>
          <w:trHeight w:val="1070"/>
        </w:trPr>
        <w:tc>
          <w:tcPr>
            <w:tcW w:w="1879"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0324CFA" w14:textId="77777777" w:rsidR="00C71CDB" w:rsidRDefault="00C71CDB" w:rsidP="00DA7C87">
            <w:r>
              <w:t>3PL/courier disruption</w:t>
            </w:r>
          </w:p>
        </w:tc>
        <w:tc>
          <w:tcPr>
            <w:tcW w:w="1344" w:type="dxa"/>
            <w:tcBorders>
              <w:top w:val="single" w:sz="4" w:space="0" w:color="000000"/>
              <w:left w:val="single" w:sz="4" w:space="0" w:color="000000"/>
              <w:bottom w:val="single" w:sz="4" w:space="0" w:color="000000"/>
              <w:right w:val="single" w:sz="4" w:space="0" w:color="000000"/>
            </w:tcBorders>
            <w:shd w:val="clear" w:color="auto" w:fill="FFFF00"/>
            <w:tcMar>
              <w:top w:w="100" w:type="dxa"/>
              <w:left w:w="100" w:type="dxa"/>
              <w:bottom w:w="100" w:type="dxa"/>
              <w:right w:w="100" w:type="dxa"/>
            </w:tcMar>
          </w:tcPr>
          <w:p w14:paraId="74BFCFE2" w14:textId="77777777" w:rsidR="00C71CDB" w:rsidRDefault="00C71CDB" w:rsidP="00DA7C87">
            <w:r>
              <w:t>Medium</w:t>
            </w:r>
          </w:p>
        </w:tc>
        <w:tc>
          <w:tcPr>
            <w:tcW w:w="998" w:type="dxa"/>
            <w:tcBorders>
              <w:top w:val="single" w:sz="4" w:space="0" w:color="000000"/>
              <w:left w:val="single" w:sz="4" w:space="0" w:color="000000"/>
              <w:bottom w:val="single" w:sz="4" w:space="0" w:color="000000"/>
              <w:right w:val="single" w:sz="4" w:space="0" w:color="000000"/>
            </w:tcBorders>
            <w:shd w:val="clear" w:color="auto" w:fill="FFFF00"/>
            <w:tcMar>
              <w:top w:w="100" w:type="dxa"/>
              <w:left w:w="100" w:type="dxa"/>
              <w:bottom w:w="100" w:type="dxa"/>
              <w:right w:w="100" w:type="dxa"/>
            </w:tcMar>
          </w:tcPr>
          <w:p w14:paraId="7D9712B9" w14:textId="77777777" w:rsidR="00C71CDB" w:rsidRDefault="00C71CDB" w:rsidP="00DA7C87">
            <w:r>
              <w:t>Medium</w:t>
            </w:r>
          </w:p>
        </w:tc>
        <w:tc>
          <w:tcPr>
            <w:tcW w:w="1085" w:type="dxa"/>
            <w:tcBorders>
              <w:top w:val="single" w:sz="4" w:space="0" w:color="000000"/>
              <w:left w:val="single" w:sz="4" w:space="0" w:color="000000"/>
              <w:bottom w:val="single" w:sz="4" w:space="0" w:color="000000"/>
              <w:right w:val="single" w:sz="4" w:space="0" w:color="000000"/>
            </w:tcBorders>
            <w:shd w:val="clear" w:color="auto" w:fill="FFFF00"/>
            <w:tcMar>
              <w:top w:w="100" w:type="dxa"/>
              <w:left w:w="100" w:type="dxa"/>
              <w:bottom w:w="100" w:type="dxa"/>
              <w:right w:w="100" w:type="dxa"/>
            </w:tcMar>
          </w:tcPr>
          <w:p w14:paraId="27B64CB4" w14:textId="77777777" w:rsidR="00C71CDB" w:rsidRDefault="00C71CDB" w:rsidP="00DA7C87">
            <w:r>
              <w:rPr>
                <w:b/>
                <w:bCs/>
              </w:rPr>
              <w:t>Medium</w:t>
            </w:r>
          </w:p>
        </w:tc>
        <w:tc>
          <w:tcPr>
            <w:tcW w:w="4054"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7A954DC" w14:textId="77777777" w:rsidR="00C71CDB" w:rsidRDefault="00C71CDB" w:rsidP="00DA7C87">
            <w:r>
              <w:t>Supplier evidence file; compliance review prior to publication; immediate correction/removal procedure</w:t>
            </w:r>
          </w:p>
        </w:tc>
      </w:tr>
      <w:tr w:rsidR="00C71CDB" w14:paraId="6F1BBD50" w14:textId="77777777" w:rsidTr="00EF66B6">
        <w:trPr>
          <w:trHeight w:val="1070"/>
        </w:trPr>
        <w:tc>
          <w:tcPr>
            <w:tcW w:w="1879"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42ED7B0" w14:textId="77777777" w:rsidR="00C71CDB" w:rsidRDefault="00C71CDB" w:rsidP="00DA7C87">
            <w:r>
              <w:lastRenderedPageBreak/>
              <w:t>Data/system disruption</w:t>
            </w:r>
          </w:p>
        </w:tc>
        <w:tc>
          <w:tcPr>
            <w:tcW w:w="1344" w:type="dxa"/>
            <w:tcBorders>
              <w:top w:val="single" w:sz="4" w:space="0" w:color="000000"/>
              <w:left w:val="single" w:sz="4" w:space="0" w:color="000000"/>
              <w:bottom w:val="single" w:sz="4" w:space="0" w:color="000000"/>
              <w:right w:val="single" w:sz="4" w:space="0" w:color="000000"/>
            </w:tcBorders>
            <w:shd w:val="clear" w:color="auto" w:fill="FF9900"/>
            <w:tcMar>
              <w:top w:w="100" w:type="dxa"/>
              <w:left w:w="100" w:type="dxa"/>
              <w:bottom w:w="100" w:type="dxa"/>
              <w:right w:w="100" w:type="dxa"/>
            </w:tcMar>
          </w:tcPr>
          <w:p w14:paraId="14153862" w14:textId="77777777" w:rsidR="00C71CDB" w:rsidRDefault="00C71CDB" w:rsidP="00DA7C87">
            <w:r>
              <w:t>Low–Medium</w:t>
            </w:r>
          </w:p>
        </w:tc>
        <w:tc>
          <w:tcPr>
            <w:tcW w:w="998" w:type="dxa"/>
            <w:tcBorders>
              <w:top w:val="single" w:sz="4" w:space="0" w:color="000000"/>
              <w:left w:val="single" w:sz="4" w:space="0" w:color="000000"/>
              <w:bottom w:val="single" w:sz="4" w:space="0" w:color="000000"/>
              <w:right w:val="single" w:sz="4" w:space="0" w:color="000000"/>
            </w:tcBorders>
            <w:shd w:val="clear" w:color="auto" w:fill="FF0000"/>
            <w:tcMar>
              <w:top w:w="100" w:type="dxa"/>
              <w:left w:w="100" w:type="dxa"/>
              <w:bottom w:w="100" w:type="dxa"/>
              <w:right w:w="100" w:type="dxa"/>
            </w:tcMar>
          </w:tcPr>
          <w:p w14:paraId="0D20B8FC" w14:textId="77777777" w:rsidR="00C71CDB" w:rsidRDefault="00C71CDB" w:rsidP="00DA7C87">
            <w:r>
              <w:t>High</w:t>
            </w:r>
          </w:p>
        </w:tc>
        <w:tc>
          <w:tcPr>
            <w:tcW w:w="1085" w:type="dxa"/>
            <w:tcBorders>
              <w:top w:val="single" w:sz="4" w:space="0" w:color="000000"/>
              <w:left w:val="single" w:sz="4" w:space="0" w:color="000000"/>
              <w:bottom w:val="single" w:sz="4" w:space="0" w:color="000000"/>
              <w:right w:val="single" w:sz="4" w:space="0" w:color="000000"/>
            </w:tcBorders>
            <w:shd w:val="clear" w:color="auto" w:fill="FFFF00"/>
            <w:tcMar>
              <w:top w:w="100" w:type="dxa"/>
              <w:left w:w="100" w:type="dxa"/>
              <w:bottom w:w="100" w:type="dxa"/>
              <w:right w:w="100" w:type="dxa"/>
            </w:tcMar>
          </w:tcPr>
          <w:p w14:paraId="3B65438F" w14:textId="77777777" w:rsidR="00C71CDB" w:rsidRDefault="00C71CDB" w:rsidP="00DA7C87">
            <w:r>
              <w:rPr>
                <w:b/>
                <w:bCs/>
              </w:rPr>
              <w:t>Medium</w:t>
            </w:r>
          </w:p>
        </w:tc>
        <w:tc>
          <w:tcPr>
            <w:tcW w:w="4054"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6DD9EA4" w14:textId="77777777" w:rsidR="00C71CDB" w:rsidRDefault="00C71CDB" w:rsidP="00DA7C87">
            <w:r>
              <w:t>Backups, access controls, secure payment platform and continuity procedures.</w:t>
            </w:r>
          </w:p>
        </w:tc>
      </w:tr>
      <w:tr w:rsidR="00C71CDB" w14:paraId="6DA0077F" w14:textId="77777777" w:rsidTr="00EF66B6">
        <w:trPr>
          <w:trHeight w:val="1070"/>
        </w:trPr>
        <w:tc>
          <w:tcPr>
            <w:tcW w:w="1879"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63A87B2" w14:textId="77777777" w:rsidR="00C71CDB" w:rsidRDefault="00C71CDB" w:rsidP="00DA7C87">
            <w:r>
              <w:t>Working-capital shortage</w:t>
            </w:r>
          </w:p>
        </w:tc>
        <w:tc>
          <w:tcPr>
            <w:tcW w:w="1344" w:type="dxa"/>
            <w:tcBorders>
              <w:top w:val="single" w:sz="4" w:space="0" w:color="000000"/>
              <w:left w:val="single" w:sz="4" w:space="0" w:color="000000"/>
              <w:bottom w:val="single" w:sz="4" w:space="0" w:color="000000"/>
              <w:right w:val="single" w:sz="4" w:space="0" w:color="000000"/>
            </w:tcBorders>
            <w:shd w:val="clear" w:color="auto" w:fill="FFFF00"/>
            <w:tcMar>
              <w:top w:w="100" w:type="dxa"/>
              <w:left w:w="100" w:type="dxa"/>
              <w:bottom w:w="100" w:type="dxa"/>
              <w:right w:w="100" w:type="dxa"/>
            </w:tcMar>
          </w:tcPr>
          <w:p w14:paraId="5E748537" w14:textId="77777777" w:rsidR="00C71CDB" w:rsidRDefault="00C71CDB" w:rsidP="00DA7C87">
            <w:r>
              <w:t>Medium</w:t>
            </w:r>
          </w:p>
        </w:tc>
        <w:tc>
          <w:tcPr>
            <w:tcW w:w="998" w:type="dxa"/>
            <w:tcBorders>
              <w:top w:val="single" w:sz="4" w:space="0" w:color="000000"/>
              <w:left w:val="single" w:sz="4" w:space="0" w:color="000000"/>
              <w:bottom w:val="single" w:sz="4" w:space="0" w:color="000000"/>
              <w:right w:val="single" w:sz="4" w:space="0" w:color="000000"/>
            </w:tcBorders>
            <w:shd w:val="clear" w:color="auto" w:fill="FF0000"/>
            <w:tcMar>
              <w:top w:w="100" w:type="dxa"/>
              <w:left w:w="100" w:type="dxa"/>
              <w:bottom w:w="100" w:type="dxa"/>
              <w:right w:w="100" w:type="dxa"/>
            </w:tcMar>
          </w:tcPr>
          <w:p w14:paraId="372768BF" w14:textId="77777777" w:rsidR="00C71CDB" w:rsidRDefault="00C71CDB" w:rsidP="00DA7C87">
            <w:r>
              <w:t>High</w:t>
            </w:r>
          </w:p>
        </w:tc>
        <w:tc>
          <w:tcPr>
            <w:tcW w:w="1085" w:type="dxa"/>
            <w:tcBorders>
              <w:top w:val="single" w:sz="4" w:space="0" w:color="000000"/>
              <w:left w:val="single" w:sz="4" w:space="0" w:color="000000"/>
              <w:bottom w:val="single" w:sz="4" w:space="0" w:color="000000"/>
              <w:right w:val="single" w:sz="4" w:space="0" w:color="000000"/>
            </w:tcBorders>
            <w:shd w:val="clear" w:color="auto" w:fill="FF0000"/>
            <w:tcMar>
              <w:top w:w="100" w:type="dxa"/>
              <w:left w:w="100" w:type="dxa"/>
              <w:bottom w:w="100" w:type="dxa"/>
              <w:right w:w="100" w:type="dxa"/>
            </w:tcMar>
          </w:tcPr>
          <w:p w14:paraId="7DEA3216" w14:textId="77777777" w:rsidR="00C71CDB" w:rsidRDefault="00C71CDB" w:rsidP="00DA7C87">
            <w:r>
              <w:rPr>
                <w:b/>
                <w:bCs/>
              </w:rPr>
              <w:t>High</w:t>
            </w:r>
          </w:p>
        </w:tc>
        <w:tc>
          <w:tcPr>
            <w:tcW w:w="4054"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C9079DE" w14:textId="77777777" w:rsidR="00C71CDB" w:rsidRDefault="00C71CDB" w:rsidP="00DA7C87">
            <w:r>
              <w:t>€10,000 reserve; low inventory; supplier payment-term negotiation; minimum cash threshold</w:t>
            </w:r>
          </w:p>
        </w:tc>
      </w:tr>
    </w:tbl>
    <w:p w14:paraId="1435BB0D" w14:textId="55B5AEFA" w:rsidR="00EF66B6" w:rsidRPr="00FB7622" w:rsidRDefault="00EF66B6" w:rsidP="00EF66B6">
      <w:pPr>
        <w:pStyle w:val="Heading6"/>
      </w:pPr>
      <w:bookmarkStart w:id="216" w:name="_6ovnz699y4hx" w:colFirst="0" w:colLast="0"/>
      <w:bookmarkStart w:id="217" w:name="_Toc241008873"/>
      <w:bookmarkEnd w:id="216"/>
      <w:r w:rsidRPr="00FB7622">
        <w:t>Table 1</w:t>
      </w:r>
      <w:r>
        <w:t>7</w:t>
      </w:r>
      <w:r w:rsidRPr="00FB7622">
        <w:t>: “</w:t>
      </w:r>
      <w:r>
        <w:t>Risk Matrix</w:t>
      </w:r>
      <w:r w:rsidRPr="00FB7622">
        <w:t>”</w:t>
      </w:r>
      <w:bookmarkEnd w:id="217"/>
    </w:p>
    <w:p w14:paraId="68EF6686" w14:textId="78326B66" w:rsidR="00EF66B6" w:rsidRDefault="00EF66B6" w:rsidP="00EF66B6">
      <w:pPr>
        <w:jc w:val="center"/>
      </w:pPr>
      <w:r>
        <w:t>(Source: Created by Author)</w:t>
      </w:r>
    </w:p>
    <w:p w14:paraId="2F4C88C7" w14:textId="1BD22C04" w:rsidR="00C71CDB" w:rsidRDefault="00C71CDB" w:rsidP="00C71CDB">
      <w:pPr>
        <w:pStyle w:val="Heading2"/>
        <w:keepNext w:val="0"/>
        <w:keepLines w:val="0"/>
        <w:rPr>
          <w:b w:val="0"/>
          <w:bCs w:val="0"/>
        </w:rPr>
      </w:pPr>
      <w:bookmarkStart w:id="218" w:name="_Toc241008293"/>
      <w:r>
        <w:t>11.6 Integrated viability judgement</w:t>
      </w:r>
      <w:bookmarkEnd w:id="218"/>
    </w:p>
    <w:p w14:paraId="2627F4AA" w14:textId="77777777" w:rsidR="00C71CDB" w:rsidRDefault="00C71CDB" w:rsidP="00C71CDB">
      <w:r>
        <w:t>Evidence indicates that treatment is warranted with conditions. The market is credible since the ecommerce is already a reality within European SMEs, packaging is still a relevant environmental problem and the PPWR further strengthens the focus on recyclable and well-documented packaging. The relatively meager forecast of orders for Year 1 also fits with the asset-light operating model.</w:t>
      </w:r>
    </w:p>
    <w:p w14:paraId="65E1E457" w14:textId="77777777" w:rsidR="00C71CDB" w:rsidRDefault="00C71CDB" w:rsidP="00C71CDB">
      <w:r>
        <w:t>However, the financial viability is dependent. The expected 300 orders in year 1 is less than the calculated break-even number of orders (of ~553). Hence, it is advisable not to lock in significant fixed investments with EcoPack. The first steps must be to validate customer acquisition, repeat ordering, supplier pricing, gross margin, delivery reliability and sustainability documentation.</w:t>
      </w:r>
    </w:p>
    <w:p w14:paraId="2601BB7E" w14:textId="77777777" w:rsidR="00C71CDB" w:rsidRDefault="00C71CDB" w:rsidP="00C71CDB">
      <w:r>
        <w:t>The best way to implement is then therefore one of control or pilot and then staged expansion. The growth projections in the proposed model are reasonable if the assumptions in Chapters 9 and 10 are reasonable, in the view of the actual demand for the product, margins and the performance of the product's suppliers. If these assumptions are not met, management should adjust the price, product mix, marketing spending or operating capacity and reevaluate prior investments.</w:t>
      </w:r>
    </w:p>
    <w:p w14:paraId="2B829B1B" w14:textId="77777777" w:rsidR="00C71CDB" w:rsidRDefault="00C71CDB" w:rsidP="00C71CDB">
      <w:pPr>
        <w:pStyle w:val="Heading2"/>
        <w:keepNext w:val="0"/>
        <w:keepLines w:val="0"/>
        <w:rPr>
          <w:b w:val="0"/>
          <w:bCs w:val="0"/>
        </w:rPr>
      </w:pPr>
      <w:bookmarkStart w:id="219" w:name="_Toc241008294"/>
      <w:r>
        <w:lastRenderedPageBreak/>
        <w:t>Chapter 12: Implementation Plan</w:t>
      </w:r>
      <w:bookmarkEnd w:id="219"/>
    </w:p>
    <w:p w14:paraId="4C85157A" w14:textId="77777777" w:rsidR="00C71CDB" w:rsidRDefault="00C71CDB" w:rsidP="00C71CDB">
      <w:pPr>
        <w:pStyle w:val="Heading3"/>
        <w:keepNext w:val="0"/>
        <w:keepLines w:val="0"/>
        <w:spacing w:before="280"/>
        <w:rPr>
          <w:b/>
          <w:bCs/>
          <w:color w:val="000000"/>
          <w:sz w:val="24"/>
          <w:szCs w:val="24"/>
        </w:rPr>
      </w:pPr>
      <w:bookmarkStart w:id="220" w:name="_tauf05wg5thz" w:colFirst="0" w:colLast="0"/>
      <w:bookmarkStart w:id="221" w:name="_Toc241008295"/>
      <w:bookmarkEnd w:id="220"/>
      <w:r>
        <w:rPr>
          <w:b/>
          <w:bCs/>
          <w:color w:val="000000"/>
          <w:sz w:val="24"/>
          <w:szCs w:val="24"/>
        </w:rPr>
        <w:t>12.1 Implementation Approach and Launch Phases</w:t>
      </w:r>
      <w:bookmarkEnd w:id="221"/>
    </w:p>
    <w:p w14:paraId="2895CBC7" w14:textId="77777777" w:rsidR="00C71CDB" w:rsidRDefault="00C71CDB" w:rsidP="00C71CDB">
      <w:r>
        <w:t>EcoPack Solutions will implement a phased implementation to ensure that finance, compliance, technology and staffing are in place prior to full commercial activity.</w:t>
      </w:r>
    </w:p>
    <w:tbl>
      <w:tblPr>
        <w:tblW w:w="9360" w:type="dxa"/>
        <w:tblBorders>
          <w:top w:val="nil"/>
          <w:left w:val="nil"/>
          <w:bottom w:val="nil"/>
          <w:right w:val="nil"/>
          <w:insideH w:val="nil"/>
          <w:insideV w:val="nil"/>
        </w:tblBorders>
        <w:shd w:val="clear" w:color="auto" w:fill="CCC0D9" w:themeFill="accent4" w:themeFillTint="66"/>
        <w:tblLayout w:type="fixed"/>
        <w:tblLook w:val="0600" w:firstRow="0" w:lastRow="0" w:firstColumn="0" w:lastColumn="0" w:noHBand="1" w:noVBand="1"/>
      </w:tblPr>
      <w:tblGrid>
        <w:gridCol w:w="1561"/>
        <w:gridCol w:w="1091"/>
        <w:gridCol w:w="4735"/>
        <w:gridCol w:w="1973"/>
      </w:tblGrid>
      <w:tr w:rsidR="00C71CDB" w14:paraId="0021CC35" w14:textId="77777777" w:rsidTr="00EF66B6">
        <w:trPr>
          <w:trHeight w:val="515"/>
        </w:trPr>
        <w:tc>
          <w:tcPr>
            <w:tcW w:w="1561" w:type="dxa"/>
            <w:tcBorders>
              <w:top w:val="single" w:sz="4" w:space="0" w:color="000000"/>
              <w:left w:val="single" w:sz="4" w:space="0" w:color="000000"/>
              <w:bottom w:val="single" w:sz="4" w:space="0" w:color="000000"/>
              <w:right w:val="single" w:sz="4" w:space="0" w:color="000000"/>
            </w:tcBorders>
            <w:shd w:val="clear" w:color="auto" w:fill="CCC0D9" w:themeFill="accent4" w:themeFillTint="66"/>
            <w:tcMar>
              <w:top w:w="100" w:type="dxa"/>
              <w:left w:w="100" w:type="dxa"/>
              <w:bottom w:w="100" w:type="dxa"/>
              <w:right w:w="100" w:type="dxa"/>
            </w:tcMar>
          </w:tcPr>
          <w:p w14:paraId="15B75EB2" w14:textId="2C4C4F57" w:rsidR="00C71CDB" w:rsidRDefault="00322600" w:rsidP="00DA7C87">
            <w:r>
              <w:rPr>
                <w:b/>
                <w:bCs/>
              </w:rPr>
              <w:t>“</w:t>
            </w:r>
            <w:r w:rsidR="00C71CDB">
              <w:rPr>
                <w:b/>
                <w:bCs/>
              </w:rPr>
              <w:t>Phase</w:t>
            </w:r>
          </w:p>
        </w:tc>
        <w:tc>
          <w:tcPr>
            <w:tcW w:w="1091" w:type="dxa"/>
            <w:tcBorders>
              <w:top w:val="single" w:sz="4" w:space="0" w:color="000000"/>
              <w:left w:val="single" w:sz="4" w:space="0" w:color="000000"/>
              <w:bottom w:val="single" w:sz="4" w:space="0" w:color="000000"/>
              <w:right w:val="single" w:sz="4" w:space="0" w:color="000000"/>
            </w:tcBorders>
            <w:shd w:val="clear" w:color="auto" w:fill="CCC0D9" w:themeFill="accent4" w:themeFillTint="66"/>
            <w:tcMar>
              <w:top w:w="100" w:type="dxa"/>
              <w:left w:w="100" w:type="dxa"/>
              <w:bottom w:w="100" w:type="dxa"/>
              <w:right w:w="100" w:type="dxa"/>
            </w:tcMar>
          </w:tcPr>
          <w:p w14:paraId="36B89E7E" w14:textId="77777777" w:rsidR="00C71CDB" w:rsidRDefault="00C71CDB" w:rsidP="00DA7C87">
            <w:r>
              <w:rPr>
                <w:b/>
                <w:bCs/>
              </w:rPr>
              <w:t>Timing</w:t>
            </w:r>
          </w:p>
        </w:tc>
        <w:tc>
          <w:tcPr>
            <w:tcW w:w="4735" w:type="dxa"/>
            <w:tcBorders>
              <w:top w:val="single" w:sz="4" w:space="0" w:color="000000"/>
              <w:left w:val="single" w:sz="4" w:space="0" w:color="000000"/>
              <w:bottom w:val="single" w:sz="4" w:space="0" w:color="000000"/>
              <w:right w:val="single" w:sz="4" w:space="0" w:color="000000"/>
            </w:tcBorders>
            <w:shd w:val="clear" w:color="auto" w:fill="CCC0D9" w:themeFill="accent4" w:themeFillTint="66"/>
            <w:tcMar>
              <w:top w:w="100" w:type="dxa"/>
              <w:left w:w="100" w:type="dxa"/>
              <w:bottom w:w="100" w:type="dxa"/>
              <w:right w:w="100" w:type="dxa"/>
            </w:tcMar>
          </w:tcPr>
          <w:p w14:paraId="63A51AB8" w14:textId="77777777" w:rsidR="00C71CDB" w:rsidRDefault="00C71CDB" w:rsidP="00DA7C87">
            <w:r>
              <w:rPr>
                <w:b/>
                <w:bCs/>
              </w:rPr>
              <w:t>Main Activities</w:t>
            </w:r>
          </w:p>
        </w:tc>
        <w:tc>
          <w:tcPr>
            <w:tcW w:w="1973" w:type="dxa"/>
            <w:tcBorders>
              <w:top w:val="single" w:sz="4" w:space="0" w:color="000000"/>
              <w:left w:val="single" w:sz="4" w:space="0" w:color="000000"/>
              <w:bottom w:val="single" w:sz="4" w:space="0" w:color="000000"/>
              <w:right w:val="single" w:sz="4" w:space="0" w:color="000000"/>
            </w:tcBorders>
            <w:shd w:val="clear" w:color="auto" w:fill="CCC0D9" w:themeFill="accent4" w:themeFillTint="66"/>
            <w:tcMar>
              <w:top w:w="100" w:type="dxa"/>
              <w:left w:w="100" w:type="dxa"/>
              <w:bottom w:w="100" w:type="dxa"/>
              <w:right w:w="100" w:type="dxa"/>
            </w:tcMar>
          </w:tcPr>
          <w:p w14:paraId="4FFEE19B" w14:textId="77777777" w:rsidR="00C71CDB" w:rsidRDefault="00C71CDB" w:rsidP="00DA7C87">
            <w:r>
              <w:rPr>
                <w:b/>
                <w:bCs/>
              </w:rPr>
              <w:t>Output</w:t>
            </w:r>
          </w:p>
        </w:tc>
      </w:tr>
      <w:tr w:rsidR="00C71CDB" w14:paraId="57AFF1B1" w14:textId="77777777" w:rsidTr="00EF66B6">
        <w:trPr>
          <w:trHeight w:val="1070"/>
        </w:trPr>
        <w:tc>
          <w:tcPr>
            <w:tcW w:w="1561" w:type="dxa"/>
            <w:tcBorders>
              <w:top w:val="single" w:sz="4" w:space="0" w:color="000000"/>
              <w:left w:val="single" w:sz="4" w:space="0" w:color="000000"/>
              <w:bottom w:val="single" w:sz="4" w:space="0" w:color="000000"/>
              <w:right w:val="single" w:sz="4" w:space="0" w:color="000000"/>
            </w:tcBorders>
            <w:shd w:val="clear" w:color="auto" w:fill="CCC0D9" w:themeFill="accent4" w:themeFillTint="66"/>
            <w:tcMar>
              <w:top w:w="100" w:type="dxa"/>
              <w:left w:w="100" w:type="dxa"/>
              <w:bottom w:w="100" w:type="dxa"/>
              <w:right w:w="100" w:type="dxa"/>
            </w:tcMar>
          </w:tcPr>
          <w:p w14:paraId="2BA3B903" w14:textId="77777777" w:rsidR="00C71CDB" w:rsidRDefault="00C71CDB" w:rsidP="00DA7C87">
            <w:r>
              <w:rPr>
                <w:b/>
                <w:bCs/>
              </w:rPr>
              <w:t>1. Preparation</w:t>
            </w:r>
          </w:p>
        </w:tc>
        <w:tc>
          <w:tcPr>
            <w:tcW w:w="1091" w:type="dxa"/>
            <w:tcBorders>
              <w:top w:val="single" w:sz="4" w:space="0" w:color="000000"/>
              <w:left w:val="single" w:sz="4" w:space="0" w:color="000000"/>
              <w:bottom w:val="single" w:sz="4" w:space="0" w:color="000000"/>
              <w:right w:val="single" w:sz="4" w:space="0" w:color="000000"/>
            </w:tcBorders>
            <w:shd w:val="clear" w:color="auto" w:fill="CCC0D9" w:themeFill="accent4" w:themeFillTint="66"/>
            <w:tcMar>
              <w:top w:w="100" w:type="dxa"/>
              <w:left w:w="100" w:type="dxa"/>
              <w:bottom w:w="100" w:type="dxa"/>
              <w:right w:w="100" w:type="dxa"/>
            </w:tcMar>
          </w:tcPr>
          <w:p w14:paraId="42FD84ED" w14:textId="77777777" w:rsidR="00C71CDB" w:rsidRDefault="00C71CDB" w:rsidP="00DA7C87">
            <w:r>
              <w:t>Month 1</w:t>
            </w:r>
          </w:p>
        </w:tc>
        <w:tc>
          <w:tcPr>
            <w:tcW w:w="4735" w:type="dxa"/>
            <w:tcBorders>
              <w:top w:val="single" w:sz="4" w:space="0" w:color="000000"/>
              <w:left w:val="single" w:sz="4" w:space="0" w:color="000000"/>
              <w:bottom w:val="single" w:sz="4" w:space="0" w:color="000000"/>
              <w:right w:val="single" w:sz="4" w:space="0" w:color="000000"/>
            </w:tcBorders>
            <w:shd w:val="clear" w:color="auto" w:fill="CCC0D9" w:themeFill="accent4" w:themeFillTint="66"/>
            <w:tcMar>
              <w:top w:w="100" w:type="dxa"/>
              <w:left w:w="100" w:type="dxa"/>
              <w:bottom w:w="100" w:type="dxa"/>
              <w:right w:w="100" w:type="dxa"/>
            </w:tcMar>
          </w:tcPr>
          <w:p w14:paraId="12E16259" w14:textId="77777777" w:rsidR="00C71CDB" w:rsidRDefault="00C71CDB" w:rsidP="00DA7C87">
            <w:r>
              <w:t>Secure €30,000 funding, registration, insurance, workspace and suppliers.</w:t>
            </w:r>
          </w:p>
          <w:p w14:paraId="6B86B989" w14:textId="77777777" w:rsidR="00C71CDB" w:rsidRDefault="00C71CDB" w:rsidP="00DA7C87"/>
        </w:tc>
        <w:tc>
          <w:tcPr>
            <w:tcW w:w="1973" w:type="dxa"/>
            <w:tcBorders>
              <w:top w:val="single" w:sz="4" w:space="0" w:color="000000"/>
              <w:left w:val="single" w:sz="4" w:space="0" w:color="000000"/>
              <w:bottom w:val="single" w:sz="4" w:space="0" w:color="000000"/>
              <w:right w:val="single" w:sz="4" w:space="0" w:color="000000"/>
            </w:tcBorders>
            <w:shd w:val="clear" w:color="auto" w:fill="CCC0D9" w:themeFill="accent4" w:themeFillTint="66"/>
            <w:tcMar>
              <w:top w:w="100" w:type="dxa"/>
              <w:left w:w="100" w:type="dxa"/>
              <w:bottom w:w="100" w:type="dxa"/>
              <w:right w:w="100" w:type="dxa"/>
            </w:tcMar>
          </w:tcPr>
          <w:p w14:paraId="2A88A85E" w14:textId="77777777" w:rsidR="00C71CDB" w:rsidRDefault="00C71CDB" w:rsidP="00DA7C87">
            <w:r>
              <w:t>Enhancing legal and financial readiness.</w:t>
            </w:r>
          </w:p>
        </w:tc>
      </w:tr>
      <w:tr w:rsidR="00C71CDB" w14:paraId="4ECA6216" w14:textId="77777777" w:rsidTr="00EF66B6">
        <w:trPr>
          <w:trHeight w:val="1070"/>
        </w:trPr>
        <w:tc>
          <w:tcPr>
            <w:tcW w:w="1561" w:type="dxa"/>
            <w:tcBorders>
              <w:top w:val="single" w:sz="4" w:space="0" w:color="000000"/>
              <w:left w:val="single" w:sz="4" w:space="0" w:color="000000"/>
              <w:bottom w:val="single" w:sz="4" w:space="0" w:color="000000"/>
              <w:right w:val="single" w:sz="4" w:space="0" w:color="000000"/>
            </w:tcBorders>
            <w:shd w:val="clear" w:color="auto" w:fill="CCC0D9" w:themeFill="accent4" w:themeFillTint="66"/>
            <w:tcMar>
              <w:top w:w="100" w:type="dxa"/>
              <w:left w:w="100" w:type="dxa"/>
              <w:bottom w:w="100" w:type="dxa"/>
              <w:right w:w="100" w:type="dxa"/>
            </w:tcMar>
          </w:tcPr>
          <w:p w14:paraId="13D80173" w14:textId="77777777" w:rsidR="00C71CDB" w:rsidRDefault="00C71CDB" w:rsidP="00DA7C87">
            <w:r>
              <w:rPr>
                <w:b/>
                <w:bCs/>
              </w:rPr>
              <w:t>2. Build &amp; Test</w:t>
            </w:r>
          </w:p>
        </w:tc>
        <w:tc>
          <w:tcPr>
            <w:tcW w:w="1091" w:type="dxa"/>
            <w:tcBorders>
              <w:top w:val="single" w:sz="4" w:space="0" w:color="000000"/>
              <w:left w:val="single" w:sz="4" w:space="0" w:color="000000"/>
              <w:bottom w:val="single" w:sz="4" w:space="0" w:color="000000"/>
              <w:right w:val="single" w:sz="4" w:space="0" w:color="000000"/>
            </w:tcBorders>
            <w:shd w:val="clear" w:color="auto" w:fill="CCC0D9" w:themeFill="accent4" w:themeFillTint="66"/>
            <w:tcMar>
              <w:top w:w="100" w:type="dxa"/>
              <w:left w:w="100" w:type="dxa"/>
              <w:bottom w:w="100" w:type="dxa"/>
              <w:right w:w="100" w:type="dxa"/>
            </w:tcMar>
          </w:tcPr>
          <w:p w14:paraId="60BC4CB3" w14:textId="77777777" w:rsidR="00C71CDB" w:rsidRDefault="00C71CDB" w:rsidP="00DA7C87">
            <w:r>
              <w:t>Months 2–3</w:t>
            </w:r>
          </w:p>
        </w:tc>
        <w:tc>
          <w:tcPr>
            <w:tcW w:w="4735" w:type="dxa"/>
            <w:tcBorders>
              <w:top w:val="single" w:sz="4" w:space="0" w:color="000000"/>
              <w:left w:val="single" w:sz="4" w:space="0" w:color="000000"/>
              <w:bottom w:val="single" w:sz="4" w:space="0" w:color="000000"/>
              <w:right w:val="single" w:sz="4" w:space="0" w:color="000000"/>
            </w:tcBorders>
            <w:shd w:val="clear" w:color="auto" w:fill="CCC0D9" w:themeFill="accent4" w:themeFillTint="66"/>
            <w:tcMar>
              <w:top w:w="100" w:type="dxa"/>
              <w:left w:w="100" w:type="dxa"/>
              <w:bottom w:w="100" w:type="dxa"/>
              <w:right w:w="100" w:type="dxa"/>
            </w:tcMar>
          </w:tcPr>
          <w:p w14:paraId="32D76A83" w14:textId="77777777" w:rsidR="00C71CDB" w:rsidRDefault="00C71CDB" w:rsidP="00DA7C87">
            <w:r>
              <w:t>Set up website, CRM, ordering and accounting systems; hire and train employees; vendor and fulfillment testing.</w:t>
            </w:r>
          </w:p>
        </w:tc>
        <w:tc>
          <w:tcPr>
            <w:tcW w:w="1973" w:type="dxa"/>
            <w:tcBorders>
              <w:top w:val="single" w:sz="4" w:space="0" w:color="000000"/>
              <w:left w:val="single" w:sz="4" w:space="0" w:color="000000"/>
              <w:bottom w:val="single" w:sz="4" w:space="0" w:color="000000"/>
              <w:right w:val="single" w:sz="4" w:space="0" w:color="000000"/>
            </w:tcBorders>
            <w:shd w:val="clear" w:color="auto" w:fill="CCC0D9" w:themeFill="accent4" w:themeFillTint="66"/>
            <w:tcMar>
              <w:top w:w="100" w:type="dxa"/>
              <w:left w:w="100" w:type="dxa"/>
              <w:bottom w:w="100" w:type="dxa"/>
              <w:right w:w="100" w:type="dxa"/>
            </w:tcMar>
          </w:tcPr>
          <w:p w14:paraId="0D1DE442" w14:textId="77777777" w:rsidR="00C71CDB" w:rsidRDefault="00C71CDB" w:rsidP="00DA7C87">
            <w:r>
              <w:t>Operational readiness</w:t>
            </w:r>
          </w:p>
        </w:tc>
      </w:tr>
      <w:tr w:rsidR="00C71CDB" w14:paraId="1893F418" w14:textId="77777777" w:rsidTr="00EF66B6">
        <w:trPr>
          <w:trHeight w:val="785"/>
        </w:trPr>
        <w:tc>
          <w:tcPr>
            <w:tcW w:w="1561" w:type="dxa"/>
            <w:tcBorders>
              <w:top w:val="single" w:sz="4" w:space="0" w:color="000000"/>
              <w:left w:val="single" w:sz="4" w:space="0" w:color="000000"/>
              <w:bottom w:val="single" w:sz="4" w:space="0" w:color="000000"/>
              <w:right w:val="single" w:sz="4" w:space="0" w:color="000000"/>
            </w:tcBorders>
            <w:shd w:val="clear" w:color="auto" w:fill="CCC0D9" w:themeFill="accent4" w:themeFillTint="66"/>
            <w:tcMar>
              <w:top w:w="100" w:type="dxa"/>
              <w:left w:w="100" w:type="dxa"/>
              <w:bottom w:w="100" w:type="dxa"/>
              <w:right w:w="100" w:type="dxa"/>
            </w:tcMar>
          </w:tcPr>
          <w:p w14:paraId="4521C2FA" w14:textId="77777777" w:rsidR="00C71CDB" w:rsidRDefault="00C71CDB" w:rsidP="00DA7C87">
            <w:r>
              <w:rPr>
                <w:b/>
                <w:bCs/>
              </w:rPr>
              <w:t>3. Soft Launch</w:t>
            </w:r>
          </w:p>
        </w:tc>
        <w:tc>
          <w:tcPr>
            <w:tcW w:w="1091" w:type="dxa"/>
            <w:tcBorders>
              <w:top w:val="single" w:sz="4" w:space="0" w:color="000000"/>
              <w:left w:val="single" w:sz="4" w:space="0" w:color="000000"/>
              <w:bottom w:val="single" w:sz="4" w:space="0" w:color="000000"/>
              <w:right w:val="single" w:sz="4" w:space="0" w:color="000000"/>
            </w:tcBorders>
            <w:shd w:val="clear" w:color="auto" w:fill="CCC0D9" w:themeFill="accent4" w:themeFillTint="66"/>
            <w:tcMar>
              <w:top w:w="100" w:type="dxa"/>
              <w:left w:w="100" w:type="dxa"/>
              <w:bottom w:w="100" w:type="dxa"/>
              <w:right w:w="100" w:type="dxa"/>
            </w:tcMar>
          </w:tcPr>
          <w:p w14:paraId="3B41DA9F" w14:textId="77777777" w:rsidR="00C71CDB" w:rsidRDefault="00C71CDB" w:rsidP="00DA7C87">
            <w:r>
              <w:t>Month 3</w:t>
            </w:r>
          </w:p>
        </w:tc>
        <w:tc>
          <w:tcPr>
            <w:tcW w:w="4735" w:type="dxa"/>
            <w:tcBorders>
              <w:top w:val="single" w:sz="4" w:space="0" w:color="000000"/>
              <w:left w:val="single" w:sz="4" w:space="0" w:color="000000"/>
              <w:bottom w:val="single" w:sz="4" w:space="0" w:color="000000"/>
              <w:right w:val="single" w:sz="4" w:space="0" w:color="000000"/>
            </w:tcBorders>
            <w:shd w:val="clear" w:color="auto" w:fill="CCC0D9" w:themeFill="accent4" w:themeFillTint="66"/>
            <w:tcMar>
              <w:top w:w="100" w:type="dxa"/>
              <w:left w:w="100" w:type="dxa"/>
              <w:bottom w:w="100" w:type="dxa"/>
              <w:right w:w="100" w:type="dxa"/>
            </w:tcMar>
          </w:tcPr>
          <w:p w14:paraId="686CCB85" w14:textId="77777777" w:rsidR="00C71CDB" w:rsidRDefault="00C71CDB" w:rsidP="00DA7C87">
            <w:r>
              <w:t>Provide services to selected SME customers and test ordering, delivery and support.</w:t>
            </w:r>
          </w:p>
        </w:tc>
        <w:tc>
          <w:tcPr>
            <w:tcW w:w="1973" w:type="dxa"/>
            <w:tcBorders>
              <w:top w:val="single" w:sz="4" w:space="0" w:color="000000"/>
              <w:left w:val="single" w:sz="4" w:space="0" w:color="000000"/>
              <w:bottom w:val="single" w:sz="4" w:space="0" w:color="000000"/>
              <w:right w:val="single" w:sz="4" w:space="0" w:color="000000"/>
            </w:tcBorders>
            <w:shd w:val="clear" w:color="auto" w:fill="CCC0D9" w:themeFill="accent4" w:themeFillTint="66"/>
            <w:tcMar>
              <w:top w:w="100" w:type="dxa"/>
              <w:left w:w="100" w:type="dxa"/>
              <w:bottom w:w="100" w:type="dxa"/>
              <w:right w:w="100" w:type="dxa"/>
            </w:tcMar>
          </w:tcPr>
          <w:p w14:paraId="30C88B47" w14:textId="77777777" w:rsidR="00C71CDB" w:rsidRDefault="00C71CDB" w:rsidP="00DA7C87">
            <w:r>
              <w:t>Pilot evidence and corrections</w:t>
            </w:r>
          </w:p>
        </w:tc>
      </w:tr>
      <w:tr w:rsidR="00C71CDB" w14:paraId="54BF4D68" w14:textId="77777777" w:rsidTr="00EF66B6">
        <w:trPr>
          <w:trHeight w:val="785"/>
        </w:trPr>
        <w:tc>
          <w:tcPr>
            <w:tcW w:w="1561" w:type="dxa"/>
            <w:tcBorders>
              <w:top w:val="single" w:sz="4" w:space="0" w:color="000000"/>
              <w:left w:val="single" w:sz="4" w:space="0" w:color="000000"/>
              <w:bottom w:val="single" w:sz="4" w:space="0" w:color="000000"/>
              <w:right w:val="single" w:sz="4" w:space="0" w:color="000000"/>
            </w:tcBorders>
            <w:shd w:val="clear" w:color="auto" w:fill="CCC0D9" w:themeFill="accent4" w:themeFillTint="66"/>
            <w:tcMar>
              <w:top w:w="100" w:type="dxa"/>
              <w:left w:w="100" w:type="dxa"/>
              <w:bottom w:w="100" w:type="dxa"/>
              <w:right w:w="100" w:type="dxa"/>
            </w:tcMar>
          </w:tcPr>
          <w:p w14:paraId="7F07F343" w14:textId="77777777" w:rsidR="00C71CDB" w:rsidRDefault="00C71CDB" w:rsidP="00DA7C87">
            <w:r>
              <w:rPr>
                <w:b/>
                <w:bCs/>
              </w:rPr>
              <w:t>4. Full Launch</w:t>
            </w:r>
          </w:p>
        </w:tc>
        <w:tc>
          <w:tcPr>
            <w:tcW w:w="1091" w:type="dxa"/>
            <w:tcBorders>
              <w:top w:val="single" w:sz="4" w:space="0" w:color="000000"/>
              <w:left w:val="single" w:sz="4" w:space="0" w:color="000000"/>
              <w:bottom w:val="single" w:sz="4" w:space="0" w:color="000000"/>
              <w:right w:val="single" w:sz="4" w:space="0" w:color="000000"/>
            </w:tcBorders>
            <w:shd w:val="clear" w:color="auto" w:fill="CCC0D9" w:themeFill="accent4" w:themeFillTint="66"/>
            <w:tcMar>
              <w:top w:w="100" w:type="dxa"/>
              <w:left w:w="100" w:type="dxa"/>
              <w:bottom w:w="100" w:type="dxa"/>
              <w:right w:w="100" w:type="dxa"/>
            </w:tcMar>
          </w:tcPr>
          <w:p w14:paraId="6F0C5A88" w14:textId="77777777" w:rsidR="00C71CDB" w:rsidRDefault="00C71CDB" w:rsidP="00DA7C87">
            <w:r>
              <w:t>Month 4</w:t>
            </w:r>
          </w:p>
        </w:tc>
        <w:tc>
          <w:tcPr>
            <w:tcW w:w="4735" w:type="dxa"/>
            <w:tcBorders>
              <w:top w:val="single" w:sz="4" w:space="0" w:color="000000"/>
              <w:left w:val="single" w:sz="4" w:space="0" w:color="000000"/>
              <w:bottom w:val="single" w:sz="4" w:space="0" w:color="000000"/>
              <w:right w:val="single" w:sz="4" w:space="0" w:color="000000"/>
            </w:tcBorders>
            <w:shd w:val="clear" w:color="auto" w:fill="CCC0D9" w:themeFill="accent4" w:themeFillTint="66"/>
            <w:tcMar>
              <w:top w:w="100" w:type="dxa"/>
              <w:left w:w="100" w:type="dxa"/>
              <w:bottom w:w="100" w:type="dxa"/>
              <w:right w:w="100" w:type="dxa"/>
            </w:tcMar>
          </w:tcPr>
          <w:p w14:paraId="47FA03B9" w14:textId="77777777" w:rsidR="00C71CDB" w:rsidRDefault="00C71CDB" w:rsidP="00DA7C87">
            <w:r>
              <w:t>Begin normal sales, marketing and fulfilment.</w:t>
            </w:r>
          </w:p>
        </w:tc>
        <w:tc>
          <w:tcPr>
            <w:tcW w:w="1973" w:type="dxa"/>
            <w:tcBorders>
              <w:top w:val="single" w:sz="4" w:space="0" w:color="000000"/>
              <w:left w:val="single" w:sz="4" w:space="0" w:color="000000"/>
              <w:bottom w:val="single" w:sz="4" w:space="0" w:color="000000"/>
              <w:right w:val="single" w:sz="4" w:space="0" w:color="000000"/>
            </w:tcBorders>
            <w:shd w:val="clear" w:color="auto" w:fill="CCC0D9" w:themeFill="accent4" w:themeFillTint="66"/>
            <w:tcMar>
              <w:top w:w="100" w:type="dxa"/>
              <w:left w:w="100" w:type="dxa"/>
              <w:bottom w:w="100" w:type="dxa"/>
              <w:right w:w="100" w:type="dxa"/>
            </w:tcMar>
          </w:tcPr>
          <w:p w14:paraId="5D6DB4D6" w14:textId="77777777" w:rsidR="00C71CDB" w:rsidRDefault="00C71CDB" w:rsidP="00DA7C87">
            <w:r>
              <w:t>Commercial operation</w:t>
            </w:r>
          </w:p>
        </w:tc>
      </w:tr>
      <w:tr w:rsidR="00C71CDB" w14:paraId="099A79AA" w14:textId="77777777" w:rsidTr="00EF66B6">
        <w:trPr>
          <w:trHeight w:val="785"/>
        </w:trPr>
        <w:tc>
          <w:tcPr>
            <w:tcW w:w="1561" w:type="dxa"/>
            <w:tcBorders>
              <w:top w:val="single" w:sz="4" w:space="0" w:color="000000"/>
              <w:left w:val="single" w:sz="4" w:space="0" w:color="000000"/>
              <w:bottom w:val="single" w:sz="4" w:space="0" w:color="000000"/>
              <w:right w:val="single" w:sz="4" w:space="0" w:color="000000"/>
            </w:tcBorders>
            <w:shd w:val="clear" w:color="auto" w:fill="CCC0D9" w:themeFill="accent4" w:themeFillTint="66"/>
            <w:tcMar>
              <w:top w:w="100" w:type="dxa"/>
              <w:left w:w="100" w:type="dxa"/>
              <w:bottom w:w="100" w:type="dxa"/>
              <w:right w:w="100" w:type="dxa"/>
            </w:tcMar>
          </w:tcPr>
          <w:p w14:paraId="4A097C8D" w14:textId="77777777" w:rsidR="00C71CDB" w:rsidRDefault="00C71CDB" w:rsidP="00DA7C87">
            <w:r>
              <w:rPr>
                <w:b/>
                <w:bCs/>
              </w:rPr>
              <w:t>5. Stabilisation</w:t>
            </w:r>
          </w:p>
        </w:tc>
        <w:tc>
          <w:tcPr>
            <w:tcW w:w="1091" w:type="dxa"/>
            <w:tcBorders>
              <w:top w:val="single" w:sz="4" w:space="0" w:color="000000"/>
              <w:left w:val="single" w:sz="4" w:space="0" w:color="000000"/>
              <w:bottom w:val="single" w:sz="4" w:space="0" w:color="000000"/>
              <w:right w:val="single" w:sz="4" w:space="0" w:color="000000"/>
            </w:tcBorders>
            <w:shd w:val="clear" w:color="auto" w:fill="CCC0D9" w:themeFill="accent4" w:themeFillTint="66"/>
            <w:tcMar>
              <w:top w:w="100" w:type="dxa"/>
              <w:left w:w="100" w:type="dxa"/>
              <w:bottom w:w="100" w:type="dxa"/>
              <w:right w:w="100" w:type="dxa"/>
            </w:tcMar>
          </w:tcPr>
          <w:p w14:paraId="68FC0B08" w14:textId="77777777" w:rsidR="00C71CDB" w:rsidRDefault="00C71CDB" w:rsidP="00DA7C87">
            <w:r>
              <w:t>Months 4–5</w:t>
            </w:r>
          </w:p>
        </w:tc>
        <w:tc>
          <w:tcPr>
            <w:tcW w:w="4735" w:type="dxa"/>
            <w:tcBorders>
              <w:top w:val="single" w:sz="4" w:space="0" w:color="000000"/>
              <w:left w:val="single" w:sz="4" w:space="0" w:color="000000"/>
              <w:bottom w:val="single" w:sz="4" w:space="0" w:color="000000"/>
              <w:right w:val="single" w:sz="4" w:space="0" w:color="000000"/>
            </w:tcBorders>
            <w:shd w:val="clear" w:color="auto" w:fill="CCC0D9" w:themeFill="accent4" w:themeFillTint="66"/>
            <w:tcMar>
              <w:top w:w="100" w:type="dxa"/>
              <w:left w:w="100" w:type="dxa"/>
              <w:bottom w:w="100" w:type="dxa"/>
              <w:right w:w="100" w:type="dxa"/>
            </w:tcMar>
          </w:tcPr>
          <w:p w14:paraId="28401BA2" w14:textId="77777777" w:rsidR="00C71CDB" w:rsidRDefault="00C71CDB" w:rsidP="00DA7C87">
            <w:r>
              <w:t>Analyse KPIs, costs, customer feedback and operational performance.</w:t>
            </w:r>
          </w:p>
        </w:tc>
        <w:tc>
          <w:tcPr>
            <w:tcW w:w="1973" w:type="dxa"/>
            <w:tcBorders>
              <w:top w:val="single" w:sz="4" w:space="0" w:color="000000"/>
              <w:left w:val="single" w:sz="4" w:space="0" w:color="000000"/>
              <w:bottom w:val="single" w:sz="4" w:space="0" w:color="000000"/>
              <w:right w:val="single" w:sz="4" w:space="0" w:color="000000"/>
            </w:tcBorders>
            <w:shd w:val="clear" w:color="auto" w:fill="CCC0D9" w:themeFill="accent4" w:themeFillTint="66"/>
            <w:tcMar>
              <w:top w:w="100" w:type="dxa"/>
              <w:left w:w="100" w:type="dxa"/>
              <w:bottom w:w="100" w:type="dxa"/>
              <w:right w:w="100" w:type="dxa"/>
            </w:tcMar>
          </w:tcPr>
          <w:p w14:paraId="3E70D4A4" w14:textId="16F6C4EE" w:rsidR="00C71CDB" w:rsidRDefault="00C71CDB" w:rsidP="00DA7C87">
            <w:r>
              <w:t>Controlled early growth</w:t>
            </w:r>
            <w:r w:rsidR="00322600">
              <w:t>”</w:t>
            </w:r>
          </w:p>
        </w:tc>
      </w:tr>
    </w:tbl>
    <w:p w14:paraId="08D1E71F" w14:textId="35E6F65B" w:rsidR="00EF66B6" w:rsidRPr="00FB7622" w:rsidRDefault="00EF66B6" w:rsidP="00EF66B6">
      <w:pPr>
        <w:pStyle w:val="Heading6"/>
      </w:pPr>
      <w:bookmarkStart w:id="222" w:name="_bpu6drjzpqc5" w:colFirst="0" w:colLast="0"/>
      <w:bookmarkStart w:id="223" w:name="_Toc241008874"/>
      <w:bookmarkEnd w:id="222"/>
      <w:r w:rsidRPr="00FB7622">
        <w:lastRenderedPageBreak/>
        <w:t>Table 1</w:t>
      </w:r>
      <w:r>
        <w:t>8</w:t>
      </w:r>
      <w:r w:rsidRPr="00FB7622">
        <w:t>: “</w:t>
      </w:r>
      <w:r>
        <w:t>Implementation Plan</w:t>
      </w:r>
      <w:r w:rsidRPr="00FB7622">
        <w:t>”</w:t>
      </w:r>
      <w:bookmarkEnd w:id="223"/>
    </w:p>
    <w:p w14:paraId="7E1D3797" w14:textId="7726E6B0" w:rsidR="00EF66B6" w:rsidRDefault="00EF66B6" w:rsidP="00EF66B6">
      <w:pPr>
        <w:jc w:val="center"/>
      </w:pPr>
      <w:r>
        <w:t>(Source: Created by Author)</w:t>
      </w:r>
    </w:p>
    <w:p w14:paraId="063A1952" w14:textId="6D33FA7B" w:rsidR="00C71CDB" w:rsidRDefault="00C71CDB" w:rsidP="00C71CDB">
      <w:pPr>
        <w:pStyle w:val="Heading3"/>
        <w:keepNext w:val="0"/>
        <w:keepLines w:val="0"/>
        <w:spacing w:before="280"/>
        <w:rPr>
          <w:b/>
          <w:bCs/>
          <w:color w:val="000000"/>
          <w:sz w:val="24"/>
          <w:szCs w:val="24"/>
        </w:rPr>
      </w:pPr>
      <w:bookmarkStart w:id="224" w:name="_Toc241008296"/>
      <w:r>
        <w:rPr>
          <w:b/>
          <w:bCs/>
          <w:color w:val="000000"/>
          <w:sz w:val="24"/>
          <w:szCs w:val="24"/>
        </w:rPr>
        <w:t>12.2 Milestones and Timeline</w:t>
      </w:r>
      <w:bookmarkEnd w:id="224"/>
    </w:p>
    <w:tbl>
      <w:tblPr>
        <w:tblW w:w="6345" w:type="dxa"/>
        <w:jc w:val="center"/>
        <w:tblBorders>
          <w:top w:val="nil"/>
          <w:left w:val="nil"/>
          <w:bottom w:val="nil"/>
          <w:right w:val="nil"/>
          <w:insideH w:val="nil"/>
          <w:insideV w:val="nil"/>
        </w:tblBorders>
        <w:tblLayout w:type="fixed"/>
        <w:tblLook w:val="0600" w:firstRow="0" w:lastRow="0" w:firstColumn="0" w:lastColumn="0" w:noHBand="1" w:noVBand="1"/>
      </w:tblPr>
      <w:tblGrid>
        <w:gridCol w:w="3470"/>
        <w:gridCol w:w="575"/>
        <w:gridCol w:w="575"/>
        <w:gridCol w:w="575"/>
        <w:gridCol w:w="575"/>
        <w:gridCol w:w="575"/>
      </w:tblGrid>
      <w:tr w:rsidR="00C71CDB" w14:paraId="303DCD38" w14:textId="77777777" w:rsidTr="00322600">
        <w:trPr>
          <w:trHeight w:val="515"/>
          <w:jc w:val="center"/>
        </w:trPr>
        <w:tc>
          <w:tcPr>
            <w:tcW w:w="347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DEA18DB" w14:textId="128485A4" w:rsidR="00C71CDB" w:rsidRDefault="00322600" w:rsidP="00DA7C87">
            <w:r>
              <w:rPr>
                <w:b/>
                <w:bCs/>
              </w:rPr>
              <w:t>“</w:t>
            </w:r>
            <w:r w:rsidR="00C71CDB">
              <w:rPr>
                <w:b/>
                <w:bCs/>
              </w:rPr>
              <w:t>Activity</w:t>
            </w:r>
          </w:p>
        </w:tc>
        <w:tc>
          <w:tcPr>
            <w:tcW w:w="57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8C880FF" w14:textId="77777777" w:rsidR="00C71CDB" w:rsidRDefault="00C71CDB" w:rsidP="00DA7C87">
            <w:r>
              <w:rPr>
                <w:b/>
                <w:bCs/>
              </w:rPr>
              <w:t>M1</w:t>
            </w:r>
          </w:p>
        </w:tc>
        <w:tc>
          <w:tcPr>
            <w:tcW w:w="57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F097ECB" w14:textId="77777777" w:rsidR="00C71CDB" w:rsidRDefault="00C71CDB" w:rsidP="00DA7C87">
            <w:r>
              <w:rPr>
                <w:b/>
                <w:bCs/>
              </w:rPr>
              <w:t>M2</w:t>
            </w:r>
          </w:p>
        </w:tc>
        <w:tc>
          <w:tcPr>
            <w:tcW w:w="57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A520884" w14:textId="77777777" w:rsidR="00C71CDB" w:rsidRDefault="00C71CDB" w:rsidP="00DA7C87">
            <w:r>
              <w:rPr>
                <w:b/>
                <w:bCs/>
              </w:rPr>
              <w:t>M3</w:t>
            </w:r>
          </w:p>
        </w:tc>
        <w:tc>
          <w:tcPr>
            <w:tcW w:w="57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81D7078" w14:textId="77777777" w:rsidR="00C71CDB" w:rsidRDefault="00C71CDB" w:rsidP="00DA7C87">
            <w:r>
              <w:rPr>
                <w:b/>
                <w:bCs/>
              </w:rPr>
              <w:t>M4</w:t>
            </w:r>
          </w:p>
        </w:tc>
        <w:tc>
          <w:tcPr>
            <w:tcW w:w="57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C706E21" w14:textId="77777777" w:rsidR="00C71CDB" w:rsidRDefault="00C71CDB" w:rsidP="00DA7C87">
            <w:r>
              <w:rPr>
                <w:b/>
                <w:bCs/>
              </w:rPr>
              <w:t>M5</w:t>
            </w:r>
          </w:p>
        </w:tc>
      </w:tr>
      <w:tr w:rsidR="00C71CDB" w14:paraId="4834EC6A" w14:textId="77777777" w:rsidTr="00322600">
        <w:trPr>
          <w:trHeight w:val="515"/>
          <w:jc w:val="center"/>
        </w:trPr>
        <w:tc>
          <w:tcPr>
            <w:tcW w:w="347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DF6A01B" w14:textId="77777777" w:rsidR="00C71CDB" w:rsidRDefault="00C71CDB" w:rsidP="00DA7C87">
            <w:r>
              <w:t>Funding, registration &amp; insurance</w:t>
            </w:r>
          </w:p>
        </w:tc>
        <w:tc>
          <w:tcPr>
            <w:tcW w:w="575" w:type="dxa"/>
            <w:tcBorders>
              <w:top w:val="single" w:sz="4" w:space="0" w:color="000000"/>
              <w:left w:val="single" w:sz="4" w:space="0" w:color="000000"/>
              <w:bottom w:val="single" w:sz="4" w:space="0" w:color="000000"/>
              <w:right w:val="single" w:sz="4" w:space="0" w:color="000000"/>
            </w:tcBorders>
            <w:shd w:val="clear" w:color="auto" w:fill="FF9900"/>
            <w:tcMar>
              <w:top w:w="100" w:type="dxa"/>
              <w:left w:w="100" w:type="dxa"/>
              <w:bottom w:w="100" w:type="dxa"/>
              <w:right w:w="100" w:type="dxa"/>
            </w:tcMar>
          </w:tcPr>
          <w:p w14:paraId="0968FF95" w14:textId="77777777" w:rsidR="00C71CDB" w:rsidRDefault="00C71CDB" w:rsidP="00DA7C87"/>
        </w:tc>
        <w:tc>
          <w:tcPr>
            <w:tcW w:w="57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C21AD74" w14:textId="77777777" w:rsidR="00C71CDB" w:rsidRDefault="00C71CDB" w:rsidP="00DA7C87"/>
        </w:tc>
        <w:tc>
          <w:tcPr>
            <w:tcW w:w="57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3080911" w14:textId="77777777" w:rsidR="00C71CDB" w:rsidRDefault="00C71CDB" w:rsidP="00DA7C87"/>
        </w:tc>
        <w:tc>
          <w:tcPr>
            <w:tcW w:w="57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650A76A" w14:textId="77777777" w:rsidR="00C71CDB" w:rsidRDefault="00C71CDB" w:rsidP="00DA7C87"/>
        </w:tc>
        <w:tc>
          <w:tcPr>
            <w:tcW w:w="57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F339056" w14:textId="77777777" w:rsidR="00C71CDB" w:rsidRDefault="00C71CDB" w:rsidP="00DA7C87"/>
        </w:tc>
      </w:tr>
      <w:tr w:rsidR="00C71CDB" w14:paraId="362138A8" w14:textId="77777777" w:rsidTr="00322600">
        <w:trPr>
          <w:trHeight w:val="515"/>
          <w:jc w:val="center"/>
        </w:trPr>
        <w:tc>
          <w:tcPr>
            <w:tcW w:w="347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15E68B0" w14:textId="77777777" w:rsidR="00C71CDB" w:rsidRDefault="00C71CDB" w:rsidP="00DA7C87">
            <w:r>
              <w:t>Workspace &amp; equipment</w:t>
            </w:r>
          </w:p>
        </w:tc>
        <w:tc>
          <w:tcPr>
            <w:tcW w:w="575" w:type="dxa"/>
            <w:tcBorders>
              <w:top w:val="single" w:sz="4" w:space="0" w:color="000000"/>
              <w:left w:val="single" w:sz="4" w:space="0" w:color="000000"/>
              <w:bottom w:val="single" w:sz="4" w:space="0" w:color="000000"/>
              <w:right w:val="single" w:sz="4" w:space="0" w:color="000000"/>
            </w:tcBorders>
            <w:shd w:val="clear" w:color="auto" w:fill="FFFF00"/>
            <w:tcMar>
              <w:top w:w="100" w:type="dxa"/>
              <w:left w:w="100" w:type="dxa"/>
              <w:bottom w:w="100" w:type="dxa"/>
              <w:right w:w="100" w:type="dxa"/>
            </w:tcMar>
          </w:tcPr>
          <w:p w14:paraId="0DE2FB09" w14:textId="77777777" w:rsidR="00C71CDB" w:rsidRDefault="00C71CDB" w:rsidP="00DA7C87"/>
        </w:tc>
        <w:tc>
          <w:tcPr>
            <w:tcW w:w="575" w:type="dxa"/>
            <w:tcBorders>
              <w:top w:val="single" w:sz="4" w:space="0" w:color="000000"/>
              <w:left w:val="single" w:sz="4" w:space="0" w:color="000000"/>
              <w:bottom w:val="single" w:sz="4" w:space="0" w:color="000000"/>
              <w:right w:val="single" w:sz="4" w:space="0" w:color="000000"/>
            </w:tcBorders>
            <w:shd w:val="clear" w:color="auto" w:fill="FFFF00"/>
            <w:tcMar>
              <w:top w:w="100" w:type="dxa"/>
              <w:left w:w="100" w:type="dxa"/>
              <w:bottom w:w="100" w:type="dxa"/>
              <w:right w:w="100" w:type="dxa"/>
            </w:tcMar>
          </w:tcPr>
          <w:p w14:paraId="57C54C9A" w14:textId="77777777" w:rsidR="00C71CDB" w:rsidRDefault="00C71CDB" w:rsidP="00DA7C87"/>
        </w:tc>
        <w:tc>
          <w:tcPr>
            <w:tcW w:w="57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718A2F6" w14:textId="77777777" w:rsidR="00C71CDB" w:rsidRDefault="00C71CDB" w:rsidP="00DA7C87"/>
        </w:tc>
        <w:tc>
          <w:tcPr>
            <w:tcW w:w="57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7308A3E" w14:textId="77777777" w:rsidR="00C71CDB" w:rsidRDefault="00C71CDB" w:rsidP="00DA7C87"/>
        </w:tc>
        <w:tc>
          <w:tcPr>
            <w:tcW w:w="57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C341BF4" w14:textId="77777777" w:rsidR="00C71CDB" w:rsidRDefault="00C71CDB" w:rsidP="00DA7C87"/>
        </w:tc>
      </w:tr>
      <w:tr w:rsidR="00C71CDB" w14:paraId="423A6B57" w14:textId="77777777" w:rsidTr="00322600">
        <w:trPr>
          <w:trHeight w:val="515"/>
          <w:jc w:val="center"/>
        </w:trPr>
        <w:tc>
          <w:tcPr>
            <w:tcW w:w="347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38756C7" w14:textId="77777777" w:rsidR="00C71CDB" w:rsidRDefault="00C71CDB" w:rsidP="00DA7C87">
            <w:r>
              <w:t>Technology setup/testing</w:t>
            </w:r>
          </w:p>
        </w:tc>
        <w:tc>
          <w:tcPr>
            <w:tcW w:w="57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A18F0A6" w14:textId="77777777" w:rsidR="00C71CDB" w:rsidRDefault="00C71CDB" w:rsidP="00DA7C87"/>
        </w:tc>
        <w:tc>
          <w:tcPr>
            <w:tcW w:w="575" w:type="dxa"/>
            <w:tcBorders>
              <w:top w:val="single" w:sz="4" w:space="0" w:color="000000"/>
              <w:left w:val="single" w:sz="4" w:space="0" w:color="000000"/>
              <w:bottom w:val="single" w:sz="4" w:space="0" w:color="000000"/>
              <w:right w:val="single" w:sz="4" w:space="0" w:color="000000"/>
            </w:tcBorders>
            <w:shd w:val="clear" w:color="auto" w:fill="00FF00"/>
            <w:tcMar>
              <w:top w:w="100" w:type="dxa"/>
              <w:left w:w="100" w:type="dxa"/>
              <w:bottom w:w="100" w:type="dxa"/>
              <w:right w:w="100" w:type="dxa"/>
            </w:tcMar>
          </w:tcPr>
          <w:p w14:paraId="59D500C5" w14:textId="77777777" w:rsidR="00C71CDB" w:rsidRDefault="00C71CDB" w:rsidP="00DA7C87"/>
        </w:tc>
        <w:tc>
          <w:tcPr>
            <w:tcW w:w="575" w:type="dxa"/>
            <w:tcBorders>
              <w:top w:val="single" w:sz="4" w:space="0" w:color="000000"/>
              <w:left w:val="single" w:sz="4" w:space="0" w:color="000000"/>
              <w:bottom w:val="single" w:sz="4" w:space="0" w:color="000000"/>
              <w:right w:val="single" w:sz="4" w:space="0" w:color="000000"/>
            </w:tcBorders>
            <w:shd w:val="clear" w:color="auto" w:fill="00FF00"/>
            <w:tcMar>
              <w:top w:w="100" w:type="dxa"/>
              <w:left w:w="100" w:type="dxa"/>
              <w:bottom w:w="100" w:type="dxa"/>
              <w:right w:w="100" w:type="dxa"/>
            </w:tcMar>
          </w:tcPr>
          <w:p w14:paraId="5B8B780E" w14:textId="77777777" w:rsidR="00C71CDB" w:rsidRDefault="00C71CDB" w:rsidP="00DA7C87"/>
        </w:tc>
        <w:tc>
          <w:tcPr>
            <w:tcW w:w="57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0899FE8" w14:textId="77777777" w:rsidR="00C71CDB" w:rsidRDefault="00C71CDB" w:rsidP="00DA7C87"/>
        </w:tc>
        <w:tc>
          <w:tcPr>
            <w:tcW w:w="57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AC85390" w14:textId="77777777" w:rsidR="00C71CDB" w:rsidRDefault="00C71CDB" w:rsidP="00DA7C87"/>
        </w:tc>
      </w:tr>
      <w:tr w:rsidR="00C71CDB" w14:paraId="0160F168" w14:textId="77777777" w:rsidTr="00322600">
        <w:trPr>
          <w:trHeight w:val="515"/>
          <w:jc w:val="center"/>
        </w:trPr>
        <w:tc>
          <w:tcPr>
            <w:tcW w:w="347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634D301" w14:textId="77777777" w:rsidR="00C71CDB" w:rsidRDefault="00C71CDB" w:rsidP="00DA7C87">
            <w:r>
              <w:t>Recruitment &amp; training</w:t>
            </w:r>
          </w:p>
        </w:tc>
        <w:tc>
          <w:tcPr>
            <w:tcW w:w="57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38FA481" w14:textId="77777777" w:rsidR="00C71CDB" w:rsidRDefault="00C71CDB" w:rsidP="00DA7C87"/>
        </w:tc>
        <w:tc>
          <w:tcPr>
            <w:tcW w:w="575" w:type="dxa"/>
            <w:tcBorders>
              <w:top w:val="single" w:sz="4" w:space="0" w:color="000000"/>
              <w:left w:val="single" w:sz="4" w:space="0" w:color="000000"/>
              <w:bottom w:val="single" w:sz="4" w:space="0" w:color="000000"/>
              <w:right w:val="single" w:sz="4" w:space="0" w:color="000000"/>
            </w:tcBorders>
            <w:shd w:val="clear" w:color="auto" w:fill="FF00FF"/>
            <w:tcMar>
              <w:top w:w="100" w:type="dxa"/>
              <w:left w:w="100" w:type="dxa"/>
              <w:bottom w:w="100" w:type="dxa"/>
              <w:right w:w="100" w:type="dxa"/>
            </w:tcMar>
          </w:tcPr>
          <w:p w14:paraId="78A6CC37" w14:textId="77777777" w:rsidR="00C71CDB" w:rsidRDefault="00C71CDB" w:rsidP="00DA7C87"/>
        </w:tc>
        <w:tc>
          <w:tcPr>
            <w:tcW w:w="575" w:type="dxa"/>
            <w:tcBorders>
              <w:top w:val="single" w:sz="4" w:space="0" w:color="000000"/>
              <w:left w:val="single" w:sz="4" w:space="0" w:color="000000"/>
              <w:bottom w:val="single" w:sz="4" w:space="0" w:color="000000"/>
              <w:right w:val="single" w:sz="4" w:space="0" w:color="000000"/>
            </w:tcBorders>
            <w:shd w:val="clear" w:color="auto" w:fill="FF00FF"/>
            <w:tcMar>
              <w:top w:w="100" w:type="dxa"/>
              <w:left w:w="100" w:type="dxa"/>
              <w:bottom w:w="100" w:type="dxa"/>
              <w:right w:w="100" w:type="dxa"/>
            </w:tcMar>
          </w:tcPr>
          <w:p w14:paraId="31F554A4" w14:textId="77777777" w:rsidR="00C71CDB" w:rsidRDefault="00C71CDB" w:rsidP="00DA7C87"/>
        </w:tc>
        <w:tc>
          <w:tcPr>
            <w:tcW w:w="57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BBCD865" w14:textId="77777777" w:rsidR="00C71CDB" w:rsidRDefault="00C71CDB" w:rsidP="00DA7C87"/>
        </w:tc>
        <w:tc>
          <w:tcPr>
            <w:tcW w:w="57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6C652BE" w14:textId="77777777" w:rsidR="00C71CDB" w:rsidRDefault="00C71CDB" w:rsidP="00DA7C87"/>
        </w:tc>
      </w:tr>
      <w:tr w:rsidR="00C71CDB" w14:paraId="362E5D54" w14:textId="77777777" w:rsidTr="00322600">
        <w:trPr>
          <w:trHeight w:val="515"/>
          <w:jc w:val="center"/>
        </w:trPr>
        <w:tc>
          <w:tcPr>
            <w:tcW w:w="347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F19E6F6" w14:textId="77777777" w:rsidR="00C71CDB" w:rsidRDefault="00C71CDB" w:rsidP="00DA7C87">
            <w:r>
              <w:t>Supplier onboarding/testing</w:t>
            </w:r>
          </w:p>
        </w:tc>
        <w:tc>
          <w:tcPr>
            <w:tcW w:w="57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FBE76D0" w14:textId="77777777" w:rsidR="00C71CDB" w:rsidRDefault="00C71CDB" w:rsidP="00DA7C87"/>
        </w:tc>
        <w:tc>
          <w:tcPr>
            <w:tcW w:w="575" w:type="dxa"/>
            <w:tcBorders>
              <w:top w:val="single" w:sz="4" w:space="0" w:color="000000"/>
              <w:left w:val="single" w:sz="4" w:space="0" w:color="000000"/>
              <w:bottom w:val="single" w:sz="4" w:space="0" w:color="000000"/>
              <w:right w:val="single" w:sz="4" w:space="0" w:color="000000"/>
            </w:tcBorders>
            <w:shd w:val="clear" w:color="auto" w:fill="00FFFF"/>
            <w:tcMar>
              <w:top w:w="100" w:type="dxa"/>
              <w:left w:w="100" w:type="dxa"/>
              <w:bottom w:w="100" w:type="dxa"/>
              <w:right w:w="100" w:type="dxa"/>
            </w:tcMar>
          </w:tcPr>
          <w:p w14:paraId="68E0C9EC" w14:textId="77777777" w:rsidR="00C71CDB" w:rsidRDefault="00C71CDB" w:rsidP="00DA7C87"/>
        </w:tc>
        <w:tc>
          <w:tcPr>
            <w:tcW w:w="575" w:type="dxa"/>
            <w:tcBorders>
              <w:top w:val="single" w:sz="4" w:space="0" w:color="000000"/>
              <w:left w:val="single" w:sz="4" w:space="0" w:color="000000"/>
              <w:bottom w:val="single" w:sz="4" w:space="0" w:color="000000"/>
              <w:right w:val="single" w:sz="4" w:space="0" w:color="000000"/>
            </w:tcBorders>
            <w:shd w:val="clear" w:color="auto" w:fill="00FFFF"/>
            <w:tcMar>
              <w:top w:w="100" w:type="dxa"/>
              <w:left w:w="100" w:type="dxa"/>
              <w:bottom w:w="100" w:type="dxa"/>
              <w:right w:w="100" w:type="dxa"/>
            </w:tcMar>
          </w:tcPr>
          <w:p w14:paraId="12AF6410" w14:textId="77777777" w:rsidR="00C71CDB" w:rsidRDefault="00C71CDB" w:rsidP="00DA7C87"/>
        </w:tc>
        <w:tc>
          <w:tcPr>
            <w:tcW w:w="57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D9E80EB" w14:textId="77777777" w:rsidR="00C71CDB" w:rsidRDefault="00C71CDB" w:rsidP="00DA7C87"/>
        </w:tc>
        <w:tc>
          <w:tcPr>
            <w:tcW w:w="57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4C49FAB" w14:textId="77777777" w:rsidR="00C71CDB" w:rsidRDefault="00C71CDB" w:rsidP="00DA7C87"/>
        </w:tc>
      </w:tr>
      <w:tr w:rsidR="00C71CDB" w14:paraId="1713A686" w14:textId="77777777" w:rsidTr="00322600">
        <w:trPr>
          <w:trHeight w:val="515"/>
          <w:jc w:val="center"/>
        </w:trPr>
        <w:tc>
          <w:tcPr>
            <w:tcW w:w="347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BBF433F" w14:textId="77777777" w:rsidR="00C71CDB" w:rsidRDefault="00C71CDB" w:rsidP="00DA7C87">
            <w:r>
              <w:t>Pre-launch marketing</w:t>
            </w:r>
          </w:p>
        </w:tc>
        <w:tc>
          <w:tcPr>
            <w:tcW w:w="57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38398A8" w14:textId="77777777" w:rsidR="00C71CDB" w:rsidRDefault="00C71CDB" w:rsidP="00DA7C87"/>
        </w:tc>
        <w:tc>
          <w:tcPr>
            <w:tcW w:w="575" w:type="dxa"/>
            <w:tcBorders>
              <w:top w:val="single" w:sz="4" w:space="0" w:color="000000"/>
              <w:left w:val="single" w:sz="4" w:space="0" w:color="000000"/>
              <w:bottom w:val="single" w:sz="4" w:space="0" w:color="000000"/>
              <w:right w:val="single" w:sz="4" w:space="0" w:color="000000"/>
            </w:tcBorders>
            <w:shd w:val="clear" w:color="auto" w:fill="9900FF"/>
            <w:tcMar>
              <w:top w:w="100" w:type="dxa"/>
              <w:left w:w="100" w:type="dxa"/>
              <w:bottom w:w="100" w:type="dxa"/>
              <w:right w:w="100" w:type="dxa"/>
            </w:tcMar>
          </w:tcPr>
          <w:p w14:paraId="4A845DE4" w14:textId="77777777" w:rsidR="00C71CDB" w:rsidRDefault="00C71CDB" w:rsidP="00DA7C87"/>
        </w:tc>
        <w:tc>
          <w:tcPr>
            <w:tcW w:w="575" w:type="dxa"/>
            <w:tcBorders>
              <w:top w:val="single" w:sz="4" w:space="0" w:color="000000"/>
              <w:left w:val="single" w:sz="4" w:space="0" w:color="000000"/>
              <w:bottom w:val="single" w:sz="4" w:space="0" w:color="000000"/>
              <w:right w:val="single" w:sz="4" w:space="0" w:color="000000"/>
            </w:tcBorders>
            <w:shd w:val="clear" w:color="auto" w:fill="9900FF"/>
            <w:tcMar>
              <w:top w:w="100" w:type="dxa"/>
              <w:left w:w="100" w:type="dxa"/>
              <w:bottom w:w="100" w:type="dxa"/>
              <w:right w:w="100" w:type="dxa"/>
            </w:tcMar>
          </w:tcPr>
          <w:p w14:paraId="5312CD24" w14:textId="77777777" w:rsidR="00C71CDB" w:rsidRDefault="00C71CDB" w:rsidP="00DA7C87"/>
        </w:tc>
        <w:tc>
          <w:tcPr>
            <w:tcW w:w="57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354CBB4" w14:textId="77777777" w:rsidR="00C71CDB" w:rsidRDefault="00C71CDB" w:rsidP="00DA7C87"/>
        </w:tc>
        <w:tc>
          <w:tcPr>
            <w:tcW w:w="57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71761E7" w14:textId="77777777" w:rsidR="00C71CDB" w:rsidRDefault="00C71CDB" w:rsidP="00DA7C87"/>
        </w:tc>
      </w:tr>
      <w:tr w:rsidR="00C71CDB" w14:paraId="10B387EF" w14:textId="77777777" w:rsidTr="00322600">
        <w:trPr>
          <w:trHeight w:val="515"/>
          <w:jc w:val="center"/>
        </w:trPr>
        <w:tc>
          <w:tcPr>
            <w:tcW w:w="347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7E820B8" w14:textId="77777777" w:rsidR="00C71CDB" w:rsidRDefault="00C71CDB" w:rsidP="00DA7C87">
            <w:r>
              <w:rPr>
                <w:b/>
                <w:bCs/>
              </w:rPr>
              <w:t xml:space="preserve">Soft launch </w:t>
            </w:r>
          </w:p>
        </w:tc>
        <w:tc>
          <w:tcPr>
            <w:tcW w:w="57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F3C1BF8" w14:textId="77777777" w:rsidR="00C71CDB" w:rsidRDefault="00C71CDB" w:rsidP="00DA7C87"/>
        </w:tc>
        <w:tc>
          <w:tcPr>
            <w:tcW w:w="57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009CCDD" w14:textId="77777777" w:rsidR="00C71CDB" w:rsidRDefault="00C71CDB" w:rsidP="00DA7C87"/>
        </w:tc>
        <w:tc>
          <w:tcPr>
            <w:tcW w:w="575" w:type="dxa"/>
            <w:tcBorders>
              <w:top w:val="single" w:sz="4" w:space="0" w:color="000000"/>
              <w:left w:val="single" w:sz="4" w:space="0" w:color="000000"/>
              <w:bottom w:val="single" w:sz="4" w:space="0" w:color="000000"/>
              <w:right w:val="single" w:sz="4" w:space="0" w:color="000000"/>
            </w:tcBorders>
            <w:shd w:val="clear" w:color="auto" w:fill="00FF00"/>
            <w:tcMar>
              <w:top w:w="100" w:type="dxa"/>
              <w:left w:w="100" w:type="dxa"/>
              <w:bottom w:w="100" w:type="dxa"/>
              <w:right w:w="100" w:type="dxa"/>
            </w:tcMar>
          </w:tcPr>
          <w:p w14:paraId="230516F9" w14:textId="77777777" w:rsidR="00C71CDB" w:rsidRDefault="00C71CDB" w:rsidP="00DA7C87"/>
        </w:tc>
        <w:tc>
          <w:tcPr>
            <w:tcW w:w="57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54F1C63" w14:textId="77777777" w:rsidR="00C71CDB" w:rsidRDefault="00C71CDB" w:rsidP="00DA7C87"/>
        </w:tc>
        <w:tc>
          <w:tcPr>
            <w:tcW w:w="57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700B1D9" w14:textId="77777777" w:rsidR="00C71CDB" w:rsidRDefault="00C71CDB" w:rsidP="00DA7C87"/>
        </w:tc>
      </w:tr>
      <w:tr w:rsidR="00C71CDB" w14:paraId="0CFEF5FB" w14:textId="77777777" w:rsidTr="00322600">
        <w:trPr>
          <w:trHeight w:val="515"/>
          <w:jc w:val="center"/>
        </w:trPr>
        <w:tc>
          <w:tcPr>
            <w:tcW w:w="347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27294D8" w14:textId="77777777" w:rsidR="00C71CDB" w:rsidRDefault="00C71CDB" w:rsidP="00DA7C87">
            <w:r>
              <w:rPr>
                <w:b/>
                <w:bCs/>
              </w:rPr>
              <w:t xml:space="preserve">Full launch </w:t>
            </w:r>
          </w:p>
        </w:tc>
        <w:tc>
          <w:tcPr>
            <w:tcW w:w="57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0C50514" w14:textId="77777777" w:rsidR="00C71CDB" w:rsidRDefault="00C71CDB" w:rsidP="00DA7C87"/>
        </w:tc>
        <w:tc>
          <w:tcPr>
            <w:tcW w:w="57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160853D" w14:textId="77777777" w:rsidR="00C71CDB" w:rsidRDefault="00C71CDB" w:rsidP="00DA7C87"/>
        </w:tc>
        <w:tc>
          <w:tcPr>
            <w:tcW w:w="57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EE45F1C" w14:textId="77777777" w:rsidR="00C71CDB" w:rsidRDefault="00C71CDB" w:rsidP="00DA7C87"/>
        </w:tc>
        <w:tc>
          <w:tcPr>
            <w:tcW w:w="575" w:type="dxa"/>
            <w:tcBorders>
              <w:top w:val="single" w:sz="4" w:space="0" w:color="000000"/>
              <w:left w:val="single" w:sz="4" w:space="0" w:color="000000"/>
              <w:bottom w:val="single" w:sz="4" w:space="0" w:color="000000"/>
              <w:right w:val="single" w:sz="4" w:space="0" w:color="000000"/>
            </w:tcBorders>
            <w:shd w:val="clear" w:color="auto" w:fill="FF9900"/>
            <w:tcMar>
              <w:top w:w="100" w:type="dxa"/>
              <w:left w:w="100" w:type="dxa"/>
              <w:bottom w:w="100" w:type="dxa"/>
              <w:right w:w="100" w:type="dxa"/>
            </w:tcMar>
          </w:tcPr>
          <w:p w14:paraId="3A218904" w14:textId="77777777" w:rsidR="00C71CDB" w:rsidRDefault="00C71CDB" w:rsidP="00DA7C87"/>
        </w:tc>
        <w:tc>
          <w:tcPr>
            <w:tcW w:w="57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392421C" w14:textId="77777777" w:rsidR="00C71CDB" w:rsidRDefault="00C71CDB" w:rsidP="00DA7C87"/>
        </w:tc>
      </w:tr>
      <w:tr w:rsidR="00C71CDB" w14:paraId="5B1C0B1C" w14:textId="77777777" w:rsidTr="00322600">
        <w:trPr>
          <w:trHeight w:val="515"/>
          <w:jc w:val="center"/>
        </w:trPr>
        <w:tc>
          <w:tcPr>
            <w:tcW w:w="347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C2F4E70" w14:textId="71F0CDED" w:rsidR="00C71CDB" w:rsidRDefault="00C71CDB" w:rsidP="00DA7C87">
            <w:r>
              <w:t>Post-launch review</w:t>
            </w:r>
            <w:r w:rsidR="00322600">
              <w:t>”</w:t>
            </w:r>
          </w:p>
        </w:tc>
        <w:tc>
          <w:tcPr>
            <w:tcW w:w="57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DE0F7A1" w14:textId="77777777" w:rsidR="00C71CDB" w:rsidRDefault="00C71CDB" w:rsidP="00DA7C87"/>
        </w:tc>
        <w:tc>
          <w:tcPr>
            <w:tcW w:w="57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A88A645" w14:textId="77777777" w:rsidR="00C71CDB" w:rsidRDefault="00C71CDB" w:rsidP="00DA7C87"/>
        </w:tc>
        <w:tc>
          <w:tcPr>
            <w:tcW w:w="57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75F632E" w14:textId="77777777" w:rsidR="00C71CDB" w:rsidRDefault="00C71CDB" w:rsidP="00DA7C87"/>
        </w:tc>
        <w:tc>
          <w:tcPr>
            <w:tcW w:w="575" w:type="dxa"/>
            <w:tcBorders>
              <w:top w:val="single" w:sz="4" w:space="0" w:color="000000"/>
              <w:left w:val="single" w:sz="4" w:space="0" w:color="000000"/>
              <w:bottom w:val="single" w:sz="4" w:space="0" w:color="000000"/>
              <w:right w:val="single" w:sz="4" w:space="0" w:color="000000"/>
            </w:tcBorders>
            <w:shd w:val="clear" w:color="auto" w:fill="FFFF00"/>
            <w:tcMar>
              <w:top w:w="100" w:type="dxa"/>
              <w:left w:w="100" w:type="dxa"/>
              <w:bottom w:w="100" w:type="dxa"/>
              <w:right w:w="100" w:type="dxa"/>
            </w:tcMar>
          </w:tcPr>
          <w:p w14:paraId="016CCBCF" w14:textId="77777777" w:rsidR="00C71CDB" w:rsidRDefault="00C71CDB" w:rsidP="00DA7C87"/>
        </w:tc>
        <w:tc>
          <w:tcPr>
            <w:tcW w:w="575" w:type="dxa"/>
            <w:tcBorders>
              <w:top w:val="single" w:sz="4" w:space="0" w:color="000000"/>
              <w:left w:val="single" w:sz="4" w:space="0" w:color="000000"/>
              <w:bottom w:val="single" w:sz="4" w:space="0" w:color="000000"/>
              <w:right w:val="single" w:sz="4" w:space="0" w:color="000000"/>
            </w:tcBorders>
            <w:shd w:val="clear" w:color="auto" w:fill="FFFF00"/>
            <w:tcMar>
              <w:top w:w="100" w:type="dxa"/>
              <w:left w:w="100" w:type="dxa"/>
              <w:bottom w:w="100" w:type="dxa"/>
              <w:right w:w="100" w:type="dxa"/>
            </w:tcMar>
          </w:tcPr>
          <w:p w14:paraId="45D36D7C" w14:textId="77777777" w:rsidR="00C71CDB" w:rsidRDefault="00C71CDB" w:rsidP="00DA7C87"/>
        </w:tc>
      </w:tr>
    </w:tbl>
    <w:p w14:paraId="307840A3" w14:textId="42FA71EA" w:rsidR="00EF66B6" w:rsidRPr="00FB7622" w:rsidRDefault="00EF66B6" w:rsidP="00EF66B6">
      <w:pPr>
        <w:pStyle w:val="Heading6"/>
      </w:pPr>
      <w:bookmarkStart w:id="225" w:name="_Toc241008875"/>
      <w:r w:rsidRPr="00FB7622">
        <w:lastRenderedPageBreak/>
        <w:t>Table 1</w:t>
      </w:r>
      <w:r>
        <w:t>9</w:t>
      </w:r>
      <w:r w:rsidRPr="00FB7622">
        <w:t>: “</w:t>
      </w:r>
      <w:r>
        <w:t>Milestone and timeline</w:t>
      </w:r>
      <w:r w:rsidRPr="00FB7622">
        <w:t>”</w:t>
      </w:r>
      <w:bookmarkEnd w:id="225"/>
    </w:p>
    <w:p w14:paraId="1E2299F0" w14:textId="16A86BEF" w:rsidR="00EF66B6" w:rsidRDefault="00EF66B6" w:rsidP="00EF66B6">
      <w:pPr>
        <w:jc w:val="center"/>
      </w:pPr>
      <w:r>
        <w:t>(Source: Created by Author)</w:t>
      </w:r>
    </w:p>
    <w:p w14:paraId="5DE3070A" w14:textId="19BA60DC" w:rsidR="00C71CDB" w:rsidRDefault="00C71CDB" w:rsidP="00C71CDB">
      <w:r>
        <w:t>Other factors of funding, compliance, system readiness, and staffing need to be met before they are launched.</w:t>
      </w:r>
    </w:p>
    <w:p w14:paraId="6991EA9D" w14:textId="77777777" w:rsidR="00C71CDB" w:rsidRDefault="00C71CDB" w:rsidP="00C71CDB">
      <w:pPr>
        <w:pStyle w:val="Heading3"/>
        <w:keepNext w:val="0"/>
        <w:keepLines w:val="0"/>
        <w:spacing w:before="280"/>
        <w:rPr>
          <w:b/>
          <w:bCs/>
          <w:color w:val="000000"/>
          <w:sz w:val="24"/>
          <w:szCs w:val="24"/>
        </w:rPr>
      </w:pPr>
      <w:bookmarkStart w:id="226" w:name="_qru22sty9utr" w:colFirst="0" w:colLast="0"/>
      <w:bookmarkStart w:id="227" w:name="_Toc241008297"/>
      <w:bookmarkEnd w:id="226"/>
      <w:r>
        <w:rPr>
          <w:b/>
          <w:bCs/>
          <w:color w:val="000000"/>
          <w:sz w:val="24"/>
          <w:szCs w:val="24"/>
        </w:rPr>
        <w:t>12.3 Resource Allocation and Priorities</w:t>
      </w:r>
      <w:bookmarkEnd w:id="227"/>
    </w:p>
    <w:tbl>
      <w:tblPr>
        <w:tblW w:w="9045" w:type="dxa"/>
        <w:tblBorders>
          <w:top w:val="nil"/>
          <w:left w:val="nil"/>
          <w:bottom w:val="nil"/>
          <w:right w:val="nil"/>
          <w:insideH w:val="nil"/>
          <w:insideV w:val="nil"/>
        </w:tblBorders>
        <w:shd w:val="clear" w:color="auto" w:fill="F2DBDB" w:themeFill="accent2" w:themeFillTint="33"/>
        <w:tblLayout w:type="fixed"/>
        <w:tblLook w:val="0600" w:firstRow="0" w:lastRow="0" w:firstColumn="0" w:lastColumn="0" w:noHBand="1" w:noVBand="1"/>
      </w:tblPr>
      <w:tblGrid>
        <w:gridCol w:w="1400"/>
        <w:gridCol w:w="6605"/>
        <w:gridCol w:w="1040"/>
      </w:tblGrid>
      <w:tr w:rsidR="00C71CDB" w14:paraId="468180BE" w14:textId="77777777" w:rsidTr="00322600">
        <w:trPr>
          <w:trHeight w:val="515"/>
        </w:trPr>
        <w:tc>
          <w:tcPr>
            <w:tcW w:w="1400" w:type="dxa"/>
            <w:tcBorders>
              <w:top w:val="single" w:sz="4" w:space="0" w:color="000000"/>
              <w:left w:val="single" w:sz="4" w:space="0" w:color="000000"/>
              <w:bottom w:val="single" w:sz="4" w:space="0" w:color="000000"/>
              <w:right w:val="single" w:sz="4" w:space="0" w:color="000000"/>
            </w:tcBorders>
            <w:shd w:val="clear" w:color="auto" w:fill="F2DBDB" w:themeFill="accent2" w:themeFillTint="33"/>
            <w:tcMar>
              <w:top w:w="100" w:type="dxa"/>
              <w:left w:w="100" w:type="dxa"/>
              <w:bottom w:w="100" w:type="dxa"/>
              <w:right w:w="100" w:type="dxa"/>
            </w:tcMar>
          </w:tcPr>
          <w:p w14:paraId="1DE27D07" w14:textId="0E6B8087" w:rsidR="00C71CDB" w:rsidRDefault="00322600" w:rsidP="00DA7C87">
            <w:r>
              <w:rPr>
                <w:b/>
                <w:bCs/>
              </w:rPr>
              <w:t>“</w:t>
            </w:r>
            <w:r w:rsidR="00C71CDB">
              <w:rPr>
                <w:b/>
                <w:bCs/>
              </w:rPr>
              <w:t>Resource</w:t>
            </w:r>
          </w:p>
        </w:tc>
        <w:tc>
          <w:tcPr>
            <w:tcW w:w="6605" w:type="dxa"/>
            <w:tcBorders>
              <w:top w:val="single" w:sz="4" w:space="0" w:color="000000"/>
              <w:left w:val="single" w:sz="4" w:space="0" w:color="000000"/>
              <w:bottom w:val="single" w:sz="4" w:space="0" w:color="000000"/>
              <w:right w:val="single" w:sz="4" w:space="0" w:color="000000"/>
            </w:tcBorders>
            <w:shd w:val="clear" w:color="auto" w:fill="F2DBDB" w:themeFill="accent2" w:themeFillTint="33"/>
            <w:tcMar>
              <w:top w:w="100" w:type="dxa"/>
              <w:left w:w="100" w:type="dxa"/>
              <w:bottom w:w="100" w:type="dxa"/>
              <w:right w:w="100" w:type="dxa"/>
            </w:tcMar>
          </w:tcPr>
          <w:p w14:paraId="14E32FEA" w14:textId="77777777" w:rsidR="00C71CDB" w:rsidRDefault="00C71CDB" w:rsidP="00DA7C87">
            <w:r>
              <w:rPr>
                <w:b/>
                <w:bCs/>
              </w:rPr>
              <w:t>Requirement</w:t>
            </w:r>
          </w:p>
        </w:tc>
        <w:tc>
          <w:tcPr>
            <w:tcW w:w="1040" w:type="dxa"/>
            <w:tcBorders>
              <w:top w:val="single" w:sz="4" w:space="0" w:color="000000"/>
              <w:left w:val="single" w:sz="4" w:space="0" w:color="000000"/>
              <w:bottom w:val="single" w:sz="4" w:space="0" w:color="000000"/>
              <w:right w:val="single" w:sz="4" w:space="0" w:color="000000"/>
            </w:tcBorders>
            <w:shd w:val="clear" w:color="auto" w:fill="F2DBDB" w:themeFill="accent2" w:themeFillTint="33"/>
            <w:tcMar>
              <w:top w:w="100" w:type="dxa"/>
              <w:left w:w="100" w:type="dxa"/>
              <w:bottom w:w="100" w:type="dxa"/>
              <w:right w:w="100" w:type="dxa"/>
            </w:tcMar>
          </w:tcPr>
          <w:p w14:paraId="6AB1EA97" w14:textId="77777777" w:rsidR="00C71CDB" w:rsidRDefault="00C71CDB" w:rsidP="00DA7C87">
            <w:r>
              <w:rPr>
                <w:b/>
                <w:bCs/>
              </w:rPr>
              <w:t>Priority</w:t>
            </w:r>
          </w:p>
        </w:tc>
      </w:tr>
      <w:tr w:rsidR="00C71CDB" w14:paraId="4E6707D0" w14:textId="77777777" w:rsidTr="00322600">
        <w:trPr>
          <w:trHeight w:val="515"/>
        </w:trPr>
        <w:tc>
          <w:tcPr>
            <w:tcW w:w="1400" w:type="dxa"/>
            <w:tcBorders>
              <w:top w:val="single" w:sz="4" w:space="0" w:color="000000"/>
              <w:left w:val="single" w:sz="4" w:space="0" w:color="000000"/>
              <w:bottom w:val="single" w:sz="4" w:space="0" w:color="000000"/>
              <w:right w:val="single" w:sz="4" w:space="0" w:color="000000"/>
            </w:tcBorders>
            <w:shd w:val="clear" w:color="auto" w:fill="F2DBDB" w:themeFill="accent2" w:themeFillTint="33"/>
            <w:tcMar>
              <w:top w:w="100" w:type="dxa"/>
              <w:left w:w="100" w:type="dxa"/>
              <w:bottom w:w="100" w:type="dxa"/>
              <w:right w:w="100" w:type="dxa"/>
            </w:tcMar>
          </w:tcPr>
          <w:p w14:paraId="7134C35A" w14:textId="77777777" w:rsidR="00C71CDB" w:rsidRDefault="00C71CDB" w:rsidP="00DA7C87">
            <w:r>
              <w:rPr>
                <w:b/>
                <w:bCs/>
              </w:rPr>
              <w:t>Finance</w:t>
            </w:r>
          </w:p>
        </w:tc>
        <w:tc>
          <w:tcPr>
            <w:tcW w:w="6605" w:type="dxa"/>
            <w:tcBorders>
              <w:top w:val="single" w:sz="4" w:space="0" w:color="000000"/>
              <w:left w:val="single" w:sz="4" w:space="0" w:color="000000"/>
              <w:bottom w:val="single" w:sz="4" w:space="0" w:color="000000"/>
              <w:right w:val="single" w:sz="4" w:space="0" w:color="000000"/>
            </w:tcBorders>
            <w:shd w:val="clear" w:color="auto" w:fill="F2DBDB" w:themeFill="accent2" w:themeFillTint="33"/>
            <w:tcMar>
              <w:top w:w="100" w:type="dxa"/>
              <w:left w:w="100" w:type="dxa"/>
              <w:bottom w:w="100" w:type="dxa"/>
              <w:right w:w="100" w:type="dxa"/>
            </w:tcMar>
          </w:tcPr>
          <w:p w14:paraId="103734BB" w14:textId="77777777" w:rsidR="00C71CDB" w:rsidRDefault="00C71CDB" w:rsidP="00DA7C87">
            <w:r>
              <w:t>€20,000 start-up budget + €10,000 working-capital reserve</w:t>
            </w:r>
          </w:p>
        </w:tc>
        <w:tc>
          <w:tcPr>
            <w:tcW w:w="1040" w:type="dxa"/>
            <w:tcBorders>
              <w:top w:val="single" w:sz="4" w:space="0" w:color="000000"/>
              <w:left w:val="single" w:sz="4" w:space="0" w:color="000000"/>
              <w:bottom w:val="single" w:sz="4" w:space="0" w:color="000000"/>
              <w:right w:val="single" w:sz="4" w:space="0" w:color="000000"/>
            </w:tcBorders>
            <w:shd w:val="clear" w:color="auto" w:fill="F2DBDB" w:themeFill="accent2" w:themeFillTint="33"/>
            <w:tcMar>
              <w:top w:w="100" w:type="dxa"/>
              <w:left w:w="100" w:type="dxa"/>
              <w:bottom w:w="100" w:type="dxa"/>
              <w:right w:w="100" w:type="dxa"/>
            </w:tcMar>
          </w:tcPr>
          <w:p w14:paraId="30EEA61A" w14:textId="77777777" w:rsidR="00C71CDB" w:rsidRDefault="00C71CDB" w:rsidP="00DA7C87">
            <w:r>
              <w:t>Critical</w:t>
            </w:r>
          </w:p>
        </w:tc>
      </w:tr>
      <w:tr w:rsidR="00C71CDB" w14:paraId="5A911C5C" w14:textId="77777777" w:rsidTr="00322600">
        <w:trPr>
          <w:trHeight w:val="515"/>
        </w:trPr>
        <w:tc>
          <w:tcPr>
            <w:tcW w:w="1400" w:type="dxa"/>
            <w:tcBorders>
              <w:top w:val="single" w:sz="4" w:space="0" w:color="000000"/>
              <w:left w:val="single" w:sz="4" w:space="0" w:color="000000"/>
              <w:bottom w:val="single" w:sz="4" w:space="0" w:color="000000"/>
              <w:right w:val="single" w:sz="4" w:space="0" w:color="000000"/>
            </w:tcBorders>
            <w:shd w:val="clear" w:color="auto" w:fill="F2DBDB" w:themeFill="accent2" w:themeFillTint="33"/>
            <w:tcMar>
              <w:top w:w="100" w:type="dxa"/>
              <w:left w:w="100" w:type="dxa"/>
              <w:bottom w:w="100" w:type="dxa"/>
              <w:right w:w="100" w:type="dxa"/>
            </w:tcMar>
          </w:tcPr>
          <w:p w14:paraId="61A3A4A1" w14:textId="77777777" w:rsidR="00C71CDB" w:rsidRDefault="00C71CDB" w:rsidP="00DA7C87">
            <w:r>
              <w:rPr>
                <w:b/>
                <w:bCs/>
              </w:rPr>
              <w:t>People</w:t>
            </w:r>
          </w:p>
        </w:tc>
        <w:tc>
          <w:tcPr>
            <w:tcW w:w="6605" w:type="dxa"/>
            <w:tcBorders>
              <w:top w:val="single" w:sz="4" w:space="0" w:color="000000"/>
              <w:left w:val="single" w:sz="4" w:space="0" w:color="000000"/>
              <w:bottom w:val="single" w:sz="4" w:space="0" w:color="000000"/>
              <w:right w:val="single" w:sz="4" w:space="0" w:color="000000"/>
            </w:tcBorders>
            <w:shd w:val="clear" w:color="auto" w:fill="F2DBDB" w:themeFill="accent2" w:themeFillTint="33"/>
            <w:tcMar>
              <w:top w:w="100" w:type="dxa"/>
              <w:left w:w="100" w:type="dxa"/>
              <w:bottom w:w="100" w:type="dxa"/>
              <w:right w:w="100" w:type="dxa"/>
            </w:tcMar>
          </w:tcPr>
          <w:p w14:paraId="5DEFAE2C" w14:textId="77777777" w:rsidR="00C71CDB" w:rsidRDefault="00C71CDB" w:rsidP="00DA7C87">
            <w:r>
              <w:t>Founder, Sales &amp; Operations Executive, outsourced accounting/IT</w:t>
            </w:r>
          </w:p>
        </w:tc>
        <w:tc>
          <w:tcPr>
            <w:tcW w:w="1040" w:type="dxa"/>
            <w:tcBorders>
              <w:top w:val="single" w:sz="4" w:space="0" w:color="000000"/>
              <w:left w:val="single" w:sz="4" w:space="0" w:color="000000"/>
              <w:bottom w:val="single" w:sz="4" w:space="0" w:color="000000"/>
              <w:right w:val="single" w:sz="4" w:space="0" w:color="000000"/>
            </w:tcBorders>
            <w:shd w:val="clear" w:color="auto" w:fill="F2DBDB" w:themeFill="accent2" w:themeFillTint="33"/>
            <w:tcMar>
              <w:top w:w="100" w:type="dxa"/>
              <w:left w:w="100" w:type="dxa"/>
              <w:bottom w:w="100" w:type="dxa"/>
              <w:right w:w="100" w:type="dxa"/>
            </w:tcMar>
          </w:tcPr>
          <w:p w14:paraId="4EF9A739" w14:textId="77777777" w:rsidR="00C71CDB" w:rsidRDefault="00C71CDB" w:rsidP="00DA7C87">
            <w:r>
              <w:t>Critical</w:t>
            </w:r>
          </w:p>
        </w:tc>
      </w:tr>
      <w:tr w:rsidR="00C71CDB" w14:paraId="32F33018" w14:textId="77777777" w:rsidTr="00322600">
        <w:trPr>
          <w:trHeight w:val="515"/>
        </w:trPr>
        <w:tc>
          <w:tcPr>
            <w:tcW w:w="1400" w:type="dxa"/>
            <w:tcBorders>
              <w:top w:val="single" w:sz="4" w:space="0" w:color="000000"/>
              <w:left w:val="single" w:sz="4" w:space="0" w:color="000000"/>
              <w:bottom w:val="single" w:sz="4" w:space="0" w:color="000000"/>
              <w:right w:val="single" w:sz="4" w:space="0" w:color="000000"/>
            </w:tcBorders>
            <w:shd w:val="clear" w:color="auto" w:fill="F2DBDB" w:themeFill="accent2" w:themeFillTint="33"/>
            <w:tcMar>
              <w:top w:w="100" w:type="dxa"/>
              <w:left w:w="100" w:type="dxa"/>
              <w:bottom w:w="100" w:type="dxa"/>
              <w:right w:w="100" w:type="dxa"/>
            </w:tcMar>
          </w:tcPr>
          <w:p w14:paraId="0BF9C96C" w14:textId="77777777" w:rsidR="00C71CDB" w:rsidRDefault="00C71CDB" w:rsidP="00DA7C87">
            <w:r>
              <w:rPr>
                <w:b/>
                <w:bCs/>
              </w:rPr>
              <w:t>Technology</w:t>
            </w:r>
          </w:p>
        </w:tc>
        <w:tc>
          <w:tcPr>
            <w:tcW w:w="6605" w:type="dxa"/>
            <w:tcBorders>
              <w:top w:val="single" w:sz="4" w:space="0" w:color="000000"/>
              <w:left w:val="single" w:sz="4" w:space="0" w:color="000000"/>
              <w:bottom w:val="single" w:sz="4" w:space="0" w:color="000000"/>
              <w:right w:val="single" w:sz="4" w:space="0" w:color="000000"/>
            </w:tcBorders>
            <w:shd w:val="clear" w:color="auto" w:fill="F2DBDB" w:themeFill="accent2" w:themeFillTint="33"/>
            <w:tcMar>
              <w:top w:w="100" w:type="dxa"/>
              <w:left w:w="100" w:type="dxa"/>
              <w:bottom w:w="100" w:type="dxa"/>
              <w:right w:w="100" w:type="dxa"/>
            </w:tcMar>
          </w:tcPr>
          <w:p w14:paraId="08B0D91A" w14:textId="77777777" w:rsidR="00C71CDB" w:rsidRDefault="00C71CDB" w:rsidP="00DA7C87">
            <w:r>
              <w:t>Website, CRM, ordering, accounting and secure payment systems</w:t>
            </w:r>
          </w:p>
        </w:tc>
        <w:tc>
          <w:tcPr>
            <w:tcW w:w="1040" w:type="dxa"/>
            <w:tcBorders>
              <w:top w:val="single" w:sz="4" w:space="0" w:color="000000"/>
              <w:left w:val="single" w:sz="4" w:space="0" w:color="000000"/>
              <w:bottom w:val="single" w:sz="4" w:space="0" w:color="000000"/>
              <w:right w:val="single" w:sz="4" w:space="0" w:color="000000"/>
            </w:tcBorders>
            <w:shd w:val="clear" w:color="auto" w:fill="F2DBDB" w:themeFill="accent2" w:themeFillTint="33"/>
            <w:tcMar>
              <w:top w:w="100" w:type="dxa"/>
              <w:left w:w="100" w:type="dxa"/>
              <w:bottom w:w="100" w:type="dxa"/>
              <w:right w:w="100" w:type="dxa"/>
            </w:tcMar>
          </w:tcPr>
          <w:p w14:paraId="03857C03" w14:textId="77777777" w:rsidR="00C71CDB" w:rsidRDefault="00C71CDB" w:rsidP="00DA7C87">
            <w:r>
              <w:t>Critical</w:t>
            </w:r>
          </w:p>
        </w:tc>
      </w:tr>
      <w:tr w:rsidR="00C71CDB" w14:paraId="6A1D2AE6" w14:textId="77777777" w:rsidTr="00322600">
        <w:trPr>
          <w:trHeight w:val="515"/>
        </w:trPr>
        <w:tc>
          <w:tcPr>
            <w:tcW w:w="1400" w:type="dxa"/>
            <w:tcBorders>
              <w:top w:val="single" w:sz="4" w:space="0" w:color="000000"/>
              <w:left w:val="single" w:sz="4" w:space="0" w:color="000000"/>
              <w:bottom w:val="single" w:sz="4" w:space="0" w:color="000000"/>
              <w:right w:val="single" w:sz="4" w:space="0" w:color="000000"/>
            </w:tcBorders>
            <w:shd w:val="clear" w:color="auto" w:fill="F2DBDB" w:themeFill="accent2" w:themeFillTint="33"/>
            <w:tcMar>
              <w:top w:w="100" w:type="dxa"/>
              <w:left w:w="100" w:type="dxa"/>
              <w:bottom w:w="100" w:type="dxa"/>
              <w:right w:w="100" w:type="dxa"/>
            </w:tcMar>
          </w:tcPr>
          <w:p w14:paraId="3688DA9E" w14:textId="77777777" w:rsidR="00C71CDB" w:rsidRDefault="00C71CDB" w:rsidP="00DA7C87">
            <w:r>
              <w:rPr>
                <w:b/>
                <w:bCs/>
              </w:rPr>
              <w:t>Suppliers</w:t>
            </w:r>
          </w:p>
        </w:tc>
        <w:tc>
          <w:tcPr>
            <w:tcW w:w="6605" w:type="dxa"/>
            <w:tcBorders>
              <w:top w:val="single" w:sz="4" w:space="0" w:color="000000"/>
              <w:left w:val="single" w:sz="4" w:space="0" w:color="000000"/>
              <w:bottom w:val="single" w:sz="4" w:space="0" w:color="000000"/>
              <w:right w:val="single" w:sz="4" w:space="0" w:color="000000"/>
            </w:tcBorders>
            <w:shd w:val="clear" w:color="auto" w:fill="F2DBDB" w:themeFill="accent2" w:themeFillTint="33"/>
            <w:tcMar>
              <w:top w:w="100" w:type="dxa"/>
              <w:left w:w="100" w:type="dxa"/>
              <w:bottom w:w="100" w:type="dxa"/>
              <w:right w:w="100" w:type="dxa"/>
            </w:tcMar>
          </w:tcPr>
          <w:p w14:paraId="3B37A755" w14:textId="77777777" w:rsidR="00C71CDB" w:rsidRDefault="00C71CDB" w:rsidP="00DA7C87">
            <w:r>
              <w:t>European suppliers, 3PL and backup suppliers</w:t>
            </w:r>
          </w:p>
        </w:tc>
        <w:tc>
          <w:tcPr>
            <w:tcW w:w="1040" w:type="dxa"/>
            <w:tcBorders>
              <w:top w:val="single" w:sz="4" w:space="0" w:color="000000"/>
              <w:left w:val="single" w:sz="4" w:space="0" w:color="000000"/>
              <w:bottom w:val="single" w:sz="4" w:space="0" w:color="000000"/>
              <w:right w:val="single" w:sz="4" w:space="0" w:color="000000"/>
            </w:tcBorders>
            <w:shd w:val="clear" w:color="auto" w:fill="F2DBDB" w:themeFill="accent2" w:themeFillTint="33"/>
            <w:tcMar>
              <w:top w:w="100" w:type="dxa"/>
              <w:left w:w="100" w:type="dxa"/>
              <w:bottom w:w="100" w:type="dxa"/>
              <w:right w:w="100" w:type="dxa"/>
            </w:tcMar>
          </w:tcPr>
          <w:p w14:paraId="611B29BD" w14:textId="77777777" w:rsidR="00C71CDB" w:rsidRDefault="00C71CDB" w:rsidP="00DA7C87">
            <w:r>
              <w:t>Critical</w:t>
            </w:r>
          </w:p>
        </w:tc>
      </w:tr>
      <w:tr w:rsidR="00C71CDB" w14:paraId="2B174A4A" w14:textId="77777777" w:rsidTr="00322600">
        <w:trPr>
          <w:trHeight w:val="515"/>
        </w:trPr>
        <w:tc>
          <w:tcPr>
            <w:tcW w:w="1400" w:type="dxa"/>
            <w:tcBorders>
              <w:top w:val="single" w:sz="4" w:space="0" w:color="000000"/>
              <w:left w:val="single" w:sz="4" w:space="0" w:color="000000"/>
              <w:bottom w:val="single" w:sz="4" w:space="0" w:color="000000"/>
              <w:right w:val="single" w:sz="4" w:space="0" w:color="000000"/>
            </w:tcBorders>
            <w:shd w:val="clear" w:color="auto" w:fill="F2DBDB" w:themeFill="accent2" w:themeFillTint="33"/>
            <w:tcMar>
              <w:top w:w="100" w:type="dxa"/>
              <w:left w:w="100" w:type="dxa"/>
              <w:bottom w:w="100" w:type="dxa"/>
              <w:right w:w="100" w:type="dxa"/>
            </w:tcMar>
          </w:tcPr>
          <w:p w14:paraId="7C03A154" w14:textId="77777777" w:rsidR="00C71CDB" w:rsidRDefault="00C71CDB" w:rsidP="00DA7C87">
            <w:r>
              <w:rPr>
                <w:b/>
                <w:bCs/>
              </w:rPr>
              <w:t>Marketing</w:t>
            </w:r>
          </w:p>
        </w:tc>
        <w:tc>
          <w:tcPr>
            <w:tcW w:w="6605" w:type="dxa"/>
            <w:tcBorders>
              <w:top w:val="single" w:sz="4" w:space="0" w:color="000000"/>
              <w:left w:val="single" w:sz="4" w:space="0" w:color="000000"/>
              <w:bottom w:val="single" w:sz="4" w:space="0" w:color="000000"/>
              <w:right w:val="single" w:sz="4" w:space="0" w:color="000000"/>
            </w:tcBorders>
            <w:shd w:val="clear" w:color="auto" w:fill="F2DBDB" w:themeFill="accent2" w:themeFillTint="33"/>
            <w:tcMar>
              <w:top w:w="100" w:type="dxa"/>
              <w:left w:w="100" w:type="dxa"/>
              <w:bottom w:w="100" w:type="dxa"/>
              <w:right w:w="100" w:type="dxa"/>
            </w:tcMar>
          </w:tcPr>
          <w:p w14:paraId="3251034F" w14:textId="77777777" w:rsidR="00C71CDB" w:rsidRDefault="00C71CDB" w:rsidP="00DA7C87">
            <w:r>
              <w:t>Year 1 budget of €15,000</w:t>
            </w:r>
          </w:p>
        </w:tc>
        <w:tc>
          <w:tcPr>
            <w:tcW w:w="1040" w:type="dxa"/>
            <w:tcBorders>
              <w:top w:val="single" w:sz="4" w:space="0" w:color="000000"/>
              <w:left w:val="single" w:sz="4" w:space="0" w:color="000000"/>
              <w:bottom w:val="single" w:sz="4" w:space="0" w:color="000000"/>
              <w:right w:val="single" w:sz="4" w:space="0" w:color="000000"/>
            </w:tcBorders>
            <w:shd w:val="clear" w:color="auto" w:fill="F2DBDB" w:themeFill="accent2" w:themeFillTint="33"/>
            <w:tcMar>
              <w:top w:w="100" w:type="dxa"/>
              <w:left w:w="100" w:type="dxa"/>
              <w:bottom w:w="100" w:type="dxa"/>
              <w:right w:w="100" w:type="dxa"/>
            </w:tcMar>
          </w:tcPr>
          <w:p w14:paraId="68F8C7D6" w14:textId="77777777" w:rsidR="00C71CDB" w:rsidRDefault="00C71CDB" w:rsidP="00DA7C87">
            <w:r>
              <w:t>High</w:t>
            </w:r>
          </w:p>
        </w:tc>
      </w:tr>
      <w:tr w:rsidR="00C71CDB" w14:paraId="099B1364" w14:textId="77777777" w:rsidTr="00322600">
        <w:trPr>
          <w:trHeight w:val="515"/>
        </w:trPr>
        <w:tc>
          <w:tcPr>
            <w:tcW w:w="1400" w:type="dxa"/>
            <w:tcBorders>
              <w:top w:val="single" w:sz="4" w:space="0" w:color="000000"/>
              <w:left w:val="single" w:sz="4" w:space="0" w:color="000000"/>
              <w:bottom w:val="single" w:sz="4" w:space="0" w:color="000000"/>
              <w:right w:val="single" w:sz="4" w:space="0" w:color="000000"/>
            </w:tcBorders>
            <w:shd w:val="clear" w:color="auto" w:fill="F2DBDB" w:themeFill="accent2" w:themeFillTint="33"/>
            <w:tcMar>
              <w:top w:w="100" w:type="dxa"/>
              <w:left w:w="100" w:type="dxa"/>
              <w:bottom w:w="100" w:type="dxa"/>
              <w:right w:w="100" w:type="dxa"/>
            </w:tcMar>
          </w:tcPr>
          <w:p w14:paraId="3789C1CA" w14:textId="77777777" w:rsidR="00C71CDB" w:rsidRDefault="00C71CDB" w:rsidP="00DA7C87">
            <w:r>
              <w:rPr>
                <w:b/>
                <w:bCs/>
              </w:rPr>
              <w:t>Premises</w:t>
            </w:r>
          </w:p>
        </w:tc>
        <w:tc>
          <w:tcPr>
            <w:tcW w:w="6605" w:type="dxa"/>
            <w:tcBorders>
              <w:top w:val="single" w:sz="4" w:space="0" w:color="000000"/>
              <w:left w:val="single" w:sz="4" w:space="0" w:color="000000"/>
              <w:bottom w:val="single" w:sz="4" w:space="0" w:color="000000"/>
              <w:right w:val="single" w:sz="4" w:space="0" w:color="000000"/>
            </w:tcBorders>
            <w:shd w:val="clear" w:color="auto" w:fill="F2DBDB" w:themeFill="accent2" w:themeFillTint="33"/>
            <w:tcMar>
              <w:top w:w="100" w:type="dxa"/>
              <w:left w:w="100" w:type="dxa"/>
              <w:bottom w:w="100" w:type="dxa"/>
              <w:right w:w="100" w:type="dxa"/>
            </w:tcMar>
          </w:tcPr>
          <w:p w14:paraId="3ADC321B" w14:textId="77777777" w:rsidR="00C71CDB" w:rsidRDefault="00C71CDB" w:rsidP="00DA7C87">
            <w:r>
              <w:t>Small EU-based administrative/shared workspace</w:t>
            </w:r>
          </w:p>
        </w:tc>
        <w:tc>
          <w:tcPr>
            <w:tcW w:w="1040" w:type="dxa"/>
            <w:tcBorders>
              <w:top w:val="single" w:sz="4" w:space="0" w:color="000000"/>
              <w:left w:val="single" w:sz="4" w:space="0" w:color="000000"/>
              <w:bottom w:val="single" w:sz="4" w:space="0" w:color="000000"/>
              <w:right w:val="single" w:sz="4" w:space="0" w:color="000000"/>
            </w:tcBorders>
            <w:shd w:val="clear" w:color="auto" w:fill="F2DBDB" w:themeFill="accent2" w:themeFillTint="33"/>
            <w:tcMar>
              <w:top w:w="100" w:type="dxa"/>
              <w:left w:w="100" w:type="dxa"/>
              <w:bottom w:w="100" w:type="dxa"/>
              <w:right w:w="100" w:type="dxa"/>
            </w:tcMar>
          </w:tcPr>
          <w:p w14:paraId="2C7B19D7" w14:textId="04291246" w:rsidR="00C71CDB" w:rsidRDefault="00C71CDB" w:rsidP="00DA7C87">
            <w:r>
              <w:t>Medium</w:t>
            </w:r>
            <w:r w:rsidR="00322600">
              <w:t>”</w:t>
            </w:r>
          </w:p>
        </w:tc>
      </w:tr>
    </w:tbl>
    <w:p w14:paraId="23F65F89" w14:textId="4FB7F59A" w:rsidR="00EF66B6" w:rsidRPr="00FB7622" w:rsidRDefault="00EF66B6" w:rsidP="00EF66B6">
      <w:pPr>
        <w:pStyle w:val="Heading6"/>
      </w:pPr>
      <w:bookmarkStart w:id="228" w:name="_Toc241008876"/>
      <w:r w:rsidRPr="00FB7622">
        <w:t xml:space="preserve">Table </w:t>
      </w:r>
      <w:r>
        <w:t>20</w:t>
      </w:r>
      <w:r w:rsidRPr="00FB7622">
        <w:t>: “</w:t>
      </w:r>
      <w:r>
        <w:t>Resource Allocation</w:t>
      </w:r>
      <w:r w:rsidRPr="00FB7622">
        <w:t>”</w:t>
      </w:r>
      <w:bookmarkEnd w:id="228"/>
    </w:p>
    <w:p w14:paraId="075A0820" w14:textId="6907EB54" w:rsidR="00EF66B6" w:rsidRDefault="00EF66B6" w:rsidP="00EF66B6">
      <w:pPr>
        <w:jc w:val="center"/>
      </w:pPr>
      <w:r>
        <w:t>(Source: Created by Author)</w:t>
      </w:r>
    </w:p>
    <w:p w14:paraId="1D43A558" w14:textId="6568FA5F" w:rsidR="00C71CDB" w:rsidRDefault="00C71CDB" w:rsidP="00C71CDB">
      <w:r>
        <w:lastRenderedPageBreak/>
        <w:t>The short-term focus is on compliance, supplier reliability, technology, staffing, customer acquisition and cash protection. Performance needs to be validated before more expansion, automation and more products will follow.</w:t>
      </w:r>
    </w:p>
    <w:p w14:paraId="472AD56B" w14:textId="75517124" w:rsidR="00C71CDB" w:rsidRDefault="00C71CDB" w:rsidP="00C71CDB">
      <w:pPr>
        <w:pStyle w:val="Heading3"/>
        <w:keepNext w:val="0"/>
        <w:keepLines w:val="0"/>
        <w:spacing w:before="280"/>
        <w:rPr>
          <w:b/>
          <w:bCs/>
          <w:color w:val="000000"/>
          <w:sz w:val="24"/>
          <w:szCs w:val="24"/>
        </w:rPr>
      </w:pPr>
      <w:bookmarkStart w:id="229" w:name="_kpwwfzvzwwps" w:colFirst="0" w:colLast="0"/>
      <w:bookmarkStart w:id="230" w:name="_Toc241008298"/>
      <w:bookmarkEnd w:id="229"/>
      <w:r>
        <w:rPr>
          <w:b/>
          <w:bCs/>
          <w:color w:val="000000"/>
          <w:sz w:val="24"/>
          <w:szCs w:val="24"/>
        </w:rPr>
        <w:t>12.4 KPIs, Monitoring and Contro</w:t>
      </w:r>
      <w:r w:rsidR="00322600">
        <w:rPr>
          <w:b/>
          <w:bCs/>
          <w:color w:val="000000"/>
          <w:sz w:val="24"/>
          <w:szCs w:val="24"/>
        </w:rPr>
        <w:t>l</w:t>
      </w:r>
      <w:bookmarkEnd w:id="230"/>
    </w:p>
    <w:tbl>
      <w:tblPr>
        <w:tblW w:w="9360" w:type="dxa"/>
        <w:tblBorders>
          <w:top w:val="nil"/>
          <w:left w:val="nil"/>
          <w:bottom w:val="nil"/>
          <w:right w:val="nil"/>
          <w:insideH w:val="nil"/>
          <w:insideV w:val="nil"/>
        </w:tblBorders>
        <w:shd w:val="clear" w:color="auto" w:fill="DBE5F1" w:themeFill="accent1" w:themeFillTint="33"/>
        <w:tblLayout w:type="fixed"/>
        <w:tblLook w:val="0600" w:firstRow="0" w:lastRow="0" w:firstColumn="0" w:lastColumn="0" w:noHBand="1" w:noVBand="1"/>
      </w:tblPr>
      <w:tblGrid>
        <w:gridCol w:w="2708"/>
        <w:gridCol w:w="1742"/>
        <w:gridCol w:w="1801"/>
        <w:gridCol w:w="3109"/>
      </w:tblGrid>
      <w:tr w:rsidR="00C71CDB" w:rsidRPr="00322600" w14:paraId="38B3C054" w14:textId="77777777" w:rsidTr="00EF66B6">
        <w:trPr>
          <w:trHeight w:val="515"/>
        </w:trPr>
        <w:tc>
          <w:tcPr>
            <w:tcW w:w="2708" w:type="dxa"/>
            <w:tcBorders>
              <w:top w:val="single" w:sz="4" w:space="0" w:color="000000"/>
              <w:left w:val="single" w:sz="4" w:space="0" w:color="000000"/>
              <w:bottom w:val="single" w:sz="4" w:space="0" w:color="000000"/>
              <w:right w:val="single" w:sz="4" w:space="0" w:color="000000"/>
            </w:tcBorders>
            <w:shd w:val="clear" w:color="auto" w:fill="DBE5F1" w:themeFill="accent1" w:themeFillTint="33"/>
            <w:tcMar>
              <w:top w:w="100" w:type="dxa"/>
              <w:left w:w="100" w:type="dxa"/>
              <w:bottom w:w="100" w:type="dxa"/>
              <w:right w:w="100" w:type="dxa"/>
            </w:tcMar>
          </w:tcPr>
          <w:p w14:paraId="514A4967" w14:textId="7DD6E444" w:rsidR="00C71CDB" w:rsidRPr="00322600" w:rsidRDefault="00322600" w:rsidP="00DA7C87">
            <w:r w:rsidRPr="00322600">
              <w:rPr>
                <w:b/>
                <w:bCs/>
              </w:rPr>
              <w:t>“</w:t>
            </w:r>
            <w:r w:rsidR="00C71CDB" w:rsidRPr="00322600">
              <w:rPr>
                <w:b/>
                <w:bCs/>
              </w:rPr>
              <w:t>KPI</w:t>
            </w:r>
          </w:p>
        </w:tc>
        <w:tc>
          <w:tcPr>
            <w:tcW w:w="1742" w:type="dxa"/>
            <w:tcBorders>
              <w:top w:val="single" w:sz="4" w:space="0" w:color="000000"/>
              <w:left w:val="single" w:sz="4" w:space="0" w:color="000000"/>
              <w:bottom w:val="single" w:sz="4" w:space="0" w:color="000000"/>
              <w:right w:val="single" w:sz="4" w:space="0" w:color="000000"/>
            </w:tcBorders>
            <w:shd w:val="clear" w:color="auto" w:fill="DBE5F1" w:themeFill="accent1" w:themeFillTint="33"/>
            <w:tcMar>
              <w:top w:w="100" w:type="dxa"/>
              <w:left w:w="100" w:type="dxa"/>
              <w:bottom w:w="100" w:type="dxa"/>
              <w:right w:w="100" w:type="dxa"/>
            </w:tcMar>
          </w:tcPr>
          <w:p w14:paraId="29EEE4F6" w14:textId="77777777" w:rsidR="00C71CDB" w:rsidRPr="00322600" w:rsidRDefault="00C71CDB" w:rsidP="00DA7C87">
            <w:r w:rsidRPr="00322600">
              <w:rPr>
                <w:b/>
                <w:bCs/>
              </w:rPr>
              <w:t>Target</w:t>
            </w:r>
          </w:p>
        </w:tc>
        <w:tc>
          <w:tcPr>
            <w:tcW w:w="1801" w:type="dxa"/>
            <w:tcBorders>
              <w:top w:val="single" w:sz="4" w:space="0" w:color="000000"/>
              <w:left w:val="single" w:sz="4" w:space="0" w:color="000000"/>
              <w:bottom w:val="single" w:sz="4" w:space="0" w:color="000000"/>
              <w:right w:val="single" w:sz="4" w:space="0" w:color="000000"/>
            </w:tcBorders>
            <w:shd w:val="clear" w:color="auto" w:fill="DBE5F1" w:themeFill="accent1" w:themeFillTint="33"/>
            <w:tcMar>
              <w:top w:w="100" w:type="dxa"/>
              <w:left w:w="100" w:type="dxa"/>
              <w:bottom w:w="100" w:type="dxa"/>
              <w:right w:w="100" w:type="dxa"/>
            </w:tcMar>
          </w:tcPr>
          <w:p w14:paraId="4CD28476" w14:textId="77777777" w:rsidR="00C71CDB" w:rsidRPr="00322600" w:rsidRDefault="00C71CDB" w:rsidP="00DA7C87">
            <w:r w:rsidRPr="00322600">
              <w:rPr>
                <w:b/>
                <w:bCs/>
              </w:rPr>
              <w:t>Frequency</w:t>
            </w:r>
          </w:p>
        </w:tc>
        <w:tc>
          <w:tcPr>
            <w:tcW w:w="3109" w:type="dxa"/>
            <w:tcBorders>
              <w:top w:val="single" w:sz="4" w:space="0" w:color="000000"/>
              <w:left w:val="single" w:sz="4" w:space="0" w:color="000000"/>
              <w:bottom w:val="single" w:sz="4" w:space="0" w:color="000000"/>
              <w:right w:val="single" w:sz="4" w:space="0" w:color="000000"/>
            </w:tcBorders>
            <w:shd w:val="clear" w:color="auto" w:fill="DBE5F1" w:themeFill="accent1" w:themeFillTint="33"/>
            <w:tcMar>
              <w:top w:w="100" w:type="dxa"/>
              <w:left w:w="100" w:type="dxa"/>
              <w:bottom w:w="100" w:type="dxa"/>
              <w:right w:w="100" w:type="dxa"/>
            </w:tcMar>
          </w:tcPr>
          <w:p w14:paraId="43308D91" w14:textId="77777777" w:rsidR="00C71CDB" w:rsidRPr="00322600" w:rsidRDefault="00C71CDB" w:rsidP="00DA7C87">
            <w:r w:rsidRPr="00322600">
              <w:rPr>
                <w:b/>
                <w:bCs/>
              </w:rPr>
              <w:t>Corrective Action</w:t>
            </w:r>
          </w:p>
        </w:tc>
      </w:tr>
      <w:tr w:rsidR="00C71CDB" w:rsidRPr="00322600" w14:paraId="542828AC" w14:textId="77777777" w:rsidTr="00EF66B6">
        <w:trPr>
          <w:trHeight w:val="515"/>
        </w:trPr>
        <w:tc>
          <w:tcPr>
            <w:tcW w:w="2708" w:type="dxa"/>
            <w:tcBorders>
              <w:top w:val="single" w:sz="4" w:space="0" w:color="000000"/>
              <w:left w:val="single" w:sz="4" w:space="0" w:color="000000"/>
              <w:bottom w:val="single" w:sz="4" w:space="0" w:color="000000"/>
              <w:right w:val="single" w:sz="4" w:space="0" w:color="000000"/>
            </w:tcBorders>
            <w:shd w:val="clear" w:color="auto" w:fill="DBE5F1" w:themeFill="accent1" w:themeFillTint="33"/>
            <w:tcMar>
              <w:top w:w="100" w:type="dxa"/>
              <w:left w:w="100" w:type="dxa"/>
              <w:bottom w:w="100" w:type="dxa"/>
              <w:right w:w="100" w:type="dxa"/>
            </w:tcMar>
          </w:tcPr>
          <w:p w14:paraId="62E62962" w14:textId="77777777" w:rsidR="00C71CDB" w:rsidRPr="00322600" w:rsidRDefault="00C71CDB" w:rsidP="00DA7C87">
            <w:r w:rsidRPr="00322600">
              <w:t>Revenue</w:t>
            </w:r>
          </w:p>
        </w:tc>
        <w:tc>
          <w:tcPr>
            <w:tcW w:w="1742" w:type="dxa"/>
            <w:tcBorders>
              <w:top w:val="single" w:sz="4" w:space="0" w:color="000000"/>
              <w:left w:val="single" w:sz="4" w:space="0" w:color="000000"/>
              <w:bottom w:val="single" w:sz="4" w:space="0" w:color="000000"/>
              <w:right w:val="single" w:sz="4" w:space="0" w:color="000000"/>
            </w:tcBorders>
            <w:shd w:val="clear" w:color="auto" w:fill="DBE5F1" w:themeFill="accent1" w:themeFillTint="33"/>
            <w:tcMar>
              <w:top w:w="100" w:type="dxa"/>
              <w:left w:w="100" w:type="dxa"/>
              <w:bottom w:w="100" w:type="dxa"/>
              <w:right w:w="100" w:type="dxa"/>
            </w:tcMar>
          </w:tcPr>
          <w:p w14:paraId="32CE90C2" w14:textId="77777777" w:rsidR="00C71CDB" w:rsidRPr="00322600" w:rsidRDefault="00C71CDB" w:rsidP="00DA7C87">
            <w:r w:rsidRPr="00322600">
              <w:t>€105,000 Y1</w:t>
            </w:r>
          </w:p>
        </w:tc>
        <w:tc>
          <w:tcPr>
            <w:tcW w:w="1801" w:type="dxa"/>
            <w:tcBorders>
              <w:top w:val="single" w:sz="4" w:space="0" w:color="000000"/>
              <w:left w:val="single" w:sz="4" w:space="0" w:color="000000"/>
              <w:bottom w:val="single" w:sz="4" w:space="0" w:color="000000"/>
              <w:right w:val="single" w:sz="4" w:space="0" w:color="000000"/>
            </w:tcBorders>
            <w:shd w:val="clear" w:color="auto" w:fill="DBE5F1" w:themeFill="accent1" w:themeFillTint="33"/>
            <w:tcMar>
              <w:top w:w="100" w:type="dxa"/>
              <w:left w:w="100" w:type="dxa"/>
              <w:bottom w:w="100" w:type="dxa"/>
              <w:right w:w="100" w:type="dxa"/>
            </w:tcMar>
          </w:tcPr>
          <w:p w14:paraId="39943B7E" w14:textId="77777777" w:rsidR="00C71CDB" w:rsidRPr="00322600" w:rsidRDefault="00C71CDB" w:rsidP="00DA7C87">
            <w:r w:rsidRPr="00322600">
              <w:t>Monthly</w:t>
            </w:r>
          </w:p>
        </w:tc>
        <w:tc>
          <w:tcPr>
            <w:tcW w:w="3109" w:type="dxa"/>
            <w:tcBorders>
              <w:top w:val="single" w:sz="4" w:space="0" w:color="000000"/>
              <w:left w:val="single" w:sz="4" w:space="0" w:color="000000"/>
              <w:bottom w:val="single" w:sz="4" w:space="0" w:color="000000"/>
              <w:right w:val="single" w:sz="4" w:space="0" w:color="000000"/>
            </w:tcBorders>
            <w:shd w:val="clear" w:color="auto" w:fill="DBE5F1" w:themeFill="accent1" w:themeFillTint="33"/>
            <w:tcMar>
              <w:top w:w="100" w:type="dxa"/>
              <w:left w:w="100" w:type="dxa"/>
              <w:bottom w:w="100" w:type="dxa"/>
              <w:right w:w="100" w:type="dxa"/>
            </w:tcMar>
          </w:tcPr>
          <w:p w14:paraId="06BB2286" w14:textId="77777777" w:rsidR="00C71CDB" w:rsidRPr="00322600" w:rsidRDefault="00C71CDB" w:rsidP="00DA7C87">
            <w:r w:rsidRPr="00322600">
              <w:t>Review sales and marketing</w:t>
            </w:r>
          </w:p>
        </w:tc>
      </w:tr>
      <w:tr w:rsidR="00C71CDB" w:rsidRPr="00322600" w14:paraId="3989B10C" w14:textId="77777777" w:rsidTr="00EF66B6">
        <w:trPr>
          <w:trHeight w:val="515"/>
        </w:trPr>
        <w:tc>
          <w:tcPr>
            <w:tcW w:w="2708" w:type="dxa"/>
            <w:tcBorders>
              <w:top w:val="single" w:sz="4" w:space="0" w:color="000000"/>
              <w:left w:val="single" w:sz="4" w:space="0" w:color="000000"/>
              <w:bottom w:val="single" w:sz="4" w:space="0" w:color="000000"/>
              <w:right w:val="single" w:sz="4" w:space="0" w:color="000000"/>
            </w:tcBorders>
            <w:shd w:val="clear" w:color="auto" w:fill="DBE5F1" w:themeFill="accent1" w:themeFillTint="33"/>
            <w:tcMar>
              <w:top w:w="100" w:type="dxa"/>
              <w:left w:w="100" w:type="dxa"/>
              <w:bottom w:w="100" w:type="dxa"/>
              <w:right w:w="100" w:type="dxa"/>
            </w:tcMar>
          </w:tcPr>
          <w:p w14:paraId="23AD3EF4" w14:textId="77777777" w:rsidR="00C71CDB" w:rsidRPr="00322600" w:rsidRDefault="00C71CDB" w:rsidP="00DA7C87">
            <w:r w:rsidRPr="00322600">
              <w:t>Gross margin</w:t>
            </w:r>
          </w:p>
        </w:tc>
        <w:tc>
          <w:tcPr>
            <w:tcW w:w="1742" w:type="dxa"/>
            <w:tcBorders>
              <w:top w:val="single" w:sz="4" w:space="0" w:color="000000"/>
              <w:left w:val="single" w:sz="4" w:space="0" w:color="000000"/>
              <w:bottom w:val="single" w:sz="4" w:space="0" w:color="000000"/>
              <w:right w:val="single" w:sz="4" w:space="0" w:color="000000"/>
            </w:tcBorders>
            <w:shd w:val="clear" w:color="auto" w:fill="DBE5F1" w:themeFill="accent1" w:themeFillTint="33"/>
            <w:tcMar>
              <w:top w:w="100" w:type="dxa"/>
              <w:left w:w="100" w:type="dxa"/>
              <w:bottom w:w="100" w:type="dxa"/>
              <w:right w:w="100" w:type="dxa"/>
            </w:tcMar>
          </w:tcPr>
          <w:p w14:paraId="4854E2C5" w14:textId="77777777" w:rsidR="00C71CDB" w:rsidRPr="00322600" w:rsidRDefault="00C71CDB" w:rsidP="00DA7C87">
            <w:r w:rsidRPr="00322600">
              <w:rPr>
                <w:rFonts w:eastAsia="Gungsuh"/>
              </w:rPr>
              <w:t>≥30% Y1</w:t>
            </w:r>
          </w:p>
        </w:tc>
        <w:tc>
          <w:tcPr>
            <w:tcW w:w="1801" w:type="dxa"/>
            <w:tcBorders>
              <w:top w:val="single" w:sz="4" w:space="0" w:color="000000"/>
              <w:left w:val="single" w:sz="4" w:space="0" w:color="000000"/>
              <w:bottom w:val="single" w:sz="4" w:space="0" w:color="000000"/>
              <w:right w:val="single" w:sz="4" w:space="0" w:color="000000"/>
            </w:tcBorders>
            <w:shd w:val="clear" w:color="auto" w:fill="DBE5F1" w:themeFill="accent1" w:themeFillTint="33"/>
            <w:tcMar>
              <w:top w:w="100" w:type="dxa"/>
              <w:left w:w="100" w:type="dxa"/>
              <w:bottom w:w="100" w:type="dxa"/>
              <w:right w:w="100" w:type="dxa"/>
            </w:tcMar>
          </w:tcPr>
          <w:p w14:paraId="7B8C6805" w14:textId="77777777" w:rsidR="00C71CDB" w:rsidRPr="00322600" w:rsidRDefault="00C71CDB" w:rsidP="00DA7C87">
            <w:r w:rsidRPr="00322600">
              <w:t>Monthly</w:t>
            </w:r>
          </w:p>
        </w:tc>
        <w:tc>
          <w:tcPr>
            <w:tcW w:w="3109" w:type="dxa"/>
            <w:tcBorders>
              <w:top w:val="single" w:sz="4" w:space="0" w:color="000000"/>
              <w:left w:val="single" w:sz="4" w:space="0" w:color="000000"/>
              <w:bottom w:val="single" w:sz="4" w:space="0" w:color="000000"/>
              <w:right w:val="single" w:sz="4" w:space="0" w:color="000000"/>
            </w:tcBorders>
            <w:shd w:val="clear" w:color="auto" w:fill="DBE5F1" w:themeFill="accent1" w:themeFillTint="33"/>
            <w:tcMar>
              <w:top w:w="100" w:type="dxa"/>
              <w:left w:w="100" w:type="dxa"/>
              <w:bottom w:w="100" w:type="dxa"/>
              <w:right w:w="100" w:type="dxa"/>
            </w:tcMar>
          </w:tcPr>
          <w:p w14:paraId="547F7A75" w14:textId="77777777" w:rsidR="00C71CDB" w:rsidRPr="00322600" w:rsidRDefault="00C71CDB" w:rsidP="00DA7C87">
            <w:r w:rsidRPr="00322600">
              <w:t>Review pricing/product mix</w:t>
            </w:r>
          </w:p>
        </w:tc>
      </w:tr>
      <w:tr w:rsidR="00C71CDB" w:rsidRPr="00322600" w14:paraId="2ACE545A" w14:textId="77777777" w:rsidTr="00EF66B6">
        <w:trPr>
          <w:trHeight w:val="515"/>
        </w:trPr>
        <w:tc>
          <w:tcPr>
            <w:tcW w:w="2708" w:type="dxa"/>
            <w:tcBorders>
              <w:top w:val="single" w:sz="4" w:space="0" w:color="000000"/>
              <w:left w:val="single" w:sz="4" w:space="0" w:color="000000"/>
              <w:bottom w:val="single" w:sz="4" w:space="0" w:color="000000"/>
              <w:right w:val="single" w:sz="4" w:space="0" w:color="000000"/>
            </w:tcBorders>
            <w:shd w:val="clear" w:color="auto" w:fill="DBE5F1" w:themeFill="accent1" w:themeFillTint="33"/>
            <w:tcMar>
              <w:top w:w="100" w:type="dxa"/>
              <w:left w:w="100" w:type="dxa"/>
              <w:bottom w:w="100" w:type="dxa"/>
              <w:right w:w="100" w:type="dxa"/>
            </w:tcMar>
          </w:tcPr>
          <w:p w14:paraId="7259EB54" w14:textId="77777777" w:rsidR="00C71CDB" w:rsidRPr="00322600" w:rsidRDefault="00C71CDB" w:rsidP="00DA7C87">
            <w:r w:rsidRPr="00322600">
              <w:t>CAC</w:t>
            </w:r>
          </w:p>
        </w:tc>
        <w:tc>
          <w:tcPr>
            <w:tcW w:w="1742" w:type="dxa"/>
            <w:tcBorders>
              <w:top w:val="single" w:sz="4" w:space="0" w:color="000000"/>
              <w:left w:val="single" w:sz="4" w:space="0" w:color="000000"/>
              <w:bottom w:val="single" w:sz="4" w:space="0" w:color="000000"/>
              <w:right w:val="single" w:sz="4" w:space="0" w:color="000000"/>
            </w:tcBorders>
            <w:shd w:val="clear" w:color="auto" w:fill="DBE5F1" w:themeFill="accent1" w:themeFillTint="33"/>
            <w:tcMar>
              <w:top w:w="100" w:type="dxa"/>
              <w:left w:w="100" w:type="dxa"/>
              <w:bottom w:w="100" w:type="dxa"/>
              <w:right w:w="100" w:type="dxa"/>
            </w:tcMar>
          </w:tcPr>
          <w:p w14:paraId="7EA5EAC6" w14:textId="77777777" w:rsidR="00C71CDB" w:rsidRPr="00322600" w:rsidRDefault="00C71CDB" w:rsidP="00DA7C87">
            <w:r w:rsidRPr="00322600">
              <w:rPr>
                <w:rFonts w:eastAsia="Gungsuh"/>
              </w:rPr>
              <w:t>≤€50/order</w:t>
            </w:r>
          </w:p>
        </w:tc>
        <w:tc>
          <w:tcPr>
            <w:tcW w:w="1801" w:type="dxa"/>
            <w:tcBorders>
              <w:top w:val="single" w:sz="4" w:space="0" w:color="000000"/>
              <w:left w:val="single" w:sz="4" w:space="0" w:color="000000"/>
              <w:bottom w:val="single" w:sz="4" w:space="0" w:color="000000"/>
              <w:right w:val="single" w:sz="4" w:space="0" w:color="000000"/>
            </w:tcBorders>
            <w:shd w:val="clear" w:color="auto" w:fill="DBE5F1" w:themeFill="accent1" w:themeFillTint="33"/>
            <w:tcMar>
              <w:top w:w="100" w:type="dxa"/>
              <w:left w:w="100" w:type="dxa"/>
              <w:bottom w:w="100" w:type="dxa"/>
              <w:right w:w="100" w:type="dxa"/>
            </w:tcMar>
          </w:tcPr>
          <w:p w14:paraId="3E2CB879" w14:textId="77777777" w:rsidR="00C71CDB" w:rsidRPr="00322600" w:rsidRDefault="00C71CDB" w:rsidP="00DA7C87">
            <w:r w:rsidRPr="00322600">
              <w:t>Monthly</w:t>
            </w:r>
          </w:p>
        </w:tc>
        <w:tc>
          <w:tcPr>
            <w:tcW w:w="3109" w:type="dxa"/>
            <w:tcBorders>
              <w:top w:val="single" w:sz="4" w:space="0" w:color="000000"/>
              <w:left w:val="single" w:sz="4" w:space="0" w:color="000000"/>
              <w:bottom w:val="single" w:sz="4" w:space="0" w:color="000000"/>
              <w:right w:val="single" w:sz="4" w:space="0" w:color="000000"/>
            </w:tcBorders>
            <w:shd w:val="clear" w:color="auto" w:fill="DBE5F1" w:themeFill="accent1" w:themeFillTint="33"/>
            <w:tcMar>
              <w:top w:w="100" w:type="dxa"/>
              <w:left w:w="100" w:type="dxa"/>
              <w:bottom w:w="100" w:type="dxa"/>
              <w:right w:w="100" w:type="dxa"/>
            </w:tcMar>
          </w:tcPr>
          <w:p w14:paraId="54ADCE40" w14:textId="77777777" w:rsidR="00C71CDB" w:rsidRPr="00322600" w:rsidRDefault="00C71CDB" w:rsidP="00DA7C87">
            <w:r w:rsidRPr="00322600">
              <w:t>Reallocate marketing</w:t>
            </w:r>
          </w:p>
        </w:tc>
      </w:tr>
      <w:tr w:rsidR="00C71CDB" w:rsidRPr="00322600" w14:paraId="31E1CB9C" w14:textId="77777777" w:rsidTr="00EF66B6">
        <w:trPr>
          <w:trHeight w:val="515"/>
        </w:trPr>
        <w:tc>
          <w:tcPr>
            <w:tcW w:w="2708" w:type="dxa"/>
            <w:tcBorders>
              <w:top w:val="single" w:sz="4" w:space="0" w:color="000000"/>
              <w:left w:val="single" w:sz="4" w:space="0" w:color="000000"/>
              <w:bottom w:val="single" w:sz="4" w:space="0" w:color="000000"/>
              <w:right w:val="single" w:sz="4" w:space="0" w:color="000000"/>
            </w:tcBorders>
            <w:shd w:val="clear" w:color="auto" w:fill="DBE5F1" w:themeFill="accent1" w:themeFillTint="33"/>
            <w:tcMar>
              <w:top w:w="100" w:type="dxa"/>
              <w:left w:w="100" w:type="dxa"/>
              <w:bottom w:w="100" w:type="dxa"/>
              <w:right w:w="100" w:type="dxa"/>
            </w:tcMar>
          </w:tcPr>
          <w:p w14:paraId="4886D823" w14:textId="77777777" w:rsidR="00C71CDB" w:rsidRPr="00322600" w:rsidRDefault="00C71CDB" w:rsidP="00DA7C87">
            <w:r w:rsidRPr="00322600">
              <w:t>Order accuracy</w:t>
            </w:r>
          </w:p>
        </w:tc>
        <w:tc>
          <w:tcPr>
            <w:tcW w:w="1742" w:type="dxa"/>
            <w:tcBorders>
              <w:top w:val="single" w:sz="4" w:space="0" w:color="000000"/>
              <w:left w:val="single" w:sz="4" w:space="0" w:color="000000"/>
              <w:bottom w:val="single" w:sz="4" w:space="0" w:color="000000"/>
              <w:right w:val="single" w:sz="4" w:space="0" w:color="000000"/>
            </w:tcBorders>
            <w:shd w:val="clear" w:color="auto" w:fill="DBE5F1" w:themeFill="accent1" w:themeFillTint="33"/>
            <w:tcMar>
              <w:top w:w="100" w:type="dxa"/>
              <w:left w:w="100" w:type="dxa"/>
              <w:bottom w:w="100" w:type="dxa"/>
              <w:right w:w="100" w:type="dxa"/>
            </w:tcMar>
          </w:tcPr>
          <w:p w14:paraId="781E8F94" w14:textId="77777777" w:rsidR="00C71CDB" w:rsidRPr="00322600" w:rsidRDefault="00C71CDB" w:rsidP="00DA7C87">
            <w:r w:rsidRPr="00322600">
              <w:rPr>
                <w:rFonts w:eastAsia="Gungsuh"/>
              </w:rPr>
              <w:t>≥98%</w:t>
            </w:r>
          </w:p>
        </w:tc>
        <w:tc>
          <w:tcPr>
            <w:tcW w:w="1801" w:type="dxa"/>
            <w:tcBorders>
              <w:top w:val="single" w:sz="4" w:space="0" w:color="000000"/>
              <w:left w:val="single" w:sz="4" w:space="0" w:color="000000"/>
              <w:bottom w:val="single" w:sz="4" w:space="0" w:color="000000"/>
              <w:right w:val="single" w:sz="4" w:space="0" w:color="000000"/>
            </w:tcBorders>
            <w:shd w:val="clear" w:color="auto" w:fill="DBE5F1" w:themeFill="accent1" w:themeFillTint="33"/>
            <w:tcMar>
              <w:top w:w="100" w:type="dxa"/>
              <w:left w:w="100" w:type="dxa"/>
              <w:bottom w:w="100" w:type="dxa"/>
              <w:right w:w="100" w:type="dxa"/>
            </w:tcMar>
          </w:tcPr>
          <w:p w14:paraId="47770AF0" w14:textId="77777777" w:rsidR="00C71CDB" w:rsidRPr="00322600" w:rsidRDefault="00C71CDB" w:rsidP="00DA7C87">
            <w:r w:rsidRPr="00322600">
              <w:t>Weekly</w:t>
            </w:r>
          </w:p>
        </w:tc>
        <w:tc>
          <w:tcPr>
            <w:tcW w:w="3109" w:type="dxa"/>
            <w:tcBorders>
              <w:top w:val="single" w:sz="4" w:space="0" w:color="000000"/>
              <w:left w:val="single" w:sz="4" w:space="0" w:color="000000"/>
              <w:bottom w:val="single" w:sz="4" w:space="0" w:color="000000"/>
              <w:right w:val="single" w:sz="4" w:space="0" w:color="000000"/>
            </w:tcBorders>
            <w:shd w:val="clear" w:color="auto" w:fill="DBE5F1" w:themeFill="accent1" w:themeFillTint="33"/>
            <w:tcMar>
              <w:top w:w="100" w:type="dxa"/>
              <w:left w:w="100" w:type="dxa"/>
              <w:bottom w:w="100" w:type="dxa"/>
              <w:right w:w="100" w:type="dxa"/>
            </w:tcMar>
          </w:tcPr>
          <w:p w14:paraId="3CEB81DD" w14:textId="77777777" w:rsidR="00C71CDB" w:rsidRPr="00322600" w:rsidRDefault="00C71CDB" w:rsidP="00DA7C87">
            <w:r w:rsidRPr="00322600">
              <w:t>Correct process errors</w:t>
            </w:r>
          </w:p>
        </w:tc>
      </w:tr>
      <w:tr w:rsidR="00C71CDB" w:rsidRPr="00322600" w14:paraId="74F69282" w14:textId="77777777" w:rsidTr="00EF66B6">
        <w:trPr>
          <w:trHeight w:val="515"/>
        </w:trPr>
        <w:tc>
          <w:tcPr>
            <w:tcW w:w="2708" w:type="dxa"/>
            <w:tcBorders>
              <w:top w:val="single" w:sz="4" w:space="0" w:color="000000"/>
              <w:left w:val="single" w:sz="4" w:space="0" w:color="000000"/>
              <w:bottom w:val="single" w:sz="4" w:space="0" w:color="000000"/>
              <w:right w:val="single" w:sz="4" w:space="0" w:color="000000"/>
            </w:tcBorders>
            <w:shd w:val="clear" w:color="auto" w:fill="DBE5F1" w:themeFill="accent1" w:themeFillTint="33"/>
            <w:tcMar>
              <w:top w:w="100" w:type="dxa"/>
              <w:left w:w="100" w:type="dxa"/>
              <w:bottom w:w="100" w:type="dxa"/>
              <w:right w:w="100" w:type="dxa"/>
            </w:tcMar>
          </w:tcPr>
          <w:p w14:paraId="3E4CEEB9" w14:textId="77777777" w:rsidR="00C71CDB" w:rsidRPr="00322600" w:rsidRDefault="00C71CDB" w:rsidP="00DA7C87">
            <w:r w:rsidRPr="00322600">
              <w:t>Supplier on-time delivery</w:t>
            </w:r>
          </w:p>
        </w:tc>
        <w:tc>
          <w:tcPr>
            <w:tcW w:w="1742" w:type="dxa"/>
            <w:tcBorders>
              <w:top w:val="single" w:sz="4" w:space="0" w:color="000000"/>
              <w:left w:val="single" w:sz="4" w:space="0" w:color="000000"/>
              <w:bottom w:val="single" w:sz="4" w:space="0" w:color="000000"/>
              <w:right w:val="single" w:sz="4" w:space="0" w:color="000000"/>
            </w:tcBorders>
            <w:shd w:val="clear" w:color="auto" w:fill="DBE5F1" w:themeFill="accent1" w:themeFillTint="33"/>
            <w:tcMar>
              <w:top w:w="100" w:type="dxa"/>
              <w:left w:w="100" w:type="dxa"/>
              <w:bottom w:w="100" w:type="dxa"/>
              <w:right w:w="100" w:type="dxa"/>
            </w:tcMar>
          </w:tcPr>
          <w:p w14:paraId="286EFAE3" w14:textId="77777777" w:rsidR="00C71CDB" w:rsidRPr="00322600" w:rsidRDefault="00C71CDB" w:rsidP="00DA7C87">
            <w:r w:rsidRPr="00322600">
              <w:rPr>
                <w:rFonts w:eastAsia="Gungsuh"/>
              </w:rPr>
              <w:t>≥95%</w:t>
            </w:r>
          </w:p>
        </w:tc>
        <w:tc>
          <w:tcPr>
            <w:tcW w:w="1801" w:type="dxa"/>
            <w:tcBorders>
              <w:top w:val="single" w:sz="4" w:space="0" w:color="000000"/>
              <w:left w:val="single" w:sz="4" w:space="0" w:color="000000"/>
              <w:bottom w:val="single" w:sz="4" w:space="0" w:color="000000"/>
              <w:right w:val="single" w:sz="4" w:space="0" w:color="000000"/>
            </w:tcBorders>
            <w:shd w:val="clear" w:color="auto" w:fill="DBE5F1" w:themeFill="accent1" w:themeFillTint="33"/>
            <w:tcMar>
              <w:top w:w="100" w:type="dxa"/>
              <w:left w:w="100" w:type="dxa"/>
              <w:bottom w:w="100" w:type="dxa"/>
              <w:right w:w="100" w:type="dxa"/>
            </w:tcMar>
          </w:tcPr>
          <w:p w14:paraId="449B9B79" w14:textId="77777777" w:rsidR="00C71CDB" w:rsidRPr="00322600" w:rsidRDefault="00C71CDB" w:rsidP="00DA7C87">
            <w:r w:rsidRPr="00322600">
              <w:t>Weekly</w:t>
            </w:r>
          </w:p>
        </w:tc>
        <w:tc>
          <w:tcPr>
            <w:tcW w:w="3109" w:type="dxa"/>
            <w:tcBorders>
              <w:top w:val="single" w:sz="4" w:space="0" w:color="000000"/>
              <w:left w:val="single" w:sz="4" w:space="0" w:color="000000"/>
              <w:bottom w:val="single" w:sz="4" w:space="0" w:color="000000"/>
              <w:right w:val="single" w:sz="4" w:space="0" w:color="000000"/>
            </w:tcBorders>
            <w:shd w:val="clear" w:color="auto" w:fill="DBE5F1" w:themeFill="accent1" w:themeFillTint="33"/>
            <w:tcMar>
              <w:top w:w="100" w:type="dxa"/>
              <w:left w:w="100" w:type="dxa"/>
              <w:bottom w:w="100" w:type="dxa"/>
              <w:right w:w="100" w:type="dxa"/>
            </w:tcMar>
          </w:tcPr>
          <w:p w14:paraId="20A855F6" w14:textId="77777777" w:rsidR="00C71CDB" w:rsidRPr="00322600" w:rsidRDefault="00C71CDB" w:rsidP="00DA7C87">
            <w:r w:rsidRPr="00322600">
              <w:t>Use/escalate backup suppliers</w:t>
            </w:r>
          </w:p>
        </w:tc>
      </w:tr>
      <w:tr w:rsidR="00C71CDB" w:rsidRPr="00322600" w14:paraId="2EB08D97" w14:textId="77777777" w:rsidTr="00EF66B6">
        <w:trPr>
          <w:trHeight w:val="515"/>
        </w:trPr>
        <w:tc>
          <w:tcPr>
            <w:tcW w:w="2708" w:type="dxa"/>
            <w:tcBorders>
              <w:top w:val="single" w:sz="4" w:space="0" w:color="000000"/>
              <w:left w:val="single" w:sz="4" w:space="0" w:color="000000"/>
              <w:bottom w:val="single" w:sz="4" w:space="0" w:color="000000"/>
              <w:right w:val="single" w:sz="4" w:space="0" w:color="000000"/>
            </w:tcBorders>
            <w:shd w:val="clear" w:color="auto" w:fill="DBE5F1" w:themeFill="accent1" w:themeFillTint="33"/>
            <w:tcMar>
              <w:top w:w="100" w:type="dxa"/>
              <w:left w:w="100" w:type="dxa"/>
              <w:bottom w:w="100" w:type="dxa"/>
              <w:right w:w="100" w:type="dxa"/>
            </w:tcMar>
          </w:tcPr>
          <w:p w14:paraId="325F84C1" w14:textId="77777777" w:rsidR="00C71CDB" w:rsidRPr="00322600" w:rsidRDefault="00C71CDB" w:rsidP="00DA7C87">
            <w:r w:rsidRPr="00322600">
              <w:t>Damaged/incorrect orders</w:t>
            </w:r>
          </w:p>
        </w:tc>
        <w:tc>
          <w:tcPr>
            <w:tcW w:w="1742" w:type="dxa"/>
            <w:tcBorders>
              <w:top w:val="single" w:sz="4" w:space="0" w:color="000000"/>
              <w:left w:val="single" w:sz="4" w:space="0" w:color="000000"/>
              <w:bottom w:val="single" w:sz="4" w:space="0" w:color="000000"/>
              <w:right w:val="single" w:sz="4" w:space="0" w:color="000000"/>
            </w:tcBorders>
            <w:shd w:val="clear" w:color="auto" w:fill="DBE5F1" w:themeFill="accent1" w:themeFillTint="33"/>
            <w:tcMar>
              <w:top w:w="100" w:type="dxa"/>
              <w:left w:w="100" w:type="dxa"/>
              <w:bottom w:w="100" w:type="dxa"/>
              <w:right w:w="100" w:type="dxa"/>
            </w:tcMar>
          </w:tcPr>
          <w:p w14:paraId="1574BFF3" w14:textId="77777777" w:rsidR="00C71CDB" w:rsidRPr="00322600" w:rsidRDefault="00C71CDB" w:rsidP="00DA7C87">
            <w:r w:rsidRPr="00322600">
              <w:t>&lt;2%</w:t>
            </w:r>
          </w:p>
        </w:tc>
        <w:tc>
          <w:tcPr>
            <w:tcW w:w="1801" w:type="dxa"/>
            <w:tcBorders>
              <w:top w:val="single" w:sz="4" w:space="0" w:color="000000"/>
              <w:left w:val="single" w:sz="4" w:space="0" w:color="000000"/>
              <w:bottom w:val="single" w:sz="4" w:space="0" w:color="000000"/>
              <w:right w:val="single" w:sz="4" w:space="0" w:color="000000"/>
            </w:tcBorders>
            <w:shd w:val="clear" w:color="auto" w:fill="DBE5F1" w:themeFill="accent1" w:themeFillTint="33"/>
            <w:tcMar>
              <w:top w:w="100" w:type="dxa"/>
              <w:left w:w="100" w:type="dxa"/>
              <w:bottom w:w="100" w:type="dxa"/>
              <w:right w:w="100" w:type="dxa"/>
            </w:tcMar>
          </w:tcPr>
          <w:p w14:paraId="3AF48CF8" w14:textId="77777777" w:rsidR="00C71CDB" w:rsidRPr="00322600" w:rsidRDefault="00C71CDB" w:rsidP="00DA7C87">
            <w:r w:rsidRPr="00322600">
              <w:t>Weekly</w:t>
            </w:r>
          </w:p>
        </w:tc>
        <w:tc>
          <w:tcPr>
            <w:tcW w:w="3109" w:type="dxa"/>
            <w:tcBorders>
              <w:top w:val="single" w:sz="4" w:space="0" w:color="000000"/>
              <w:left w:val="single" w:sz="4" w:space="0" w:color="000000"/>
              <w:bottom w:val="single" w:sz="4" w:space="0" w:color="000000"/>
              <w:right w:val="single" w:sz="4" w:space="0" w:color="000000"/>
            </w:tcBorders>
            <w:shd w:val="clear" w:color="auto" w:fill="DBE5F1" w:themeFill="accent1" w:themeFillTint="33"/>
            <w:tcMar>
              <w:top w:w="100" w:type="dxa"/>
              <w:left w:w="100" w:type="dxa"/>
              <w:bottom w:w="100" w:type="dxa"/>
              <w:right w:w="100" w:type="dxa"/>
            </w:tcMar>
          </w:tcPr>
          <w:p w14:paraId="52D0C8B4" w14:textId="77777777" w:rsidR="00C71CDB" w:rsidRPr="00322600" w:rsidRDefault="00C71CDB" w:rsidP="00DA7C87">
            <w:r w:rsidRPr="00322600">
              <w:t>Strengthen quality controls</w:t>
            </w:r>
          </w:p>
        </w:tc>
      </w:tr>
      <w:tr w:rsidR="00C71CDB" w:rsidRPr="00322600" w14:paraId="38384693" w14:textId="77777777" w:rsidTr="00EF66B6">
        <w:trPr>
          <w:trHeight w:val="515"/>
        </w:trPr>
        <w:tc>
          <w:tcPr>
            <w:tcW w:w="2708" w:type="dxa"/>
            <w:tcBorders>
              <w:top w:val="single" w:sz="4" w:space="0" w:color="000000"/>
              <w:left w:val="single" w:sz="4" w:space="0" w:color="000000"/>
              <w:bottom w:val="single" w:sz="4" w:space="0" w:color="000000"/>
              <w:right w:val="single" w:sz="4" w:space="0" w:color="000000"/>
            </w:tcBorders>
            <w:shd w:val="clear" w:color="auto" w:fill="DBE5F1" w:themeFill="accent1" w:themeFillTint="33"/>
            <w:tcMar>
              <w:top w:w="100" w:type="dxa"/>
              <w:left w:w="100" w:type="dxa"/>
              <w:bottom w:w="100" w:type="dxa"/>
              <w:right w:w="100" w:type="dxa"/>
            </w:tcMar>
          </w:tcPr>
          <w:p w14:paraId="4634986C" w14:textId="77777777" w:rsidR="00C71CDB" w:rsidRPr="00322600" w:rsidRDefault="00C71CDB" w:rsidP="00DA7C87">
            <w:r w:rsidRPr="00322600">
              <w:t>Quotation response</w:t>
            </w:r>
          </w:p>
        </w:tc>
        <w:tc>
          <w:tcPr>
            <w:tcW w:w="1742" w:type="dxa"/>
            <w:tcBorders>
              <w:top w:val="single" w:sz="4" w:space="0" w:color="000000"/>
              <w:left w:val="single" w:sz="4" w:space="0" w:color="000000"/>
              <w:bottom w:val="single" w:sz="4" w:space="0" w:color="000000"/>
              <w:right w:val="single" w:sz="4" w:space="0" w:color="000000"/>
            </w:tcBorders>
            <w:shd w:val="clear" w:color="auto" w:fill="DBE5F1" w:themeFill="accent1" w:themeFillTint="33"/>
            <w:tcMar>
              <w:top w:w="100" w:type="dxa"/>
              <w:left w:w="100" w:type="dxa"/>
              <w:bottom w:w="100" w:type="dxa"/>
              <w:right w:w="100" w:type="dxa"/>
            </w:tcMar>
          </w:tcPr>
          <w:p w14:paraId="6AC83469" w14:textId="77777777" w:rsidR="00C71CDB" w:rsidRPr="00322600" w:rsidRDefault="00C71CDB" w:rsidP="00DA7C87">
            <w:r w:rsidRPr="00322600">
              <w:rPr>
                <w:rFonts w:eastAsia="Gungsuh"/>
              </w:rPr>
              <w:t>≤1 business day</w:t>
            </w:r>
          </w:p>
        </w:tc>
        <w:tc>
          <w:tcPr>
            <w:tcW w:w="1801" w:type="dxa"/>
            <w:tcBorders>
              <w:top w:val="single" w:sz="4" w:space="0" w:color="000000"/>
              <w:left w:val="single" w:sz="4" w:space="0" w:color="000000"/>
              <w:bottom w:val="single" w:sz="4" w:space="0" w:color="000000"/>
              <w:right w:val="single" w:sz="4" w:space="0" w:color="000000"/>
            </w:tcBorders>
            <w:shd w:val="clear" w:color="auto" w:fill="DBE5F1" w:themeFill="accent1" w:themeFillTint="33"/>
            <w:tcMar>
              <w:top w:w="100" w:type="dxa"/>
              <w:left w:w="100" w:type="dxa"/>
              <w:bottom w:w="100" w:type="dxa"/>
              <w:right w:w="100" w:type="dxa"/>
            </w:tcMar>
          </w:tcPr>
          <w:p w14:paraId="1D8F7D6F" w14:textId="77777777" w:rsidR="00C71CDB" w:rsidRPr="00322600" w:rsidRDefault="00C71CDB" w:rsidP="00DA7C87">
            <w:r w:rsidRPr="00322600">
              <w:t>Weekly</w:t>
            </w:r>
          </w:p>
        </w:tc>
        <w:tc>
          <w:tcPr>
            <w:tcW w:w="3109" w:type="dxa"/>
            <w:tcBorders>
              <w:top w:val="single" w:sz="4" w:space="0" w:color="000000"/>
              <w:left w:val="single" w:sz="4" w:space="0" w:color="000000"/>
              <w:bottom w:val="single" w:sz="4" w:space="0" w:color="000000"/>
              <w:right w:val="single" w:sz="4" w:space="0" w:color="000000"/>
            </w:tcBorders>
            <w:shd w:val="clear" w:color="auto" w:fill="DBE5F1" w:themeFill="accent1" w:themeFillTint="33"/>
            <w:tcMar>
              <w:top w:w="100" w:type="dxa"/>
              <w:left w:w="100" w:type="dxa"/>
              <w:bottom w:w="100" w:type="dxa"/>
              <w:right w:w="100" w:type="dxa"/>
            </w:tcMar>
          </w:tcPr>
          <w:p w14:paraId="24CBC459" w14:textId="77777777" w:rsidR="00C71CDB" w:rsidRPr="00322600" w:rsidRDefault="00C71CDB" w:rsidP="00DA7C87">
            <w:r w:rsidRPr="00322600">
              <w:t>Address workload bottlenecks</w:t>
            </w:r>
          </w:p>
        </w:tc>
      </w:tr>
      <w:tr w:rsidR="00C71CDB" w:rsidRPr="00322600" w14:paraId="5F3FC5B1" w14:textId="77777777" w:rsidTr="00EF66B6">
        <w:trPr>
          <w:trHeight w:val="515"/>
        </w:trPr>
        <w:tc>
          <w:tcPr>
            <w:tcW w:w="2708" w:type="dxa"/>
            <w:tcBorders>
              <w:top w:val="single" w:sz="4" w:space="0" w:color="000000"/>
              <w:left w:val="single" w:sz="4" w:space="0" w:color="000000"/>
              <w:bottom w:val="single" w:sz="4" w:space="0" w:color="000000"/>
              <w:right w:val="single" w:sz="4" w:space="0" w:color="000000"/>
            </w:tcBorders>
            <w:shd w:val="clear" w:color="auto" w:fill="DBE5F1" w:themeFill="accent1" w:themeFillTint="33"/>
            <w:tcMar>
              <w:top w:w="100" w:type="dxa"/>
              <w:left w:w="100" w:type="dxa"/>
              <w:bottom w:w="100" w:type="dxa"/>
              <w:right w:w="100" w:type="dxa"/>
            </w:tcMar>
          </w:tcPr>
          <w:p w14:paraId="61F850BD" w14:textId="77777777" w:rsidR="00C71CDB" w:rsidRPr="00322600" w:rsidRDefault="00C71CDB" w:rsidP="00DA7C87">
            <w:r w:rsidRPr="00322600">
              <w:t>Cash reserve</w:t>
            </w:r>
          </w:p>
        </w:tc>
        <w:tc>
          <w:tcPr>
            <w:tcW w:w="1742" w:type="dxa"/>
            <w:tcBorders>
              <w:top w:val="single" w:sz="4" w:space="0" w:color="000000"/>
              <w:left w:val="single" w:sz="4" w:space="0" w:color="000000"/>
              <w:bottom w:val="single" w:sz="4" w:space="0" w:color="000000"/>
              <w:right w:val="single" w:sz="4" w:space="0" w:color="000000"/>
            </w:tcBorders>
            <w:shd w:val="clear" w:color="auto" w:fill="DBE5F1" w:themeFill="accent1" w:themeFillTint="33"/>
            <w:tcMar>
              <w:top w:w="100" w:type="dxa"/>
              <w:left w:w="100" w:type="dxa"/>
              <w:bottom w:w="100" w:type="dxa"/>
              <w:right w:w="100" w:type="dxa"/>
            </w:tcMar>
          </w:tcPr>
          <w:p w14:paraId="0E3E4C9D" w14:textId="77777777" w:rsidR="00C71CDB" w:rsidRPr="00322600" w:rsidRDefault="00C71CDB" w:rsidP="00DA7C87">
            <w:r w:rsidRPr="00322600">
              <w:t>Protect €10,000</w:t>
            </w:r>
          </w:p>
        </w:tc>
        <w:tc>
          <w:tcPr>
            <w:tcW w:w="1801" w:type="dxa"/>
            <w:tcBorders>
              <w:top w:val="single" w:sz="4" w:space="0" w:color="000000"/>
              <w:left w:val="single" w:sz="4" w:space="0" w:color="000000"/>
              <w:bottom w:val="single" w:sz="4" w:space="0" w:color="000000"/>
              <w:right w:val="single" w:sz="4" w:space="0" w:color="000000"/>
            </w:tcBorders>
            <w:shd w:val="clear" w:color="auto" w:fill="DBE5F1" w:themeFill="accent1" w:themeFillTint="33"/>
            <w:tcMar>
              <w:top w:w="100" w:type="dxa"/>
              <w:left w:w="100" w:type="dxa"/>
              <w:bottom w:w="100" w:type="dxa"/>
              <w:right w:w="100" w:type="dxa"/>
            </w:tcMar>
          </w:tcPr>
          <w:p w14:paraId="070DD05F" w14:textId="77777777" w:rsidR="00C71CDB" w:rsidRPr="00322600" w:rsidRDefault="00C71CDB" w:rsidP="00DA7C87">
            <w:r w:rsidRPr="00322600">
              <w:t>Weekly/monthly</w:t>
            </w:r>
          </w:p>
        </w:tc>
        <w:tc>
          <w:tcPr>
            <w:tcW w:w="3109" w:type="dxa"/>
            <w:tcBorders>
              <w:top w:val="single" w:sz="4" w:space="0" w:color="000000"/>
              <w:left w:val="single" w:sz="4" w:space="0" w:color="000000"/>
              <w:bottom w:val="single" w:sz="4" w:space="0" w:color="000000"/>
              <w:right w:val="single" w:sz="4" w:space="0" w:color="000000"/>
            </w:tcBorders>
            <w:shd w:val="clear" w:color="auto" w:fill="DBE5F1" w:themeFill="accent1" w:themeFillTint="33"/>
            <w:tcMar>
              <w:top w:w="100" w:type="dxa"/>
              <w:left w:w="100" w:type="dxa"/>
              <w:bottom w:w="100" w:type="dxa"/>
              <w:right w:w="100" w:type="dxa"/>
            </w:tcMar>
          </w:tcPr>
          <w:p w14:paraId="37FF7BDE" w14:textId="1E6A2ADE" w:rsidR="00C71CDB" w:rsidRPr="00322600" w:rsidRDefault="00C71CDB" w:rsidP="00DA7C87">
            <w:r w:rsidRPr="00322600">
              <w:t>Delay discretionary spending</w:t>
            </w:r>
            <w:r w:rsidR="00322600" w:rsidRPr="00322600">
              <w:t>”</w:t>
            </w:r>
          </w:p>
        </w:tc>
      </w:tr>
    </w:tbl>
    <w:p w14:paraId="7D048DA2" w14:textId="77C5A30E" w:rsidR="00EF66B6" w:rsidRPr="00FB7622" w:rsidRDefault="00EF66B6" w:rsidP="00EF66B6">
      <w:pPr>
        <w:pStyle w:val="Heading6"/>
      </w:pPr>
      <w:bookmarkStart w:id="231" w:name="_pzhlg1raq3ts" w:colFirst="0" w:colLast="0"/>
      <w:bookmarkStart w:id="232" w:name="_Toc241008877"/>
      <w:bookmarkEnd w:id="231"/>
      <w:r w:rsidRPr="00FB7622">
        <w:lastRenderedPageBreak/>
        <w:t xml:space="preserve">Table </w:t>
      </w:r>
      <w:r>
        <w:t>21</w:t>
      </w:r>
      <w:r w:rsidRPr="00FB7622">
        <w:t>: “</w:t>
      </w:r>
      <w:r w:rsidRPr="00EF66B6">
        <w:t>KPIs, Monitoring and Control</w:t>
      </w:r>
      <w:r w:rsidRPr="00FB7622">
        <w:t>”</w:t>
      </w:r>
      <w:bookmarkEnd w:id="232"/>
    </w:p>
    <w:p w14:paraId="22B3869B" w14:textId="09499A08" w:rsidR="00EF66B6" w:rsidRDefault="00EF66B6" w:rsidP="00EF66B6">
      <w:pPr>
        <w:jc w:val="center"/>
      </w:pPr>
      <w:r>
        <w:t>(Source: Created by Author)</w:t>
      </w:r>
    </w:p>
    <w:p w14:paraId="2C901389" w14:textId="0EB72282" w:rsidR="00C71CDB" w:rsidRDefault="00C71CDB" w:rsidP="00C71CDB">
      <w:pPr>
        <w:pStyle w:val="Heading3"/>
        <w:keepNext w:val="0"/>
        <w:keepLines w:val="0"/>
        <w:spacing w:before="280"/>
        <w:rPr>
          <w:b/>
          <w:bCs/>
          <w:color w:val="000000"/>
          <w:sz w:val="24"/>
          <w:szCs w:val="24"/>
        </w:rPr>
      </w:pPr>
      <w:bookmarkStart w:id="233" w:name="_Toc241008299"/>
      <w:r>
        <w:rPr>
          <w:b/>
          <w:bCs/>
          <w:color w:val="000000"/>
          <w:sz w:val="24"/>
          <w:szCs w:val="24"/>
        </w:rPr>
        <w:t>12.5 Change Management and Implementation Risks</w:t>
      </w:r>
      <w:bookmarkEnd w:id="233"/>
    </w:p>
    <w:tbl>
      <w:tblPr>
        <w:tblW w:w="7105" w:type="dxa"/>
        <w:jc w:val="center"/>
        <w:tblBorders>
          <w:top w:val="nil"/>
          <w:left w:val="nil"/>
          <w:bottom w:val="nil"/>
          <w:right w:val="nil"/>
          <w:insideH w:val="nil"/>
          <w:insideV w:val="nil"/>
        </w:tblBorders>
        <w:tblLayout w:type="fixed"/>
        <w:tblLook w:val="0600" w:firstRow="0" w:lastRow="0" w:firstColumn="0" w:lastColumn="0" w:noHBand="1" w:noVBand="1"/>
      </w:tblPr>
      <w:tblGrid>
        <w:gridCol w:w="2225"/>
        <w:gridCol w:w="4880"/>
      </w:tblGrid>
      <w:tr w:rsidR="00C71CDB" w14:paraId="03E0DE61" w14:textId="77777777" w:rsidTr="00322600">
        <w:trPr>
          <w:trHeight w:val="515"/>
          <w:jc w:val="center"/>
        </w:trPr>
        <w:tc>
          <w:tcPr>
            <w:tcW w:w="222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E4A2864" w14:textId="465E6118" w:rsidR="00C71CDB" w:rsidRDefault="00322600" w:rsidP="00DA7C87">
            <w:r>
              <w:rPr>
                <w:b/>
                <w:bCs/>
              </w:rPr>
              <w:t>“</w:t>
            </w:r>
            <w:r w:rsidR="00C71CDB">
              <w:rPr>
                <w:b/>
                <w:bCs/>
              </w:rPr>
              <w:t>Risk / Change</w:t>
            </w:r>
          </w:p>
        </w:tc>
        <w:tc>
          <w:tcPr>
            <w:tcW w:w="488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DFC51F4" w14:textId="77777777" w:rsidR="00C71CDB" w:rsidRDefault="00C71CDB" w:rsidP="00DA7C87">
            <w:r>
              <w:rPr>
                <w:b/>
                <w:bCs/>
              </w:rPr>
              <w:t>Response</w:t>
            </w:r>
          </w:p>
        </w:tc>
      </w:tr>
      <w:tr w:rsidR="00C71CDB" w14:paraId="0DFDC58D" w14:textId="77777777" w:rsidTr="00322600">
        <w:trPr>
          <w:trHeight w:val="515"/>
          <w:jc w:val="center"/>
        </w:trPr>
        <w:tc>
          <w:tcPr>
            <w:tcW w:w="222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4BFCF88" w14:textId="77777777" w:rsidR="00C71CDB" w:rsidRDefault="00C71CDB" w:rsidP="00DA7C87">
            <w:r>
              <w:t>Staff uncertainty</w:t>
            </w:r>
          </w:p>
        </w:tc>
        <w:tc>
          <w:tcPr>
            <w:tcW w:w="488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D897943" w14:textId="77777777" w:rsidR="00C71CDB" w:rsidRDefault="00C71CDB" w:rsidP="00DA7C87">
            <w:r>
              <w:t>Training, clear responsibilities and support</w:t>
            </w:r>
          </w:p>
        </w:tc>
      </w:tr>
      <w:tr w:rsidR="00C71CDB" w14:paraId="369E5460" w14:textId="77777777" w:rsidTr="00322600">
        <w:trPr>
          <w:trHeight w:val="515"/>
          <w:jc w:val="center"/>
        </w:trPr>
        <w:tc>
          <w:tcPr>
            <w:tcW w:w="222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B906D44" w14:textId="77777777" w:rsidR="00C71CDB" w:rsidRDefault="00C71CDB" w:rsidP="00DA7C87">
            <w:r>
              <w:t>Technology failure</w:t>
            </w:r>
          </w:p>
        </w:tc>
        <w:tc>
          <w:tcPr>
            <w:tcW w:w="488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EBCA8A3" w14:textId="77777777" w:rsidR="00C71CDB" w:rsidRDefault="00C71CDB" w:rsidP="00DA7C87">
            <w:r>
              <w:t>Testing and manual fallback procedures</w:t>
            </w:r>
          </w:p>
        </w:tc>
      </w:tr>
      <w:tr w:rsidR="00C71CDB" w14:paraId="4FBBF545" w14:textId="77777777" w:rsidTr="00322600">
        <w:trPr>
          <w:trHeight w:val="515"/>
          <w:jc w:val="center"/>
        </w:trPr>
        <w:tc>
          <w:tcPr>
            <w:tcW w:w="222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317B493" w14:textId="77777777" w:rsidR="00C71CDB" w:rsidRDefault="00C71CDB" w:rsidP="00DA7C87">
            <w:r>
              <w:t>Supplier failure</w:t>
            </w:r>
          </w:p>
        </w:tc>
        <w:tc>
          <w:tcPr>
            <w:tcW w:w="488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F77531A" w14:textId="77777777" w:rsidR="00C71CDB" w:rsidRDefault="00C71CDB" w:rsidP="00DA7C87">
            <w:r>
              <w:t>Approved alternatives and contingency stock</w:t>
            </w:r>
          </w:p>
        </w:tc>
      </w:tr>
      <w:tr w:rsidR="00C71CDB" w14:paraId="6CD1D59E" w14:textId="77777777" w:rsidTr="00322600">
        <w:trPr>
          <w:trHeight w:val="515"/>
          <w:jc w:val="center"/>
        </w:trPr>
        <w:tc>
          <w:tcPr>
            <w:tcW w:w="222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8BD3666" w14:textId="77777777" w:rsidR="00C71CDB" w:rsidRDefault="00C71CDB" w:rsidP="00DA7C87">
            <w:r>
              <w:t>Low demand</w:t>
            </w:r>
          </w:p>
        </w:tc>
        <w:tc>
          <w:tcPr>
            <w:tcW w:w="488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DDCDB32" w14:textId="77777777" w:rsidR="00C71CDB" w:rsidRDefault="00C71CDB" w:rsidP="00DA7C87">
            <w:r>
              <w:t>Soft launch and staged marketing expenditure</w:t>
            </w:r>
          </w:p>
        </w:tc>
      </w:tr>
      <w:tr w:rsidR="00C71CDB" w14:paraId="676F9751" w14:textId="77777777" w:rsidTr="00322600">
        <w:trPr>
          <w:trHeight w:val="515"/>
          <w:jc w:val="center"/>
        </w:trPr>
        <w:tc>
          <w:tcPr>
            <w:tcW w:w="222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8FD010A" w14:textId="77777777" w:rsidR="00C71CDB" w:rsidRDefault="00C71CDB" w:rsidP="00DA7C87">
            <w:r>
              <w:t>Cost overrun</w:t>
            </w:r>
          </w:p>
        </w:tc>
        <w:tc>
          <w:tcPr>
            <w:tcW w:w="488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D1DB32D" w14:textId="77777777" w:rsidR="00C71CDB" w:rsidRDefault="00C71CDB" w:rsidP="00DA7C87">
            <w:r>
              <w:t>Protect reserve and defer non-essential spending</w:t>
            </w:r>
          </w:p>
        </w:tc>
      </w:tr>
      <w:tr w:rsidR="00C71CDB" w14:paraId="29FBF240" w14:textId="77777777" w:rsidTr="00322600">
        <w:trPr>
          <w:trHeight w:val="515"/>
          <w:jc w:val="center"/>
        </w:trPr>
        <w:tc>
          <w:tcPr>
            <w:tcW w:w="222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F0CF3B0" w14:textId="77777777" w:rsidR="00C71CDB" w:rsidRDefault="00C71CDB" w:rsidP="00DA7C87">
            <w:r>
              <w:t>Compliance changes</w:t>
            </w:r>
          </w:p>
        </w:tc>
        <w:tc>
          <w:tcPr>
            <w:tcW w:w="488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EED8B0A" w14:textId="494C2CA1" w:rsidR="00C71CDB" w:rsidRDefault="00C71CDB" w:rsidP="00DA7C87">
            <w:r>
              <w:t>Regular review and updated supplier evidence</w:t>
            </w:r>
            <w:r w:rsidR="00322600">
              <w:t>”</w:t>
            </w:r>
          </w:p>
        </w:tc>
      </w:tr>
    </w:tbl>
    <w:p w14:paraId="0AD80C49" w14:textId="3DCDF8A1" w:rsidR="00EF66B6" w:rsidRPr="00FB7622" w:rsidRDefault="00EF66B6" w:rsidP="00EF66B6">
      <w:pPr>
        <w:pStyle w:val="Heading6"/>
      </w:pPr>
      <w:bookmarkStart w:id="234" w:name="_s4ezrep7wdyn" w:colFirst="0" w:colLast="0"/>
      <w:bookmarkStart w:id="235" w:name="_Toc241008878"/>
      <w:bookmarkEnd w:id="234"/>
      <w:r w:rsidRPr="00FB7622">
        <w:t xml:space="preserve">Table </w:t>
      </w:r>
      <w:r>
        <w:t>22</w:t>
      </w:r>
      <w:r w:rsidRPr="00FB7622">
        <w:t>: “</w:t>
      </w:r>
      <w:r>
        <w:t>Change Management</w:t>
      </w:r>
      <w:r w:rsidRPr="00FB7622">
        <w:t>”</w:t>
      </w:r>
      <w:bookmarkEnd w:id="235"/>
    </w:p>
    <w:p w14:paraId="5E28B105" w14:textId="6BC0DF18" w:rsidR="00EF66B6" w:rsidRDefault="00EF66B6" w:rsidP="00EF66B6">
      <w:pPr>
        <w:jc w:val="center"/>
      </w:pPr>
      <w:r>
        <w:t>(Source: Created by Author)</w:t>
      </w:r>
    </w:p>
    <w:p w14:paraId="41893F37" w14:textId="5552A249" w:rsidR="00C71CDB" w:rsidRDefault="00C71CDB" w:rsidP="00C71CDB">
      <w:pPr>
        <w:pStyle w:val="Heading3"/>
        <w:keepNext w:val="0"/>
        <w:keepLines w:val="0"/>
        <w:spacing w:before="280"/>
        <w:rPr>
          <w:b/>
          <w:bCs/>
          <w:color w:val="000000"/>
          <w:sz w:val="24"/>
          <w:szCs w:val="24"/>
        </w:rPr>
      </w:pPr>
      <w:bookmarkStart w:id="236" w:name="_Toc241008300"/>
      <w:r>
        <w:rPr>
          <w:b/>
          <w:bCs/>
          <w:color w:val="000000"/>
          <w:sz w:val="24"/>
          <w:szCs w:val="24"/>
        </w:rPr>
        <w:t>12.6 Implementation Readiness</w:t>
      </w:r>
      <w:bookmarkEnd w:id="236"/>
    </w:p>
    <w:p w14:paraId="494B0323" w14:textId="77777777" w:rsidR="00C71CDB" w:rsidRDefault="00C71CDB" w:rsidP="00C71CDB">
      <w:r>
        <w:t xml:space="preserve">The venture will go to full launch once critical readiness conditions are met. The soft launch will see a trial of customer demand and operational assumptions prior to full commitment. The </w:t>
      </w:r>
      <w:r>
        <w:lastRenderedPageBreak/>
        <w:t>monitoring of KPIs, budgeting and contingency plans will be in place to enable timely corrective action and control growth.</w:t>
      </w:r>
    </w:p>
    <w:p w14:paraId="1F5D99B3" w14:textId="77777777" w:rsidR="00684A66" w:rsidRDefault="00684A66">
      <w:pPr>
        <w:rPr>
          <w:b/>
          <w:bCs/>
        </w:rPr>
      </w:pPr>
      <w:bookmarkStart w:id="237" w:name="_usl3s8i7hfu1" w:colFirst="0" w:colLast="0"/>
      <w:bookmarkStart w:id="238" w:name="_Toc241008301"/>
      <w:bookmarkEnd w:id="237"/>
      <w:r>
        <w:br w:type="page"/>
      </w:r>
    </w:p>
    <w:p w14:paraId="5DC42D9B" w14:textId="240999CA" w:rsidR="00C71CDB" w:rsidRDefault="00C71CDB" w:rsidP="00C71CDB">
      <w:pPr>
        <w:pStyle w:val="Heading2"/>
        <w:keepNext w:val="0"/>
        <w:keepLines w:val="0"/>
        <w:rPr>
          <w:b w:val="0"/>
          <w:bCs w:val="0"/>
        </w:rPr>
      </w:pPr>
      <w:r>
        <w:lastRenderedPageBreak/>
        <w:t>Chapter 13: Conclusion and Recommendations</w:t>
      </w:r>
      <w:bookmarkEnd w:id="238"/>
    </w:p>
    <w:p w14:paraId="4A166F9F" w14:textId="77777777" w:rsidR="00C71CDB" w:rsidRDefault="00C71CDB" w:rsidP="00C71CDB">
      <w:r>
        <w:t>EcoPack Solutions is a sustainable packaging business, asset light, targeting European SMEs in the e-commerce sector, which has been evaluated by the Business Development Proposal. Analysis combined Market Opportunity, Competitive Environment, Strategy, Business Model, Marketing, Financial Performance, Human Resources, Operations and Implementation and Risk. In summary, the evidence suggests that the business has commercial potential but this is dependent on establishing customer need, safeguarding margins, supplier stability, and customer changing packaging needs. The last recommendation is thus a go preceded by a condition.</w:t>
      </w:r>
    </w:p>
    <w:p w14:paraId="59C4F835" w14:textId="77777777" w:rsidR="00C71CDB" w:rsidRDefault="00C71CDB" w:rsidP="00C71CDB">
      <w:r>
        <w:t>Complementary perspectives were provided by the theoretical frameworks used in the proposal. The PESTLE framework was used to support an external assessment of the political, economic, social, technological, legal and environmental influences, but the use of the broad categories does not show the exact extent or the interactions between the individual factors. Porter's Five Forces was used to analyse the level of competition, buyer power, supplier power and the competition from substitutes. The biggest drawback is that competitive dynamics can shift very quickly, especially in a digitally-driven environment. SWOT and VRIO were used to complement external analysis through an examination of the internal capabilities and the possible sources of competitive advantage. But these frameworks are in part subject to managerial judgment and do not always ensure that strengths that have been identified will create enduring advantage. The Business Model Canvas proved helpful to assemble the customer segments, value propositions, channels, resources, activities, partnerships, revenues and costs into a logical business model. It is limited in that it is a snapshot of the business model applied at a specific point in time and needs to be continually reviewed.</w:t>
      </w:r>
    </w:p>
    <w:p w14:paraId="7472F419" w14:textId="77777777" w:rsidR="00C71CDB" w:rsidRDefault="00C71CDB" w:rsidP="00C71CDB">
      <w:r>
        <w:t xml:space="preserve">The integrated findings suggest that there is a relevant market opportunity for EcoPack, as both the demand for packaging in European e-commerce companies is growing and so are the expectations for sustainability and legislation. The positioning proposed is targeted towards the SME market, which will give a clear customer segment and will not try to penetrate the market straight away. The approach of sustainable packaging and ease of purchase and sustainability information creates a differentiation other than product supply. But, existing packaging companies, </w:t>
      </w:r>
      <w:r>
        <w:lastRenderedPageBreak/>
        <w:t>price-sensitive customers and dependence on suppliers lead to tremendous competitive and operational pressures.</w:t>
      </w:r>
    </w:p>
    <w:p w14:paraId="790B6408" w14:textId="77777777" w:rsidR="00C71CDB" w:rsidRDefault="00C71CDB" w:rsidP="00C71CDB">
      <w:r>
        <w:t>The financial analysis shows that the business could be improved in the future. Revenue is forecast to increase from €105,000 in Year 1 to €608,000 in Year 3, while gross margin increases from 30% to 33%. The operating performance is expected to improve to a profit of €75,640 in Year 3 from a loss of €26,500 in Year 1. A break-even is estimated at about 553 orders per year. These are only estimates of financial viability, and are subject to order volumes, average order values, margins and customer-acquisition costs being met as forecast.</w:t>
      </w:r>
    </w:p>
    <w:p w14:paraId="450977F9" w14:textId="77777777" w:rsidR="00C71CDB" w:rsidRDefault="00C71CDB" w:rsidP="00C71CDB">
      <w:r>
        <w:t>The asset-light model helps capture the operational feasibility as it does not require heavy manufacturing and warehousing investments into the enterprise by EcoPack. However, outsourcing to external suppliers, 3PL and digital systems brings with it delivery, quality, availability and technology risks. The implementation plan thus rightfully focuses on the supplier controls, testing of the system, monitoring of the KPIs and a soft launch prior to the full scale expansion.</w:t>
      </w:r>
    </w:p>
    <w:p w14:paraId="174C690C" w14:textId="77777777" w:rsidR="00C71CDB" w:rsidRDefault="00C71CDB" w:rsidP="00C71CDB">
      <w:pPr>
        <w:pStyle w:val="Heading3"/>
        <w:keepNext w:val="0"/>
        <w:keepLines w:val="0"/>
        <w:spacing w:before="280"/>
        <w:rPr>
          <w:b/>
          <w:bCs/>
          <w:color w:val="000000"/>
          <w:sz w:val="24"/>
          <w:szCs w:val="24"/>
        </w:rPr>
      </w:pPr>
      <w:bookmarkStart w:id="239" w:name="_k0e9exfezwrh" w:colFirst="0" w:colLast="0"/>
      <w:bookmarkStart w:id="240" w:name="_Toc241008302"/>
      <w:bookmarkEnd w:id="239"/>
      <w:r>
        <w:rPr>
          <w:b/>
          <w:bCs/>
          <w:color w:val="000000"/>
          <w:sz w:val="24"/>
          <w:szCs w:val="24"/>
        </w:rPr>
        <w:t>Recommendations</w:t>
      </w:r>
      <w:bookmarkEnd w:id="240"/>
    </w:p>
    <w:p w14:paraId="69669FD0" w14:textId="77777777" w:rsidR="00C71CDB" w:rsidRDefault="00C71CDB" w:rsidP="00C71CDB">
      <w:pPr>
        <w:numPr>
          <w:ilvl w:val="0"/>
          <w:numId w:val="4"/>
        </w:numPr>
        <w:spacing w:after="0"/>
      </w:pPr>
      <w:r>
        <w:t>EcoPack Solutions need to head into a controlled soft launch prior to full commercial roll out. This will enable management to trial the demand, conversion, frequency of order and the service quality of their customers based on actual operational data.</w:t>
      </w:r>
    </w:p>
    <w:p w14:paraId="210DE015" w14:textId="77777777" w:rsidR="00C71CDB" w:rsidRDefault="00C71CDB" w:rsidP="00C71CDB">
      <w:pPr>
        <w:numPr>
          <w:ilvl w:val="0"/>
          <w:numId w:val="4"/>
        </w:numPr>
        <w:spacing w:before="0" w:after="0"/>
      </w:pPr>
      <w:r>
        <w:t>The focus for management in Year 1 is on securing cash flow and gross margins. Financial performance should be monitored regularly including revenue, gross margin, customer acquisition cost and cash reserves – and corrective action should be taken if there is any material variance from the financial plan.</w:t>
      </w:r>
    </w:p>
    <w:p w14:paraId="2C5A4039" w14:textId="77777777" w:rsidR="00C71CDB" w:rsidRDefault="00C71CDB" w:rsidP="00C71CDB">
      <w:pPr>
        <w:numPr>
          <w:ilvl w:val="0"/>
          <w:numId w:val="4"/>
        </w:numPr>
        <w:spacing w:before="0" w:after="0"/>
      </w:pPr>
      <w:r>
        <w:t>The business should develop supplier resilience. Stocking should be carried out in parallel with alternative suppliers and the delivery reliability, quality and lead time should be monitored continuously for important products.</w:t>
      </w:r>
    </w:p>
    <w:p w14:paraId="1D5EA632" w14:textId="77777777" w:rsidR="00C71CDB" w:rsidRDefault="00C71CDB" w:rsidP="00C71CDB">
      <w:pPr>
        <w:numPr>
          <w:ilvl w:val="0"/>
          <w:numId w:val="4"/>
        </w:numPr>
        <w:spacing w:before="0" w:after="0"/>
      </w:pPr>
      <w:r>
        <w:t>Sustainability and compliance evidence must be credible for EcoPack. Environmental claims should include relevant supplier documentation to ensure customer confidence and minimise regulatory risk.</w:t>
      </w:r>
    </w:p>
    <w:p w14:paraId="61AF5842" w14:textId="2B896085" w:rsidR="00EA6A3F" w:rsidRDefault="00C71CDB" w:rsidP="00C71CDB">
      <w:pPr>
        <w:numPr>
          <w:ilvl w:val="0"/>
          <w:numId w:val="4"/>
        </w:numPr>
        <w:spacing w:before="0"/>
      </w:pPr>
      <w:r>
        <w:lastRenderedPageBreak/>
        <w:t>Expansion to continue based on evidence. While any core business achieves its financial, operational and customer KPIs consistently, additional geographic markets, products, automation and infrastructure should be introduced.</w:t>
      </w:r>
      <w:r>
        <w:br w:type="page"/>
      </w:r>
    </w:p>
    <w:p w14:paraId="25DCDDE3" w14:textId="2C0D3E92" w:rsidR="00C71CDB" w:rsidRDefault="00000000" w:rsidP="00C71CDB">
      <w:pPr>
        <w:pStyle w:val="Heading1"/>
      </w:pPr>
      <w:bookmarkStart w:id="241" w:name="_96162omwgyxw" w:colFirst="0" w:colLast="0"/>
      <w:bookmarkStart w:id="242" w:name="_Toc241008303"/>
      <w:bookmarkEnd w:id="241"/>
      <w:r>
        <w:lastRenderedPageBreak/>
        <w:t>References</w:t>
      </w:r>
      <w:bookmarkEnd w:id="242"/>
      <w:r>
        <w:t xml:space="preserve"> </w:t>
      </w:r>
    </w:p>
    <w:p w14:paraId="253915D9" w14:textId="55FC6A25" w:rsidR="00C71CDB" w:rsidRDefault="00C71CDB">
      <w:r>
        <w:rPr>
          <w:color w:val="222222"/>
        </w:rPr>
        <w:t xml:space="preserve">Alayón, C.L., Säfsten, K. and Johansson, G., (2022). </w:t>
      </w:r>
      <w:r w:rsidR="0068062C">
        <w:rPr>
          <w:color w:val="222222"/>
        </w:rPr>
        <w:t>‘</w:t>
      </w:r>
      <w:r>
        <w:rPr>
          <w:color w:val="222222"/>
        </w:rPr>
        <w:t>Barriers and enablers for the adoption of sustainable manufacturing by manufacturing SMEs</w:t>
      </w:r>
      <w:r w:rsidR="0068062C">
        <w:rPr>
          <w:color w:val="222222"/>
        </w:rPr>
        <w:t>’</w:t>
      </w:r>
      <w:r>
        <w:rPr>
          <w:color w:val="222222"/>
        </w:rPr>
        <w:t xml:space="preserve">. </w:t>
      </w:r>
      <w:r>
        <w:rPr>
          <w:i/>
          <w:iCs/>
          <w:color w:val="222222"/>
        </w:rPr>
        <w:t>Sustainability</w:t>
      </w:r>
      <w:r>
        <w:rPr>
          <w:color w:val="222222"/>
        </w:rPr>
        <w:t xml:space="preserve">, </w:t>
      </w:r>
      <w:r>
        <w:rPr>
          <w:i/>
          <w:iCs/>
          <w:color w:val="222222"/>
        </w:rPr>
        <w:t>14</w:t>
      </w:r>
      <w:r>
        <w:rPr>
          <w:color w:val="222222"/>
        </w:rPr>
        <w:t>(4), p.2364.</w:t>
      </w:r>
      <w:r>
        <w:t xml:space="preserve"> </w:t>
      </w:r>
    </w:p>
    <w:p w14:paraId="1A07EB25" w14:textId="50584945" w:rsidR="00C71CDB" w:rsidRDefault="00C71CDB" w:rsidP="00C71CDB">
      <w:r>
        <w:rPr>
          <w:color w:val="222222"/>
        </w:rPr>
        <w:t xml:space="preserve">Amelia, E.A., (2022). </w:t>
      </w:r>
      <w:r w:rsidR="0068062C">
        <w:rPr>
          <w:color w:val="222222"/>
        </w:rPr>
        <w:t>‘</w:t>
      </w:r>
      <w:r>
        <w:rPr>
          <w:color w:val="222222"/>
        </w:rPr>
        <w:t>Business model analysis in Kartinipedia application using business model canvas (BMC) approach</w:t>
      </w:r>
      <w:r w:rsidR="0068062C">
        <w:rPr>
          <w:color w:val="222222"/>
        </w:rPr>
        <w:t>’</w:t>
      </w:r>
      <w:r>
        <w:rPr>
          <w:color w:val="222222"/>
        </w:rPr>
        <w:t xml:space="preserve">. </w:t>
      </w:r>
      <w:r>
        <w:rPr>
          <w:i/>
          <w:iCs/>
          <w:color w:val="222222"/>
        </w:rPr>
        <w:t>International Journal of Economics, Business and Accounting Research (IJEBAR)</w:t>
      </w:r>
      <w:r>
        <w:rPr>
          <w:color w:val="222222"/>
        </w:rPr>
        <w:t xml:space="preserve">, </w:t>
      </w:r>
      <w:r>
        <w:rPr>
          <w:i/>
          <w:iCs/>
          <w:color w:val="222222"/>
        </w:rPr>
        <w:t>6</w:t>
      </w:r>
      <w:r>
        <w:rPr>
          <w:color w:val="222222"/>
        </w:rPr>
        <w:t>(1), pp.878-890.</w:t>
      </w:r>
      <w:r>
        <w:t xml:space="preserve"> </w:t>
      </w:r>
    </w:p>
    <w:p w14:paraId="3CD49E98" w14:textId="30420226" w:rsidR="00C71CDB" w:rsidRDefault="00C71CDB" w:rsidP="00C71CDB">
      <w:r>
        <w:rPr>
          <w:color w:val="222222"/>
        </w:rPr>
        <w:t xml:space="preserve">Burra, N.J. and Ushadevi, K.N., (2022). </w:t>
      </w:r>
      <w:r w:rsidR="0068062C">
        <w:rPr>
          <w:color w:val="222222"/>
        </w:rPr>
        <w:t>‘</w:t>
      </w:r>
      <w:r>
        <w:rPr>
          <w:color w:val="222222"/>
        </w:rPr>
        <w:t>Porter’s five forces analysis of Zanzibar’s seaweed industry</w:t>
      </w:r>
      <w:r w:rsidR="0068062C">
        <w:rPr>
          <w:color w:val="222222"/>
        </w:rPr>
        <w:t>’</w:t>
      </w:r>
      <w:r>
        <w:rPr>
          <w:color w:val="222222"/>
        </w:rPr>
        <w:t xml:space="preserve">. </w:t>
      </w:r>
      <w:r>
        <w:rPr>
          <w:i/>
          <w:iCs/>
          <w:color w:val="222222"/>
        </w:rPr>
        <w:t>Asian Journal of Agricultural Extension, Economics &amp; Sociology</w:t>
      </w:r>
      <w:r>
        <w:rPr>
          <w:color w:val="222222"/>
        </w:rPr>
        <w:t xml:space="preserve">, </w:t>
      </w:r>
      <w:r>
        <w:rPr>
          <w:i/>
          <w:iCs/>
          <w:color w:val="222222"/>
        </w:rPr>
        <w:t>40</w:t>
      </w:r>
      <w:r>
        <w:rPr>
          <w:color w:val="222222"/>
        </w:rPr>
        <w:t>(11), pp.185-196.</w:t>
      </w:r>
      <w:r>
        <w:t xml:space="preserve"> </w:t>
      </w:r>
    </w:p>
    <w:p w14:paraId="43D4F0E1" w14:textId="335C6DB2" w:rsidR="00C71CDB" w:rsidRDefault="00C71CDB" w:rsidP="00C71CDB">
      <w:r>
        <w:rPr>
          <w:color w:val="222222"/>
        </w:rPr>
        <w:t xml:space="preserve">Campagnolo, D., Gianecchini, M. and Mosca, L., (2024). </w:t>
      </w:r>
      <w:r w:rsidR="0068062C">
        <w:rPr>
          <w:color w:val="222222"/>
        </w:rPr>
        <w:t>‘</w:t>
      </w:r>
      <w:r>
        <w:rPr>
          <w:color w:val="222222"/>
        </w:rPr>
        <w:t>Configurations of business model themes and strategies in small firms: a qualitative comparative analysis</w:t>
      </w:r>
      <w:r w:rsidR="0068062C">
        <w:rPr>
          <w:color w:val="222222"/>
        </w:rPr>
        <w:t>’</w:t>
      </w:r>
      <w:r>
        <w:rPr>
          <w:color w:val="222222"/>
        </w:rPr>
        <w:t xml:space="preserve">. </w:t>
      </w:r>
      <w:r>
        <w:rPr>
          <w:i/>
          <w:iCs/>
          <w:color w:val="222222"/>
        </w:rPr>
        <w:t>Journal of Management and Governance</w:t>
      </w:r>
      <w:r>
        <w:rPr>
          <w:color w:val="222222"/>
        </w:rPr>
        <w:t xml:space="preserve">, </w:t>
      </w:r>
      <w:r>
        <w:rPr>
          <w:i/>
          <w:iCs/>
          <w:color w:val="222222"/>
        </w:rPr>
        <w:t>28</w:t>
      </w:r>
      <w:r>
        <w:rPr>
          <w:color w:val="222222"/>
        </w:rPr>
        <w:t>(3), pp.1-29.</w:t>
      </w:r>
      <w:r>
        <w:t xml:space="preserve"> </w:t>
      </w:r>
    </w:p>
    <w:p w14:paraId="5B29C266" w14:textId="3FC5A7EE" w:rsidR="00C71CDB" w:rsidRDefault="00C71CDB" w:rsidP="00C71CDB">
      <w:r>
        <w:rPr>
          <w:color w:val="222222"/>
        </w:rPr>
        <w:t xml:space="preserve">Chan, A.H.A., Beleya, P., Rau, M., Airawaty, D. and Salehi, S., (2026). </w:t>
      </w:r>
      <w:r w:rsidR="0068062C">
        <w:rPr>
          <w:color w:val="222222"/>
        </w:rPr>
        <w:t>‘</w:t>
      </w:r>
      <w:r>
        <w:rPr>
          <w:color w:val="222222"/>
        </w:rPr>
        <w:t>Circular Economy and Sustainable Packaging in the Malaysian Courier Service Industry: Transforming Supply Chains for a Greener Future</w:t>
      </w:r>
      <w:r w:rsidR="0068062C">
        <w:rPr>
          <w:color w:val="222222"/>
        </w:rPr>
        <w:t>’</w:t>
      </w:r>
      <w:r>
        <w:rPr>
          <w:color w:val="222222"/>
        </w:rPr>
        <w:t xml:space="preserve">. </w:t>
      </w:r>
      <w:r>
        <w:rPr>
          <w:i/>
          <w:iCs/>
          <w:color w:val="222222"/>
        </w:rPr>
        <w:t>International Journal of Sustainable Development &amp; Planning</w:t>
      </w:r>
      <w:r>
        <w:rPr>
          <w:color w:val="222222"/>
        </w:rPr>
        <w:t xml:space="preserve">, </w:t>
      </w:r>
      <w:r>
        <w:rPr>
          <w:i/>
          <w:iCs/>
          <w:color w:val="222222"/>
        </w:rPr>
        <w:t>21</w:t>
      </w:r>
      <w:r>
        <w:rPr>
          <w:color w:val="222222"/>
        </w:rPr>
        <w:t>(3), p.1301.</w:t>
      </w:r>
      <w:r>
        <w:t xml:space="preserve"> </w:t>
      </w:r>
    </w:p>
    <w:p w14:paraId="6C13BB03" w14:textId="2F15D691" w:rsidR="00C71CDB" w:rsidRDefault="00C71CDB" w:rsidP="00C71CDB">
      <w:r>
        <w:rPr>
          <w:color w:val="222222"/>
        </w:rPr>
        <w:t xml:space="preserve">Dakić, P., Stupavský, I. and Todorović, V., (2024). </w:t>
      </w:r>
      <w:r w:rsidR="0068062C">
        <w:rPr>
          <w:color w:val="222222"/>
        </w:rPr>
        <w:t>‘</w:t>
      </w:r>
      <w:r>
        <w:rPr>
          <w:color w:val="222222"/>
        </w:rPr>
        <w:t>The effects of global market changes on automotive manufacturing and embedded software</w:t>
      </w:r>
      <w:r w:rsidR="0068062C">
        <w:rPr>
          <w:color w:val="222222"/>
        </w:rPr>
        <w:t>’</w:t>
      </w:r>
      <w:r>
        <w:rPr>
          <w:color w:val="222222"/>
        </w:rPr>
        <w:t xml:space="preserve">. </w:t>
      </w:r>
      <w:r>
        <w:rPr>
          <w:i/>
          <w:iCs/>
          <w:color w:val="222222"/>
        </w:rPr>
        <w:t>Sustainability</w:t>
      </w:r>
      <w:r>
        <w:rPr>
          <w:color w:val="222222"/>
        </w:rPr>
        <w:t xml:space="preserve">, </w:t>
      </w:r>
      <w:r>
        <w:rPr>
          <w:i/>
          <w:iCs/>
          <w:color w:val="222222"/>
        </w:rPr>
        <w:t>16</w:t>
      </w:r>
      <w:r>
        <w:rPr>
          <w:color w:val="222222"/>
        </w:rPr>
        <w:t>(12), p.4926.</w:t>
      </w:r>
      <w:r>
        <w:t xml:space="preserve"> </w:t>
      </w:r>
    </w:p>
    <w:p w14:paraId="4BFA5AE0" w14:textId="77777777" w:rsidR="00C71CDB" w:rsidRDefault="00C71CDB" w:rsidP="00C71CDB">
      <w:r>
        <w:t xml:space="preserve">Dssmith (2025) </w:t>
      </w:r>
      <w:r w:rsidRPr="0068062C">
        <w:rPr>
          <w:i/>
          <w:iCs/>
        </w:rPr>
        <w:t>Dssmith</w:t>
      </w:r>
      <w:r>
        <w:t xml:space="preserve"> Available at: </w:t>
      </w:r>
      <w:hyperlink r:id="rId20">
        <w:r>
          <w:rPr>
            <w:color w:val="1155CC"/>
            <w:u w:val="single"/>
          </w:rPr>
          <w:t>https://www.dssmith.com/contentassets/401b709e9b0548a3bd2c02f68db248fe/ds-smith-international-ltd-30.04.2025.pdf</w:t>
        </w:r>
      </w:hyperlink>
      <w:r>
        <w:t xml:space="preserve"> (Accessed on: 22/09/2026)</w:t>
      </w:r>
    </w:p>
    <w:p w14:paraId="5E7D15B8" w14:textId="77777777" w:rsidR="00C71CDB" w:rsidRDefault="00C71CDB" w:rsidP="00C71CDB">
      <w:r>
        <w:t xml:space="preserve">Europa (2025) </w:t>
      </w:r>
      <w:r w:rsidRPr="0068062C">
        <w:rPr>
          <w:i/>
          <w:iCs/>
        </w:rPr>
        <w:t>2.5% real value-added growth in 2025</w:t>
      </w:r>
      <w:r>
        <w:t xml:space="preserve"> Available at: </w:t>
      </w:r>
      <w:hyperlink r:id="rId21">
        <w:r>
          <w:rPr>
            <w:color w:val="1155CC"/>
            <w:u w:val="single"/>
          </w:rPr>
          <w:t>https://single-market-economy.ec.europa.eu/publications/annual-report-european-smes-20252026_en</w:t>
        </w:r>
      </w:hyperlink>
      <w:r>
        <w:t xml:space="preserve"> (Accessed on: 22/09/2026)</w:t>
      </w:r>
    </w:p>
    <w:p w14:paraId="7FB72595" w14:textId="77777777" w:rsidR="00C71CDB" w:rsidRDefault="00C71CDB">
      <w:r>
        <w:t xml:space="preserve">Europa (2025) </w:t>
      </w:r>
      <w:r w:rsidRPr="0068062C">
        <w:rPr>
          <w:i/>
          <w:iCs/>
        </w:rPr>
        <w:t>35.3 kg of plastic packaging waste</w:t>
      </w:r>
      <w:r>
        <w:t xml:space="preserve"> Available at: </w:t>
      </w:r>
      <w:hyperlink r:id="rId22">
        <w:r>
          <w:rPr>
            <w:color w:val="1155CC"/>
            <w:u w:val="single"/>
          </w:rPr>
          <w:t>https://ec.europa.eu/eurostat/web/products-eurostat-news/w/ddn-20251022-1</w:t>
        </w:r>
      </w:hyperlink>
      <w:r>
        <w:t xml:space="preserve"> (Accessed on: 15/08/2026)</w:t>
      </w:r>
    </w:p>
    <w:p w14:paraId="3029BAFE" w14:textId="77777777" w:rsidR="00C71CDB" w:rsidRDefault="00C71CDB" w:rsidP="00C71CDB">
      <w:r>
        <w:lastRenderedPageBreak/>
        <w:t xml:space="preserve">Europa (2025) </w:t>
      </w:r>
      <w:r w:rsidRPr="0068062C">
        <w:rPr>
          <w:i/>
          <w:iCs/>
        </w:rPr>
        <w:t>Energy contributed</w:t>
      </w:r>
      <w:r>
        <w:t xml:space="preserve"> Available at: </w:t>
      </w:r>
      <w:hyperlink r:id="rId23">
        <w:r>
          <w:rPr>
            <w:color w:val="1155CC"/>
            <w:u w:val="single"/>
          </w:rPr>
          <w:t>https://ec.europa.eu/eurostat/web/products-euro-indicators/w/2-17092026-ap</w:t>
        </w:r>
      </w:hyperlink>
      <w:r>
        <w:t xml:space="preserve"> (Accessed on: 22/09/2026)</w:t>
      </w:r>
    </w:p>
    <w:p w14:paraId="4BF77179" w14:textId="77777777" w:rsidR="00C71CDB" w:rsidRDefault="00C71CDB" w:rsidP="00C71CDB">
      <w:r>
        <w:t xml:space="preserve">Europa (2025) </w:t>
      </w:r>
      <w:r w:rsidRPr="0068062C">
        <w:rPr>
          <w:i/>
          <w:iCs/>
        </w:rPr>
        <w:t>E-sales</w:t>
      </w:r>
      <w:r>
        <w:t xml:space="preserve"> Available at: </w:t>
      </w:r>
      <w:hyperlink r:id="rId24">
        <w:r>
          <w:rPr>
            <w:color w:val="1155CC"/>
            <w:u w:val="single"/>
          </w:rPr>
          <w:t>https://ec.europa.eu/eurostat/statistics-explained/index.php?title=E-commerce_statistics</w:t>
        </w:r>
      </w:hyperlink>
      <w:r>
        <w:t xml:space="preserve"> (Accessed on: 22/09/2026)</w:t>
      </w:r>
    </w:p>
    <w:p w14:paraId="6EC90892" w14:textId="77777777" w:rsidR="00C71CDB" w:rsidRDefault="00C71CDB" w:rsidP="00C71CDB">
      <w:r>
        <w:t xml:space="preserve">Europa (2025) </w:t>
      </w:r>
      <w:r w:rsidRPr="0068062C">
        <w:rPr>
          <w:i/>
          <w:iCs/>
        </w:rPr>
        <w:t>EU inflation</w:t>
      </w:r>
      <w:r>
        <w:t xml:space="preserve"> Available at: </w:t>
      </w:r>
      <w:hyperlink r:id="rId25">
        <w:r>
          <w:rPr>
            <w:color w:val="1155CC"/>
            <w:u w:val="single"/>
          </w:rPr>
          <w:t>https://ec.europa.eu/eurostat/web/products-euro-indicators/w/2-17092026-ap</w:t>
        </w:r>
      </w:hyperlink>
      <w:r>
        <w:t xml:space="preserve"> (Accessed on: 22/09/2026)</w:t>
      </w:r>
    </w:p>
    <w:p w14:paraId="315AAC2C" w14:textId="77777777" w:rsidR="00C71CDB" w:rsidRDefault="00C71CDB" w:rsidP="00C71CDB">
      <w:r>
        <w:t xml:space="preserve">Europa (2025) </w:t>
      </w:r>
      <w:r w:rsidRPr="0068062C">
        <w:rPr>
          <w:i/>
          <w:iCs/>
        </w:rPr>
        <w:t>European Commission source reports</w:t>
      </w:r>
      <w:r>
        <w:t xml:space="preserve"> Available at: </w:t>
      </w:r>
      <w:hyperlink r:id="rId26">
        <w:r>
          <w:rPr>
            <w:color w:val="1155CC"/>
            <w:u w:val="single"/>
          </w:rPr>
          <w:t>https://europa.eu/eurobarometer/surveys/detail/3173</w:t>
        </w:r>
      </w:hyperlink>
      <w:r>
        <w:t xml:space="preserve"> (Accessed on: 22/09/2026)</w:t>
      </w:r>
    </w:p>
    <w:p w14:paraId="7E8BD372" w14:textId="77777777" w:rsidR="00C71CDB" w:rsidRDefault="00C71CDB" w:rsidP="00C71CDB">
      <w:r>
        <w:t xml:space="preserve">Europa (2025) </w:t>
      </w:r>
      <w:r w:rsidRPr="0068062C">
        <w:rPr>
          <w:i/>
          <w:iCs/>
        </w:rPr>
        <w:t>Generated plastic packaging</w:t>
      </w:r>
      <w:r>
        <w:t xml:space="preserve"> Available at: </w:t>
      </w:r>
      <w:hyperlink r:id="rId27">
        <w:r>
          <w:rPr>
            <w:color w:val="1155CC"/>
            <w:u w:val="single"/>
          </w:rPr>
          <w:t>https://ec.europa.eu/eurostat/web/products-eurostat-news/w/ddn-20241024-3</w:t>
        </w:r>
      </w:hyperlink>
      <w:r>
        <w:t xml:space="preserve"> (Accessed on: 22/09/2026)</w:t>
      </w:r>
    </w:p>
    <w:p w14:paraId="553BB6D9" w14:textId="77777777" w:rsidR="00C71CDB" w:rsidRDefault="00C71CDB" w:rsidP="00C71CDB">
      <w:r>
        <w:t xml:space="preserve">Europa (2025) </w:t>
      </w:r>
      <w:r w:rsidRPr="0068062C">
        <w:rPr>
          <w:i/>
          <w:iCs/>
        </w:rPr>
        <w:t>Harmonised packaging labelling</w:t>
      </w:r>
      <w:r>
        <w:t xml:space="preserve"> Available at: </w:t>
      </w:r>
      <w:hyperlink r:id="rId28">
        <w:r>
          <w:rPr>
            <w:color w:val="1155CC"/>
            <w:u w:val="single"/>
          </w:rPr>
          <w:t>https://environment.ec.europa.eu/news/new-eu-rules-packaging-enter-application-2026-08-11_en</w:t>
        </w:r>
      </w:hyperlink>
      <w:r>
        <w:t xml:space="preserve"> (Accessed on: 22/09/2026)</w:t>
      </w:r>
    </w:p>
    <w:p w14:paraId="6EE2752D" w14:textId="77777777" w:rsidR="00C71CDB" w:rsidRDefault="00C71CDB" w:rsidP="00C71CDB">
      <w:r>
        <w:t xml:space="preserve">Europa (2025) </w:t>
      </w:r>
      <w:r w:rsidRPr="0068062C">
        <w:rPr>
          <w:i/>
          <w:iCs/>
        </w:rPr>
        <w:t>Net turnover</w:t>
      </w:r>
      <w:r>
        <w:t xml:space="preserve"> Available at: </w:t>
      </w:r>
      <w:hyperlink r:id="rId29">
        <w:r>
          <w:rPr>
            <w:color w:val="1155CC"/>
            <w:u w:val="single"/>
          </w:rPr>
          <w:t>https://ec.europa.eu/eurostat/web/products-eurostat-news/w/ddn-20251209-2</w:t>
        </w:r>
      </w:hyperlink>
      <w:r>
        <w:t xml:space="preserve"> (Accessed on: 22/09/2026)</w:t>
      </w:r>
    </w:p>
    <w:p w14:paraId="00B63118" w14:textId="77777777" w:rsidR="00C71CDB" w:rsidRDefault="00C71CDB">
      <w:r>
        <w:t xml:space="preserve">Europa (2025) </w:t>
      </w:r>
      <w:r w:rsidRPr="0068062C">
        <w:rPr>
          <w:i/>
          <w:iCs/>
        </w:rPr>
        <w:t>Packaging waste</w:t>
      </w:r>
      <w:r>
        <w:t xml:space="preserve"> Available at: </w:t>
      </w:r>
      <w:hyperlink r:id="rId30">
        <w:r>
          <w:rPr>
            <w:color w:val="1155CC"/>
            <w:u w:val="single"/>
          </w:rPr>
          <w:t>https://ec.europa.eu/eurostat/web/products-eurostat-news/w/ddn-20251022-1</w:t>
        </w:r>
      </w:hyperlink>
      <w:r>
        <w:t xml:space="preserve"> (Accessed on: 15/08/2026)</w:t>
      </w:r>
    </w:p>
    <w:p w14:paraId="68860F01" w14:textId="77777777" w:rsidR="00C71CDB" w:rsidRDefault="00C71CDB" w:rsidP="00C71CDB">
      <w:r>
        <w:t xml:space="preserve">Europa (2025) </w:t>
      </w:r>
      <w:r w:rsidRPr="0068062C">
        <w:rPr>
          <w:i/>
          <w:iCs/>
        </w:rPr>
        <w:t xml:space="preserve">Packaging waste </w:t>
      </w:r>
      <w:r>
        <w:t xml:space="preserve">Available at: </w:t>
      </w:r>
      <w:hyperlink r:id="rId31">
        <w:r>
          <w:rPr>
            <w:color w:val="1155CC"/>
            <w:u w:val="single"/>
          </w:rPr>
          <w:t>https://ec.europa.eu/eurostat/statistics-explained/index.php?title=Packaging_waste_statistics</w:t>
        </w:r>
      </w:hyperlink>
      <w:r>
        <w:t xml:space="preserve"> (Accessed on: 22/09/2026)</w:t>
      </w:r>
    </w:p>
    <w:p w14:paraId="79FA766C" w14:textId="77777777" w:rsidR="00C71CDB" w:rsidRDefault="00C71CDB">
      <w:r>
        <w:t xml:space="preserve">Europa (2025) </w:t>
      </w:r>
      <w:r w:rsidRPr="0068062C">
        <w:rPr>
          <w:i/>
          <w:iCs/>
        </w:rPr>
        <w:t xml:space="preserve">Plastic packaging waste </w:t>
      </w:r>
      <w:r>
        <w:t xml:space="preserve">Available at: </w:t>
      </w:r>
      <w:hyperlink r:id="rId32">
        <w:r>
          <w:rPr>
            <w:color w:val="1155CC"/>
            <w:u w:val="single"/>
          </w:rPr>
          <w:t>https://ec.europa.eu/eurostat/statistics-explained/index.php?title=Packaging_waste_statistics</w:t>
        </w:r>
      </w:hyperlink>
      <w:r>
        <w:t xml:space="preserve"> (Accessed on: 15/08/2026)</w:t>
      </w:r>
    </w:p>
    <w:p w14:paraId="189E0978" w14:textId="77777777" w:rsidR="00C71CDB" w:rsidRDefault="00C71CDB" w:rsidP="00C71CDB">
      <w:r>
        <w:t xml:space="preserve">Europa (2025) </w:t>
      </w:r>
      <w:r w:rsidRPr="0068062C">
        <w:rPr>
          <w:i/>
          <w:iCs/>
        </w:rPr>
        <w:t>PPWR aims</w:t>
      </w:r>
      <w:r>
        <w:t xml:space="preserve"> Available at: </w:t>
      </w:r>
      <w:hyperlink r:id="rId33">
        <w:r>
          <w:rPr>
            <w:color w:val="1155CC"/>
            <w:u w:val="single"/>
          </w:rPr>
          <w:t>https://environment.ec.europa.eu/topics/waste-and-recycling/packaging-waste/packaging-packaging-waste-regulation_en</w:t>
        </w:r>
      </w:hyperlink>
      <w:r>
        <w:t xml:space="preserve"> (Accessed on: 22/09/2026)</w:t>
      </w:r>
    </w:p>
    <w:p w14:paraId="01DDFA5E" w14:textId="77777777" w:rsidR="00C71CDB" w:rsidRDefault="00C71CDB">
      <w:r>
        <w:lastRenderedPageBreak/>
        <w:t xml:space="preserve">Europa (2025) </w:t>
      </w:r>
      <w:r w:rsidRPr="0068062C">
        <w:rPr>
          <w:i/>
          <w:iCs/>
        </w:rPr>
        <w:t>Recycling</w:t>
      </w:r>
      <w:r>
        <w:t xml:space="preserve"> Available at: </w:t>
      </w:r>
      <w:hyperlink r:id="rId34">
        <w:r>
          <w:rPr>
            <w:color w:val="1155CC"/>
            <w:u w:val="single"/>
          </w:rPr>
          <w:t>https://environment.ec.europa.eu/topics/waste-and-recycling/packaging-waste_en</w:t>
        </w:r>
      </w:hyperlink>
      <w:r>
        <w:t xml:space="preserve"> (Accessed on: 15/08/2026)</w:t>
      </w:r>
    </w:p>
    <w:p w14:paraId="3BDA9D59" w14:textId="77777777" w:rsidR="00C71CDB" w:rsidRDefault="00C71CDB" w:rsidP="00C71CDB">
      <w:r>
        <w:t xml:space="preserve">Europa (2025) </w:t>
      </w:r>
      <w:r w:rsidRPr="0068062C">
        <w:rPr>
          <w:i/>
          <w:iCs/>
        </w:rPr>
        <w:t>The Packaging and Packaging Waste Regulation</w:t>
      </w:r>
      <w:r>
        <w:t xml:space="preserve"> Available at: </w:t>
      </w:r>
      <w:hyperlink r:id="rId35">
        <w:r>
          <w:rPr>
            <w:color w:val="1155CC"/>
            <w:u w:val="single"/>
          </w:rPr>
          <w:t>https://environment.ec.europa.eu/news/new-eu-rules-packaging-enter-application-2026-08-11_en</w:t>
        </w:r>
      </w:hyperlink>
      <w:r>
        <w:t xml:space="preserve"> (Accessed on: 22/09/2026)</w:t>
      </w:r>
    </w:p>
    <w:p w14:paraId="4CD337D3" w14:textId="0285644A" w:rsidR="00C71CDB" w:rsidRDefault="00C71CDB" w:rsidP="00C71CDB">
      <w:r>
        <w:t xml:space="preserve">Europa (2025) </w:t>
      </w:r>
      <w:r w:rsidRPr="0068062C">
        <w:rPr>
          <w:i/>
          <w:iCs/>
        </w:rPr>
        <w:t>Vague, misleading or unfounded</w:t>
      </w:r>
      <w:r w:rsidR="0068062C">
        <w:rPr>
          <w:i/>
          <w:iCs/>
        </w:rPr>
        <w:t xml:space="preserve"> </w:t>
      </w:r>
      <w:r>
        <w:t xml:space="preserve">Available at: </w:t>
      </w:r>
      <w:hyperlink r:id="rId36">
        <w:r>
          <w:rPr>
            <w:color w:val="1155CC"/>
            <w:u w:val="single"/>
          </w:rPr>
          <w:t>https://green-forum.ec.europa.eu/green-business/eu-ecolabel/consumers_en</w:t>
        </w:r>
      </w:hyperlink>
      <w:r>
        <w:t xml:space="preserve"> (Accessed on: 22/09/2026)</w:t>
      </w:r>
    </w:p>
    <w:p w14:paraId="5E1177FC" w14:textId="77777777" w:rsidR="00C71CDB" w:rsidRDefault="00C71CDB" w:rsidP="00C71CDB">
      <w:r>
        <w:t xml:space="preserve">Europarl (2025) </w:t>
      </w:r>
      <w:r w:rsidRPr="0068062C">
        <w:rPr>
          <w:i/>
          <w:iCs/>
        </w:rPr>
        <w:t>EU had approximately 26.1 million SMEs</w:t>
      </w:r>
      <w:r>
        <w:t xml:space="preserve"> Available at: </w:t>
      </w:r>
      <w:hyperlink r:id="rId37">
        <w:r>
          <w:rPr>
            <w:color w:val="1155CC"/>
            <w:u w:val="single"/>
          </w:rPr>
          <w:t>https://www.europarl.europa.eu/factsheets/en/sheet/63/small-and-medium-sized-enterprises</w:t>
        </w:r>
      </w:hyperlink>
      <w:r>
        <w:t xml:space="preserve"> (Accessed on: 22/09/2026)</w:t>
      </w:r>
    </w:p>
    <w:p w14:paraId="5F34F2AF" w14:textId="7B7B7987" w:rsidR="00C71CDB" w:rsidRDefault="00C71CDB" w:rsidP="00C71CDB">
      <w:r>
        <w:rPr>
          <w:color w:val="222222"/>
        </w:rPr>
        <w:t xml:space="preserve">García-Arca, J., Garrido, A.T.G.P., Escurís-Ouviña, J. and Prado-Prado, J.C., (2025). </w:t>
      </w:r>
      <w:r w:rsidR="0068062C">
        <w:rPr>
          <w:color w:val="222222"/>
        </w:rPr>
        <w:t>‘</w:t>
      </w:r>
      <w:r>
        <w:rPr>
          <w:color w:val="222222"/>
        </w:rPr>
        <w:t>Implementing a sustainable and efficient packaging system for e-commerce: An empirical perspective in the household sector</w:t>
      </w:r>
      <w:r w:rsidR="0068062C">
        <w:rPr>
          <w:color w:val="222222"/>
        </w:rPr>
        <w:t>’</w:t>
      </w:r>
      <w:r>
        <w:rPr>
          <w:color w:val="222222"/>
        </w:rPr>
        <w:t xml:space="preserve">. </w:t>
      </w:r>
      <w:r>
        <w:rPr>
          <w:i/>
          <w:iCs/>
          <w:color w:val="222222"/>
        </w:rPr>
        <w:t>Journal of Industrial Engineering and Management</w:t>
      </w:r>
      <w:r>
        <w:rPr>
          <w:color w:val="222222"/>
        </w:rPr>
        <w:t xml:space="preserve">, </w:t>
      </w:r>
      <w:r>
        <w:rPr>
          <w:i/>
          <w:iCs/>
          <w:color w:val="222222"/>
        </w:rPr>
        <w:t>18</w:t>
      </w:r>
      <w:r>
        <w:rPr>
          <w:color w:val="222222"/>
        </w:rPr>
        <w:t>(2), pp.245-266.</w:t>
      </w:r>
      <w:r>
        <w:t xml:space="preserve"> </w:t>
      </w:r>
    </w:p>
    <w:p w14:paraId="0D4F123F" w14:textId="77777777" w:rsidR="00C71CDB" w:rsidRDefault="00C71CDB" w:rsidP="00C71CDB">
      <w:r>
        <w:t xml:space="preserve">GS1 (2025) </w:t>
      </w:r>
      <w:r w:rsidRPr="0068062C">
        <w:rPr>
          <w:i/>
          <w:iCs/>
        </w:rPr>
        <w:t>EU generated 83.4 million tonnes of packaging waste,</w:t>
      </w:r>
      <w:r>
        <w:t xml:space="preserve"> Available at: </w:t>
      </w:r>
      <w:hyperlink r:id="rId38">
        <w:r>
          <w:rPr>
            <w:color w:val="1155CC"/>
            <w:u w:val="single"/>
          </w:rPr>
          <w:t>https://gs1.eu/wp-content/uploads/2025/07/GS1-in-Europe-White-Paper-Packaging-and-Packaging-Waste-Regulation-and-GS1-Standards.pdf</w:t>
        </w:r>
      </w:hyperlink>
      <w:r>
        <w:t xml:space="preserve"> (Accessed on: 22/09/2026)</w:t>
      </w:r>
    </w:p>
    <w:p w14:paraId="2D7BB93B" w14:textId="55E729A4" w:rsidR="00C71CDB" w:rsidRDefault="00C71CDB" w:rsidP="00C71CDB">
      <w:r>
        <w:rPr>
          <w:color w:val="222222"/>
        </w:rPr>
        <w:t xml:space="preserve">Islam, Q. and Ali Khan, S.M.F., (2024). </w:t>
      </w:r>
      <w:r w:rsidR="0068062C">
        <w:rPr>
          <w:color w:val="222222"/>
        </w:rPr>
        <w:t>‘</w:t>
      </w:r>
      <w:r>
        <w:rPr>
          <w:color w:val="222222"/>
        </w:rPr>
        <w:t>Assessing consumer behavior in sustainable product markets: A structural equation modeling approach with partial least squares analysis</w:t>
      </w:r>
      <w:r w:rsidR="0068062C">
        <w:rPr>
          <w:color w:val="222222"/>
        </w:rPr>
        <w:t>’</w:t>
      </w:r>
      <w:r>
        <w:rPr>
          <w:color w:val="222222"/>
        </w:rPr>
        <w:t xml:space="preserve">. </w:t>
      </w:r>
      <w:r>
        <w:rPr>
          <w:i/>
          <w:iCs/>
          <w:color w:val="222222"/>
        </w:rPr>
        <w:t>Sustainability</w:t>
      </w:r>
      <w:r>
        <w:rPr>
          <w:color w:val="222222"/>
        </w:rPr>
        <w:t xml:space="preserve">, </w:t>
      </w:r>
      <w:r>
        <w:rPr>
          <w:i/>
          <w:iCs/>
          <w:color w:val="222222"/>
        </w:rPr>
        <w:t>16</w:t>
      </w:r>
      <w:r>
        <w:rPr>
          <w:color w:val="222222"/>
        </w:rPr>
        <w:t>(8am), p.3400.</w:t>
      </w:r>
      <w:r>
        <w:t xml:space="preserve"> </w:t>
      </w:r>
    </w:p>
    <w:p w14:paraId="7E7DC4B4" w14:textId="556C0F85" w:rsidR="00C71CDB" w:rsidRDefault="00C71CDB" w:rsidP="00C71CDB">
      <w:r>
        <w:rPr>
          <w:color w:val="222222"/>
        </w:rPr>
        <w:t xml:space="preserve">Issifu, I. and Sumaila, U.R., (2025). </w:t>
      </w:r>
      <w:r w:rsidR="0068062C">
        <w:rPr>
          <w:color w:val="222222"/>
        </w:rPr>
        <w:t>‘</w:t>
      </w:r>
      <w:r>
        <w:rPr>
          <w:color w:val="222222"/>
        </w:rPr>
        <w:t>Is reusable beverage packaging better than single–use plastic?</w:t>
      </w:r>
      <w:r w:rsidR="0068062C">
        <w:rPr>
          <w:color w:val="222222"/>
        </w:rPr>
        <w:t>’</w:t>
      </w:r>
      <w:r>
        <w:rPr>
          <w:color w:val="222222"/>
        </w:rPr>
        <w:t xml:space="preserve">. </w:t>
      </w:r>
      <w:r>
        <w:rPr>
          <w:i/>
          <w:iCs/>
          <w:color w:val="222222"/>
        </w:rPr>
        <w:t>Sustainable Futures</w:t>
      </w:r>
      <w:r>
        <w:rPr>
          <w:color w:val="222222"/>
        </w:rPr>
        <w:t xml:space="preserve">, </w:t>
      </w:r>
      <w:r>
        <w:rPr>
          <w:i/>
          <w:iCs/>
          <w:color w:val="222222"/>
        </w:rPr>
        <w:t>10</w:t>
      </w:r>
      <w:r>
        <w:rPr>
          <w:color w:val="222222"/>
        </w:rPr>
        <w:t>, p.101275.</w:t>
      </w:r>
      <w:r>
        <w:t xml:space="preserve"> </w:t>
      </w:r>
    </w:p>
    <w:p w14:paraId="39F0170A" w14:textId="3F845E66" w:rsidR="00C71CDB" w:rsidRDefault="00C71CDB" w:rsidP="00C71CDB">
      <w:r>
        <w:rPr>
          <w:color w:val="222222"/>
        </w:rPr>
        <w:t xml:space="preserve">Kassier, L., (2024). </w:t>
      </w:r>
      <w:r w:rsidR="0068062C">
        <w:rPr>
          <w:color w:val="222222"/>
        </w:rPr>
        <w:t>‘</w:t>
      </w:r>
      <w:r>
        <w:rPr>
          <w:color w:val="222222"/>
        </w:rPr>
        <w:t>Interconnected or disconnected? A review of sustainability, resilience, and sustainable business model constructs in the academic business literature</w:t>
      </w:r>
      <w:r w:rsidR="0068062C">
        <w:rPr>
          <w:color w:val="222222"/>
        </w:rPr>
        <w:t>’</w:t>
      </w:r>
      <w:r>
        <w:rPr>
          <w:color w:val="222222"/>
        </w:rPr>
        <w:t xml:space="preserve">. </w:t>
      </w:r>
      <w:r>
        <w:rPr>
          <w:i/>
          <w:iCs/>
          <w:color w:val="222222"/>
        </w:rPr>
        <w:t>Journal of the Knowledge Economy</w:t>
      </w:r>
      <w:r>
        <w:rPr>
          <w:color w:val="222222"/>
        </w:rPr>
        <w:t xml:space="preserve">, </w:t>
      </w:r>
      <w:r>
        <w:rPr>
          <w:i/>
          <w:iCs/>
          <w:color w:val="222222"/>
        </w:rPr>
        <w:t>15</w:t>
      </w:r>
      <w:r>
        <w:rPr>
          <w:color w:val="222222"/>
        </w:rPr>
        <w:t>(4), pp.15931-15958.</w:t>
      </w:r>
      <w:r>
        <w:t xml:space="preserve">  </w:t>
      </w:r>
    </w:p>
    <w:p w14:paraId="4AB0B8F8" w14:textId="05BF1FBE" w:rsidR="00C71CDB" w:rsidRDefault="00C71CDB">
      <w:r>
        <w:rPr>
          <w:color w:val="222222"/>
        </w:rPr>
        <w:lastRenderedPageBreak/>
        <w:t xml:space="preserve">Lee, B.H., Georgallis, P.P. and Struben, J., (2022). </w:t>
      </w:r>
      <w:r w:rsidR="0068062C">
        <w:rPr>
          <w:color w:val="222222"/>
        </w:rPr>
        <w:t>‘</w:t>
      </w:r>
      <w:r>
        <w:rPr>
          <w:color w:val="222222"/>
        </w:rPr>
        <w:t>Sustainable entrepreneurship under market uncertainty: Opportunities, challenges and impact</w:t>
      </w:r>
      <w:r w:rsidR="0068062C">
        <w:rPr>
          <w:color w:val="222222"/>
        </w:rPr>
        <w:t>’</w:t>
      </w:r>
      <w:r>
        <w:rPr>
          <w:color w:val="222222"/>
        </w:rPr>
        <w:t xml:space="preserve">. </w:t>
      </w:r>
      <w:r>
        <w:rPr>
          <w:i/>
          <w:iCs/>
          <w:color w:val="222222"/>
        </w:rPr>
        <w:t>Handbook on the Business of Sustainability</w:t>
      </w:r>
      <w:r>
        <w:rPr>
          <w:color w:val="222222"/>
        </w:rPr>
        <w:t>, pp.252-272.</w:t>
      </w:r>
      <w:r>
        <w:t xml:space="preserve"> </w:t>
      </w:r>
    </w:p>
    <w:p w14:paraId="78B4CFDE" w14:textId="1F7B569D" w:rsidR="00C71CDB" w:rsidRDefault="00C71CDB" w:rsidP="00C71CDB">
      <w:r>
        <w:rPr>
          <w:color w:val="222222"/>
        </w:rPr>
        <w:t xml:space="preserve">Li, Z., Li, B., Lyu, R. and Xu, H., (2025). </w:t>
      </w:r>
      <w:r w:rsidR="0068062C">
        <w:rPr>
          <w:color w:val="222222"/>
        </w:rPr>
        <w:t>‘</w:t>
      </w:r>
      <w:r>
        <w:rPr>
          <w:color w:val="222222"/>
        </w:rPr>
        <w:t>Competing with brands: the impact of product reliability and compensation mechanisms on non-brand suppliers in smart technology</w:t>
      </w:r>
      <w:r w:rsidR="0068062C">
        <w:rPr>
          <w:color w:val="222222"/>
        </w:rPr>
        <w:t>’</w:t>
      </w:r>
      <w:r>
        <w:rPr>
          <w:color w:val="222222"/>
        </w:rPr>
        <w:t xml:space="preserve">. </w:t>
      </w:r>
      <w:r>
        <w:rPr>
          <w:i/>
          <w:iCs/>
          <w:color w:val="222222"/>
        </w:rPr>
        <w:t>Asia Pacific Journal of Marketing and Logistics</w:t>
      </w:r>
      <w:r>
        <w:rPr>
          <w:color w:val="222222"/>
        </w:rPr>
        <w:t xml:space="preserve">, </w:t>
      </w:r>
      <w:r>
        <w:rPr>
          <w:i/>
          <w:iCs/>
          <w:color w:val="222222"/>
        </w:rPr>
        <w:t>37</w:t>
      </w:r>
      <w:r>
        <w:rPr>
          <w:color w:val="222222"/>
        </w:rPr>
        <w:t>(12), pp.3846-3867.</w:t>
      </w:r>
      <w:r>
        <w:t xml:space="preserve"> </w:t>
      </w:r>
    </w:p>
    <w:p w14:paraId="4B976651" w14:textId="54754517" w:rsidR="00C71CDB" w:rsidRDefault="00C71CDB" w:rsidP="00C71CDB">
      <w:r>
        <w:rPr>
          <w:color w:val="222222"/>
        </w:rPr>
        <w:t xml:space="preserve">Lubis, N.W., (2022). </w:t>
      </w:r>
      <w:r w:rsidR="0068062C">
        <w:rPr>
          <w:color w:val="222222"/>
        </w:rPr>
        <w:t>‘</w:t>
      </w:r>
      <w:r>
        <w:rPr>
          <w:color w:val="222222"/>
        </w:rPr>
        <w:t>Resource based view (RBV) in improving company strategic capacity</w:t>
      </w:r>
      <w:r w:rsidR="0068062C">
        <w:rPr>
          <w:color w:val="222222"/>
        </w:rPr>
        <w:t>’</w:t>
      </w:r>
      <w:r>
        <w:rPr>
          <w:color w:val="222222"/>
        </w:rPr>
        <w:t xml:space="preserve">. </w:t>
      </w:r>
      <w:r>
        <w:rPr>
          <w:i/>
          <w:iCs/>
          <w:color w:val="222222"/>
        </w:rPr>
        <w:t>Research Horizon</w:t>
      </w:r>
      <w:r>
        <w:rPr>
          <w:color w:val="222222"/>
        </w:rPr>
        <w:t xml:space="preserve">, </w:t>
      </w:r>
      <w:r>
        <w:rPr>
          <w:i/>
          <w:iCs/>
          <w:color w:val="222222"/>
        </w:rPr>
        <w:t>2</w:t>
      </w:r>
      <w:r>
        <w:rPr>
          <w:color w:val="222222"/>
        </w:rPr>
        <w:t>(6), pp.587-596.</w:t>
      </w:r>
      <w:r>
        <w:t xml:space="preserve"> </w:t>
      </w:r>
    </w:p>
    <w:p w14:paraId="0A3D1635" w14:textId="562F6815" w:rsidR="00C71CDB" w:rsidRDefault="00C71CDB" w:rsidP="00C71CDB">
      <w:r>
        <w:rPr>
          <w:color w:val="222222"/>
        </w:rPr>
        <w:t xml:space="preserve">Messaoudi, L., Hamdi, F. and Euchi, J., (2025). </w:t>
      </w:r>
      <w:r w:rsidR="0068062C">
        <w:rPr>
          <w:color w:val="222222"/>
        </w:rPr>
        <w:t>‘</w:t>
      </w:r>
      <w:r>
        <w:rPr>
          <w:color w:val="222222"/>
        </w:rPr>
        <w:t>Resilient and sustainable supplier selection: a chance-constrained approach under disruption risk</w:t>
      </w:r>
      <w:r w:rsidR="0068062C">
        <w:rPr>
          <w:color w:val="222222"/>
        </w:rPr>
        <w:t>’</w:t>
      </w:r>
      <w:r>
        <w:rPr>
          <w:color w:val="222222"/>
        </w:rPr>
        <w:t xml:space="preserve">. </w:t>
      </w:r>
      <w:r>
        <w:rPr>
          <w:i/>
          <w:iCs/>
          <w:color w:val="222222"/>
        </w:rPr>
        <w:t>Modern Supply Chain Research and Applications</w:t>
      </w:r>
      <w:r>
        <w:rPr>
          <w:color w:val="222222"/>
        </w:rPr>
        <w:t xml:space="preserve">, </w:t>
      </w:r>
      <w:r>
        <w:rPr>
          <w:i/>
          <w:iCs/>
          <w:color w:val="222222"/>
        </w:rPr>
        <w:t>7</w:t>
      </w:r>
      <w:r>
        <w:rPr>
          <w:color w:val="222222"/>
        </w:rPr>
        <w:t>(4), pp.539-558.</w:t>
      </w:r>
      <w:r>
        <w:t xml:space="preserve">  </w:t>
      </w:r>
    </w:p>
    <w:p w14:paraId="6489AE7E" w14:textId="77777777" w:rsidR="00C71CDB" w:rsidRDefault="00C71CDB" w:rsidP="00C71CDB">
      <w:r>
        <w:t xml:space="preserve">Mondigroup (2025) </w:t>
      </w:r>
      <w:r w:rsidRPr="0068062C">
        <w:rPr>
          <w:i/>
          <w:iCs/>
        </w:rPr>
        <w:t>Mondigroup</w:t>
      </w:r>
      <w:r>
        <w:t xml:space="preserve"> Available at: </w:t>
      </w:r>
      <w:hyperlink r:id="rId39">
        <w:r>
          <w:rPr>
            <w:color w:val="1155CC"/>
            <w:u w:val="single"/>
          </w:rPr>
          <w:t>https://www.mondigroup.com/globalassets/mondigroup.com/sustainability/reports-and-publications/2025/mondi-group-sustainable-development-report-2025.pdf</w:t>
        </w:r>
      </w:hyperlink>
      <w:r>
        <w:t xml:space="preserve"> (Accessed on: 22/09/2026)</w:t>
      </w:r>
    </w:p>
    <w:p w14:paraId="10F7FD4E" w14:textId="02DE7E1C" w:rsidR="00C71CDB" w:rsidRDefault="00C71CDB" w:rsidP="00C71CDB">
      <w:r>
        <w:rPr>
          <w:color w:val="222222"/>
        </w:rPr>
        <w:t xml:space="preserve">Morgan, H., (2024). </w:t>
      </w:r>
      <w:r w:rsidR="0068062C">
        <w:rPr>
          <w:color w:val="222222"/>
        </w:rPr>
        <w:t>‘</w:t>
      </w:r>
      <w:r>
        <w:rPr>
          <w:color w:val="222222"/>
        </w:rPr>
        <w:t>Using triangulation and crystallization to make qualitative studies trustworthy and rigorous</w:t>
      </w:r>
      <w:r w:rsidR="0068062C">
        <w:rPr>
          <w:color w:val="222222"/>
        </w:rPr>
        <w:t>’</w:t>
      </w:r>
      <w:r>
        <w:rPr>
          <w:color w:val="222222"/>
        </w:rPr>
        <w:t xml:space="preserve">. </w:t>
      </w:r>
      <w:r>
        <w:rPr>
          <w:i/>
          <w:iCs/>
          <w:color w:val="222222"/>
        </w:rPr>
        <w:t>The Qualitative Report</w:t>
      </w:r>
      <w:r>
        <w:rPr>
          <w:color w:val="222222"/>
        </w:rPr>
        <w:t xml:space="preserve">, </w:t>
      </w:r>
      <w:r>
        <w:rPr>
          <w:i/>
          <w:iCs/>
          <w:color w:val="222222"/>
        </w:rPr>
        <w:t>29</w:t>
      </w:r>
      <w:r>
        <w:rPr>
          <w:color w:val="222222"/>
        </w:rPr>
        <w:t>(7), pp.1844-1856.</w:t>
      </w:r>
      <w:r>
        <w:t xml:space="preserve"> </w:t>
      </w:r>
    </w:p>
    <w:p w14:paraId="14BD5189" w14:textId="052C8A9B" w:rsidR="00C71CDB" w:rsidRDefault="00C71CDB" w:rsidP="00C71CDB">
      <w:r>
        <w:rPr>
          <w:color w:val="222222"/>
        </w:rPr>
        <w:t xml:space="preserve">Naeem, M., Ozuem, W., Howell, K. and Ranfagni, S., (2023). </w:t>
      </w:r>
      <w:r w:rsidR="0068062C">
        <w:rPr>
          <w:color w:val="222222"/>
        </w:rPr>
        <w:t>‘</w:t>
      </w:r>
      <w:r>
        <w:rPr>
          <w:color w:val="222222"/>
        </w:rPr>
        <w:t>A step-by-step process of thematic analysis to develop a conceptual model in qualitative research</w:t>
      </w:r>
      <w:r w:rsidR="0068062C">
        <w:rPr>
          <w:color w:val="222222"/>
        </w:rPr>
        <w:t>’</w:t>
      </w:r>
      <w:r>
        <w:rPr>
          <w:color w:val="222222"/>
        </w:rPr>
        <w:t xml:space="preserve">. </w:t>
      </w:r>
      <w:r>
        <w:rPr>
          <w:i/>
          <w:iCs/>
          <w:color w:val="222222"/>
        </w:rPr>
        <w:t>International journal of qualitative methods</w:t>
      </w:r>
      <w:r>
        <w:rPr>
          <w:color w:val="222222"/>
        </w:rPr>
        <w:t xml:space="preserve">, </w:t>
      </w:r>
      <w:r>
        <w:rPr>
          <w:i/>
          <w:iCs/>
          <w:color w:val="222222"/>
        </w:rPr>
        <w:t>22</w:t>
      </w:r>
      <w:r>
        <w:rPr>
          <w:color w:val="222222"/>
        </w:rPr>
        <w:t>, p.16094069231205789.</w:t>
      </w:r>
      <w:r>
        <w:t xml:space="preserve"> </w:t>
      </w:r>
    </w:p>
    <w:p w14:paraId="3DEDB116" w14:textId="374C798A" w:rsidR="00C71CDB" w:rsidRDefault="00C71CDB" w:rsidP="00C71CDB">
      <w:r>
        <w:rPr>
          <w:color w:val="222222"/>
        </w:rPr>
        <w:t xml:space="preserve">Neesham, C., Dembek, K. and Benkert, J., (2023). </w:t>
      </w:r>
      <w:r w:rsidR="0068062C">
        <w:rPr>
          <w:color w:val="222222"/>
        </w:rPr>
        <w:t>‘</w:t>
      </w:r>
      <w:r>
        <w:rPr>
          <w:color w:val="222222"/>
        </w:rPr>
        <w:t>Defining value in sustainable business models</w:t>
      </w:r>
      <w:r w:rsidR="0068062C">
        <w:rPr>
          <w:color w:val="222222"/>
        </w:rPr>
        <w:t>’</w:t>
      </w:r>
      <w:r>
        <w:rPr>
          <w:color w:val="222222"/>
        </w:rPr>
        <w:t xml:space="preserve">. </w:t>
      </w:r>
      <w:r>
        <w:rPr>
          <w:i/>
          <w:iCs/>
          <w:color w:val="222222"/>
        </w:rPr>
        <w:t>Business &amp; Society</w:t>
      </w:r>
      <w:r>
        <w:rPr>
          <w:color w:val="222222"/>
        </w:rPr>
        <w:t xml:space="preserve">, </w:t>
      </w:r>
      <w:r>
        <w:rPr>
          <w:i/>
          <w:iCs/>
          <w:color w:val="222222"/>
        </w:rPr>
        <w:t>62</w:t>
      </w:r>
      <w:r>
        <w:rPr>
          <w:color w:val="222222"/>
        </w:rPr>
        <w:t>(7), pp.1378-1419.</w:t>
      </w:r>
      <w:r>
        <w:t xml:space="preserve"> </w:t>
      </w:r>
    </w:p>
    <w:p w14:paraId="62AF7B4C" w14:textId="73CA329B" w:rsidR="00C71CDB" w:rsidRDefault="00C71CDB" w:rsidP="00C71CDB">
      <w:r>
        <w:rPr>
          <w:color w:val="222222"/>
        </w:rPr>
        <w:t xml:space="preserve">Nii Laryeafio, M. and Ogbewe, O.C., (2023). </w:t>
      </w:r>
      <w:r w:rsidR="0068062C">
        <w:rPr>
          <w:color w:val="222222"/>
        </w:rPr>
        <w:t>‘</w:t>
      </w:r>
      <w:r>
        <w:rPr>
          <w:color w:val="222222"/>
        </w:rPr>
        <w:t>Ethical consideration dilemma: systematic review of ethics in qualitative data collection through interviews</w:t>
      </w:r>
      <w:r w:rsidR="0068062C">
        <w:rPr>
          <w:color w:val="222222"/>
        </w:rPr>
        <w:t>’</w:t>
      </w:r>
      <w:r>
        <w:rPr>
          <w:color w:val="222222"/>
        </w:rPr>
        <w:t xml:space="preserve">. </w:t>
      </w:r>
      <w:r>
        <w:rPr>
          <w:i/>
          <w:iCs/>
          <w:color w:val="222222"/>
        </w:rPr>
        <w:t>Journal of Ethics in Entrepreneurship and Technology</w:t>
      </w:r>
      <w:r>
        <w:rPr>
          <w:color w:val="222222"/>
        </w:rPr>
        <w:t xml:space="preserve">, </w:t>
      </w:r>
      <w:r>
        <w:rPr>
          <w:i/>
          <w:iCs/>
          <w:color w:val="222222"/>
        </w:rPr>
        <w:t>3</w:t>
      </w:r>
      <w:r>
        <w:rPr>
          <w:color w:val="222222"/>
        </w:rPr>
        <w:t>(2), pp.94-110.</w:t>
      </w:r>
      <w:r>
        <w:t xml:space="preserve">  </w:t>
      </w:r>
    </w:p>
    <w:p w14:paraId="0119F871" w14:textId="7671D8FB" w:rsidR="00C71CDB" w:rsidRDefault="00C71CDB" w:rsidP="00C71CDB">
      <w:r>
        <w:rPr>
          <w:color w:val="222222"/>
        </w:rPr>
        <w:lastRenderedPageBreak/>
        <w:t xml:space="preserve">Nussipova, G., (2022). </w:t>
      </w:r>
      <w:r w:rsidR="0068062C">
        <w:rPr>
          <w:color w:val="222222"/>
        </w:rPr>
        <w:t>‘</w:t>
      </w:r>
      <w:r>
        <w:rPr>
          <w:color w:val="222222"/>
        </w:rPr>
        <w:t>Framing changes of the value proposition of emerging technologies in a B2B context</w:t>
      </w:r>
      <w:r w:rsidR="0068062C">
        <w:rPr>
          <w:color w:val="222222"/>
        </w:rPr>
        <w:t>’</w:t>
      </w:r>
      <w:r>
        <w:rPr>
          <w:color w:val="222222"/>
        </w:rPr>
        <w:t xml:space="preserve">. </w:t>
      </w:r>
      <w:r>
        <w:rPr>
          <w:i/>
          <w:iCs/>
          <w:color w:val="222222"/>
        </w:rPr>
        <w:t>Journal of Business-to-business Marketing</w:t>
      </w:r>
      <w:r>
        <w:rPr>
          <w:color w:val="222222"/>
        </w:rPr>
        <w:t xml:space="preserve">, </w:t>
      </w:r>
      <w:r>
        <w:rPr>
          <w:i/>
          <w:iCs/>
          <w:color w:val="222222"/>
        </w:rPr>
        <w:t>29</w:t>
      </w:r>
      <w:r>
        <w:rPr>
          <w:color w:val="222222"/>
        </w:rPr>
        <w:t>(2), pp.99-118.</w:t>
      </w:r>
      <w:r>
        <w:t xml:space="preserve"> </w:t>
      </w:r>
    </w:p>
    <w:p w14:paraId="5C5CB4C1" w14:textId="6F3EF275" w:rsidR="00C71CDB" w:rsidRDefault="00C71CDB" w:rsidP="00C71CDB">
      <w:r>
        <w:rPr>
          <w:color w:val="222222"/>
        </w:rPr>
        <w:t xml:space="preserve">Oduro, S., (2024). </w:t>
      </w:r>
      <w:r w:rsidR="0068062C">
        <w:rPr>
          <w:color w:val="222222"/>
        </w:rPr>
        <w:t>‘</w:t>
      </w:r>
      <w:r>
        <w:rPr>
          <w:color w:val="222222"/>
        </w:rPr>
        <w:t>Eco-innovation and SMEs’ sustainable performance: a meta-analysis</w:t>
      </w:r>
      <w:r w:rsidR="0068062C">
        <w:rPr>
          <w:color w:val="222222"/>
        </w:rPr>
        <w:t>’</w:t>
      </w:r>
      <w:r>
        <w:rPr>
          <w:color w:val="222222"/>
        </w:rPr>
        <w:t xml:space="preserve">. </w:t>
      </w:r>
      <w:r>
        <w:rPr>
          <w:i/>
          <w:iCs/>
          <w:color w:val="222222"/>
        </w:rPr>
        <w:t>European Journal of Innovation Management</w:t>
      </w:r>
      <w:r>
        <w:rPr>
          <w:color w:val="222222"/>
        </w:rPr>
        <w:t xml:space="preserve">, </w:t>
      </w:r>
      <w:r>
        <w:rPr>
          <w:i/>
          <w:iCs/>
          <w:color w:val="222222"/>
        </w:rPr>
        <w:t>27</w:t>
      </w:r>
      <w:r>
        <w:rPr>
          <w:color w:val="222222"/>
        </w:rPr>
        <w:t>(9), pp.248-279.</w:t>
      </w:r>
      <w:r>
        <w:t xml:space="preserve"> </w:t>
      </w:r>
    </w:p>
    <w:p w14:paraId="6B8F48AC" w14:textId="77777777" w:rsidR="00C71CDB" w:rsidRDefault="00C71CDB" w:rsidP="00C71CDB">
      <w:r>
        <w:t xml:space="preserve">Packagingeurope (2025) </w:t>
      </w:r>
      <w:r w:rsidRPr="0068062C">
        <w:rPr>
          <w:i/>
          <w:iCs/>
        </w:rPr>
        <w:t>Packaging waste</w:t>
      </w:r>
      <w:r>
        <w:t xml:space="preserve"> Available at: </w:t>
      </w:r>
      <w:hyperlink r:id="rId40">
        <w:r>
          <w:rPr>
            <w:color w:val="1155CC"/>
            <w:u w:val="single"/>
          </w:rPr>
          <w:t>https://packagingeurope.com/news/eurostat-data-reveals-over-79-million-tonnes-of-packaging-waste-generated-in-eu/13533.article</w:t>
        </w:r>
      </w:hyperlink>
      <w:r>
        <w:t xml:space="preserve"> (Accessed on: 22/09/2026)</w:t>
      </w:r>
    </w:p>
    <w:p w14:paraId="72E3DDC0" w14:textId="0102A1FC" w:rsidR="00C71CDB" w:rsidRDefault="00C71CDB">
      <w:r>
        <w:rPr>
          <w:color w:val="222222"/>
        </w:rPr>
        <w:t xml:space="preserve">Park, J., Waqar, Z. and Snyder, W.R., (2024). </w:t>
      </w:r>
      <w:r w:rsidR="0068062C">
        <w:rPr>
          <w:color w:val="222222"/>
        </w:rPr>
        <w:t>‘</w:t>
      </w:r>
      <w:r>
        <w:rPr>
          <w:color w:val="222222"/>
        </w:rPr>
        <w:t>Environmental analysis of returnable packaging systems in different eCommerce business and packaging management models</w:t>
      </w:r>
      <w:r w:rsidR="0068062C">
        <w:rPr>
          <w:color w:val="222222"/>
        </w:rPr>
        <w:t>’</w:t>
      </w:r>
      <w:r>
        <w:rPr>
          <w:color w:val="222222"/>
        </w:rPr>
        <w:t xml:space="preserve">. </w:t>
      </w:r>
      <w:r>
        <w:rPr>
          <w:i/>
          <w:iCs/>
          <w:color w:val="222222"/>
        </w:rPr>
        <w:t>Journal of industrial ecology</w:t>
      </w:r>
      <w:r>
        <w:rPr>
          <w:color w:val="222222"/>
        </w:rPr>
        <w:t xml:space="preserve">, </w:t>
      </w:r>
      <w:r>
        <w:rPr>
          <w:i/>
          <w:iCs/>
          <w:color w:val="222222"/>
        </w:rPr>
        <w:t>28</w:t>
      </w:r>
      <w:r>
        <w:rPr>
          <w:color w:val="222222"/>
        </w:rPr>
        <w:t>(6), pp.1493-1506.</w:t>
      </w:r>
      <w:r>
        <w:t xml:space="preserve"> </w:t>
      </w:r>
    </w:p>
    <w:p w14:paraId="2ABF04EA" w14:textId="77777777" w:rsidR="00C71CDB" w:rsidRDefault="00C71CDB">
      <w:r>
        <w:t xml:space="preserve">Recoup (2025) </w:t>
      </w:r>
      <w:r w:rsidRPr="0068062C">
        <w:rPr>
          <w:i/>
          <w:iCs/>
        </w:rPr>
        <w:t>Waste in EU</w:t>
      </w:r>
      <w:r>
        <w:t xml:space="preserve"> Available at: </w:t>
      </w:r>
      <w:hyperlink r:id="rId41">
        <w:r>
          <w:rPr>
            <w:color w:val="1155CC"/>
            <w:u w:val="single"/>
          </w:rPr>
          <w:t>https://www.recoup.org/members-update/reduction-in-plastic-packaging-waste-in-the-eu/</w:t>
        </w:r>
      </w:hyperlink>
      <w:r>
        <w:t xml:space="preserve"> (Accessed on: 15/08/2026)</w:t>
      </w:r>
    </w:p>
    <w:p w14:paraId="7D2C49B7" w14:textId="77777777" w:rsidR="00C71CDB" w:rsidRDefault="00C71CDB" w:rsidP="00C71CDB">
      <w:r>
        <w:t xml:space="preserve">Reuters (2025) </w:t>
      </w:r>
      <w:r w:rsidRPr="0068062C">
        <w:rPr>
          <w:i/>
          <w:iCs/>
        </w:rPr>
        <w:t>Permits</w:t>
      </w:r>
      <w:r>
        <w:t xml:space="preserve"> Available at: </w:t>
      </w:r>
      <w:hyperlink r:id="rId42">
        <w:r>
          <w:rPr>
            <w:color w:val="1155CC"/>
            <w:u w:val="single"/>
          </w:rPr>
          <w:t>https://www.reuters.com/business/environment/eu-countries-back-plan-give-industries-more-free-co2-permits-2026-09-16/</w:t>
        </w:r>
      </w:hyperlink>
      <w:r>
        <w:t xml:space="preserve"> (Accessed on: 22/09/2026)</w:t>
      </w:r>
    </w:p>
    <w:p w14:paraId="2714E0FA" w14:textId="77777777" w:rsidR="00C71CDB" w:rsidRDefault="00C71CDB" w:rsidP="00C71CDB">
      <w:r>
        <w:t xml:space="preserve">Smurfitwestrock (2025) </w:t>
      </w:r>
      <w:r w:rsidRPr="0068062C">
        <w:rPr>
          <w:i/>
          <w:iCs/>
        </w:rPr>
        <w:t>Smurfitwestrock</w:t>
      </w:r>
      <w:r>
        <w:t xml:space="preserve"> Available at: </w:t>
      </w:r>
      <w:hyperlink r:id="rId43">
        <w:r>
          <w:rPr>
            <w:color w:val="1155CC"/>
            <w:u w:val="single"/>
          </w:rPr>
          <w:t>https://investors.smurfitwestrock.com/financials/quarterly-results/default.aspx</w:t>
        </w:r>
      </w:hyperlink>
      <w:r>
        <w:t xml:space="preserve"> (Accessed on: 22/09/2026)</w:t>
      </w:r>
    </w:p>
    <w:p w14:paraId="67079515" w14:textId="77777777" w:rsidR="00C71CDB" w:rsidRDefault="00C71CDB" w:rsidP="00C71CDB">
      <w:r>
        <w:t xml:space="preserve">Smurfitwestrock (2025) </w:t>
      </w:r>
      <w:r w:rsidRPr="0068062C">
        <w:rPr>
          <w:i/>
          <w:iCs/>
        </w:rPr>
        <w:t>Smurfitwestrock</w:t>
      </w:r>
      <w:r>
        <w:t xml:space="preserve"> Available at: </w:t>
      </w:r>
      <w:hyperlink r:id="rId44">
        <w:r>
          <w:rPr>
            <w:color w:val="1155CC"/>
            <w:u w:val="single"/>
          </w:rPr>
          <w:t>https://www.smurfitwestrock.com/newsroom/press-releases/2026/smurfit-westrock-reports-fourth-quarter-and-full-year-2025-results</w:t>
        </w:r>
      </w:hyperlink>
      <w:r>
        <w:t xml:space="preserve"> (Accessed on: 22/09/2026)</w:t>
      </w:r>
    </w:p>
    <w:p w14:paraId="28EF44A9" w14:textId="77777777" w:rsidR="00C71CDB" w:rsidRDefault="00C71CDB">
      <w:r>
        <w:t xml:space="preserve">Spnews (2025) </w:t>
      </w:r>
      <w:r w:rsidRPr="0068062C">
        <w:rPr>
          <w:i/>
          <w:iCs/>
        </w:rPr>
        <w:t>Consumer survey</w:t>
      </w:r>
      <w:r>
        <w:t xml:space="preserve"> Available at: </w:t>
      </w:r>
      <w:hyperlink r:id="rId45">
        <w:r>
          <w:rPr>
            <w:color w:val="1155CC"/>
            <w:u w:val="single"/>
          </w:rPr>
          <w:t>https://spnews.com/pro-cartons-consumer-survey/</w:t>
        </w:r>
      </w:hyperlink>
      <w:r>
        <w:t xml:space="preserve"> (Accessed on: 15/08/2026)</w:t>
      </w:r>
    </w:p>
    <w:p w14:paraId="7E29CECC" w14:textId="77777777" w:rsidR="00C71CDB" w:rsidRDefault="00C71CDB" w:rsidP="00C71CDB">
      <w:r>
        <w:t xml:space="preserve">Statista (2025) </w:t>
      </w:r>
      <w:r w:rsidRPr="0068062C">
        <w:rPr>
          <w:i/>
          <w:iCs/>
        </w:rPr>
        <w:t>Inflation</w:t>
      </w:r>
      <w:r>
        <w:t xml:space="preserve"> Available at: </w:t>
      </w:r>
      <w:hyperlink r:id="rId46">
        <w:r>
          <w:rPr>
            <w:color w:val="1155CC"/>
            <w:u w:val="single"/>
          </w:rPr>
          <w:t>https://www.statista.com/statistics/225698/monthly-inflation-rate-in-eu-</w:t>
        </w:r>
        <w:r>
          <w:rPr>
            <w:color w:val="1155CC"/>
            <w:u w:val="single"/>
          </w:rPr>
          <w:lastRenderedPageBreak/>
          <w:t>countries/?srsltid=AU7gw4U79JeReLEqojmAgCyMAcsV0m9XB7diqpP4NojLn4m02r2ceit7</w:t>
        </w:r>
      </w:hyperlink>
      <w:r>
        <w:t xml:space="preserve"> (Accessed on: 22/09/2026)</w:t>
      </w:r>
    </w:p>
    <w:p w14:paraId="24EF6C49" w14:textId="12C49933" w:rsidR="00C71CDB" w:rsidRDefault="00C71CDB" w:rsidP="00C71CDB">
      <w:r>
        <w:rPr>
          <w:color w:val="222222"/>
        </w:rPr>
        <w:t xml:space="preserve">Sun, H. and Lu, H., (2026). </w:t>
      </w:r>
      <w:r w:rsidR="0068062C">
        <w:rPr>
          <w:color w:val="222222"/>
        </w:rPr>
        <w:t>‘</w:t>
      </w:r>
      <w:r>
        <w:rPr>
          <w:color w:val="222222"/>
        </w:rPr>
        <w:t>How supplier ownership concentration affects bargaining power: Evidence from China’s manufacturing listed companies</w:t>
      </w:r>
      <w:r w:rsidR="0068062C">
        <w:rPr>
          <w:color w:val="222222"/>
        </w:rPr>
        <w:t>’</w:t>
      </w:r>
      <w:r>
        <w:rPr>
          <w:color w:val="222222"/>
        </w:rPr>
        <w:t xml:space="preserve">. </w:t>
      </w:r>
      <w:r>
        <w:rPr>
          <w:i/>
          <w:iCs/>
          <w:color w:val="222222"/>
        </w:rPr>
        <w:t>Sustainability</w:t>
      </w:r>
      <w:r>
        <w:rPr>
          <w:color w:val="222222"/>
        </w:rPr>
        <w:t xml:space="preserve">, </w:t>
      </w:r>
      <w:r>
        <w:rPr>
          <w:i/>
          <w:iCs/>
          <w:color w:val="222222"/>
        </w:rPr>
        <w:t>18</w:t>
      </w:r>
      <w:r>
        <w:rPr>
          <w:color w:val="222222"/>
        </w:rPr>
        <w:t>(2), p.721.</w:t>
      </w:r>
      <w:r>
        <w:t xml:space="preserve"> </w:t>
      </w:r>
    </w:p>
    <w:p w14:paraId="1019EFE2" w14:textId="597BB612" w:rsidR="00C71CDB" w:rsidRDefault="00C71CDB" w:rsidP="00C71CDB">
      <w:r>
        <w:rPr>
          <w:color w:val="222222"/>
        </w:rPr>
        <w:t xml:space="preserve">Umosen, L.E. and Essien, B.S., (2026). </w:t>
      </w:r>
      <w:r w:rsidR="0068062C">
        <w:rPr>
          <w:color w:val="222222"/>
        </w:rPr>
        <w:t>‘</w:t>
      </w:r>
      <w:r>
        <w:rPr>
          <w:color w:val="222222"/>
        </w:rPr>
        <w:t>Macro-environmental forces and sme operational performance: Empirical evidence from Lagos State, Nigeria using PESTLE framework</w:t>
      </w:r>
      <w:r w:rsidR="0068062C">
        <w:rPr>
          <w:color w:val="222222"/>
        </w:rPr>
        <w:t>’</w:t>
      </w:r>
      <w:r>
        <w:rPr>
          <w:color w:val="222222"/>
        </w:rPr>
        <w:t xml:space="preserve">. </w:t>
      </w:r>
      <w:r>
        <w:rPr>
          <w:i/>
          <w:iCs/>
          <w:color w:val="222222"/>
        </w:rPr>
        <w:t>International Journal of Business and Management (IJBM)</w:t>
      </w:r>
      <w:r>
        <w:rPr>
          <w:color w:val="222222"/>
        </w:rPr>
        <w:t xml:space="preserve">, </w:t>
      </w:r>
      <w:r>
        <w:rPr>
          <w:i/>
          <w:iCs/>
          <w:color w:val="222222"/>
        </w:rPr>
        <w:t>5</w:t>
      </w:r>
      <w:r>
        <w:rPr>
          <w:color w:val="222222"/>
        </w:rPr>
        <w:t>(1), pp.924-951.</w:t>
      </w:r>
      <w:r>
        <w:t xml:space="preserve"> </w:t>
      </w:r>
    </w:p>
    <w:p w14:paraId="4E146FE4" w14:textId="53002F81" w:rsidR="00C71CDB" w:rsidRDefault="00C71CDB" w:rsidP="00C71CDB">
      <w:r>
        <w:rPr>
          <w:color w:val="222222"/>
        </w:rPr>
        <w:t xml:space="preserve">Uzun, N.Y. and Deran, A., (2025). </w:t>
      </w:r>
      <w:r w:rsidR="0068062C">
        <w:rPr>
          <w:color w:val="222222"/>
        </w:rPr>
        <w:t>‘</w:t>
      </w:r>
      <w:r>
        <w:rPr>
          <w:color w:val="222222"/>
        </w:rPr>
        <w:t>The importance of logistics costs in e-commerce businesses</w:t>
      </w:r>
      <w:r w:rsidR="0068062C">
        <w:rPr>
          <w:color w:val="222222"/>
        </w:rPr>
        <w:t>’</w:t>
      </w:r>
      <w:r>
        <w:rPr>
          <w:color w:val="222222"/>
        </w:rPr>
        <w:t xml:space="preserve">. </w:t>
      </w:r>
      <w:r>
        <w:rPr>
          <w:i/>
          <w:iCs/>
          <w:color w:val="222222"/>
        </w:rPr>
        <w:t>Mersin University Journal of Maritime Faculty</w:t>
      </w:r>
      <w:r>
        <w:rPr>
          <w:color w:val="222222"/>
        </w:rPr>
        <w:t xml:space="preserve">, </w:t>
      </w:r>
      <w:r>
        <w:rPr>
          <w:i/>
          <w:iCs/>
          <w:color w:val="222222"/>
        </w:rPr>
        <w:t>7</w:t>
      </w:r>
      <w:r>
        <w:rPr>
          <w:color w:val="222222"/>
        </w:rPr>
        <w:t>(1), pp.9-25.</w:t>
      </w:r>
      <w:r>
        <w:t xml:space="preserve">  </w:t>
      </w:r>
    </w:p>
    <w:p w14:paraId="01155FEA" w14:textId="3E1BE0EE" w:rsidR="00C71CDB" w:rsidRDefault="00C71CDB" w:rsidP="00C71CDB">
      <w:r>
        <w:rPr>
          <w:color w:val="222222"/>
        </w:rPr>
        <w:t xml:space="preserve">Zghair, H. and Konathala, R.G., (2025). </w:t>
      </w:r>
      <w:r w:rsidR="0068062C">
        <w:rPr>
          <w:color w:val="222222"/>
        </w:rPr>
        <w:t>‘</w:t>
      </w:r>
      <w:r>
        <w:rPr>
          <w:color w:val="222222"/>
        </w:rPr>
        <w:t>Using AI for optimizing packing design and reducing cost in e-commerce</w:t>
      </w:r>
      <w:r w:rsidR="0068062C">
        <w:rPr>
          <w:color w:val="222222"/>
        </w:rPr>
        <w:t>’</w:t>
      </w:r>
      <w:r>
        <w:rPr>
          <w:color w:val="222222"/>
        </w:rPr>
        <w:t xml:space="preserve">. </w:t>
      </w:r>
      <w:r>
        <w:rPr>
          <w:i/>
          <w:iCs/>
          <w:color w:val="222222"/>
        </w:rPr>
        <w:t>AI</w:t>
      </w:r>
      <w:r>
        <w:rPr>
          <w:color w:val="222222"/>
        </w:rPr>
        <w:t xml:space="preserve">, </w:t>
      </w:r>
      <w:r>
        <w:rPr>
          <w:i/>
          <w:iCs/>
          <w:color w:val="222222"/>
        </w:rPr>
        <w:t>6</w:t>
      </w:r>
      <w:r>
        <w:rPr>
          <w:color w:val="222222"/>
        </w:rPr>
        <w:t>(7), p.146.</w:t>
      </w:r>
      <w:r>
        <w:t xml:space="preserve">  </w:t>
      </w:r>
    </w:p>
    <w:p w14:paraId="4B06889F" w14:textId="77777777" w:rsidR="00C71CDB" w:rsidRDefault="00C71CDB" w:rsidP="00C71CDB"/>
    <w:p w14:paraId="54B4293B" w14:textId="77777777" w:rsidR="00C71CDB" w:rsidRDefault="00C71CDB" w:rsidP="00C71CDB"/>
    <w:p w14:paraId="1E9EA4BC" w14:textId="77777777" w:rsidR="00C71CDB" w:rsidRDefault="00C71CDB" w:rsidP="00C71CDB"/>
    <w:p w14:paraId="47229424" w14:textId="77777777" w:rsidR="00C71CDB" w:rsidRDefault="00C71CDB" w:rsidP="00C71CDB"/>
    <w:p w14:paraId="7B1405DF" w14:textId="77777777" w:rsidR="00C71CDB" w:rsidRDefault="00C71CDB"/>
    <w:sectPr w:rsidR="00C71CDB" w:rsidSect="00E65D77">
      <w:footerReference w:type="default" r:id="rId47"/>
      <w:pgSz w:w="12240" w:h="15840"/>
      <w:pgMar w:top="1440" w:right="1440" w:bottom="1440" w:left="1440" w:header="720" w:footer="720" w:gutter="0"/>
      <w:pgBorders w:offsetFrom="page">
        <w:top w:val="single" w:sz="18" w:space="24" w:color="auto"/>
        <w:left w:val="single" w:sz="18" w:space="24" w:color="auto"/>
        <w:bottom w:val="single" w:sz="18" w:space="24" w:color="auto"/>
        <w:right w:val="single" w:sz="18"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393F75B" w14:textId="77777777" w:rsidR="00575116" w:rsidRDefault="00575116" w:rsidP="00E65D77">
      <w:pPr>
        <w:spacing w:before="0" w:after="0" w:line="240" w:lineRule="auto"/>
      </w:pPr>
      <w:r>
        <w:separator/>
      </w:r>
    </w:p>
  </w:endnote>
  <w:endnote w:type="continuationSeparator" w:id="0">
    <w:p w14:paraId="77008CC2" w14:textId="77777777" w:rsidR="00575116" w:rsidRDefault="00575116" w:rsidP="00E65D77">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58172228-C35C-4558-9D6D-68A346DE6884}"/>
  </w:font>
  <w:font w:name="Cambria">
    <w:panose1 w:val="02040503050406030204"/>
    <w:charset w:val="00"/>
    <w:family w:val="roman"/>
    <w:pitch w:val="variable"/>
    <w:sig w:usb0="E00006FF" w:usb1="420024FF" w:usb2="02000000" w:usb3="00000000" w:csb0="0000019F" w:csb1="00000000"/>
    <w:embedRegular r:id="rId2" w:fontKey="{B0273E1A-C71F-4ABC-AB1C-BB2AC6E9CEF6}"/>
  </w:font>
  <w:font w:name="Gungsuh">
    <w:charset w:val="81"/>
    <w:family w:val="roman"/>
    <w:pitch w:val="variable"/>
    <w:sig w:usb0="B00002AF" w:usb1="69D77CFB" w:usb2="00000030" w:usb3="00000000" w:csb0="0008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39833247"/>
      <w:docPartObj>
        <w:docPartGallery w:val="Page Numbers (Bottom of Page)"/>
        <w:docPartUnique/>
      </w:docPartObj>
    </w:sdtPr>
    <w:sdtEndPr>
      <w:rPr>
        <w:noProof/>
      </w:rPr>
    </w:sdtEndPr>
    <w:sdtContent>
      <w:p w14:paraId="1CFD9F09" w14:textId="28B48854" w:rsidR="00E65D77" w:rsidRDefault="00E65D7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970032F" w14:textId="77777777" w:rsidR="00E65D77" w:rsidRDefault="00E65D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8C033DF" w14:textId="77777777" w:rsidR="00575116" w:rsidRDefault="00575116" w:rsidP="00E65D77">
      <w:pPr>
        <w:spacing w:before="0" w:after="0" w:line="240" w:lineRule="auto"/>
      </w:pPr>
      <w:r>
        <w:separator/>
      </w:r>
    </w:p>
  </w:footnote>
  <w:footnote w:type="continuationSeparator" w:id="0">
    <w:p w14:paraId="255958C8" w14:textId="77777777" w:rsidR="00575116" w:rsidRDefault="00575116" w:rsidP="00E65D77">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26D20B4"/>
    <w:multiLevelType w:val="multilevel"/>
    <w:tmpl w:val="B28E91BA"/>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1" w15:restartNumberingAfterBreak="0">
    <w:nsid w:val="4EA0121C"/>
    <w:multiLevelType w:val="multilevel"/>
    <w:tmpl w:val="CEAACA56"/>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2" w15:restartNumberingAfterBreak="0">
    <w:nsid w:val="611352C3"/>
    <w:multiLevelType w:val="multilevel"/>
    <w:tmpl w:val="88E8A688"/>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3" w15:restartNumberingAfterBreak="0">
    <w:nsid w:val="745774E8"/>
    <w:multiLevelType w:val="multilevel"/>
    <w:tmpl w:val="6D2CAFB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284194972">
    <w:abstractNumId w:val="0"/>
  </w:num>
  <w:num w:numId="2" w16cid:durableId="1259024327">
    <w:abstractNumId w:val="1"/>
  </w:num>
  <w:num w:numId="3" w16cid:durableId="1356228916">
    <w:abstractNumId w:val="2"/>
  </w:num>
  <w:num w:numId="4" w16cid:durableId="103809198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embedTrueTypeFonts/>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A6A3F"/>
    <w:rsid w:val="000342EE"/>
    <w:rsid w:val="0007704D"/>
    <w:rsid w:val="000A6F3B"/>
    <w:rsid w:val="00132E6D"/>
    <w:rsid w:val="00322600"/>
    <w:rsid w:val="00372F32"/>
    <w:rsid w:val="0043778E"/>
    <w:rsid w:val="004503E7"/>
    <w:rsid w:val="005275F5"/>
    <w:rsid w:val="00575116"/>
    <w:rsid w:val="005803CC"/>
    <w:rsid w:val="005902AB"/>
    <w:rsid w:val="005C4555"/>
    <w:rsid w:val="0068062C"/>
    <w:rsid w:val="00684A66"/>
    <w:rsid w:val="00716CED"/>
    <w:rsid w:val="007A539A"/>
    <w:rsid w:val="009034E2"/>
    <w:rsid w:val="00934F53"/>
    <w:rsid w:val="009E5CB7"/>
    <w:rsid w:val="009F2FEF"/>
    <w:rsid w:val="00A94E69"/>
    <w:rsid w:val="00AC2DFB"/>
    <w:rsid w:val="00AE7BB1"/>
    <w:rsid w:val="00B42EC6"/>
    <w:rsid w:val="00C71CDB"/>
    <w:rsid w:val="00D444FA"/>
    <w:rsid w:val="00E65D77"/>
    <w:rsid w:val="00EA6A3F"/>
    <w:rsid w:val="00EF66B6"/>
    <w:rsid w:val="00FB7622"/>
    <w:rsid w:val="00FC02F2"/>
    <w:rsid w:val="00FE4B31"/>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6A27F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 w:eastAsia="en-IN" w:bidi="ar-SA"/>
      </w:rPr>
    </w:rPrDefault>
    <w:pPrDefault>
      <w:pPr>
        <w:spacing w:before="240" w:after="24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80" w:after="120"/>
      <w:outlineLvl w:val="0"/>
    </w:pPr>
    <w:rPr>
      <w:b/>
      <w:bCs/>
    </w:rPr>
  </w:style>
  <w:style w:type="paragraph" w:styleId="Heading2">
    <w:name w:val="heading 2"/>
    <w:basedOn w:val="Normal"/>
    <w:next w:val="Normal"/>
    <w:uiPriority w:val="9"/>
    <w:unhideWhenUsed/>
    <w:qFormat/>
    <w:pPr>
      <w:keepNext/>
      <w:keepLines/>
      <w:spacing w:before="360" w:after="80"/>
      <w:outlineLvl w:val="1"/>
    </w:pPr>
    <w:rPr>
      <w:b/>
      <w:bCs/>
    </w:rPr>
  </w:style>
  <w:style w:type="paragraph" w:styleId="Heading3">
    <w:name w:val="heading 3"/>
    <w:basedOn w:val="Normal"/>
    <w:next w:val="Normal"/>
    <w:uiPriority w:val="9"/>
    <w:unhideWhenUsed/>
    <w:qFormat/>
    <w:pPr>
      <w:keepNext/>
      <w:keepLines/>
      <w:spacing w:before="320" w:after="80"/>
      <w:outlineLvl w:val="2"/>
    </w:pPr>
    <w:rPr>
      <w:color w:val="434343"/>
      <w:sz w:val="28"/>
      <w:szCs w:val="28"/>
    </w:rPr>
  </w:style>
  <w:style w:type="paragraph" w:styleId="Heading4">
    <w:name w:val="heading 4"/>
    <w:basedOn w:val="Normal"/>
    <w:next w:val="Normal"/>
    <w:uiPriority w:val="9"/>
    <w:unhideWhenUsed/>
    <w:qFormat/>
    <w:pPr>
      <w:keepNext/>
      <w:keepLines/>
      <w:spacing w:before="280" w:after="80"/>
      <w:outlineLvl w:val="3"/>
    </w:pPr>
    <w:rPr>
      <w:color w:val="666666"/>
    </w:rPr>
  </w:style>
  <w:style w:type="paragraph" w:styleId="Heading5">
    <w:name w:val="heading 5"/>
    <w:basedOn w:val="Normal"/>
    <w:next w:val="Normal"/>
    <w:uiPriority w:val="9"/>
    <w:unhideWhenUsed/>
    <w:qFormat/>
    <w:rsid w:val="004503E7"/>
    <w:pPr>
      <w:keepNext/>
      <w:keepLines/>
      <w:spacing w:after="80"/>
      <w:jc w:val="center"/>
      <w:outlineLvl w:val="4"/>
    </w:pPr>
    <w:rPr>
      <w:b/>
      <w:color w:val="000000" w:themeColor="text1"/>
      <w:szCs w:val="22"/>
    </w:rPr>
  </w:style>
  <w:style w:type="paragraph" w:styleId="Heading6">
    <w:name w:val="heading 6"/>
    <w:basedOn w:val="Normal"/>
    <w:next w:val="Normal"/>
    <w:uiPriority w:val="9"/>
    <w:unhideWhenUsed/>
    <w:qFormat/>
    <w:rsid w:val="00FB7622"/>
    <w:pPr>
      <w:keepNext/>
      <w:keepLines/>
      <w:spacing w:after="80"/>
      <w:jc w:val="center"/>
      <w:outlineLvl w:val="5"/>
    </w:pPr>
    <w:rPr>
      <w:b/>
      <w:iCs/>
      <w:szCs w:val="2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before="0" w:after="60"/>
    </w:pPr>
    <w:rPr>
      <w:sz w:val="52"/>
      <w:szCs w:val="52"/>
    </w:rPr>
  </w:style>
  <w:style w:type="paragraph" w:styleId="Subtitle">
    <w:name w:val="Subtitle"/>
    <w:basedOn w:val="Normal"/>
    <w:next w:val="Normal"/>
    <w:uiPriority w:val="11"/>
    <w:qFormat/>
    <w:pPr>
      <w:keepNext/>
      <w:keepLines/>
      <w:spacing w:before="0" w:after="320"/>
    </w:pPr>
    <w:rPr>
      <w:rFonts w:ascii="Arial" w:eastAsia="Arial" w:hAnsi="Arial" w:cs="Arial"/>
      <w:color w:val="666666"/>
      <w:sz w:val="30"/>
      <w:szCs w:val="30"/>
    </w:rPr>
  </w:style>
  <w:style w:type="paragraph" w:styleId="Header">
    <w:name w:val="header"/>
    <w:basedOn w:val="Normal"/>
    <w:link w:val="HeaderChar"/>
    <w:uiPriority w:val="99"/>
    <w:unhideWhenUsed/>
    <w:rsid w:val="00E65D77"/>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E65D77"/>
  </w:style>
  <w:style w:type="paragraph" w:styleId="Footer">
    <w:name w:val="footer"/>
    <w:basedOn w:val="Normal"/>
    <w:link w:val="FooterChar"/>
    <w:uiPriority w:val="99"/>
    <w:unhideWhenUsed/>
    <w:rsid w:val="00E65D77"/>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E65D77"/>
  </w:style>
  <w:style w:type="paragraph" w:styleId="TOCHeading">
    <w:name w:val="TOC Heading"/>
    <w:basedOn w:val="Heading1"/>
    <w:next w:val="Normal"/>
    <w:uiPriority w:val="39"/>
    <w:unhideWhenUsed/>
    <w:qFormat/>
    <w:rsid w:val="00E65D77"/>
    <w:pPr>
      <w:spacing w:before="240" w:after="0" w:line="259" w:lineRule="auto"/>
      <w:jc w:val="left"/>
      <w:outlineLvl w:val="9"/>
    </w:pPr>
    <w:rPr>
      <w:rFonts w:asciiTheme="majorHAnsi" w:eastAsiaTheme="majorEastAsia" w:hAnsiTheme="majorHAnsi" w:cstheme="majorBidi"/>
      <w:b w:val="0"/>
      <w:bCs w:val="0"/>
      <w:color w:val="365F91" w:themeColor="accent1" w:themeShade="BF"/>
      <w:sz w:val="32"/>
      <w:szCs w:val="32"/>
      <w:lang w:val="en-US" w:eastAsia="en-US"/>
    </w:rPr>
  </w:style>
  <w:style w:type="paragraph" w:styleId="TOC1">
    <w:name w:val="toc 1"/>
    <w:basedOn w:val="Normal"/>
    <w:next w:val="Normal"/>
    <w:autoRedefine/>
    <w:uiPriority w:val="39"/>
    <w:unhideWhenUsed/>
    <w:rsid w:val="00E65D77"/>
    <w:pPr>
      <w:spacing w:after="100"/>
    </w:pPr>
  </w:style>
  <w:style w:type="paragraph" w:styleId="TOC2">
    <w:name w:val="toc 2"/>
    <w:basedOn w:val="Normal"/>
    <w:next w:val="Normal"/>
    <w:autoRedefine/>
    <w:uiPriority w:val="39"/>
    <w:unhideWhenUsed/>
    <w:rsid w:val="00E65D77"/>
    <w:pPr>
      <w:spacing w:after="100"/>
      <w:ind w:left="240"/>
    </w:pPr>
  </w:style>
  <w:style w:type="character" w:styleId="Hyperlink">
    <w:name w:val="Hyperlink"/>
    <w:basedOn w:val="DefaultParagraphFont"/>
    <w:uiPriority w:val="99"/>
    <w:unhideWhenUsed/>
    <w:rsid w:val="00E65D77"/>
    <w:rPr>
      <w:color w:val="0000FF" w:themeColor="hyperlink"/>
      <w:u w:val="single"/>
    </w:rPr>
  </w:style>
  <w:style w:type="paragraph" w:styleId="TOC3">
    <w:name w:val="toc 3"/>
    <w:basedOn w:val="Normal"/>
    <w:next w:val="Normal"/>
    <w:autoRedefine/>
    <w:uiPriority w:val="39"/>
    <w:unhideWhenUsed/>
    <w:rsid w:val="000A6F3B"/>
    <w:pPr>
      <w:tabs>
        <w:tab w:val="right" w:leader="dot" w:pos="9350"/>
      </w:tabs>
      <w:spacing w:after="100"/>
      <w:ind w:left="480"/>
    </w:pPr>
    <w:rPr>
      <w:noProof/>
    </w:rPr>
  </w:style>
  <w:style w:type="paragraph" w:styleId="TOC4">
    <w:name w:val="toc 4"/>
    <w:basedOn w:val="Normal"/>
    <w:next w:val="Normal"/>
    <w:autoRedefine/>
    <w:uiPriority w:val="39"/>
    <w:unhideWhenUsed/>
    <w:rsid w:val="00A94E69"/>
    <w:pPr>
      <w:spacing w:before="0" w:after="100" w:line="278" w:lineRule="auto"/>
      <w:ind w:left="720"/>
      <w:jc w:val="left"/>
    </w:pPr>
    <w:rPr>
      <w:rFonts w:asciiTheme="minorHAnsi" w:eastAsiaTheme="minorEastAsia" w:hAnsiTheme="minorHAnsi" w:cstheme="minorBidi"/>
      <w:kern w:val="2"/>
      <w:lang w:val="en-IN"/>
      <w14:ligatures w14:val="standardContextual"/>
    </w:rPr>
  </w:style>
  <w:style w:type="paragraph" w:styleId="TOC5">
    <w:name w:val="toc 5"/>
    <w:basedOn w:val="Normal"/>
    <w:next w:val="Normal"/>
    <w:autoRedefine/>
    <w:uiPriority w:val="39"/>
    <w:unhideWhenUsed/>
    <w:rsid w:val="00A94E69"/>
    <w:pPr>
      <w:spacing w:before="0" w:after="100" w:line="278" w:lineRule="auto"/>
      <w:ind w:left="960"/>
      <w:jc w:val="left"/>
    </w:pPr>
    <w:rPr>
      <w:rFonts w:asciiTheme="minorHAnsi" w:eastAsiaTheme="minorEastAsia" w:hAnsiTheme="minorHAnsi" w:cstheme="minorBidi"/>
      <w:kern w:val="2"/>
      <w:lang w:val="en-IN"/>
      <w14:ligatures w14:val="standardContextual"/>
    </w:rPr>
  </w:style>
  <w:style w:type="paragraph" w:styleId="TOC6">
    <w:name w:val="toc 6"/>
    <w:basedOn w:val="Normal"/>
    <w:next w:val="Normal"/>
    <w:autoRedefine/>
    <w:uiPriority w:val="39"/>
    <w:unhideWhenUsed/>
    <w:rsid w:val="00A94E69"/>
    <w:pPr>
      <w:spacing w:before="0" w:after="100" w:line="278" w:lineRule="auto"/>
      <w:ind w:left="1200"/>
      <w:jc w:val="left"/>
    </w:pPr>
    <w:rPr>
      <w:rFonts w:asciiTheme="minorHAnsi" w:eastAsiaTheme="minorEastAsia" w:hAnsiTheme="minorHAnsi" w:cstheme="minorBidi"/>
      <w:kern w:val="2"/>
      <w:lang w:val="en-IN"/>
      <w14:ligatures w14:val="standardContextual"/>
    </w:rPr>
  </w:style>
  <w:style w:type="paragraph" w:styleId="TOC7">
    <w:name w:val="toc 7"/>
    <w:basedOn w:val="Normal"/>
    <w:next w:val="Normal"/>
    <w:autoRedefine/>
    <w:uiPriority w:val="39"/>
    <w:unhideWhenUsed/>
    <w:rsid w:val="00A94E69"/>
    <w:pPr>
      <w:spacing w:before="0" w:after="100" w:line="278" w:lineRule="auto"/>
      <w:ind w:left="1440"/>
      <w:jc w:val="left"/>
    </w:pPr>
    <w:rPr>
      <w:rFonts w:asciiTheme="minorHAnsi" w:eastAsiaTheme="minorEastAsia" w:hAnsiTheme="minorHAnsi" w:cstheme="minorBidi"/>
      <w:kern w:val="2"/>
      <w:lang w:val="en-IN"/>
      <w14:ligatures w14:val="standardContextual"/>
    </w:rPr>
  </w:style>
  <w:style w:type="paragraph" w:styleId="TOC8">
    <w:name w:val="toc 8"/>
    <w:basedOn w:val="Normal"/>
    <w:next w:val="Normal"/>
    <w:autoRedefine/>
    <w:uiPriority w:val="39"/>
    <w:unhideWhenUsed/>
    <w:rsid w:val="00A94E69"/>
    <w:pPr>
      <w:spacing w:before="0" w:after="100" w:line="278" w:lineRule="auto"/>
      <w:ind w:left="1680"/>
      <w:jc w:val="left"/>
    </w:pPr>
    <w:rPr>
      <w:rFonts w:asciiTheme="minorHAnsi" w:eastAsiaTheme="minorEastAsia" w:hAnsiTheme="minorHAnsi" w:cstheme="minorBidi"/>
      <w:kern w:val="2"/>
      <w:lang w:val="en-IN"/>
      <w14:ligatures w14:val="standardContextual"/>
    </w:rPr>
  </w:style>
  <w:style w:type="paragraph" w:styleId="TOC9">
    <w:name w:val="toc 9"/>
    <w:basedOn w:val="Normal"/>
    <w:next w:val="Normal"/>
    <w:autoRedefine/>
    <w:uiPriority w:val="39"/>
    <w:unhideWhenUsed/>
    <w:rsid w:val="00A94E69"/>
    <w:pPr>
      <w:spacing w:before="0" w:after="100" w:line="278" w:lineRule="auto"/>
      <w:ind w:left="1920"/>
      <w:jc w:val="left"/>
    </w:pPr>
    <w:rPr>
      <w:rFonts w:asciiTheme="minorHAnsi" w:eastAsiaTheme="minorEastAsia" w:hAnsiTheme="minorHAnsi" w:cstheme="minorBidi"/>
      <w:kern w:val="2"/>
      <w:lang w:val="en-IN"/>
      <w14:ligatures w14:val="standardContextual"/>
    </w:rPr>
  </w:style>
  <w:style w:type="character" w:styleId="UnresolvedMention">
    <w:name w:val="Unresolved Mention"/>
    <w:basedOn w:val="DefaultParagraphFont"/>
    <w:uiPriority w:val="99"/>
    <w:semiHidden/>
    <w:unhideWhenUsed/>
    <w:rsid w:val="00A94E69"/>
    <w:rPr>
      <w:color w:val="605E5C"/>
      <w:shd w:val="clear" w:color="auto" w:fill="E1DFDD"/>
    </w:rPr>
  </w:style>
  <w:style w:type="paragraph" w:styleId="TableofFigures">
    <w:name w:val="table of figures"/>
    <w:basedOn w:val="Normal"/>
    <w:next w:val="Normal"/>
    <w:uiPriority w:val="99"/>
    <w:unhideWhenUsed/>
    <w:rsid w:val="004503E7"/>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hyperlink" Target="https://europa.eu/eurobarometer/surveys/detail/3173" TargetMode="External"/><Relationship Id="rId39" Type="http://schemas.openxmlformats.org/officeDocument/2006/relationships/hyperlink" Target="https://www.mondigroup.com/globalassets/mondigroup.com/sustainability/reports-and-publications/2025/mondi-group-sustainable-development-report-2025.pdf" TargetMode="External"/><Relationship Id="rId21" Type="http://schemas.openxmlformats.org/officeDocument/2006/relationships/hyperlink" Target="https://single-market-economy.ec.europa.eu/publications/annual-report-european-smes-20252026_en" TargetMode="External"/><Relationship Id="rId34" Type="http://schemas.openxmlformats.org/officeDocument/2006/relationships/hyperlink" Target="https://environment.ec.europa.eu/topics/waste-and-recycling/packaging-waste_en" TargetMode="External"/><Relationship Id="rId42" Type="http://schemas.openxmlformats.org/officeDocument/2006/relationships/hyperlink" Target="https://www.reuters.com/business/environment/eu-countries-back-plan-give-industries-more-free-co2-permits-2026-09-16/" TargetMode="External"/><Relationship Id="rId47" Type="http://schemas.openxmlformats.org/officeDocument/2006/relationships/footer" Target="footer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hyperlink" Target="https://ec.europa.eu/eurostat/web/products-eurostat-news/w/ddn-20251209-2" TargetMode="External"/><Relationship Id="rId11" Type="http://schemas.openxmlformats.org/officeDocument/2006/relationships/image" Target="media/image4.png"/><Relationship Id="rId24" Type="http://schemas.openxmlformats.org/officeDocument/2006/relationships/hyperlink" Target="https://ec.europa.eu/eurostat/statistics-explained/index.php?title=E-commerce_statistics" TargetMode="External"/><Relationship Id="rId32" Type="http://schemas.openxmlformats.org/officeDocument/2006/relationships/hyperlink" Target="https://ec.europa.eu/eurostat/statistics-explained/index.php?title=Packaging_waste_statistics" TargetMode="External"/><Relationship Id="rId37" Type="http://schemas.openxmlformats.org/officeDocument/2006/relationships/hyperlink" Target="https://www.europarl.europa.eu/factsheets/en/sheet/63/small-and-medium-sized-enterprises" TargetMode="External"/><Relationship Id="rId40" Type="http://schemas.openxmlformats.org/officeDocument/2006/relationships/hyperlink" Target="https://packagingeurope.com/news/eurostat-data-reveals-over-79-million-tonnes-of-packaging-waste-generated-in-eu/13533.article" TargetMode="External"/><Relationship Id="rId45" Type="http://schemas.openxmlformats.org/officeDocument/2006/relationships/hyperlink" Target="https://spnews.com/pro-cartons-consumer-survey/" TargetMode="Externa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hyperlink" Target="https://ec.europa.eu/eurostat/web/products-euro-indicators/w/2-17092026-ap" TargetMode="External"/><Relationship Id="rId28" Type="http://schemas.openxmlformats.org/officeDocument/2006/relationships/hyperlink" Target="https://environment.ec.europa.eu/news/new-eu-rules-packaging-enter-application-2026-08-11_en" TargetMode="External"/><Relationship Id="rId36" Type="http://schemas.openxmlformats.org/officeDocument/2006/relationships/hyperlink" Target="https://green-forum.ec.europa.eu/green-business/eu-ecolabel/consumers_en" TargetMode="External"/><Relationship Id="rId49"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hyperlink" Target="https://ec.europa.eu/eurostat/statistics-explained/index.php?title=Packaging_waste_statistics" TargetMode="External"/><Relationship Id="rId44" Type="http://schemas.openxmlformats.org/officeDocument/2006/relationships/hyperlink" Target="https://www.smurfitwestrock.com/newsroom/press-releases/2026/smurfit-westrock-reports-fourth-quarter-and-full-year-2025-results"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ec.europa.eu/eurostat/web/products-eurostat-news/w/ddn-20251022-1" TargetMode="External"/><Relationship Id="rId27" Type="http://schemas.openxmlformats.org/officeDocument/2006/relationships/hyperlink" Target="https://ec.europa.eu/eurostat/web/products-eurostat-news/w/ddn-20241024-3" TargetMode="External"/><Relationship Id="rId30" Type="http://schemas.openxmlformats.org/officeDocument/2006/relationships/hyperlink" Target="https://ec.europa.eu/eurostat/web/products-eurostat-news/w/ddn-20251022-1" TargetMode="External"/><Relationship Id="rId35" Type="http://schemas.openxmlformats.org/officeDocument/2006/relationships/hyperlink" Target="https://environment.ec.europa.eu/news/new-eu-rules-packaging-enter-application-2026-08-11_en" TargetMode="External"/><Relationship Id="rId43" Type="http://schemas.openxmlformats.org/officeDocument/2006/relationships/hyperlink" Target="https://investors.smurfitwestrock.com/financials/quarterly-results/default.aspx" TargetMode="External"/><Relationship Id="rId48" Type="http://schemas.openxmlformats.org/officeDocument/2006/relationships/fontTable" Target="fontTable.xm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hyperlink" Target="https://ec.europa.eu/eurostat/web/products-euro-indicators/w/2-17092026-ap" TargetMode="External"/><Relationship Id="rId33" Type="http://schemas.openxmlformats.org/officeDocument/2006/relationships/hyperlink" Target="https://environment.ec.europa.eu/topics/waste-and-recycling/packaging-waste/packaging-packaging-waste-regulation_en" TargetMode="External"/><Relationship Id="rId38" Type="http://schemas.openxmlformats.org/officeDocument/2006/relationships/hyperlink" Target="https://gs1.eu/wp-content/uploads/2025/07/GS1-in-Europe-White-Paper-Packaging-and-Packaging-Waste-Regulation-and-GS1-Standards.pdf" TargetMode="External"/><Relationship Id="rId46" Type="http://schemas.openxmlformats.org/officeDocument/2006/relationships/hyperlink" Target="https://www.statista.com/statistics/225698/monthly-inflation-rate-in-eu-countries/?srsltid=AU7gw4U79JeReLEqojmAgCyMAcsV0m9XB7diqpP4NojLn4m02r2ceit7" TargetMode="External"/><Relationship Id="rId20" Type="http://schemas.openxmlformats.org/officeDocument/2006/relationships/hyperlink" Target="https://www.dssmith.com/contentassets/401b709e9b0548a3bd2c02f68db248fe/ds-smith-international-ltd-30.04.2025.pdf" TargetMode="External"/><Relationship Id="rId41" Type="http://schemas.openxmlformats.org/officeDocument/2006/relationships/hyperlink" Target="https://www.recoup.org/members-update/reduction-in-plastic-packaging-waste-in-the-eu/" TargetMode="External"/><Relationship Id="rId1" Type="http://schemas.openxmlformats.org/officeDocument/2006/relationships/customXml" Target="../customXml/item1.xml"/><Relationship Id="rId6" Type="http://schemas.openxmlformats.org/officeDocument/2006/relationships/footnotes" Target="footnotes.xm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60088A5-73B1-44DF-8D5F-5359A02ED47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96</Pages>
  <Words>19570</Words>
  <Characters>111553</Characters>
  <Application>Microsoft Office Word</Application>
  <DocSecurity>0</DocSecurity>
  <Lines>929</Lines>
  <Paragraphs>261</Paragraphs>
  <ScaleCrop>false</ScaleCrop>
  <Company/>
  <LinksUpToDate>false</LinksUpToDate>
  <CharactersWithSpaces>130862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2026-09-22T17:18:00Z</dcterms:created>
  <dcterms:modified xsi:type="dcterms:W3CDTF">2026-09-22T17:18:00Z</dcterms:modified>
</cp:coreProperties>
</file>