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3B16A" w14:textId="614592BC" w:rsidR="00D91AEA" w:rsidRDefault="005E1242" w:rsidP="00A00E48">
      <w:pPr>
        <w:spacing w:line="480" w:lineRule="auto"/>
        <w:jc w:val="center"/>
        <w:rPr>
          <w:u w:val="single"/>
        </w:rPr>
      </w:pPr>
      <w:r w:rsidRPr="005E1242">
        <w:rPr>
          <w:u w:val="single"/>
        </w:rPr>
        <w:t xml:space="preserve">Based on a </w:t>
      </w:r>
      <w:proofErr w:type="gramStart"/>
      <w:r w:rsidRPr="005E1242">
        <w:rPr>
          <w:u w:val="single"/>
        </w:rPr>
        <w:t>particular type of material</w:t>
      </w:r>
      <w:proofErr w:type="gramEnd"/>
      <w:r w:rsidRPr="005E1242">
        <w:rPr>
          <w:u w:val="single"/>
        </w:rPr>
        <w:t xml:space="preserve"> evidence – like coinage, stone sculpture, metal works, etc. – in a region of your choice in mainland Europe, critically discuss the Greek and Roman influence during the 3rd-1st century BC.</w:t>
      </w:r>
    </w:p>
    <w:p w14:paraId="3394C718" w14:textId="75AD8345" w:rsidR="005E1242" w:rsidRDefault="00D47773" w:rsidP="00A00E48">
      <w:pPr>
        <w:spacing w:line="480" w:lineRule="auto"/>
        <w:rPr>
          <w:color w:val="000000"/>
          <w:szCs w:val="24"/>
        </w:rPr>
      </w:pPr>
      <w:r>
        <w:t>The</w:t>
      </w:r>
      <w:r w:rsidR="00B228E3">
        <w:t xml:space="preserve"> development of the</w:t>
      </w:r>
      <w:r>
        <w:t xml:space="preserve"> </w:t>
      </w:r>
      <w:proofErr w:type="spellStart"/>
      <w:r w:rsidR="00B228E3">
        <w:rPr>
          <w:i/>
        </w:rPr>
        <w:t>Padama</w:t>
      </w:r>
      <w:proofErr w:type="spellEnd"/>
      <w:r w:rsidR="00B228E3">
        <w:rPr>
          <w:i/>
        </w:rPr>
        <w:t xml:space="preserve"> Drachma</w:t>
      </w:r>
      <w:r w:rsidR="00B228E3">
        <w:t xml:space="preserve">, found within the territory of the </w:t>
      </w:r>
      <w:proofErr w:type="spellStart"/>
      <w:r w:rsidR="00B228E3">
        <w:t>Insubres</w:t>
      </w:r>
      <w:proofErr w:type="spellEnd"/>
      <w:r w:rsidR="00B228E3">
        <w:t>, shows us a great deal about the extent of Graeco-Roman influences and how they change over time. Over time, the iconography displayed on the coins shifts from a more Hellenic style natural looking image (fig. 1), to a more abstract, localised image</w:t>
      </w:r>
      <w:r w:rsidR="0011326A">
        <w:t>,</w:t>
      </w:r>
      <w:r w:rsidR="00B228E3">
        <w:t xml:space="preserve"> (fig. 2)</w:t>
      </w:r>
      <w:r w:rsidR="0011326A">
        <w:t xml:space="preserve"> by the 1</w:t>
      </w:r>
      <w:r w:rsidR="0011326A" w:rsidRPr="0011326A">
        <w:rPr>
          <w:vertAlign w:val="superscript"/>
        </w:rPr>
        <w:t>st</w:t>
      </w:r>
      <w:r w:rsidR="0011326A">
        <w:t xml:space="preserve"> Century BC.</w:t>
      </w:r>
      <w:r w:rsidR="00B228E3">
        <w:t xml:space="preserve"> The legends of the coins also change from the Greek </w:t>
      </w:r>
      <w:r w:rsidR="00B228E3" w:rsidRPr="00B228E3">
        <w:rPr>
          <w:i/>
          <w:color w:val="000000"/>
          <w:szCs w:val="24"/>
        </w:rPr>
        <w:t>MAΣΣA</w:t>
      </w:r>
      <w:r w:rsidR="00B228E3">
        <w:rPr>
          <w:color w:val="000000"/>
          <w:szCs w:val="24"/>
        </w:rPr>
        <w:t xml:space="preserve">, to illegible markings, (fig. 3) </w:t>
      </w:r>
      <w:r w:rsidR="0011326A">
        <w:rPr>
          <w:color w:val="000000"/>
          <w:szCs w:val="24"/>
        </w:rPr>
        <w:t xml:space="preserve">to Lepontic legends in the same time frame. This essay will attempt to show that these coins are an excellent case study in revealing the way in which the </w:t>
      </w:r>
      <w:proofErr w:type="spellStart"/>
      <w:r w:rsidR="0011326A">
        <w:rPr>
          <w:color w:val="000000"/>
          <w:szCs w:val="24"/>
        </w:rPr>
        <w:t>Insubres</w:t>
      </w:r>
      <w:proofErr w:type="spellEnd"/>
      <w:r w:rsidR="0011326A">
        <w:rPr>
          <w:color w:val="000000"/>
          <w:szCs w:val="24"/>
        </w:rPr>
        <w:t xml:space="preserve"> adapted to Roman control culturally and economically</w:t>
      </w:r>
      <w:r w:rsidR="00CB1DD4">
        <w:rPr>
          <w:color w:val="000000"/>
          <w:szCs w:val="24"/>
        </w:rPr>
        <w:t>, through analysing the purpose, iconography, use of text, and materials of the coins to show what changes occurred and why these changes happened</w:t>
      </w:r>
      <w:r w:rsidR="0011326A">
        <w:rPr>
          <w:color w:val="000000"/>
          <w:szCs w:val="24"/>
        </w:rPr>
        <w:t>.</w:t>
      </w:r>
    </w:p>
    <w:p w14:paraId="1ACDC8CE" w14:textId="2CCD49B9" w:rsidR="0011326A" w:rsidRDefault="0011326A" w:rsidP="00A00E48">
      <w:pPr>
        <w:spacing w:line="480" w:lineRule="auto"/>
      </w:pPr>
      <w:r>
        <w:t xml:space="preserve">The first issue which must be discussed is the iconography shown on the coins. The adoption of the </w:t>
      </w:r>
      <w:proofErr w:type="spellStart"/>
      <w:r>
        <w:t>Massalia</w:t>
      </w:r>
      <w:proofErr w:type="spellEnd"/>
      <w:r>
        <w:t xml:space="preserve"> coin by the </w:t>
      </w:r>
      <w:proofErr w:type="spellStart"/>
      <w:r>
        <w:t>Insubres</w:t>
      </w:r>
      <w:proofErr w:type="spellEnd"/>
      <w:r>
        <w:t xml:space="preserve"> is attributed by Kellner as showing a desire for the locals to emulate the ‘superior’ culture of the Mediterranean.</w:t>
      </w:r>
      <w:r>
        <w:rPr>
          <w:rStyle w:val="FootnoteReference"/>
        </w:rPr>
        <w:footnoteReference w:id="1"/>
      </w:r>
      <w:r>
        <w:t xml:space="preserve"> However, it is more likely that they were emulating such a coin for similar reasons to the use of imported grave goods in tombs, as a way of showing the power of a particular community through their links to other powerful states. Showing a link to a </w:t>
      </w:r>
      <w:r>
        <w:rPr>
          <w:i/>
        </w:rPr>
        <w:t xml:space="preserve">polis </w:t>
      </w:r>
      <w:r>
        <w:t xml:space="preserve">as powerful as </w:t>
      </w:r>
      <w:proofErr w:type="spellStart"/>
      <w:r>
        <w:t>Massalia</w:t>
      </w:r>
      <w:proofErr w:type="spellEnd"/>
      <w:r>
        <w:t xml:space="preserve"> would have shown that the local elites were well connected and had strong allies. This is important, given their use as status symbols, and as payment for mercenaries, as discussed by Kellner himself, as well as </w:t>
      </w:r>
      <w:proofErr w:type="spellStart"/>
      <w:r>
        <w:t>Haeussler</w:t>
      </w:r>
      <w:proofErr w:type="spellEnd"/>
      <w:r>
        <w:t>.</w:t>
      </w:r>
      <w:r>
        <w:rPr>
          <w:rStyle w:val="FootnoteReference"/>
        </w:rPr>
        <w:footnoteReference w:id="2"/>
      </w:r>
      <w:r>
        <w:t xml:space="preserve"> This usage as a status symbol for elites is also important during their integration into Roman rule. </w:t>
      </w:r>
      <w:r w:rsidR="00726610">
        <w:t xml:space="preserve">The change in style, as pointed out by </w:t>
      </w:r>
      <w:proofErr w:type="spellStart"/>
      <w:r w:rsidR="00726610">
        <w:t>Haeussler</w:t>
      </w:r>
      <w:proofErr w:type="spellEnd"/>
      <w:r w:rsidR="00726610">
        <w:t xml:space="preserve">, shows that the locals had a different sense of identity to the rest of Italy, so the local elites had to portray these local </w:t>
      </w:r>
      <w:r w:rsidR="00726610">
        <w:lastRenderedPageBreak/>
        <w:t>identities as a means of consolidating their power.</w:t>
      </w:r>
      <w:r w:rsidR="00726610">
        <w:rPr>
          <w:rStyle w:val="FootnoteReference"/>
        </w:rPr>
        <w:footnoteReference w:id="3"/>
      </w:r>
      <w:r w:rsidR="00726610">
        <w:t xml:space="preserve"> Therefore, the increasing abstraction of depictions on the coins can be attributed to local elites shifting away from representing power through relations to others, and towards a representation of their power which can be easily recognised and understood by locals.</w:t>
      </w:r>
    </w:p>
    <w:p w14:paraId="4CA621A8" w14:textId="6B3F77E2" w:rsidR="00AE1AFA" w:rsidRDefault="00726610" w:rsidP="00A00E48">
      <w:pPr>
        <w:spacing w:line="480" w:lineRule="auto"/>
        <w:rPr>
          <w:color w:val="000000"/>
          <w:szCs w:val="24"/>
        </w:rPr>
      </w:pPr>
      <w:r>
        <w:t xml:space="preserve">Another aspect of these coins which must be viewed is the change in the legend from Greek to Lepontic. This has been attributed by </w:t>
      </w:r>
      <w:proofErr w:type="spellStart"/>
      <w:r>
        <w:t>Prosdocimi</w:t>
      </w:r>
      <w:proofErr w:type="spellEnd"/>
      <w:r>
        <w:t xml:space="preserve"> as a sign of resistance to Roman culture, presenting the Lepontic script as a ‘national alphabet’, rather than Latin.</w:t>
      </w:r>
      <w:r>
        <w:rPr>
          <w:rStyle w:val="FootnoteReference"/>
        </w:rPr>
        <w:footnoteReference w:id="4"/>
      </w:r>
      <w:r>
        <w:t xml:space="preserve"> However, as </w:t>
      </w:r>
      <w:proofErr w:type="spellStart"/>
      <w:r>
        <w:t>Haeussler</w:t>
      </w:r>
      <w:proofErr w:type="spellEnd"/>
      <w:r>
        <w:t xml:space="preserve"> points out, Latin had not been widely adopted in any form in northern Italy at the time, and therefore was not prominent enough to warrant resistance.</w:t>
      </w:r>
      <w:r>
        <w:rPr>
          <w:rStyle w:val="FootnoteReference"/>
        </w:rPr>
        <w:footnoteReference w:id="5"/>
      </w:r>
      <w:r>
        <w:t xml:space="preserve"> Instead, he relates the </w:t>
      </w:r>
      <w:r w:rsidR="000F7A7E">
        <w:t>shift of the Greek legend to indecipherable markings to illiteracy and the adoption of Lepontic as relating to terminology for magistrates (</w:t>
      </w:r>
      <w:proofErr w:type="spellStart"/>
      <w:r w:rsidR="000F7A7E">
        <w:rPr>
          <w:i/>
        </w:rPr>
        <w:t>rikos</w:t>
      </w:r>
      <w:proofErr w:type="spellEnd"/>
      <w:r w:rsidR="000F7A7E">
        <w:rPr>
          <w:i/>
        </w:rPr>
        <w:t>)</w:t>
      </w:r>
      <w:r w:rsidR="000F7A7E">
        <w:t>, further illustrating the purpose of the coinage as a consolidation of power by elites.</w:t>
      </w:r>
      <w:r w:rsidR="000F7A7E">
        <w:rPr>
          <w:rStyle w:val="FootnoteReference"/>
        </w:rPr>
        <w:footnoteReference w:id="6"/>
      </w:r>
      <w:r w:rsidR="000F7A7E">
        <w:t xml:space="preserve"> Although it may certainly be true that the makers and audience of the coins may have been illiterate with Greek, this could also be explained with the earlier terms of no longer needing to show a link with </w:t>
      </w:r>
      <w:proofErr w:type="spellStart"/>
      <w:r w:rsidR="000F7A7E">
        <w:t>Massalia</w:t>
      </w:r>
      <w:proofErr w:type="spellEnd"/>
      <w:r w:rsidR="000F7A7E">
        <w:t xml:space="preserve"> to demonstrate status, due to the incorporation into Roman rule, making the depiction of </w:t>
      </w:r>
      <w:r w:rsidR="000F7A7E" w:rsidRPr="00B228E3">
        <w:rPr>
          <w:i/>
          <w:color w:val="000000"/>
          <w:szCs w:val="24"/>
        </w:rPr>
        <w:t>MAΣΣA</w:t>
      </w:r>
      <w:r w:rsidR="000F7A7E">
        <w:t xml:space="preserve"> rather redundant. The use of terminology relating to magistrates also backs this up, as </w:t>
      </w:r>
      <w:r w:rsidR="00E72029">
        <w:t xml:space="preserve">the coins, rather than being a representation of status through relations with another powerful state, are </w:t>
      </w:r>
      <w:r w:rsidR="00850333">
        <w:t>representations of local magistrates to the local people</w:t>
      </w:r>
      <w:r w:rsidR="00AE1AFA">
        <w:t xml:space="preserve">. Therefore, the move away from the representation of </w:t>
      </w:r>
      <w:r w:rsidR="00AE1AFA" w:rsidRPr="00B228E3">
        <w:rPr>
          <w:i/>
          <w:color w:val="000000"/>
          <w:szCs w:val="24"/>
        </w:rPr>
        <w:t>MAΣΣA</w:t>
      </w:r>
      <w:r w:rsidR="00AE1AFA">
        <w:rPr>
          <w:i/>
          <w:color w:val="000000"/>
          <w:szCs w:val="24"/>
        </w:rPr>
        <w:t xml:space="preserve"> </w:t>
      </w:r>
      <w:r w:rsidR="00AE1AFA">
        <w:rPr>
          <w:color w:val="000000"/>
          <w:szCs w:val="24"/>
        </w:rPr>
        <w:t xml:space="preserve">is the result of a mixture of illiteracy and the lack of need to be associated with </w:t>
      </w:r>
      <w:proofErr w:type="spellStart"/>
      <w:r w:rsidR="00AE1AFA">
        <w:rPr>
          <w:color w:val="000000"/>
          <w:szCs w:val="24"/>
        </w:rPr>
        <w:t>Massalia</w:t>
      </w:r>
      <w:proofErr w:type="spellEnd"/>
      <w:r w:rsidR="00AE1AFA">
        <w:rPr>
          <w:color w:val="000000"/>
          <w:szCs w:val="24"/>
        </w:rPr>
        <w:t>, and the adoption of Lepontic script is a result of the power of local elites during Roman rule, rather than any form of cultural resistance.</w:t>
      </w:r>
    </w:p>
    <w:p w14:paraId="700282A4" w14:textId="00A02BB1" w:rsidR="00EC63E0" w:rsidRDefault="00AE1AFA" w:rsidP="00A00E48">
      <w:pPr>
        <w:spacing w:line="480" w:lineRule="auto"/>
      </w:pPr>
      <w:r>
        <w:lastRenderedPageBreak/>
        <w:t>The final issue which must be addressed is the economic purpose of the coinage.</w:t>
      </w:r>
      <w:r w:rsidR="00B364DB">
        <w:t xml:space="preserve"> Some scholars attribute the Roman conquest of northern Italy with increased trade relations between them and the rest of Italy, with the </w:t>
      </w:r>
      <w:proofErr w:type="spellStart"/>
      <w:r w:rsidR="00B364DB">
        <w:t>Insubres</w:t>
      </w:r>
      <w:proofErr w:type="spellEnd"/>
      <w:r w:rsidR="00B364DB">
        <w:t xml:space="preserve"> using the localisation of their coinage to show the economic power of their community.</w:t>
      </w:r>
      <w:r w:rsidR="00B364DB">
        <w:rPr>
          <w:rStyle w:val="FootnoteReference"/>
        </w:rPr>
        <w:footnoteReference w:id="7"/>
      </w:r>
      <w:r w:rsidR="00B364DB">
        <w:t xml:space="preserve"> As stated previously, </w:t>
      </w:r>
      <w:proofErr w:type="spellStart"/>
      <w:r w:rsidR="00B364DB">
        <w:t>Haeussler</w:t>
      </w:r>
      <w:proofErr w:type="spellEnd"/>
      <w:r w:rsidR="00B364DB">
        <w:t xml:space="preserve"> initially assigns the coinage with a display of social status, backed up by the lack of replacement with the Denarius until the 1</w:t>
      </w:r>
      <w:r w:rsidR="00B364DB" w:rsidRPr="00B364DB">
        <w:rPr>
          <w:vertAlign w:val="superscript"/>
        </w:rPr>
        <w:t>st</w:t>
      </w:r>
      <w:r w:rsidR="00B364DB">
        <w:t xml:space="preserve"> Century BC, with the increasing monetisation of the economy over time leaving the social role redundant due to the means of obtaining status through trade.</w:t>
      </w:r>
      <w:r w:rsidR="00B364DB">
        <w:rPr>
          <w:rStyle w:val="FootnoteReference"/>
        </w:rPr>
        <w:footnoteReference w:id="8"/>
      </w:r>
      <w:r w:rsidR="00B364DB">
        <w:t xml:space="preserve"> This view of the increasing monetisation of the economy is supported by a 2016 study showing a debasement of the silver content of the coins from 98% silver in the early coins, matching it with the original </w:t>
      </w:r>
      <w:proofErr w:type="spellStart"/>
      <w:r w:rsidR="00B364DB">
        <w:t>Massalian</w:t>
      </w:r>
      <w:proofErr w:type="spellEnd"/>
      <w:r w:rsidR="00B364DB">
        <w:t xml:space="preserve"> coins, to 72% in the later coins, roughly matching contemporary Roman </w:t>
      </w:r>
      <w:proofErr w:type="spellStart"/>
      <w:r w:rsidR="00B364DB">
        <w:rPr>
          <w:i/>
        </w:rPr>
        <w:t>victoriati</w:t>
      </w:r>
      <w:proofErr w:type="spellEnd"/>
      <w:r w:rsidR="00B364DB">
        <w:rPr>
          <w:i/>
        </w:rPr>
        <w:t xml:space="preserve"> (fig. 4)</w:t>
      </w:r>
      <w:r w:rsidR="00B364DB" w:rsidRPr="00581F87">
        <w:t>.</w:t>
      </w:r>
      <w:r w:rsidR="00B364DB" w:rsidRPr="00581F87">
        <w:rPr>
          <w:rStyle w:val="FootnoteReference"/>
        </w:rPr>
        <w:footnoteReference w:id="9"/>
      </w:r>
      <w:r w:rsidR="00B364DB" w:rsidRPr="00581F87">
        <w:t xml:space="preserve"> </w:t>
      </w:r>
      <w:r w:rsidR="00581F87">
        <w:t xml:space="preserve">This shows a shift in the purpose of the </w:t>
      </w:r>
      <w:proofErr w:type="spellStart"/>
      <w:r w:rsidR="00581F87">
        <w:t>Massalia</w:t>
      </w:r>
      <w:proofErr w:type="spellEnd"/>
      <w:r w:rsidR="00581F87">
        <w:t xml:space="preserve"> coin from a status object designed for giving as tokens of gratitude, towards a more monetary purpose, for use in exchanges or taxation with the wider Roman world. It also illustrates how the position of elites changed from gaining or maintaining power and status through prestigious links to wealthy states, to having power through integration into Roman society and through economic power, backing </w:t>
      </w:r>
      <w:proofErr w:type="spellStart"/>
      <w:r w:rsidR="00581F87">
        <w:t>Haeussler’s</w:t>
      </w:r>
      <w:proofErr w:type="spellEnd"/>
      <w:r w:rsidR="00581F87">
        <w:t xml:space="preserve"> view of the localised imagery eventually becoming redundant as the purpose changed and the social role lost its meaning</w:t>
      </w:r>
      <w:r w:rsidR="00B7107F">
        <w:t>, and that the eventual adoption of the Denarius was the choice of the locals, rather than being forced upon the population</w:t>
      </w:r>
      <w:r w:rsidR="00581F87">
        <w:t>.</w:t>
      </w:r>
      <w:r w:rsidR="00581F87">
        <w:rPr>
          <w:rStyle w:val="FootnoteReference"/>
        </w:rPr>
        <w:footnoteReference w:id="10"/>
      </w:r>
      <w:r w:rsidR="00581F87">
        <w:t xml:space="preserve"> </w:t>
      </w:r>
      <w:r w:rsidR="0019703C">
        <w:t>Overall, this change in silver content to match with the Roman currency standards shows that</w:t>
      </w:r>
      <w:r w:rsidR="00EC63E0">
        <w:t xml:space="preserve"> as the </w:t>
      </w:r>
      <w:proofErr w:type="spellStart"/>
      <w:r w:rsidR="00EC63E0">
        <w:t>Insubres</w:t>
      </w:r>
      <w:proofErr w:type="spellEnd"/>
      <w:r w:rsidR="00EC63E0">
        <w:t xml:space="preserve"> became more integrated into the wider Roman economy, the function of their coinage changed</w:t>
      </w:r>
      <w:r w:rsidR="00F4772E">
        <w:t xml:space="preserve">, and with that, the purpose of the iconography and </w:t>
      </w:r>
      <w:r w:rsidR="00F4772E">
        <w:lastRenderedPageBreak/>
        <w:t>legends also changed to fit with the requirements of Roman domination, with the coins themselves eventually becoming redundant.</w:t>
      </w:r>
    </w:p>
    <w:p w14:paraId="2556AA99" w14:textId="3F792E74" w:rsidR="005C7CCD" w:rsidRDefault="005C7CCD" w:rsidP="00A00E48">
      <w:pPr>
        <w:spacing w:line="480" w:lineRule="auto"/>
      </w:pPr>
      <w:proofErr w:type="gramStart"/>
      <w:r>
        <w:t>Generally speaking, the</w:t>
      </w:r>
      <w:proofErr w:type="gramEnd"/>
      <w:r>
        <w:t xml:space="preserve"> </w:t>
      </w:r>
      <w:proofErr w:type="spellStart"/>
      <w:r>
        <w:t>Padana</w:t>
      </w:r>
      <w:proofErr w:type="spellEnd"/>
      <w:r>
        <w:t xml:space="preserve"> Drachma’s development shows that the initial adoption of a Hellenic style coin, based on that of </w:t>
      </w:r>
      <w:proofErr w:type="spellStart"/>
      <w:r>
        <w:t>Massalia’s</w:t>
      </w:r>
      <w:proofErr w:type="spellEnd"/>
      <w:r>
        <w:t xml:space="preserve"> filled a social role as a status symbol linking the local elites to a wealthy, powerful state to show wide-reaching relations. Following the Roman conquest of north Italy and as the coins became more widely circulated, the need for the local elites to transition towards showing a more localised identity to consolidate their positions of power led to the abandonment of references to </w:t>
      </w:r>
      <w:proofErr w:type="spellStart"/>
      <w:r>
        <w:t>Massalia</w:t>
      </w:r>
      <w:proofErr w:type="spellEnd"/>
      <w:r>
        <w:t xml:space="preserve"> on the coins, as well as more local styled iconography. The adoption of Lepontic legends referring to these local elites also served to increase these magistrates’ prestige among the population. By the 1</w:t>
      </w:r>
      <w:r w:rsidRPr="005C7CCD">
        <w:rPr>
          <w:vertAlign w:val="superscript"/>
        </w:rPr>
        <w:t>st</w:t>
      </w:r>
      <w:r>
        <w:t xml:space="preserve"> Century BC, the economy of the </w:t>
      </w:r>
      <w:proofErr w:type="spellStart"/>
      <w:r>
        <w:t>Insubres</w:t>
      </w:r>
      <w:proofErr w:type="spellEnd"/>
      <w:r>
        <w:t xml:space="preserve"> had become more economically integrated into the Roman world, leading to increased monetisation, with the silver content of the coins lowering to match the surrounding currency standard. This meant that the imagery of </w:t>
      </w:r>
      <w:proofErr w:type="spellStart"/>
      <w:r>
        <w:t>Massalia</w:t>
      </w:r>
      <w:proofErr w:type="spellEnd"/>
      <w:r>
        <w:t xml:space="preserve">, and eventually the local iconography, had lost its original purpose, leading to the coins being abandoned in favour of the Denarius for the sake of convenience. Overall, </w:t>
      </w:r>
      <w:r w:rsidR="00A37876">
        <w:t>these coins show how a newly integrated Roman province reacts and adapts to their new situation.</w:t>
      </w:r>
    </w:p>
    <w:p w14:paraId="55AF666E" w14:textId="192BACA3" w:rsidR="00EC63E0" w:rsidRDefault="00EB425C" w:rsidP="00A00E48">
      <w:pPr>
        <w:spacing w:line="480" w:lineRule="auto"/>
      </w:pPr>
      <w:r>
        <w:rPr>
          <w:b/>
        </w:rPr>
        <w:t>Word Count: 1</w:t>
      </w:r>
      <w:r w:rsidR="00970EEF">
        <w:rPr>
          <w:b/>
        </w:rPr>
        <w:t>206</w:t>
      </w:r>
      <w:r w:rsidR="00EC63E0">
        <w:br w:type="page"/>
      </w:r>
      <w:bookmarkStart w:id="0" w:name="_GoBack"/>
      <w:bookmarkEnd w:id="0"/>
    </w:p>
    <w:p w14:paraId="1321F77E" w14:textId="7295A9EA" w:rsidR="00B228E3" w:rsidRDefault="00B228E3" w:rsidP="00A00E48">
      <w:pPr>
        <w:spacing w:line="480" w:lineRule="auto"/>
        <w:rPr>
          <w:u w:val="single"/>
        </w:rPr>
      </w:pPr>
      <w:r>
        <w:rPr>
          <w:u w:val="single"/>
        </w:rPr>
        <w:lastRenderedPageBreak/>
        <w:t>Appendix</w:t>
      </w:r>
    </w:p>
    <w:p w14:paraId="35DC9172" w14:textId="77777777" w:rsidR="00B228E3" w:rsidRDefault="00B228E3" w:rsidP="00A00E48">
      <w:pPr>
        <w:keepNext/>
        <w:spacing w:line="480" w:lineRule="auto"/>
      </w:pPr>
      <w:r>
        <w:rPr>
          <w:noProof/>
        </w:rPr>
        <w:drawing>
          <wp:inline distT="0" distB="0" distL="0" distR="0" wp14:anchorId="778B3BE8" wp14:editId="5D45A33C">
            <wp:extent cx="4000368" cy="2065106"/>
            <wp:effectExtent l="0" t="0" r="635" b="0"/>
            <wp:docPr id="1" name="Picture 1" descr="http://www.wildwinds.com/coins/celtic/italy/insubres/CCCBM_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wildwinds.com/coins/celtic/italy/insubres/CCCBM_18.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37957" cy="2136134"/>
                    </a:xfrm>
                    <a:prstGeom prst="rect">
                      <a:avLst/>
                    </a:prstGeom>
                    <a:noFill/>
                    <a:ln>
                      <a:noFill/>
                    </a:ln>
                  </pic:spPr>
                </pic:pic>
              </a:graphicData>
            </a:graphic>
          </wp:inline>
        </w:drawing>
      </w:r>
    </w:p>
    <w:p w14:paraId="72A475FC" w14:textId="303EABE3" w:rsidR="00B228E3" w:rsidRDefault="00B228E3" w:rsidP="00A00E48">
      <w:pPr>
        <w:pStyle w:val="Caption"/>
        <w:spacing w:line="480" w:lineRule="auto"/>
      </w:pPr>
      <w:r>
        <w:t xml:space="preserve">Figure </w:t>
      </w:r>
      <w:fldSimple w:instr=" SEQ Figure \* ARABIC ">
        <w:r w:rsidR="00B364DB">
          <w:rPr>
            <w:noProof/>
          </w:rPr>
          <w:t>1</w:t>
        </w:r>
      </w:fldSimple>
      <w:r>
        <w:t xml:space="preserve">: </w:t>
      </w:r>
      <w:r w:rsidRPr="00652E85">
        <w:t>CCCBM 18</w:t>
      </w:r>
      <w:r>
        <w:t xml:space="preserve">, 3rd Century BC. Imitation of </w:t>
      </w:r>
      <w:proofErr w:type="spellStart"/>
      <w:r>
        <w:t>Massalian</w:t>
      </w:r>
      <w:proofErr w:type="spellEnd"/>
      <w:r>
        <w:t xml:space="preserve"> coin. From Wildwinds.com</w:t>
      </w:r>
    </w:p>
    <w:p w14:paraId="2F6FB889" w14:textId="77777777" w:rsidR="00B228E3" w:rsidRDefault="00B228E3" w:rsidP="00A00E48">
      <w:pPr>
        <w:keepNext/>
        <w:spacing w:line="480" w:lineRule="auto"/>
      </w:pPr>
      <w:r w:rsidRPr="00B228E3">
        <w:rPr>
          <w:noProof/>
        </w:rPr>
        <w:drawing>
          <wp:inline distT="0" distB="0" distL="0" distR="0" wp14:anchorId="7261F50C" wp14:editId="0EA30796">
            <wp:extent cx="4031912" cy="1726058"/>
            <wp:effectExtent l="0" t="0" r="698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6107" cy="1749259"/>
                    </a:xfrm>
                    <a:prstGeom prst="rect">
                      <a:avLst/>
                    </a:prstGeom>
                    <a:noFill/>
                    <a:ln>
                      <a:noFill/>
                    </a:ln>
                  </pic:spPr>
                </pic:pic>
              </a:graphicData>
            </a:graphic>
          </wp:inline>
        </w:drawing>
      </w:r>
    </w:p>
    <w:p w14:paraId="0DFF51CF" w14:textId="3943F505" w:rsidR="00B228E3" w:rsidRDefault="00B228E3" w:rsidP="00A00E48">
      <w:pPr>
        <w:pStyle w:val="Caption"/>
        <w:spacing w:line="480" w:lineRule="auto"/>
      </w:pPr>
      <w:r>
        <w:t xml:space="preserve">Figure </w:t>
      </w:r>
      <w:fldSimple w:instr=" SEQ Figure \* ARABIC ">
        <w:r w:rsidR="00B364DB">
          <w:rPr>
            <w:noProof/>
          </w:rPr>
          <w:t>2</w:t>
        </w:r>
      </w:fldSimple>
      <w:r>
        <w:t xml:space="preserve">: </w:t>
      </w:r>
      <w:proofErr w:type="spellStart"/>
      <w:r>
        <w:t>Padane</w:t>
      </w:r>
      <w:proofErr w:type="spellEnd"/>
      <w:r>
        <w:t xml:space="preserve"> Drachma with Lepontic legend </w:t>
      </w:r>
      <w:proofErr w:type="spellStart"/>
      <w:r>
        <w:t>rikos</w:t>
      </w:r>
      <w:proofErr w:type="spellEnd"/>
      <w:r>
        <w:t xml:space="preserve">. From </w:t>
      </w:r>
      <w:proofErr w:type="spellStart"/>
      <w:r>
        <w:t>Haeussler</w:t>
      </w:r>
      <w:proofErr w:type="spellEnd"/>
      <w:r>
        <w:t>, 2013, p. 103.</w:t>
      </w:r>
    </w:p>
    <w:p w14:paraId="6809C747" w14:textId="77777777" w:rsidR="00B228E3" w:rsidRDefault="00B228E3" w:rsidP="00A00E48">
      <w:pPr>
        <w:keepNext/>
        <w:spacing w:line="480" w:lineRule="auto"/>
      </w:pPr>
      <w:r>
        <w:rPr>
          <w:noProof/>
        </w:rPr>
        <w:drawing>
          <wp:inline distT="0" distB="0" distL="0" distR="0" wp14:anchorId="266480CF" wp14:editId="1F1ADDAE">
            <wp:extent cx="4016309" cy="2157573"/>
            <wp:effectExtent l="0" t="0" r="3810" b="0"/>
            <wp:docPr id="3" name="Picture 3" descr="http://www.wildwinds.com/coins/celtic/italy/insubres/Castelin_1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wildwinds.com/coins/celtic/italy/insubres/Castelin_102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0845" cy="2197614"/>
                    </a:xfrm>
                    <a:prstGeom prst="rect">
                      <a:avLst/>
                    </a:prstGeom>
                    <a:noFill/>
                    <a:ln>
                      <a:noFill/>
                    </a:ln>
                  </pic:spPr>
                </pic:pic>
              </a:graphicData>
            </a:graphic>
          </wp:inline>
        </w:drawing>
      </w:r>
    </w:p>
    <w:p w14:paraId="2CA6BD5B" w14:textId="3F4B3A0F" w:rsidR="00B228E3" w:rsidRDefault="00B228E3" w:rsidP="00A00E48">
      <w:pPr>
        <w:pStyle w:val="Caption"/>
        <w:spacing w:line="480" w:lineRule="auto"/>
        <w:rPr>
          <w:noProof/>
        </w:rPr>
      </w:pPr>
      <w:r>
        <w:t xml:space="preserve">Figure </w:t>
      </w:r>
      <w:fldSimple w:instr=" SEQ Figure \* ARABIC ">
        <w:r w:rsidR="00B364DB">
          <w:rPr>
            <w:noProof/>
          </w:rPr>
          <w:t>3</w:t>
        </w:r>
      </w:fldSimple>
      <w:r>
        <w:t xml:space="preserve">: </w:t>
      </w:r>
      <w:r w:rsidRPr="003313EC">
        <w:t>CCCBM II Type IC</w:t>
      </w:r>
      <w:r>
        <w:t xml:space="preserve"> </w:t>
      </w:r>
      <w:proofErr w:type="spellStart"/>
      <w:r>
        <w:t>Padane</w:t>
      </w:r>
      <w:proofErr w:type="spellEnd"/>
      <w:r>
        <w:t xml:space="preserve"> Drachma, with pseudo-legend, 2nd Century BC</w:t>
      </w:r>
      <w:r>
        <w:rPr>
          <w:noProof/>
        </w:rPr>
        <w:t>. From Wildwinds.com</w:t>
      </w:r>
    </w:p>
    <w:p w14:paraId="261EF821" w14:textId="77777777" w:rsidR="00B364DB" w:rsidRDefault="00B364DB" w:rsidP="00A00E48">
      <w:pPr>
        <w:keepNext/>
        <w:spacing w:line="480" w:lineRule="auto"/>
      </w:pPr>
      <w:r w:rsidRPr="00B364DB">
        <w:rPr>
          <w:noProof/>
        </w:rPr>
        <w:lastRenderedPageBreak/>
        <w:drawing>
          <wp:inline distT="0" distB="0" distL="0" distR="0" wp14:anchorId="27D640B1" wp14:editId="1AE82E1E">
            <wp:extent cx="5393933" cy="4167658"/>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40367" cy="4203536"/>
                    </a:xfrm>
                    <a:prstGeom prst="rect">
                      <a:avLst/>
                    </a:prstGeom>
                    <a:noFill/>
                    <a:ln>
                      <a:noFill/>
                    </a:ln>
                  </pic:spPr>
                </pic:pic>
              </a:graphicData>
            </a:graphic>
          </wp:inline>
        </w:drawing>
      </w:r>
    </w:p>
    <w:p w14:paraId="3448E551" w14:textId="122F28BA" w:rsidR="00A00E48" w:rsidRDefault="00B364DB" w:rsidP="00A00E48">
      <w:pPr>
        <w:pStyle w:val="Caption"/>
        <w:spacing w:line="480" w:lineRule="auto"/>
      </w:pPr>
      <w:r>
        <w:t xml:space="preserve">Figure </w:t>
      </w:r>
      <w:fldSimple w:instr=" SEQ Figure \* ARABIC ">
        <w:r>
          <w:rPr>
            <w:noProof/>
          </w:rPr>
          <w:t>4</w:t>
        </w:r>
      </w:fldSimple>
      <w:r>
        <w:t xml:space="preserve">: Graph illustrating the decline in silver content among </w:t>
      </w:r>
      <w:proofErr w:type="spellStart"/>
      <w:r>
        <w:t>Padana</w:t>
      </w:r>
      <w:proofErr w:type="spellEnd"/>
      <w:r>
        <w:t xml:space="preserve"> Drachma by type. From </w:t>
      </w:r>
      <w:proofErr w:type="spellStart"/>
      <w:r>
        <w:t>Corsi</w:t>
      </w:r>
      <w:proofErr w:type="spellEnd"/>
      <w:r>
        <w:t xml:space="preserve"> et. al., 2016, p. 505.</w:t>
      </w:r>
    </w:p>
    <w:p w14:paraId="6AEFF24B" w14:textId="6D74754E" w:rsidR="00B364DB" w:rsidRPr="00A00E48" w:rsidRDefault="00A00E48" w:rsidP="00A00E48">
      <w:pPr>
        <w:rPr>
          <w:i/>
          <w:iCs/>
          <w:color w:val="44546A" w:themeColor="text2"/>
          <w:sz w:val="18"/>
          <w:szCs w:val="18"/>
        </w:rPr>
      </w:pPr>
      <w:r>
        <w:br w:type="page"/>
      </w:r>
    </w:p>
    <w:sdt>
      <w:sdtPr>
        <w:id w:val="-589228176"/>
        <w:docPartObj>
          <w:docPartGallery w:val="Bibliographies"/>
          <w:docPartUnique/>
        </w:docPartObj>
      </w:sdtPr>
      <w:sdtEndPr>
        <w:rPr>
          <w:rFonts w:ascii="Times New Roman" w:eastAsiaTheme="minorHAnsi" w:hAnsi="Times New Roman" w:cstheme="minorBidi"/>
          <w:color w:val="auto"/>
          <w:sz w:val="24"/>
          <w:szCs w:val="22"/>
          <w:lang w:val="en-GB"/>
        </w:rPr>
      </w:sdtEndPr>
      <w:sdtContent>
        <w:p w14:paraId="23755A8C" w14:textId="2834035A" w:rsidR="00EB425C" w:rsidRDefault="00EB425C" w:rsidP="00A00E48">
          <w:pPr>
            <w:pStyle w:val="Heading1"/>
            <w:spacing w:line="480" w:lineRule="auto"/>
          </w:pPr>
          <w:r>
            <w:t>Bibliography</w:t>
          </w:r>
        </w:p>
        <w:sdt>
          <w:sdtPr>
            <w:id w:val="111145805"/>
            <w:bibliography/>
          </w:sdtPr>
          <w:sdtContent>
            <w:p w14:paraId="75ABBEC0" w14:textId="77777777" w:rsidR="00EB425C" w:rsidRDefault="00EB425C" w:rsidP="00A00E48">
              <w:pPr>
                <w:pStyle w:val="Bibliography"/>
                <w:spacing w:line="480" w:lineRule="auto"/>
                <w:rPr>
                  <w:noProof/>
                  <w:szCs w:val="24"/>
                  <w:lang w:val="en-US"/>
                </w:rPr>
              </w:pPr>
              <w:r>
                <w:fldChar w:fldCharType="begin"/>
              </w:r>
              <w:r>
                <w:instrText xml:space="preserve"> BIBLIOGRAPHY </w:instrText>
              </w:r>
              <w:r>
                <w:fldChar w:fldCharType="separate"/>
              </w:r>
              <w:r>
                <w:rPr>
                  <w:noProof/>
                  <w:lang w:val="en-US"/>
                </w:rPr>
                <w:t xml:space="preserve">Arslan, E. A., 1991. The Transpadana Celts. In: S. Moscati, ed. </w:t>
              </w:r>
              <w:r>
                <w:rPr>
                  <w:i/>
                  <w:iCs/>
                  <w:noProof/>
                  <w:lang w:val="en-US"/>
                </w:rPr>
                <w:t xml:space="preserve">The Celts. </w:t>
              </w:r>
              <w:r>
                <w:rPr>
                  <w:noProof/>
                  <w:lang w:val="en-US"/>
                </w:rPr>
                <w:t>London: Bompiani, pp. 461-470.</w:t>
              </w:r>
            </w:p>
            <w:p w14:paraId="58C1D4F1" w14:textId="77777777" w:rsidR="00EB425C" w:rsidRDefault="00EB425C" w:rsidP="00A00E48">
              <w:pPr>
                <w:pStyle w:val="Bibliography"/>
                <w:spacing w:line="480" w:lineRule="auto"/>
                <w:rPr>
                  <w:noProof/>
                  <w:lang w:val="en-US"/>
                </w:rPr>
              </w:pPr>
              <w:r>
                <w:rPr>
                  <w:noProof/>
                  <w:lang w:val="en-US"/>
                </w:rPr>
                <w:t xml:space="preserve">Corsi, J. et al., 2016. Compositional and Microstructural Characterization of Celtic Silver Coins from Northern Italy using Neutron Diffraction Analysis. </w:t>
              </w:r>
              <w:r>
                <w:rPr>
                  <w:i/>
                  <w:iCs/>
                  <w:noProof/>
                  <w:lang w:val="en-US"/>
                </w:rPr>
                <w:t xml:space="preserve">Microchemical Journal, </w:t>
              </w:r>
              <w:r>
                <w:rPr>
                  <w:noProof/>
                  <w:lang w:val="en-US"/>
                </w:rPr>
                <w:t>Volume 126, pp. 501-508.</w:t>
              </w:r>
            </w:p>
            <w:p w14:paraId="1F1311DF" w14:textId="77777777" w:rsidR="00EB425C" w:rsidRDefault="00EB425C" w:rsidP="00A00E48">
              <w:pPr>
                <w:pStyle w:val="Bibliography"/>
                <w:spacing w:line="480" w:lineRule="auto"/>
                <w:rPr>
                  <w:noProof/>
                  <w:lang w:val="en-US"/>
                </w:rPr>
              </w:pPr>
              <w:r>
                <w:rPr>
                  <w:noProof/>
                  <w:lang w:val="en-US"/>
                </w:rPr>
                <w:t xml:space="preserve">Cunliffe, B., 1997. </w:t>
              </w:r>
              <w:r>
                <w:rPr>
                  <w:i/>
                  <w:iCs/>
                  <w:noProof/>
                  <w:lang w:val="en-US"/>
                </w:rPr>
                <w:t xml:space="preserve">The Ancient Celts. </w:t>
              </w:r>
              <w:r>
                <w:rPr>
                  <w:noProof/>
                  <w:lang w:val="en-US"/>
                </w:rPr>
                <w:t>Oxford: Oxford University Press.</w:t>
              </w:r>
            </w:p>
            <w:p w14:paraId="39A15634" w14:textId="77777777" w:rsidR="00EB425C" w:rsidRDefault="00EB425C" w:rsidP="00A00E48">
              <w:pPr>
                <w:pStyle w:val="Bibliography"/>
                <w:spacing w:line="480" w:lineRule="auto"/>
                <w:rPr>
                  <w:noProof/>
                  <w:lang w:val="en-US"/>
                </w:rPr>
              </w:pPr>
              <w:r>
                <w:rPr>
                  <w:noProof/>
                  <w:lang w:val="en-US"/>
                </w:rPr>
                <w:t xml:space="preserve">Haeussler, R., 2013. </w:t>
              </w:r>
              <w:r>
                <w:rPr>
                  <w:i/>
                  <w:iCs/>
                  <w:noProof/>
                  <w:lang w:val="en-US"/>
                </w:rPr>
                <w:t xml:space="preserve">Becoming Roman?: Diverging Identities and Experiences in Ancient Northwest Italy. </w:t>
              </w:r>
              <w:r>
                <w:rPr>
                  <w:noProof/>
                  <w:lang w:val="en-US"/>
                </w:rPr>
                <w:t>Walnut Creek, CA: Left Coast Press.</w:t>
              </w:r>
            </w:p>
            <w:p w14:paraId="7D74D996" w14:textId="77777777" w:rsidR="00EB425C" w:rsidRDefault="00EB425C" w:rsidP="00A00E48">
              <w:pPr>
                <w:pStyle w:val="Bibliography"/>
                <w:spacing w:line="480" w:lineRule="auto"/>
                <w:rPr>
                  <w:noProof/>
                  <w:lang w:val="en-US"/>
                </w:rPr>
              </w:pPr>
              <w:r>
                <w:rPr>
                  <w:noProof/>
                  <w:lang w:val="en-US"/>
                </w:rPr>
                <w:t xml:space="preserve">Keller, H. J., 1991. Coinage. In: S. Moscati, ed. </w:t>
              </w:r>
              <w:r>
                <w:rPr>
                  <w:i/>
                  <w:iCs/>
                  <w:noProof/>
                  <w:lang w:val="en-US"/>
                </w:rPr>
                <w:t xml:space="preserve">The Celts. </w:t>
              </w:r>
              <w:r>
                <w:rPr>
                  <w:noProof/>
                  <w:lang w:val="en-US"/>
                </w:rPr>
                <w:t>London: Bompiani, pp. 451-459.</w:t>
              </w:r>
            </w:p>
            <w:p w14:paraId="06CC4163" w14:textId="77777777" w:rsidR="00EB425C" w:rsidRDefault="00EB425C" w:rsidP="00A00E48">
              <w:pPr>
                <w:pStyle w:val="Bibliography"/>
                <w:spacing w:line="480" w:lineRule="auto"/>
                <w:rPr>
                  <w:noProof/>
                  <w:lang w:val="en-US"/>
                </w:rPr>
              </w:pPr>
              <w:r>
                <w:rPr>
                  <w:noProof/>
                  <w:lang w:val="en-US"/>
                </w:rPr>
                <w:t xml:space="preserve">Prosdocimi, A. L., 1991. The Language and Writing of the Early Celts. In: S. Moscati, ed. </w:t>
              </w:r>
              <w:r>
                <w:rPr>
                  <w:i/>
                  <w:iCs/>
                  <w:noProof/>
                  <w:lang w:val="en-US"/>
                </w:rPr>
                <w:t xml:space="preserve">The Celts. </w:t>
              </w:r>
              <w:r>
                <w:rPr>
                  <w:noProof/>
                  <w:lang w:val="en-US"/>
                </w:rPr>
                <w:t>London: Bompiani, pp. 51-59.</w:t>
              </w:r>
            </w:p>
            <w:p w14:paraId="681F729E" w14:textId="2C5A8884" w:rsidR="00EB425C" w:rsidRDefault="00EB425C" w:rsidP="00A00E48">
              <w:pPr>
                <w:spacing w:line="480" w:lineRule="auto"/>
              </w:pPr>
              <w:r>
                <w:rPr>
                  <w:b/>
                  <w:bCs/>
                  <w:noProof/>
                </w:rPr>
                <w:fldChar w:fldCharType="end"/>
              </w:r>
            </w:p>
          </w:sdtContent>
        </w:sdt>
      </w:sdtContent>
    </w:sdt>
    <w:p w14:paraId="5F22FF42" w14:textId="77777777" w:rsidR="00EB425C" w:rsidRPr="00EB425C" w:rsidRDefault="00EB425C" w:rsidP="00A00E48">
      <w:pPr>
        <w:spacing w:line="480" w:lineRule="auto"/>
      </w:pPr>
    </w:p>
    <w:sectPr w:rsidR="00EB425C" w:rsidRPr="00EB425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E5C07D" w14:textId="77777777" w:rsidR="00EB62F4" w:rsidRDefault="00EB62F4" w:rsidP="005E1242">
      <w:pPr>
        <w:spacing w:after="0" w:line="240" w:lineRule="auto"/>
      </w:pPr>
      <w:r>
        <w:separator/>
      </w:r>
    </w:p>
  </w:endnote>
  <w:endnote w:type="continuationSeparator" w:id="0">
    <w:p w14:paraId="0DD11E6A" w14:textId="77777777" w:rsidR="00EB62F4" w:rsidRDefault="00EB62F4" w:rsidP="005E1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6C963E" w14:textId="77777777" w:rsidR="00EB62F4" w:rsidRDefault="00EB62F4" w:rsidP="005E1242">
      <w:pPr>
        <w:spacing w:after="0" w:line="240" w:lineRule="auto"/>
      </w:pPr>
      <w:r>
        <w:separator/>
      </w:r>
    </w:p>
  </w:footnote>
  <w:footnote w:type="continuationSeparator" w:id="0">
    <w:p w14:paraId="528AF5E6" w14:textId="77777777" w:rsidR="00EB62F4" w:rsidRDefault="00EB62F4" w:rsidP="005E1242">
      <w:pPr>
        <w:spacing w:after="0" w:line="240" w:lineRule="auto"/>
      </w:pPr>
      <w:r>
        <w:continuationSeparator/>
      </w:r>
    </w:p>
  </w:footnote>
  <w:footnote w:id="1">
    <w:p w14:paraId="777750D0" w14:textId="3ED10012" w:rsidR="0011326A" w:rsidRDefault="0011326A">
      <w:pPr>
        <w:pStyle w:val="FootnoteText"/>
      </w:pPr>
      <w:r>
        <w:rPr>
          <w:rStyle w:val="FootnoteReference"/>
        </w:rPr>
        <w:footnoteRef/>
      </w:r>
      <w:r>
        <w:t xml:space="preserve"> Kellner, 1991, p. 451.</w:t>
      </w:r>
    </w:p>
  </w:footnote>
  <w:footnote w:id="2">
    <w:p w14:paraId="08DC38D4" w14:textId="7B8BB50C" w:rsidR="0011326A" w:rsidRDefault="0011326A">
      <w:pPr>
        <w:pStyle w:val="FootnoteText"/>
      </w:pPr>
      <w:r>
        <w:rPr>
          <w:rStyle w:val="FootnoteReference"/>
        </w:rPr>
        <w:footnoteRef/>
      </w:r>
      <w:r>
        <w:t xml:space="preserve"> Kellner, 1991, p. 451; </w:t>
      </w:r>
      <w:proofErr w:type="spellStart"/>
      <w:r>
        <w:t>Haeussler</w:t>
      </w:r>
      <w:proofErr w:type="spellEnd"/>
      <w:r>
        <w:t>, 2013, p. 99.</w:t>
      </w:r>
    </w:p>
  </w:footnote>
  <w:footnote w:id="3">
    <w:p w14:paraId="2F7D239A" w14:textId="48F31721" w:rsidR="00726610" w:rsidRDefault="00726610">
      <w:pPr>
        <w:pStyle w:val="FootnoteText"/>
      </w:pPr>
      <w:r>
        <w:rPr>
          <w:rStyle w:val="FootnoteReference"/>
        </w:rPr>
        <w:footnoteRef/>
      </w:r>
      <w:r>
        <w:t xml:space="preserve"> </w:t>
      </w:r>
      <w:proofErr w:type="spellStart"/>
      <w:r>
        <w:t>Haeussler</w:t>
      </w:r>
      <w:proofErr w:type="spellEnd"/>
      <w:r>
        <w:t>, 2013, p.p. 97, 101.</w:t>
      </w:r>
    </w:p>
  </w:footnote>
  <w:footnote w:id="4">
    <w:p w14:paraId="1023D4FA" w14:textId="10F8D84F" w:rsidR="00726610" w:rsidRDefault="00726610">
      <w:pPr>
        <w:pStyle w:val="FootnoteText"/>
      </w:pPr>
      <w:r>
        <w:rPr>
          <w:rStyle w:val="FootnoteReference"/>
        </w:rPr>
        <w:footnoteRef/>
      </w:r>
      <w:r>
        <w:t xml:space="preserve"> </w:t>
      </w:r>
      <w:proofErr w:type="spellStart"/>
      <w:r>
        <w:t>Prosdocimi</w:t>
      </w:r>
      <w:proofErr w:type="spellEnd"/>
      <w:r>
        <w:t>, 1991, p. 56-7.</w:t>
      </w:r>
    </w:p>
  </w:footnote>
  <w:footnote w:id="5">
    <w:p w14:paraId="7A48ABC2" w14:textId="5AFC4895" w:rsidR="00726610" w:rsidRDefault="00726610">
      <w:pPr>
        <w:pStyle w:val="FootnoteText"/>
      </w:pPr>
      <w:r>
        <w:rPr>
          <w:rStyle w:val="FootnoteReference"/>
        </w:rPr>
        <w:footnoteRef/>
      </w:r>
      <w:r>
        <w:t xml:space="preserve"> </w:t>
      </w:r>
      <w:proofErr w:type="spellStart"/>
      <w:r>
        <w:t>Haeussler</w:t>
      </w:r>
      <w:proofErr w:type="spellEnd"/>
      <w:r>
        <w:t>, 2013, p. 105.</w:t>
      </w:r>
    </w:p>
  </w:footnote>
  <w:footnote w:id="6">
    <w:p w14:paraId="17429A84" w14:textId="395C0329" w:rsidR="000F7A7E" w:rsidRDefault="000F7A7E">
      <w:pPr>
        <w:pStyle w:val="FootnoteText"/>
      </w:pPr>
      <w:r>
        <w:rPr>
          <w:rStyle w:val="FootnoteReference"/>
        </w:rPr>
        <w:footnoteRef/>
      </w:r>
      <w:r>
        <w:t xml:space="preserve"> </w:t>
      </w:r>
      <w:proofErr w:type="spellStart"/>
      <w:r>
        <w:t>Haeussler</w:t>
      </w:r>
      <w:proofErr w:type="spellEnd"/>
      <w:r>
        <w:t>, 2013, p.p. 101-103.</w:t>
      </w:r>
    </w:p>
  </w:footnote>
  <w:footnote w:id="7">
    <w:p w14:paraId="26384889" w14:textId="2BD70426" w:rsidR="00B364DB" w:rsidRDefault="00B364DB">
      <w:pPr>
        <w:pStyle w:val="FootnoteText"/>
      </w:pPr>
      <w:r>
        <w:rPr>
          <w:rStyle w:val="FootnoteReference"/>
        </w:rPr>
        <w:footnoteRef/>
      </w:r>
      <w:r>
        <w:t xml:space="preserve"> Arslan, 1991, p.470; Cunliffe, 1997, p. 212.</w:t>
      </w:r>
    </w:p>
  </w:footnote>
  <w:footnote w:id="8">
    <w:p w14:paraId="59CFA430" w14:textId="013BC495" w:rsidR="00B364DB" w:rsidRDefault="00B364DB">
      <w:pPr>
        <w:pStyle w:val="FootnoteText"/>
      </w:pPr>
      <w:r>
        <w:rPr>
          <w:rStyle w:val="FootnoteReference"/>
        </w:rPr>
        <w:footnoteRef/>
      </w:r>
      <w:r>
        <w:t xml:space="preserve"> </w:t>
      </w:r>
      <w:proofErr w:type="spellStart"/>
      <w:r>
        <w:t>Haeussler</w:t>
      </w:r>
      <w:proofErr w:type="spellEnd"/>
      <w:r>
        <w:t>, 2013, p.p. 99, 107-8.</w:t>
      </w:r>
    </w:p>
  </w:footnote>
  <w:footnote w:id="9">
    <w:p w14:paraId="365B4FCB" w14:textId="2F414006" w:rsidR="00B364DB" w:rsidRDefault="00B364DB">
      <w:pPr>
        <w:pStyle w:val="FootnoteText"/>
      </w:pPr>
      <w:r>
        <w:rPr>
          <w:rStyle w:val="FootnoteReference"/>
        </w:rPr>
        <w:footnoteRef/>
      </w:r>
      <w:r>
        <w:t xml:space="preserve"> </w:t>
      </w:r>
      <w:proofErr w:type="spellStart"/>
      <w:r>
        <w:t>Corsi</w:t>
      </w:r>
      <w:proofErr w:type="spellEnd"/>
      <w:r>
        <w:t xml:space="preserve"> et. al., 2016, p. 505.</w:t>
      </w:r>
    </w:p>
  </w:footnote>
  <w:footnote w:id="10">
    <w:p w14:paraId="0A6F0383" w14:textId="7305D291" w:rsidR="00581F87" w:rsidRDefault="00581F87">
      <w:pPr>
        <w:pStyle w:val="FootnoteText"/>
      </w:pPr>
      <w:r>
        <w:rPr>
          <w:rStyle w:val="FootnoteReference"/>
        </w:rPr>
        <w:footnoteRef/>
      </w:r>
      <w:r>
        <w:t xml:space="preserve"> </w:t>
      </w:r>
      <w:proofErr w:type="spellStart"/>
      <w:r>
        <w:t>Haeussler</w:t>
      </w:r>
      <w:proofErr w:type="spellEnd"/>
      <w:r>
        <w:t>, 2013, p.</w:t>
      </w:r>
      <w:r w:rsidR="00B7107F">
        <w:t>p. 104,</w:t>
      </w:r>
      <w:r>
        <w:t xml:space="preserve"> 108.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9F715A" w14:textId="45BA6001" w:rsidR="005E1242" w:rsidRDefault="005E1242">
    <w:pPr>
      <w:pStyle w:val="Header"/>
    </w:pPr>
    <w:r>
      <w:t>James Forder 1701007</w:t>
    </w:r>
  </w:p>
  <w:p w14:paraId="69557FE6" w14:textId="77777777" w:rsidR="005E1242" w:rsidRDefault="005E12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242"/>
    <w:rsid w:val="000F7A7E"/>
    <w:rsid w:val="0011326A"/>
    <w:rsid w:val="00172E1C"/>
    <w:rsid w:val="0019703C"/>
    <w:rsid w:val="002B7432"/>
    <w:rsid w:val="002C6799"/>
    <w:rsid w:val="00316AFB"/>
    <w:rsid w:val="004F6EAC"/>
    <w:rsid w:val="00581F87"/>
    <w:rsid w:val="005C7CCD"/>
    <w:rsid w:val="005E1242"/>
    <w:rsid w:val="00726610"/>
    <w:rsid w:val="00742FE6"/>
    <w:rsid w:val="00850333"/>
    <w:rsid w:val="00860198"/>
    <w:rsid w:val="008704D0"/>
    <w:rsid w:val="00970EEF"/>
    <w:rsid w:val="00A00E48"/>
    <w:rsid w:val="00A37876"/>
    <w:rsid w:val="00AE1AFA"/>
    <w:rsid w:val="00B228E3"/>
    <w:rsid w:val="00B364DB"/>
    <w:rsid w:val="00B7107F"/>
    <w:rsid w:val="00C35D03"/>
    <w:rsid w:val="00CB1DD4"/>
    <w:rsid w:val="00D47773"/>
    <w:rsid w:val="00E16781"/>
    <w:rsid w:val="00E72029"/>
    <w:rsid w:val="00EB425C"/>
    <w:rsid w:val="00EB62F4"/>
    <w:rsid w:val="00EC63E0"/>
    <w:rsid w:val="00EE2DA4"/>
    <w:rsid w:val="00F47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189FA"/>
  <w15:chartTrackingRefBased/>
  <w15:docId w15:val="{7D0F32A5-8872-4C97-A6F4-AC2336594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25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1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242"/>
  </w:style>
  <w:style w:type="paragraph" w:styleId="Footer">
    <w:name w:val="footer"/>
    <w:basedOn w:val="Normal"/>
    <w:link w:val="FooterChar"/>
    <w:uiPriority w:val="99"/>
    <w:unhideWhenUsed/>
    <w:rsid w:val="005E1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242"/>
  </w:style>
  <w:style w:type="paragraph" w:styleId="Caption">
    <w:name w:val="caption"/>
    <w:basedOn w:val="Normal"/>
    <w:next w:val="Normal"/>
    <w:uiPriority w:val="35"/>
    <w:unhideWhenUsed/>
    <w:qFormat/>
    <w:rsid w:val="00B228E3"/>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1132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326A"/>
    <w:rPr>
      <w:sz w:val="20"/>
      <w:szCs w:val="20"/>
    </w:rPr>
  </w:style>
  <w:style w:type="character" w:styleId="FootnoteReference">
    <w:name w:val="footnote reference"/>
    <w:basedOn w:val="DefaultParagraphFont"/>
    <w:uiPriority w:val="99"/>
    <w:semiHidden/>
    <w:unhideWhenUsed/>
    <w:rsid w:val="0011326A"/>
    <w:rPr>
      <w:vertAlign w:val="superscript"/>
    </w:rPr>
  </w:style>
  <w:style w:type="character" w:customStyle="1" w:styleId="Heading1Char">
    <w:name w:val="Heading 1 Char"/>
    <w:basedOn w:val="DefaultParagraphFont"/>
    <w:link w:val="Heading1"/>
    <w:uiPriority w:val="9"/>
    <w:rsid w:val="00EB425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B4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7583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Kel91</b:Tag>
    <b:SourceType>BookSection</b:SourceType>
    <b:Guid>{08860551-8FB1-48BA-9440-EBBD7C655C9E}</b:Guid>
    <b:Title>Coinage</b:Title>
    <b:BookTitle>The Celts</b:BookTitle>
    <b:Year>1991</b:Year>
    <b:Pages>451-459</b:Pages>
    <b:City>London</b:City>
    <b:Publisher>Bompiani</b:Publisher>
    <b:Author>
      <b:Author>
        <b:NameList>
          <b:Person>
            <b:Last>Keller</b:Last>
            <b:Middle>Jorg</b:Middle>
            <b:First>Hans</b:First>
          </b:Person>
        </b:NameList>
      </b:Author>
      <b:Editor>
        <b:NameList>
          <b:Person>
            <b:Last>Moscati</b:Last>
            <b:First>S.</b:First>
          </b:Person>
        </b:NameList>
      </b:Editor>
    </b:Author>
    <b:RefOrder>1</b:RefOrder>
  </b:Source>
  <b:Source>
    <b:Tag>Erm91</b:Tag>
    <b:SourceType>BookSection</b:SourceType>
    <b:Guid>{AEDF31A6-714E-4C7D-84A6-A6E126873F06}</b:Guid>
    <b:Author>
      <b:Author>
        <b:NameList>
          <b:Person>
            <b:Last>Arslan</b:Last>
            <b:First>Ermanno</b:First>
            <b:Middle>A</b:Middle>
          </b:Person>
        </b:NameList>
      </b:Author>
      <b:Editor>
        <b:NameList>
          <b:Person>
            <b:Last>Moscati</b:Last>
            <b:First>S.</b:First>
          </b:Person>
        </b:NameList>
      </b:Editor>
    </b:Author>
    <b:Title>The Transpadana Celts</b:Title>
    <b:BookTitle>The Celts</b:BookTitle>
    <b:Year>1991</b:Year>
    <b:Pages>461-470</b:Pages>
    <b:City>London</b:City>
    <b:Publisher>Bompiani</b:Publisher>
    <b:RefOrder>2</b:RefOrder>
  </b:Source>
  <b:Source>
    <b:Tag>Bar97</b:Tag>
    <b:SourceType>Book</b:SourceType>
    <b:Guid>{E7B00672-B125-4BD8-B1D1-28578DB15D31}</b:Guid>
    <b:Title>The Ancient Celts</b:Title>
    <b:Year>1997</b:Year>
    <b:City>Oxford</b:City>
    <b:Publisher>Oxford University Press</b:Publisher>
    <b:Author>
      <b:Author>
        <b:NameList>
          <b:Person>
            <b:Last>Cunliffe</b:Last>
            <b:First>Barry</b:First>
          </b:Person>
        </b:NameList>
      </b:Author>
    </b:Author>
    <b:RefOrder>3</b:RefOrder>
  </b:Source>
  <b:Source>
    <b:Tag>Ral13</b:Tag>
    <b:SourceType>Book</b:SourceType>
    <b:Guid>{3048E712-04C3-48D8-85DA-FE4F71988EA8}</b:Guid>
    <b:Author>
      <b:Author>
        <b:NameList>
          <b:Person>
            <b:Last>Haeussler</b:Last>
            <b:First>Ralph</b:First>
          </b:Person>
        </b:NameList>
      </b:Author>
    </b:Author>
    <b:Title>Becoming Roman?: Diverging Identities and Experiences in Ancient Northwest Italy</b:Title>
    <b:Year>2013</b:Year>
    <b:City>Walnut Creek, CA</b:City>
    <b:Publisher>Left Coast Press</b:Publisher>
    <b:RefOrder>4</b:RefOrder>
  </b:Source>
  <b:Source>
    <b:Tag>Cor16</b:Tag>
    <b:SourceType>JournalArticle</b:SourceType>
    <b:Guid>{43E6B8CE-5FCE-4C93-BAC0-2B845F874D07}</b:Guid>
    <b:Title>Compositional and Microstructural Characterization of Celtic Silver Coins from Northern Italy using Neutron Diffraction Analysis</b:Title>
    <b:Year>2016</b:Year>
    <b:JournalName>Microchemical Journal</b:JournalName>
    <b:Pages>501-508</b:Pages>
    <b:Volume>126</b:Volume>
    <b:Author>
      <b:Author>
        <b:NameList>
          <b:Person>
            <b:Last>Corsi</b:Last>
            <b:First>J</b:First>
          </b:Person>
          <b:Person>
            <b:Last>Grazzi</b:Last>
            <b:First>F</b:First>
          </b:Person>
          <b:Person>
            <b:Last>Lo Giudice</b:Last>
            <b:First>A</b:First>
          </b:Person>
          <b:Person>
            <b:Last>Scherillo</b:Last>
            <b:First>A</b:First>
          </b:Person>
          <b:Person>
            <b:Last>Angelici</b:Last>
            <b:First>D</b:First>
          </b:Person>
          <b:Person>
            <b:Last>Allegretti</b:Last>
            <b:First>S</b:First>
          </b:Person>
          <b:Person>
            <b:Last>Barello</b:Last>
            <b:First>F</b:First>
          </b:Person>
        </b:NameList>
      </b:Author>
    </b:Author>
    <b:RefOrder>5</b:RefOrder>
  </b:Source>
  <b:Source>
    <b:Tag>Pro91</b:Tag>
    <b:SourceType>BookSection</b:SourceType>
    <b:Guid>{A10782F2-90DD-4269-8DCD-DC0B54499093}</b:Guid>
    <b:Title>The Language and Writing of the Early Celts</b:Title>
    <b:Year>1991</b:Year>
    <b:Pages>51-59</b:Pages>
    <b:BookTitle>The Celts</b:BookTitle>
    <b:City>London</b:City>
    <b:Publisher>Bompiani</b:Publisher>
    <b:Author>
      <b:Author>
        <b:NameList>
          <b:Person>
            <b:Last>Prosdocimi</b:Last>
            <b:Middle>Luigi</b:Middle>
            <b:First>Aldo</b:First>
          </b:Person>
        </b:NameList>
      </b:Author>
      <b:Editor>
        <b:NameList>
          <b:Person>
            <b:Last>Moscati</b:Last>
            <b:First>S.</b:First>
          </b:Person>
        </b:NameList>
      </b:Editor>
    </b:Author>
    <b:RefOrder>6</b:RefOrder>
  </b:Source>
</b:Sources>
</file>

<file path=customXml/itemProps1.xml><?xml version="1.0" encoding="utf-8"?>
<ds:datastoreItem xmlns:ds="http://schemas.openxmlformats.org/officeDocument/2006/customXml" ds:itemID="{735A0A8C-C273-48B1-845E-2746D0D8F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1276</Words>
  <Characters>7276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3</cp:revision>
  <dcterms:created xsi:type="dcterms:W3CDTF">2019-02-03T21:14:00Z</dcterms:created>
  <dcterms:modified xsi:type="dcterms:W3CDTF">2019-02-03T21:14:00Z</dcterms:modified>
</cp:coreProperties>
</file>