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84753" w14:textId="77777777" w:rsidR="003E4935" w:rsidRPr="00740B56" w:rsidRDefault="003E4935" w:rsidP="003E4935">
      <w:pPr>
        <w:rPr>
          <w:rFonts w:asciiTheme="majorHAnsi" w:hAnsiTheme="majorHAnsi" w:cstheme="majorHAnsi"/>
          <w:sz w:val="24"/>
          <w:szCs w:val="24"/>
          <w:u w:val="single"/>
        </w:rPr>
      </w:pPr>
      <w:r w:rsidRPr="00740B56">
        <w:rPr>
          <w:rFonts w:asciiTheme="majorHAnsi" w:hAnsiTheme="majorHAnsi" w:cstheme="majorHAnsi"/>
          <w:sz w:val="24"/>
          <w:szCs w:val="24"/>
          <w:u w:val="single"/>
        </w:rPr>
        <w:t>`People diagnosed with mental illnesses are often confronted with the dilemma of whether to disclose or conceal their diagnosis (or diagnoses) and/or their experience with mental illness` (Bril-Barniv, Moran, Naarman, Roe &amp; Karnieli-Miller, 2017; p 573). Discuss this statement with reference to the legal and ethical frameworks that aim to support individuals with a diagnosis of mental illness.</w:t>
      </w:r>
    </w:p>
    <w:p w14:paraId="07788866" w14:textId="014F70B2"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In their qualitative study, Bril-Barniv et al</w:t>
      </w:r>
      <w:r w:rsidR="00336ABC" w:rsidRPr="00740B56">
        <w:rPr>
          <w:rFonts w:asciiTheme="majorHAnsi" w:hAnsiTheme="majorHAnsi" w:cstheme="majorHAnsi"/>
          <w:sz w:val="24"/>
          <w:szCs w:val="24"/>
        </w:rPr>
        <w:t>.</w:t>
      </w:r>
      <w:r w:rsidRPr="00740B56">
        <w:rPr>
          <w:rFonts w:asciiTheme="majorHAnsi" w:hAnsiTheme="majorHAnsi" w:cstheme="majorHAnsi"/>
          <w:sz w:val="24"/>
          <w:szCs w:val="24"/>
        </w:rPr>
        <w:t xml:space="preserve"> (2017) examined the experiences and dilemmas that people with serious mental illness face when deciding whether to conceal or disclose their mental illnesses. Bril-Barniv et al</w:t>
      </w:r>
      <w:r w:rsidR="00524D19" w:rsidRPr="00740B56">
        <w:rPr>
          <w:rFonts w:asciiTheme="majorHAnsi" w:hAnsiTheme="majorHAnsi" w:cstheme="majorHAnsi"/>
          <w:sz w:val="24"/>
          <w:szCs w:val="24"/>
        </w:rPr>
        <w:t>.</w:t>
      </w:r>
      <w:r w:rsidRPr="00740B56">
        <w:rPr>
          <w:rFonts w:asciiTheme="majorHAnsi" w:hAnsiTheme="majorHAnsi" w:cstheme="majorHAnsi"/>
          <w:sz w:val="24"/>
          <w:szCs w:val="24"/>
        </w:rPr>
        <w:t xml:space="preserve"> (2017) reported that people living with serious mental illness are confronted with dilemmas regarding disclosing or concealing their mental health diagnoses, based on positive factors (supporting others and personal recovery), negative factors (being forced to disclose or conceal), and influential factors (familial norms and accumulate experience of disclosure and concealment). This study’s findings suggests that people living with mental health problems face dilemmas of whether to disclose or conceal their diagnosis, which is also a dilemma faced by mental health professionals when supporting people with a diagnosis of mental illness. This essay will discuss the dilemmas faced related to concealing and disclosing mental health diagnoses and experiences with reference to the legal and ethical frameworks used to support people with mental health diagnoses. The Mental Capacity Act (Department of Health, 2005) and Mental Health Act (Department of Health, 2007) will be referred to in order to critically explore mental health service provision. Ethical frameworks will also be discussed, including the Nursing and Midwifery Council’s [NMC] (2018) ethical code of conduct and the Department of Health’s (2012) compassion in practice policy. The complexities of adhering to legal, ethical and professional frameworks will be critically discussed, before discussing transferable skills for life and professional practice. </w:t>
      </w:r>
    </w:p>
    <w:p w14:paraId="7A2C5100" w14:textId="07CEA145"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There are various legal frameworks that must be adhered to by people supporting individuals with mental health problems. These frameworks include the Mental Health Act (Department of Health, 2007) which is implemented with the aim of keeping people safe, where service users can be detained under section 2 for assessment and section 3 for treatment. For example, if the police are called to a situation where a person with mental health issues is at risk of harming themselves or others, they can be detained for assessment against their will if this is in their best interests. Although, people with mental health issues may be aware that if they present with serious mental illness, that they will be deprived of their liberty. People may therefore refrain from disclosing their mental health issues and related experiences if they believe that mental health professionals or emergency services will take their free will and liberty from them (Aass et al., 2021).</w:t>
      </w:r>
    </w:p>
    <w:p w14:paraId="112C6D81" w14:textId="12C532D7"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In terms of risk assessment, adhering to legal frameworks is complex, as structured tools are used to assess a person’s risk. It can be argued, however, that these risk assessments are only representative of the professional’s opinion of a person’s risk, rather than the service user’s perceptions (Markham, 2020). Research demonstrates that people with mental health issues are aware of their risks, so should be included in the assessment process to disclose their experiences and perspectives, and engage in positive risk taking (Ahmed et al., 2021). Positive risk taking is when healthcare staff empower service users to make decisions regarding their </w:t>
      </w:r>
      <w:r w:rsidRPr="00740B56">
        <w:rPr>
          <w:rFonts w:asciiTheme="majorHAnsi" w:hAnsiTheme="majorHAnsi" w:cstheme="majorHAnsi"/>
          <w:sz w:val="24"/>
          <w:szCs w:val="24"/>
        </w:rPr>
        <w:lastRenderedPageBreak/>
        <w:t xml:space="preserve">own safety to encourage personal growth (Coffey et al., 2019). For example, a service user might acknowledge their risk of self-harm but decide they want to live in the </w:t>
      </w:r>
      <w:r w:rsidR="007474BD" w:rsidRPr="00740B56">
        <w:rPr>
          <w:rFonts w:asciiTheme="majorHAnsi" w:hAnsiTheme="majorHAnsi" w:cstheme="majorHAnsi"/>
          <w:sz w:val="24"/>
          <w:szCs w:val="24"/>
        </w:rPr>
        <w:t>community,</w:t>
      </w:r>
      <w:r w:rsidRPr="00740B56">
        <w:rPr>
          <w:rFonts w:asciiTheme="majorHAnsi" w:hAnsiTheme="majorHAnsi" w:cstheme="majorHAnsi"/>
          <w:sz w:val="24"/>
          <w:szCs w:val="24"/>
        </w:rPr>
        <w:t xml:space="preserve"> so they are able to increase their independence and social interaction. Allowing service users with mental health issues to make decisions rather than depriving their liberty can therefore overcome barriers of trust between the mental health professional and service users, so they disclose their mental health issues, experiences and preferences accurately.</w:t>
      </w:r>
    </w:p>
    <w:p w14:paraId="7071B51E" w14:textId="2A74B869"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People with mental health issues should be included in decision-making about their care and treatment, which is in line with the Human Rights Act (1998) that states everyone has the right to equality, respect and dignity. This means when supporting people with mental health issues, their preferences, beliefs and values should be respected at all points of care planning and practice. For example, if someone has been diagnosed with schizophrenia using a diagnostic manual such as the Diagnostic and Statistical Manual of Mental Disorders (American Psychiatric Association, 2013), it should not be assumed that the person lacks mental capacity to make their own decisions. Mental capacity is the ability to understand information to make decisions (Calcedo-Barba et al., 2020). In line with the Human Rights Act (1998) and the mental capacity act (Department of Health, 2005), people with mental health issues should be supported to make their own decisions to uphold equality, respect and their dignity. Although, it has been reported that people with mental health issues are typically not given the opportunity to be involved in their care and treatment (Brown &amp; Jones, 2021). This lack of involvement and ability to deprive people of their liberty under the mental capacity act, if they are assessed as lacking mental capacity, could deter people from disclosing their mental health diagnoses and experiences.</w:t>
      </w:r>
    </w:p>
    <w:p w14:paraId="43DECF92" w14:textId="25547448"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There are different theoretical perspectives related to morality, which is the term used to describe </w:t>
      </w:r>
      <w:r w:rsidR="006B4BDF" w:rsidRPr="00740B56">
        <w:rPr>
          <w:rFonts w:asciiTheme="majorHAnsi" w:hAnsiTheme="majorHAnsi" w:cstheme="majorHAnsi"/>
          <w:sz w:val="24"/>
          <w:szCs w:val="24"/>
        </w:rPr>
        <w:t>whether</w:t>
      </w:r>
      <w:r w:rsidRPr="00740B56">
        <w:rPr>
          <w:rFonts w:asciiTheme="majorHAnsi" w:hAnsiTheme="majorHAnsi" w:cstheme="majorHAnsi"/>
          <w:sz w:val="24"/>
          <w:szCs w:val="24"/>
        </w:rPr>
        <w:t xml:space="preserve"> people’s actions are based on good values and principles (Frankena, 2020). Kantian deontology is where morality is based on a person’s motivation for their behaviour and actions (Kranak, 2019). It is important when working with people with mental health problems that decisions related to their care and treatment are collaborative, person-centred and made with the service users’ best interests as a priority. This is especially in the case when people with mental health issues have been assessed as lacking mental capacity to make decisions for themselves under the mental capacity act (Department of Health, 2005). For example, a mental health professional would be acting ethically and under their moral principles if they follow a service user’s advance planning decisions in the case of them lacking mental capacity. This means decisions about service users’ care are made in collaboration with the service user as much as possible, ensuring their preferences, needs and values are prioritised (World Health Organisation, 2021).</w:t>
      </w:r>
    </w:p>
    <w:p w14:paraId="55CDF4EC" w14:textId="33FDA3CE"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In terms of being truthful, the moral principle may be used by people with mental health issues when deciding to disclose or conceal their diagnosis. For example, people may disclose their mental health issues when they believe in the moral principle to tell the truth (Varkey, 2021). People, however, may conceal their mental health diagnosis when they believe other people have poor virtue ethics and will be judged for their mental illness (Lincoln et al., 2017). Virtue ethics are those that focus on people’s character and being a good citizen (MacKay, 2022). Being aware of and emphasising virtue ethics is important when working </w:t>
      </w:r>
      <w:r w:rsidRPr="00740B56">
        <w:rPr>
          <w:rFonts w:asciiTheme="majorHAnsi" w:hAnsiTheme="majorHAnsi" w:cstheme="majorHAnsi"/>
          <w:sz w:val="24"/>
          <w:szCs w:val="24"/>
        </w:rPr>
        <w:lastRenderedPageBreak/>
        <w:t>with people with mental health problems, which is outlined in the Department of Health’s (2012) compassion in practice policy. This policy outlines the 6 C’s which underpin healthcare: care, competence, compassion, communication, commitment and courage.</w:t>
      </w:r>
    </w:p>
    <w:p w14:paraId="5939D641" w14:textId="12029653"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In applying the moral principles of the 6 C’s (Department of Health, 2012) to practice, this can facilitate service users’ trust in healthcare professionals (Feo et al., 2018). When service users are more trusting of healthcare workers and feel safe collaborating with them, they are more likely to disclose their mental health problems, feelings and experiences (Staniszewska et al., 2019). Disclosing this information can help to have more honest discussions with service users about their issues, experiences and in the development of their treatment plans (Gurung et al., 2017). Honest disclosure can also aid in empowering people to take control of their health and lives, where they become more involved in the care process and focus on their own recovery (Marklund et al., 2020). Research has found that recovery requires personal autonomy to make choices, have self-control and the determination to recovery (Hoffman et al., 2020). The systematic strains of the NHS, however, mean that the focus of recovery is constrained by the system, rather than focused on individual service users (Woods et al., 2020). For example, being short staffed and long waitlists can reduce a service user’s options for treatment and care (Thomas et al., 2020). A service user might disclose that they would </w:t>
      </w:r>
      <w:r w:rsidR="007474BD" w:rsidRPr="00740B56">
        <w:rPr>
          <w:rFonts w:asciiTheme="majorHAnsi" w:hAnsiTheme="majorHAnsi" w:cstheme="majorHAnsi"/>
          <w:sz w:val="24"/>
          <w:szCs w:val="24"/>
        </w:rPr>
        <w:t>prefer</w:t>
      </w:r>
      <w:r w:rsidRPr="00740B56">
        <w:rPr>
          <w:rFonts w:asciiTheme="majorHAnsi" w:hAnsiTheme="majorHAnsi" w:cstheme="majorHAnsi"/>
          <w:sz w:val="24"/>
          <w:szCs w:val="24"/>
        </w:rPr>
        <w:t xml:space="preserve"> talking therapy so they can discuss their mental health problems, but waitlists on the NHS are long so they may be offered medication in the </w:t>
      </w:r>
      <w:r w:rsidR="007474BD" w:rsidRPr="00740B56">
        <w:rPr>
          <w:rFonts w:asciiTheme="majorHAnsi" w:hAnsiTheme="majorHAnsi" w:cstheme="majorHAnsi"/>
          <w:sz w:val="24"/>
          <w:szCs w:val="24"/>
        </w:rPr>
        <w:t>meantime</w:t>
      </w:r>
      <w:r w:rsidRPr="00740B56">
        <w:rPr>
          <w:rFonts w:asciiTheme="majorHAnsi" w:hAnsiTheme="majorHAnsi" w:cstheme="majorHAnsi"/>
          <w:sz w:val="24"/>
          <w:szCs w:val="24"/>
        </w:rPr>
        <w:t>. This means service users’ preferences would not be adhered to, which could prevent them disclosing the extent of their mental health problems and experiences in the future.</w:t>
      </w:r>
    </w:p>
    <w:p w14:paraId="3BD81F13" w14:textId="59193505"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It can be complex to adhere to legal, ethical and professional frameworks in cases of where people have variable mental capacity. A person with mental health issues may have mental capacity to make some decisions but not others at different points in time (Li &amp; Chapman, 2020). For example, a service user with schizophrenia may lack mental capacity when they </w:t>
      </w:r>
      <w:r w:rsidR="007474BD" w:rsidRPr="00740B56">
        <w:rPr>
          <w:rFonts w:asciiTheme="majorHAnsi" w:hAnsiTheme="majorHAnsi" w:cstheme="majorHAnsi"/>
          <w:sz w:val="24"/>
          <w:szCs w:val="24"/>
        </w:rPr>
        <w:t>are experiencing</w:t>
      </w:r>
      <w:r w:rsidRPr="00740B56">
        <w:rPr>
          <w:rFonts w:asciiTheme="majorHAnsi" w:hAnsiTheme="majorHAnsi" w:cstheme="majorHAnsi"/>
          <w:sz w:val="24"/>
          <w:szCs w:val="24"/>
        </w:rPr>
        <w:t xml:space="preserve"> a period of </w:t>
      </w:r>
      <w:r w:rsidR="007474BD" w:rsidRPr="00740B56">
        <w:rPr>
          <w:rFonts w:asciiTheme="majorHAnsi" w:hAnsiTheme="majorHAnsi" w:cstheme="majorHAnsi"/>
          <w:sz w:val="24"/>
          <w:szCs w:val="24"/>
        </w:rPr>
        <w:t>psychosis but</w:t>
      </w:r>
      <w:r w:rsidRPr="00740B56">
        <w:rPr>
          <w:rFonts w:asciiTheme="majorHAnsi" w:hAnsiTheme="majorHAnsi" w:cstheme="majorHAnsi"/>
          <w:sz w:val="24"/>
          <w:szCs w:val="24"/>
        </w:rPr>
        <w:t xml:space="preserve"> have mental capacity to make decisions about their care and treatment prior to these periods and following. People working with people with mental health issues must therefore be aware of the variability of mental capacity and must not assume service users lack mental capacity. Ethical dilemmas can arise when people are assessed as lacking mental capacity under the mental capacity act (Department of Health, 2005), where they may be given treatment against their will and decisions are made on their behalf. Under ethical frameworks such as the NMC’s (2018) ethical code of conduct, nurses are required to be empowered and encouraged to be involved in decisions about their care and treatment.</w:t>
      </w:r>
    </w:p>
    <w:p w14:paraId="6D2CFB82" w14:textId="060F1214"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Ethical dilemmas also occur when people are detained for assessment or treatment under the mental health act (Department of Health, 2007). The NMC (2018) code states that nurses should always act in people’s best interests, with proper informed consent which is documented prior to any action. In the case of people being detained under section 3 of the mental health act (Department of Health, 2007) for treatment, nurses may encounter ethical dilemmas related to giving treatment to people with mental health issues without their consent. This ethical dilemma, however, can be overcome by people making advanced decisions about their care, treatment and preferences (Felton et al., 2018), or making </w:t>
      </w:r>
      <w:r w:rsidRPr="00740B56">
        <w:rPr>
          <w:rFonts w:asciiTheme="majorHAnsi" w:hAnsiTheme="majorHAnsi" w:cstheme="majorHAnsi"/>
          <w:sz w:val="24"/>
          <w:szCs w:val="24"/>
        </w:rPr>
        <w:lastRenderedPageBreak/>
        <w:t xml:space="preserve">decisions that are in line with the service users’ preferences, values and beliefs by communicating with their families (World Health Organization, 2021). As nurses and healthcare workers themselves face dilemmas about the care and treatment of people with mental health issues, it is not surprising that service users themselves face dilemmas when choosing what information to disclose or conceal related to their mental health issues and experiences (Mills et al., 2020). </w:t>
      </w:r>
    </w:p>
    <w:p w14:paraId="099B77E0" w14:textId="25ABAA3F"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When considering the complexities of ethical dilemmas when supporting people with mental health issues and how </w:t>
      </w:r>
      <w:r w:rsidR="007474BD" w:rsidRPr="00740B56">
        <w:rPr>
          <w:rFonts w:asciiTheme="majorHAnsi" w:hAnsiTheme="majorHAnsi" w:cstheme="majorHAnsi"/>
          <w:sz w:val="24"/>
          <w:szCs w:val="24"/>
        </w:rPr>
        <w:t>these impacts</w:t>
      </w:r>
      <w:r w:rsidRPr="00740B56">
        <w:rPr>
          <w:rFonts w:asciiTheme="majorHAnsi" w:hAnsiTheme="majorHAnsi" w:cstheme="majorHAnsi"/>
          <w:sz w:val="24"/>
          <w:szCs w:val="24"/>
        </w:rPr>
        <w:t xml:space="preserve"> if service users choose to disclose or conceal their experiences with mental illness, it is important that healthcare workers develop skills in decision-making, communication and reflexivity (Hersted et al., 2019). Those supporting people with mental health issues are required to make decisions about care and treatment, some of which can deprive service users of their liberty and freedom of choice. As service users may be aware that mental health professionals can deprive them of their liberty for assessment or </w:t>
      </w:r>
      <w:r w:rsidR="007474BD" w:rsidRPr="00740B56">
        <w:rPr>
          <w:rFonts w:asciiTheme="majorHAnsi" w:hAnsiTheme="majorHAnsi" w:cstheme="majorHAnsi"/>
          <w:sz w:val="24"/>
          <w:szCs w:val="24"/>
        </w:rPr>
        <w:t>treatment,</w:t>
      </w:r>
      <w:r w:rsidRPr="00740B56">
        <w:rPr>
          <w:rFonts w:asciiTheme="majorHAnsi" w:hAnsiTheme="majorHAnsi" w:cstheme="majorHAnsi"/>
          <w:sz w:val="24"/>
          <w:szCs w:val="24"/>
        </w:rPr>
        <w:t xml:space="preserve"> if necessary, service users may conceal information about their experiences of mental illness (Isaksson et al., 2018). This makes it important for health and social care workers to be </w:t>
      </w:r>
      <w:r w:rsidR="007474BD" w:rsidRPr="00740B56">
        <w:rPr>
          <w:rFonts w:asciiTheme="majorHAnsi" w:hAnsiTheme="majorHAnsi" w:cstheme="majorHAnsi"/>
          <w:sz w:val="24"/>
          <w:szCs w:val="24"/>
        </w:rPr>
        <w:t>knowledgeable</w:t>
      </w:r>
      <w:r w:rsidRPr="00740B56">
        <w:rPr>
          <w:rFonts w:asciiTheme="majorHAnsi" w:hAnsiTheme="majorHAnsi" w:cstheme="majorHAnsi"/>
          <w:sz w:val="24"/>
          <w:szCs w:val="24"/>
        </w:rPr>
        <w:t xml:space="preserve"> in both legal and ethical frameworks, so they </w:t>
      </w:r>
      <w:r w:rsidR="007474BD" w:rsidRPr="00740B56">
        <w:rPr>
          <w:rFonts w:asciiTheme="majorHAnsi" w:hAnsiTheme="majorHAnsi" w:cstheme="majorHAnsi"/>
          <w:sz w:val="24"/>
          <w:szCs w:val="24"/>
        </w:rPr>
        <w:t>can</w:t>
      </w:r>
      <w:r w:rsidRPr="00740B56">
        <w:rPr>
          <w:rFonts w:asciiTheme="majorHAnsi" w:hAnsiTheme="majorHAnsi" w:cstheme="majorHAnsi"/>
          <w:sz w:val="24"/>
          <w:szCs w:val="24"/>
        </w:rPr>
        <w:t xml:space="preserve"> adhere to both when supporting service users. The student therefore recognises that they must develop their knowledge of legal and ethical frameworks and their ability to apply these frameworks in professional practice.</w:t>
      </w:r>
    </w:p>
    <w:p w14:paraId="2C527211" w14:textId="486F68D5"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Ethical dilemmas can arise when making decisions, so it is important that people supporting those with mental health problems are able to consider service users’ and their families’ preferences, values and beliefs to make decisions in their best interests. This requires communication with service users and their families, ensuring that active listening and understanding is demonstrated to create positive therapeutic relationships and foster trust (Keefe et al., 2020). Fostering trust is important in professional practice, so people feel safe to disclose their experiences with mental health issues and where support is required (Horgan et al., 2018). The student therefore aims to develop their communication </w:t>
      </w:r>
      <w:r w:rsidR="007474BD" w:rsidRPr="00740B56">
        <w:rPr>
          <w:rFonts w:asciiTheme="majorHAnsi" w:hAnsiTheme="majorHAnsi" w:cstheme="majorHAnsi"/>
          <w:sz w:val="24"/>
          <w:szCs w:val="24"/>
        </w:rPr>
        <w:t>skills,</w:t>
      </w:r>
      <w:r w:rsidRPr="00740B56">
        <w:rPr>
          <w:rFonts w:asciiTheme="majorHAnsi" w:hAnsiTheme="majorHAnsi" w:cstheme="majorHAnsi"/>
          <w:sz w:val="24"/>
          <w:szCs w:val="24"/>
        </w:rPr>
        <w:t xml:space="preserve"> so they are competent in having discussions with service users and their families to establish their values, beliefs and goals for recovery to formulate person-centred treatment plans. This would require the student to develop the ability to communicate medical terms or treatment options in a way that service users and families understanding, without jargon or coercion. </w:t>
      </w:r>
    </w:p>
    <w:p w14:paraId="6180659F" w14:textId="66FE1373" w:rsidR="003E4935" w:rsidRPr="00740B56" w:rsidRDefault="003E4935" w:rsidP="003E4935">
      <w:pPr>
        <w:rPr>
          <w:rFonts w:asciiTheme="majorHAnsi" w:hAnsiTheme="majorHAnsi" w:cstheme="majorHAnsi"/>
          <w:sz w:val="24"/>
          <w:szCs w:val="24"/>
        </w:rPr>
      </w:pPr>
      <w:r w:rsidRPr="00740B56">
        <w:rPr>
          <w:rFonts w:asciiTheme="majorHAnsi" w:hAnsiTheme="majorHAnsi" w:cstheme="majorHAnsi"/>
          <w:sz w:val="24"/>
          <w:szCs w:val="24"/>
        </w:rPr>
        <w:t xml:space="preserve">In conclusion, people diagnosed with mental illnesses are often confronted with dilemmas of disclosing information about their diagnoses and experiences or whether to conceal information. In mental health practice, people </w:t>
      </w:r>
      <w:r w:rsidR="007474BD" w:rsidRPr="00740B56">
        <w:rPr>
          <w:rFonts w:asciiTheme="majorHAnsi" w:hAnsiTheme="majorHAnsi" w:cstheme="majorHAnsi"/>
          <w:sz w:val="24"/>
          <w:szCs w:val="24"/>
        </w:rPr>
        <w:t>can</w:t>
      </w:r>
      <w:r w:rsidRPr="00740B56">
        <w:rPr>
          <w:rFonts w:asciiTheme="majorHAnsi" w:hAnsiTheme="majorHAnsi" w:cstheme="majorHAnsi"/>
          <w:sz w:val="24"/>
          <w:szCs w:val="24"/>
        </w:rPr>
        <w:t xml:space="preserve"> be detained for assessment and treatment under the mental health act (Department of Health, 2007). As service users are aware of this, they may not disclose the full extent of their mental health issues or experiences with those supporting them. Under the human rights act (1998) people have the right to equality, dignity and respect so should, even if they lack mental capacity, be able to contribute to decisions regarding their care and treatment. This could be in the form of advanced decision-making or communicating with the service users’ family members to establish their beliefs, preferences and goals. This involvement in decision-making is likely to facilitate service users’ trust and satisfaction with the support they receive, making it more likely that they feel safe </w:t>
      </w:r>
      <w:r w:rsidRPr="00740B56">
        <w:rPr>
          <w:rFonts w:asciiTheme="majorHAnsi" w:hAnsiTheme="majorHAnsi" w:cstheme="majorHAnsi"/>
          <w:sz w:val="24"/>
          <w:szCs w:val="24"/>
        </w:rPr>
        <w:lastRenderedPageBreak/>
        <w:t xml:space="preserve">disclosing information about their mental illness and experiences. People supporting those with mental health issues experience ethical dilemmas in adhering to legal and ethical frameworks related to consent and decision-making. As those supporting people with mental health issues themselves face dilemmas, it is not surprising that service users themselves face dilemmas when choosing what information to disclose or conceal related to their mental health issues and experiences. </w:t>
      </w:r>
    </w:p>
    <w:p w14:paraId="15C779BA" w14:textId="77777777" w:rsidR="003E4935" w:rsidRPr="00740B56" w:rsidRDefault="003E4935" w:rsidP="003E4935">
      <w:pPr>
        <w:rPr>
          <w:rFonts w:asciiTheme="majorHAnsi" w:hAnsiTheme="majorHAnsi" w:cstheme="majorHAnsi"/>
          <w:sz w:val="24"/>
          <w:szCs w:val="24"/>
        </w:rPr>
      </w:pPr>
    </w:p>
    <w:p w14:paraId="59C9AD39" w14:textId="77777777" w:rsidR="000F7840" w:rsidRPr="00740B56" w:rsidRDefault="000F7840" w:rsidP="003E4935">
      <w:pPr>
        <w:rPr>
          <w:rFonts w:asciiTheme="majorHAnsi" w:hAnsiTheme="majorHAnsi" w:cstheme="majorHAnsi"/>
          <w:sz w:val="24"/>
          <w:szCs w:val="24"/>
        </w:rPr>
      </w:pPr>
    </w:p>
    <w:p w14:paraId="164F6FD8" w14:textId="77777777" w:rsidR="000F7840" w:rsidRPr="00740B56" w:rsidRDefault="000F7840" w:rsidP="003E4935">
      <w:pPr>
        <w:rPr>
          <w:rFonts w:asciiTheme="majorHAnsi" w:hAnsiTheme="majorHAnsi" w:cstheme="majorHAnsi"/>
          <w:sz w:val="24"/>
          <w:szCs w:val="24"/>
        </w:rPr>
      </w:pPr>
    </w:p>
    <w:p w14:paraId="26E89842" w14:textId="77777777" w:rsidR="000F7840" w:rsidRPr="00740B56" w:rsidRDefault="000F7840" w:rsidP="003E4935">
      <w:pPr>
        <w:rPr>
          <w:rFonts w:asciiTheme="majorHAnsi" w:hAnsiTheme="majorHAnsi" w:cstheme="majorHAnsi"/>
          <w:sz w:val="24"/>
          <w:szCs w:val="24"/>
        </w:rPr>
      </w:pPr>
    </w:p>
    <w:p w14:paraId="7CFE4AFF" w14:textId="77777777" w:rsidR="000F7840" w:rsidRPr="00740B56" w:rsidRDefault="000F7840" w:rsidP="003E4935">
      <w:pPr>
        <w:rPr>
          <w:rFonts w:asciiTheme="majorHAnsi" w:hAnsiTheme="majorHAnsi" w:cstheme="majorHAnsi"/>
          <w:sz w:val="24"/>
          <w:szCs w:val="24"/>
        </w:rPr>
      </w:pPr>
    </w:p>
    <w:p w14:paraId="2B6F34CA" w14:textId="77777777" w:rsidR="000F7840" w:rsidRPr="00740B56" w:rsidRDefault="000F7840" w:rsidP="003E4935">
      <w:pPr>
        <w:rPr>
          <w:rFonts w:asciiTheme="majorHAnsi" w:hAnsiTheme="majorHAnsi" w:cstheme="majorHAnsi"/>
          <w:sz w:val="24"/>
          <w:szCs w:val="24"/>
        </w:rPr>
      </w:pPr>
    </w:p>
    <w:p w14:paraId="5EC8A1FE" w14:textId="77777777" w:rsidR="000F7840" w:rsidRPr="00740B56" w:rsidRDefault="000F7840" w:rsidP="003E4935">
      <w:pPr>
        <w:rPr>
          <w:rFonts w:asciiTheme="majorHAnsi" w:hAnsiTheme="majorHAnsi" w:cstheme="majorHAnsi"/>
          <w:sz w:val="24"/>
          <w:szCs w:val="24"/>
        </w:rPr>
      </w:pPr>
    </w:p>
    <w:p w14:paraId="356A6CCD" w14:textId="77777777" w:rsidR="000F7840" w:rsidRPr="00740B56" w:rsidRDefault="000F7840" w:rsidP="003E4935">
      <w:pPr>
        <w:rPr>
          <w:rFonts w:asciiTheme="majorHAnsi" w:hAnsiTheme="majorHAnsi" w:cstheme="majorHAnsi"/>
          <w:sz w:val="24"/>
          <w:szCs w:val="24"/>
        </w:rPr>
      </w:pPr>
    </w:p>
    <w:p w14:paraId="07EC445A" w14:textId="77777777" w:rsidR="000F7840" w:rsidRPr="00740B56" w:rsidRDefault="000F7840" w:rsidP="003E4935">
      <w:pPr>
        <w:rPr>
          <w:rFonts w:asciiTheme="majorHAnsi" w:hAnsiTheme="majorHAnsi" w:cstheme="majorHAnsi"/>
          <w:sz w:val="24"/>
          <w:szCs w:val="24"/>
        </w:rPr>
      </w:pPr>
    </w:p>
    <w:p w14:paraId="3780B3C6" w14:textId="77777777" w:rsidR="000F7840" w:rsidRPr="00740B56" w:rsidRDefault="000F7840" w:rsidP="003E4935">
      <w:pPr>
        <w:rPr>
          <w:rFonts w:asciiTheme="majorHAnsi" w:hAnsiTheme="majorHAnsi" w:cstheme="majorHAnsi"/>
          <w:sz w:val="24"/>
          <w:szCs w:val="24"/>
        </w:rPr>
      </w:pPr>
    </w:p>
    <w:p w14:paraId="6ADC7DC9" w14:textId="77777777" w:rsidR="000F7840" w:rsidRPr="00740B56" w:rsidRDefault="000F7840" w:rsidP="003E4935">
      <w:pPr>
        <w:rPr>
          <w:rFonts w:asciiTheme="majorHAnsi" w:hAnsiTheme="majorHAnsi" w:cstheme="majorHAnsi"/>
          <w:sz w:val="24"/>
          <w:szCs w:val="24"/>
        </w:rPr>
      </w:pPr>
    </w:p>
    <w:p w14:paraId="660848DD" w14:textId="77777777" w:rsidR="000F7840" w:rsidRPr="00740B56" w:rsidRDefault="000F7840" w:rsidP="003E4935">
      <w:pPr>
        <w:rPr>
          <w:rFonts w:asciiTheme="majorHAnsi" w:hAnsiTheme="majorHAnsi" w:cstheme="majorHAnsi"/>
          <w:sz w:val="24"/>
          <w:szCs w:val="24"/>
        </w:rPr>
      </w:pPr>
    </w:p>
    <w:p w14:paraId="140D33D4" w14:textId="77777777" w:rsidR="00740B56" w:rsidRDefault="00740B56" w:rsidP="003E4935">
      <w:pPr>
        <w:rPr>
          <w:rFonts w:asciiTheme="majorHAnsi" w:hAnsiTheme="majorHAnsi" w:cstheme="majorHAnsi"/>
          <w:sz w:val="24"/>
          <w:szCs w:val="24"/>
          <w:u w:val="single"/>
        </w:rPr>
      </w:pPr>
    </w:p>
    <w:p w14:paraId="1F436921" w14:textId="77777777" w:rsidR="00740B56" w:rsidRDefault="00740B56" w:rsidP="003E4935">
      <w:pPr>
        <w:rPr>
          <w:rFonts w:asciiTheme="majorHAnsi" w:hAnsiTheme="majorHAnsi" w:cstheme="majorHAnsi"/>
          <w:sz w:val="24"/>
          <w:szCs w:val="24"/>
          <w:u w:val="single"/>
        </w:rPr>
      </w:pPr>
    </w:p>
    <w:p w14:paraId="3607EDF2" w14:textId="77777777" w:rsidR="00740B56" w:rsidRDefault="00740B56" w:rsidP="003E4935">
      <w:pPr>
        <w:rPr>
          <w:rFonts w:asciiTheme="majorHAnsi" w:hAnsiTheme="majorHAnsi" w:cstheme="majorHAnsi"/>
          <w:sz w:val="24"/>
          <w:szCs w:val="24"/>
          <w:u w:val="single"/>
        </w:rPr>
      </w:pPr>
    </w:p>
    <w:p w14:paraId="6089CFE3" w14:textId="77777777" w:rsidR="00740B56" w:rsidRDefault="00740B56" w:rsidP="003E4935">
      <w:pPr>
        <w:rPr>
          <w:rFonts w:asciiTheme="majorHAnsi" w:hAnsiTheme="majorHAnsi" w:cstheme="majorHAnsi"/>
          <w:sz w:val="24"/>
          <w:szCs w:val="24"/>
          <w:u w:val="single"/>
        </w:rPr>
      </w:pPr>
    </w:p>
    <w:p w14:paraId="6BB4E806" w14:textId="77777777" w:rsidR="00740B56" w:rsidRDefault="00740B56" w:rsidP="003E4935">
      <w:pPr>
        <w:rPr>
          <w:rFonts w:asciiTheme="majorHAnsi" w:hAnsiTheme="majorHAnsi" w:cstheme="majorHAnsi"/>
          <w:sz w:val="24"/>
          <w:szCs w:val="24"/>
          <w:u w:val="single"/>
        </w:rPr>
      </w:pPr>
    </w:p>
    <w:p w14:paraId="32F26D26" w14:textId="77777777" w:rsidR="00740B56" w:rsidRDefault="00740B56" w:rsidP="003E4935">
      <w:pPr>
        <w:rPr>
          <w:rFonts w:asciiTheme="majorHAnsi" w:hAnsiTheme="majorHAnsi" w:cstheme="majorHAnsi"/>
          <w:sz w:val="24"/>
          <w:szCs w:val="24"/>
          <w:u w:val="single"/>
        </w:rPr>
      </w:pPr>
    </w:p>
    <w:p w14:paraId="7E82C90D" w14:textId="77777777" w:rsidR="00740B56" w:rsidRDefault="00740B56" w:rsidP="003E4935">
      <w:pPr>
        <w:rPr>
          <w:rFonts w:asciiTheme="majorHAnsi" w:hAnsiTheme="majorHAnsi" w:cstheme="majorHAnsi"/>
          <w:sz w:val="24"/>
          <w:szCs w:val="24"/>
          <w:u w:val="single"/>
        </w:rPr>
      </w:pPr>
    </w:p>
    <w:p w14:paraId="00A4FC06" w14:textId="77777777" w:rsidR="00740B56" w:rsidRDefault="00740B56" w:rsidP="003E4935">
      <w:pPr>
        <w:rPr>
          <w:rFonts w:asciiTheme="majorHAnsi" w:hAnsiTheme="majorHAnsi" w:cstheme="majorHAnsi"/>
          <w:sz w:val="24"/>
          <w:szCs w:val="24"/>
          <w:u w:val="single"/>
        </w:rPr>
      </w:pPr>
    </w:p>
    <w:p w14:paraId="4950D976" w14:textId="77777777" w:rsidR="00740B56" w:rsidRDefault="00740B56" w:rsidP="003E4935">
      <w:pPr>
        <w:rPr>
          <w:rFonts w:asciiTheme="majorHAnsi" w:hAnsiTheme="majorHAnsi" w:cstheme="majorHAnsi"/>
          <w:sz w:val="24"/>
          <w:szCs w:val="24"/>
          <w:u w:val="single"/>
        </w:rPr>
      </w:pPr>
    </w:p>
    <w:p w14:paraId="2407E6F9" w14:textId="77777777" w:rsidR="00740B56" w:rsidRDefault="00740B56" w:rsidP="003E4935">
      <w:pPr>
        <w:rPr>
          <w:rFonts w:asciiTheme="majorHAnsi" w:hAnsiTheme="majorHAnsi" w:cstheme="majorHAnsi"/>
          <w:sz w:val="24"/>
          <w:szCs w:val="24"/>
          <w:u w:val="single"/>
        </w:rPr>
      </w:pPr>
    </w:p>
    <w:p w14:paraId="24281478" w14:textId="77777777" w:rsidR="00740B56" w:rsidRDefault="00740B56" w:rsidP="003E4935">
      <w:pPr>
        <w:rPr>
          <w:rFonts w:asciiTheme="majorHAnsi" w:hAnsiTheme="majorHAnsi" w:cstheme="majorHAnsi"/>
          <w:sz w:val="24"/>
          <w:szCs w:val="24"/>
          <w:u w:val="single"/>
        </w:rPr>
      </w:pPr>
    </w:p>
    <w:p w14:paraId="6C8147A5" w14:textId="77777777" w:rsidR="00740B56" w:rsidRDefault="00740B56" w:rsidP="003E4935">
      <w:pPr>
        <w:rPr>
          <w:rFonts w:asciiTheme="majorHAnsi" w:hAnsiTheme="majorHAnsi" w:cstheme="majorHAnsi"/>
          <w:sz w:val="24"/>
          <w:szCs w:val="24"/>
          <w:u w:val="single"/>
        </w:rPr>
      </w:pPr>
    </w:p>
    <w:p w14:paraId="2A2132B7" w14:textId="77777777" w:rsidR="00740B56" w:rsidRDefault="00740B56" w:rsidP="003E4935">
      <w:pPr>
        <w:rPr>
          <w:rFonts w:asciiTheme="majorHAnsi" w:hAnsiTheme="majorHAnsi" w:cstheme="majorHAnsi"/>
          <w:sz w:val="24"/>
          <w:szCs w:val="24"/>
          <w:u w:val="single"/>
        </w:rPr>
      </w:pPr>
    </w:p>
    <w:p w14:paraId="20959CCE" w14:textId="36A66FF1" w:rsidR="003E4935" w:rsidRPr="00740B56" w:rsidRDefault="003E4935" w:rsidP="003E4935">
      <w:pPr>
        <w:rPr>
          <w:rFonts w:asciiTheme="majorHAnsi" w:hAnsiTheme="majorHAnsi" w:cstheme="majorHAnsi"/>
          <w:sz w:val="24"/>
          <w:szCs w:val="24"/>
          <w:u w:val="single"/>
        </w:rPr>
      </w:pPr>
      <w:r w:rsidRPr="00740B56">
        <w:rPr>
          <w:rFonts w:asciiTheme="majorHAnsi" w:hAnsiTheme="majorHAnsi" w:cstheme="majorHAnsi"/>
          <w:sz w:val="24"/>
          <w:szCs w:val="24"/>
          <w:u w:val="single"/>
        </w:rPr>
        <w:lastRenderedPageBreak/>
        <w:t>Reference</w:t>
      </w:r>
      <w:r w:rsidR="000F7840" w:rsidRPr="00740B56">
        <w:rPr>
          <w:rFonts w:asciiTheme="majorHAnsi" w:hAnsiTheme="majorHAnsi" w:cstheme="majorHAnsi"/>
          <w:sz w:val="24"/>
          <w:szCs w:val="24"/>
          <w:u w:val="single"/>
        </w:rPr>
        <w:t xml:space="preserve"> List</w:t>
      </w:r>
    </w:p>
    <w:p w14:paraId="14AADD74" w14:textId="45B6DC01"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lang w:val="de-DE"/>
        </w:rPr>
        <w:t>Aass, L. K., Skundberg-Kletthagen, H., Schr</w:t>
      </w:r>
      <w:r w:rsidRPr="00740B56">
        <w:rPr>
          <w:rFonts w:asciiTheme="majorHAnsi" w:hAnsiTheme="majorHAnsi" w:cstheme="majorHAnsi"/>
          <w:sz w:val="24"/>
          <w:szCs w:val="24"/>
          <w:lang w:val="sv-SE"/>
        </w:rPr>
        <w:t>ö</w:t>
      </w:r>
      <w:r w:rsidRPr="00740B56">
        <w:rPr>
          <w:rFonts w:asciiTheme="majorHAnsi" w:hAnsiTheme="majorHAnsi" w:cstheme="majorHAnsi"/>
          <w:sz w:val="24"/>
          <w:szCs w:val="24"/>
          <w:lang w:val="nl-NL"/>
        </w:rPr>
        <w:t xml:space="preserve">der, A., &amp; Moen, </w:t>
      </w:r>
      <w:r w:rsidRPr="00740B56">
        <w:rPr>
          <w:rFonts w:asciiTheme="majorHAnsi" w:hAnsiTheme="majorHAnsi" w:cstheme="majorHAnsi"/>
          <w:sz w:val="24"/>
          <w:szCs w:val="24"/>
        </w:rPr>
        <w:t xml:space="preserve">Ø. L. (2021). It’s not a race, </w:t>
      </w:r>
      <w:r w:rsidR="007474BD" w:rsidRPr="00740B56">
        <w:rPr>
          <w:rFonts w:asciiTheme="majorHAnsi" w:hAnsiTheme="majorHAnsi" w:cstheme="majorHAnsi"/>
          <w:sz w:val="24"/>
          <w:szCs w:val="24"/>
        </w:rPr>
        <w:t>it’s a</w:t>
      </w:r>
      <w:r w:rsidRPr="00740B56">
        <w:rPr>
          <w:rFonts w:asciiTheme="majorHAnsi" w:hAnsiTheme="majorHAnsi" w:cstheme="majorHAnsi"/>
          <w:sz w:val="24"/>
          <w:szCs w:val="24"/>
        </w:rPr>
        <w:t xml:space="preserve"> marathon! Families living with a young adult suffering from mental illness. </w:t>
      </w:r>
      <w:r w:rsidRPr="00740B56">
        <w:rPr>
          <w:rFonts w:asciiTheme="majorHAnsi" w:hAnsiTheme="majorHAnsi" w:cstheme="majorHAnsi"/>
          <w:i/>
          <w:iCs/>
          <w:sz w:val="24"/>
          <w:szCs w:val="24"/>
        </w:rPr>
        <w:t>Issues in Mental Health Nursing, 42</w:t>
      </w:r>
      <w:r w:rsidRPr="00740B56">
        <w:rPr>
          <w:rFonts w:asciiTheme="majorHAnsi" w:hAnsiTheme="majorHAnsi" w:cstheme="majorHAnsi"/>
          <w:sz w:val="24"/>
          <w:szCs w:val="24"/>
        </w:rPr>
        <w:t xml:space="preserve">(1), 15-23. </w:t>
      </w:r>
      <w:hyperlink r:id="rId4" w:history="1">
        <w:r w:rsidR="007474BD" w:rsidRPr="00740B56">
          <w:rPr>
            <w:rStyle w:val="Hyperlink"/>
            <w:rFonts w:asciiTheme="majorHAnsi" w:hAnsiTheme="majorHAnsi" w:cstheme="majorHAnsi"/>
            <w:sz w:val="24"/>
            <w:szCs w:val="24"/>
          </w:rPr>
          <w:t>https://doi.org/10.1080/01612840.2020.1770384</w:t>
        </w:r>
      </w:hyperlink>
      <w:r w:rsidR="007474BD" w:rsidRPr="00740B56">
        <w:rPr>
          <w:rFonts w:asciiTheme="majorHAnsi" w:hAnsiTheme="majorHAnsi" w:cstheme="majorHAnsi"/>
          <w:sz w:val="24"/>
          <w:szCs w:val="24"/>
        </w:rPr>
        <w:t xml:space="preserve"> </w:t>
      </w:r>
    </w:p>
    <w:p w14:paraId="79FE56D2" w14:textId="77777777" w:rsidR="007000D8" w:rsidRPr="00740B56" w:rsidRDefault="007000D8" w:rsidP="006A3710">
      <w:pPr>
        <w:pStyle w:val="Body"/>
        <w:ind w:left="567" w:hanging="720"/>
        <w:rPr>
          <w:rFonts w:asciiTheme="majorHAnsi" w:hAnsiTheme="majorHAnsi" w:cstheme="majorHAnsi"/>
          <w:sz w:val="24"/>
          <w:szCs w:val="24"/>
        </w:rPr>
      </w:pPr>
    </w:p>
    <w:p w14:paraId="2D55B286"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Ahmed, N., Barlow, S., Reynolds, L., Drey, N., Begum, F., Tuudah, E., &amp; Simpson, A. (2021). Mental health professionals’ perceived barriers and enablers to shared decision-making in risk assessment and risk management: a qualitative systematic review. </w:t>
      </w:r>
      <w:r w:rsidRPr="00740B56">
        <w:rPr>
          <w:rFonts w:asciiTheme="majorHAnsi" w:hAnsiTheme="majorHAnsi" w:cstheme="majorHAnsi"/>
          <w:i/>
          <w:iCs/>
          <w:sz w:val="24"/>
          <w:szCs w:val="24"/>
        </w:rPr>
        <w:t>BMC psychiatry, 21</w:t>
      </w:r>
      <w:r w:rsidRPr="00740B56">
        <w:rPr>
          <w:rFonts w:asciiTheme="majorHAnsi" w:hAnsiTheme="majorHAnsi" w:cstheme="majorHAnsi"/>
          <w:sz w:val="24"/>
          <w:szCs w:val="24"/>
        </w:rPr>
        <w:t>(1), 1-28.</w:t>
      </w:r>
    </w:p>
    <w:p w14:paraId="4BAE7873" w14:textId="77777777" w:rsidR="007000D8" w:rsidRPr="00740B56" w:rsidRDefault="007000D8" w:rsidP="006A3710">
      <w:pPr>
        <w:pStyle w:val="Body"/>
        <w:ind w:left="567" w:hanging="720"/>
        <w:rPr>
          <w:rFonts w:asciiTheme="majorHAnsi" w:hAnsiTheme="majorHAnsi" w:cstheme="majorHAnsi"/>
          <w:sz w:val="24"/>
          <w:szCs w:val="24"/>
        </w:rPr>
      </w:pPr>
    </w:p>
    <w:p w14:paraId="034B02E0" w14:textId="77777777" w:rsidR="00740B56" w:rsidRPr="00740B56" w:rsidRDefault="00740B56" w:rsidP="00FD0C79">
      <w:pPr>
        <w:pStyle w:val="Body"/>
        <w:ind w:left="720" w:hanging="720"/>
        <w:rPr>
          <w:rFonts w:asciiTheme="majorHAnsi" w:hAnsiTheme="majorHAnsi" w:cstheme="majorHAnsi"/>
          <w:sz w:val="24"/>
          <w:szCs w:val="24"/>
        </w:rPr>
      </w:pPr>
      <w:r w:rsidRPr="00740B56">
        <w:rPr>
          <w:rFonts w:asciiTheme="majorHAnsi" w:hAnsiTheme="majorHAnsi" w:cstheme="majorHAnsi"/>
          <w:sz w:val="24"/>
          <w:szCs w:val="24"/>
        </w:rPr>
        <w:t>American Psychiatric Association. (2013)</w:t>
      </w:r>
      <w:r w:rsidRPr="00740B56">
        <w:rPr>
          <w:rFonts w:asciiTheme="majorHAnsi" w:hAnsiTheme="majorHAnsi" w:cstheme="majorHAnsi"/>
          <w:i/>
          <w:iCs/>
          <w:sz w:val="24"/>
          <w:szCs w:val="24"/>
        </w:rPr>
        <w:t xml:space="preserve"> Diagnostic and statistical manual of mental disorders: DSM-5</w:t>
      </w:r>
      <w:r w:rsidRPr="00740B56">
        <w:rPr>
          <w:rFonts w:asciiTheme="majorHAnsi" w:hAnsiTheme="majorHAnsi" w:cstheme="majorHAnsi"/>
          <w:sz w:val="24"/>
          <w:szCs w:val="24"/>
        </w:rPr>
        <w:t xml:space="preserve"> (5</w:t>
      </w:r>
      <w:r w:rsidRPr="00740B56">
        <w:rPr>
          <w:rFonts w:asciiTheme="majorHAnsi" w:hAnsiTheme="majorHAnsi" w:cstheme="majorHAnsi"/>
          <w:sz w:val="24"/>
          <w:szCs w:val="24"/>
          <w:vertAlign w:val="superscript"/>
        </w:rPr>
        <w:t>th</w:t>
      </w:r>
      <w:r w:rsidRPr="00740B56">
        <w:rPr>
          <w:rFonts w:asciiTheme="majorHAnsi" w:hAnsiTheme="majorHAnsi" w:cstheme="majorHAnsi"/>
          <w:sz w:val="24"/>
          <w:szCs w:val="24"/>
        </w:rPr>
        <w:t xml:space="preserve"> ed) Arlington, VA: American Psychiatric Association</w:t>
      </w:r>
    </w:p>
    <w:p w14:paraId="668CAD25" w14:textId="77777777" w:rsidR="00740B56" w:rsidRPr="00740B56" w:rsidRDefault="00740B56" w:rsidP="00FD0C79">
      <w:pPr>
        <w:pStyle w:val="Body"/>
        <w:ind w:left="567" w:hanging="720"/>
        <w:rPr>
          <w:rFonts w:asciiTheme="majorHAnsi" w:hAnsiTheme="majorHAnsi" w:cstheme="majorHAnsi"/>
          <w:sz w:val="24"/>
          <w:szCs w:val="24"/>
        </w:rPr>
      </w:pPr>
    </w:p>
    <w:p w14:paraId="25C7077E" w14:textId="5DD4E069" w:rsidR="007000D8" w:rsidRPr="00740B56" w:rsidRDefault="007000D8" w:rsidP="00FD0C79">
      <w:pPr>
        <w:pStyle w:val="Body"/>
        <w:ind w:hanging="720"/>
        <w:rPr>
          <w:rFonts w:asciiTheme="majorHAnsi" w:hAnsiTheme="majorHAnsi" w:cstheme="majorHAnsi"/>
          <w:sz w:val="24"/>
          <w:szCs w:val="24"/>
        </w:rPr>
      </w:pPr>
      <w:r w:rsidRPr="00740B56">
        <w:rPr>
          <w:rFonts w:asciiTheme="majorHAnsi" w:hAnsiTheme="majorHAnsi" w:cstheme="majorHAnsi"/>
          <w:sz w:val="24"/>
          <w:szCs w:val="24"/>
        </w:rPr>
        <w:t xml:space="preserve">Bril-Barniv, S., Moran, G. S., Naaman, A., Roe, D., &amp; Karnieli-Miller, O. (2017). A qualitative study examining experiences and dilemmas in concealment and disclosure of people living with serious mental illness. </w:t>
      </w:r>
      <w:r w:rsidRPr="00740B56">
        <w:rPr>
          <w:rFonts w:asciiTheme="majorHAnsi" w:hAnsiTheme="majorHAnsi" w:cstheme="majorHAnsi"/>
          <w:i/>
          <w:iCs/>
          <w:sz w:val="24"/>
          <w:szCs w:val="24"/>
        </w:rPr>
        <w:t>Qualitative Health Research, 27</w:t>
      </w:r>
      <w:r w:rsidRPr="00740B56">
        <w:rPr>
          <w:rFonts w:asciiTheme="majorHAnsi" w:hAnsiTheme="majorHAnsi" w:cstheme="majorHAnsi"/>
          <w:sz w:val="24"/>
          <w:szCs w:val="24"/>
        </w:rPr>
        <w:t xml:space="preserve">(4), 573-583. </w:t>
      </w:r>
      <w:hyperlink r:id="rId5" w:history="1">
        <w:r w:rsidR="007474BD" w:rsidRPr="00740B56">
          <w:rPr>
            <w:rStyle w:val="Hyperlink"/>
            <w:rFonts w:asciiTheme="majorHAnsi" w:hAnsiTheme="majorHAnsi" w:cstheme="majorHAnsi"/>
            <w:sz w:val="24"/>
            <w:szCs w:val="24"/>
          </w:rPr>
          <w:t>https://doi.org/10.1177/1049732316673581</w:t>
        </w:r>
      </w:hyperlink>
      <w:r w:rsidR="007474BD" w:rsidRPr="00740B56">
        <w:rPr>
          <w:rFonts w:asciiTheme="majorHAnsi" w:hAnsiTheme="majorHAnsi" w:cstheme="majorHAnsi"/>
          <w:sz w:val="24"/>
          <w:szCs w:val="24"/>
        </w:rPr>
        <w:t xml:space="preserve"> </w:t>
      </w:r>
    </w:p>
    <w:p w14:paraId="5F772438" w14:textId="77777777" w:rsidR="007000D8" w:rsidRPr="00740B56" w:rsidRDefault="007000D8" w:rsidP="006A3710">
      <w:pPr>
        <w:pStyle w:val="Body"/>
        <w:ind w:left="567" w:hanging="720"/>
        <w:rPr>
          <w:rFonts w:asciiTheme="majorHAnsi" w:hAnsiTheme="majorHAnsi" w:cstheme="majorHAnsi"/>
          <w:sz w:val="24"/>
          <w:szCs w:val="24"/>
        </w:rPr>
      </w:pPr>
    </w:p>
    <w:p w14:paraId="78B56210" w14:textId="7083C9D6"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Brown, M., &amp; Jones, N. (2021). Service user participation within the mental health system: deepening engagement. </w:t>
      </w:r>
      <w:r w:rsidRPr="00740B56">
        <w:rPr>
          <w:rFonts w:asciiTheme="majorHAnsi" w:hAnsiTheme="majorHAnsi" w:cstheme="majorHAnsi"/>
          <w:i/>
          <w:iCs/>
          <w:sz w:val="24"/>
          <w:szCs w:val="24"/>
        </w:rPr>
        <w:t>Psychiatric Services, 72</w:t>
      </w:r>
      <w:r w:rsidRPr="00740B56">
        <w:rPr>
          <w:rFonts w:asciiTheme="majorHAnsi" w:hAnsiTheme="majorHAnsi" w:cstheme="majorHAnsi"/>
          <w:sz w:val="24"/>
          <w:szCs w:val="24"/>
        </w:rPr>
        <w:t xml:space="preserve">(8), 963-965. </w:t>
      </w:r>
      <w:hyperlink r:id="rId6" w:history="1">
        <w:r w:rsidR="007474BD" w:rsidRPr="00740B56">
          <w:rPr>
            <w:rStyle w:val="Hyperlink"/>
            <w:rFonts w:asciiTheme="majorHAnsi" w:hAnsiTheme="majorHAnsi" w:cstheme="majorHAnsi"/>
            <w:sz w:val="24"/>
            <w:szCs w:val="24"/>
          </w:rPr>
          <w:t>https://doi.org/10.1176/appi.ps.202000494</w:t>
        </w:r>
      </w:hyperlink>
      <w:r w:rsidR="007474BD" w:rsidRPr="00740B56">
        <w:rPr>
          <w:rFonts w:asciiTheme="majorHAnsi" w:hAnsiTheme="majorHAnsi" w:cstheme="majorHAnsi"/>
          <w:sz w:val="24"/>
          <w:szCs w:val="24"/>
        </w:rPr>
        <w:t xml:space="preserve"> </w:t>
      </w:r>
    </w:p>
    <w:p w14:paraId="61800B54" w14:textId="77777777" w:rsidR="007000D8" w:rsidRPr="00740B56" w:rsidRDefault="007000D8" w:rsidP="006A3710">
      <w:pPr>
        <w:pStyle w:val="Body"/>
        <w:ind w:left="567" w:hanging="720"/>
        <w:rPr>
          <w:rFonts w:asciiTheme="majorHAnsi" w:hAnsiTheme="majorHAnsi" w:cstheme="majorHAnsi"/>
          <w:sz w:val="24"/>
          <w:szCs w:val="24"/>
        </w:rPr>
      </w:pPr>
    </w:p>
    <w:p w14:paraId="083F77C0"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lang w:val="es-ES_tradnl"/>
        </w:rPr>
        <w:t>Calcedo-Barba, A., Fructuoso, A., Martinez-Raga, J., Paz, S., S</w:t>
      </w:r>
      <w:r w:rsidRPr="00740B56">
        <w:rPr>
          <w:rFonts w:asciiTheme="majorHAnsi" w:hAnsiTheme="majorHAnsi" w:cstheme="majorHAnsi"/>
          <w:sz w:val="24"/>
          <w:szCs w:val="24"/>
        </w:rPr>
        <w:t xml:space="preserve">ánchez de Carmona, M., &amp; Vicens, E. (2020). A meta-review of literature reviews assessing the capacity of patients with severe mental disorders to make decisions about their healthcare. </w:t>
      </w:r>
      <w:r w:rsidRPr="00740B56">
        <w:rPr>
          <w:rFonts w:asciiTheme="majorHAnsi" w:hAnsiTheme="majorHAnsi" w:cstheme="majorHAnsi"/>
          <w:i/>
          <w:iCs/>
          <w:sz w:val="24"/>
          <w:szCs w:val="24"/>
        </w:rPr>
        <w:t>BMC psychiatry, 20</w:t>
      </w:r>
      <w:r w:rsidRPr="00740B56">
        <w:rPr>
          <w:rFonts w:asciiTheme="majorHAnsi" w:hAnsiTheme="majorHAnsi" w:cstheme="majorHAnsi"/>
          <w:sz w:val="24"/>
          <w:szCs w:val="24"/>
        </w:rPr>
        <w:t>(1), 1-14.</w:t>
      </w:r>
    </w:p>
    <w:p w14:paraId="05E1B940" w14:textId="77777777" w:rsidR="007000D8" w:rsidRPr="00740B56" w:rsidRDefault="007000D8" w:rsidP="006A3710">
      <w:pPr>
        <w:pStyle w:val="Body"/>
        <w:ind w:left="567" w:hanging="720"/>
        <w:rPr>
          <w:rFonts w:asciiTheme="majorHAnsi" w:hAnsiTheme="majorHAnsi" w:cstheme="majorHAnsi"/>
          <w:sz w:val="24"/>
          <w:szCs w:val="24"/>
        </w:rPr>
      </w:pPr>
    </w:p>
    <w:p w14:paraId="3F8C7E14"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Coffey, M., Hannigan, B., Barlow, S., Cartwright, M., Cohen, R., Faulkner, A., Jones, A., &amp; Simpson, A. (2019). Recovery-focused mental health care planning and co-ordination in acute inpatient mental health settings: a cross national comparative mixed methods study. </w:t>
      </w:r>
      <w:r w:rsidRPr="00740B56">
        <w:rPr>
          <w:rFonts w:asciiTheme="majorHAnsi" w:hAnsiTheme="majorHAnsi" w:cstheme="majorHAnsi"/>
          <w:i/>
          <w:iCs/>
          <w:sz w:val="24"/>
          <w:szCs w:val="24"/>
        </w:rPr>
        <w:t>BMC psychiatry, 19</w:t>
      </w:r>
      <w:r w:rsidRPr="00740B56">
        <w:rPr>
          <w:rFonts w:asciiTheme="majorHAnsi" w:hAnsiTheme="majorHAnsi" w:cstheme="majorHAnsi"/>
          <w:sz w:val="24"/>
          <w:szCs w:val="24"/>
        </w:rPr>
        <w:t>(1), 1-18.</w:t>
      </w:r>
    </w:p>
    <w:p w14:paraId="0BCD9717" w14:textId="77777777" w:rsidR="007000D8" w:rsidRPr="00740B56" w:rsidRDefault="007000D8" w:rsidP="006A3710">
      <w:pPr>
        <w:pStyle w:val="Body"/>
        <w:ind w:left="567" w:hanging="720"/>
        <w:rPr>
          <w:rFonts w:asciiTheme="majorHAnsi" w:hAnsiTheme="majorHAnsi" w:cstheme="majorHAnsi"/>
          <w:sz w:val="24"/>
          <w:szCs w:val="24"/>
        </w:rPr>
      </w:pPr>
    </w:p>
    <w:p w14:paraId="692A0E51" w14:textId="136C8935"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Department of Health. (2005). </w:t>
      </w:r>
      <w:r w:rsidRPr="00740B56">
        <w:rPr>
          <w:rFonts w:asciiTheme="majorHAnsi" w:hAnsiTheme="majorHAnsi" w:cstheme="majorHAnsi"/>
          <w:i/>
          <w:iCs/>
          <w:sz w:val="24"/>
          <w:szCs w:val="24"/>
        </w:rPr>
        <w:t>Mental Capacity Act.</w:t>
      </w:r>
      <w:r w:rsidRPr="00740B56">
        <w:rPr>
          <w:rFonts w:asciiTheme="majorHAnsi" w:hAnsiTheme="majorHAnsi" w:cstheme="majorHAnsi"/>
          <w:sz w:val="24"/>
          <w:szCs w:val="24"/>
        </w:rPr>
        <w:t xml:space="preserve"> Retrieved from: </w:t>
      </w:r>
      <w:hyperlink r:id="rId7" w:history="1">
        <w:r w:rsidR="007474BD" w:rsidRPr="00740B56">
          <w:rPr>
            <w:rStyle w:val="Hyperlink"/>
            <w:rFonts w:asciiTheme="majorHAnsi" w:hAnsiTheme="majorHAnsi" w:cstheme="majorHAnsi"/>
            <w:sz w:val="24"/>
            <w:szCs w:val="24"/>
          </w:rPr>
          <w:t>https://www.legislation.gov.uk/ukpga/2005/9/contents</w:t>
        </w:r>
      </w:hyperlink>
      <w:r w:rsidR="007474BD" w:rsidRPr="00740B56">
        <w:rPr>
          <w:rFonts w:asciiTheme="majorHAnsi" w:hAnsiTheme="majorHAnsi" w:cstheme="majorHAnsi"/>
          <w:sz w:val="24"/>
          <w:szCs w:val="24"/>
        </w:rPr>
        <w:t xml:space="preserve"> </w:t>
      </w:r>
    </w:p>
    <w:p w14:paraId="0D7425C7" w14:textId="77777777" w:rsidR="007000D8" w:rsidRPr="00740B56" w:rsidRDefault="007000D8" w:rsidP="006A3710">
      <w:pPr>
        <w:pStyle w:val="Body"/>
        <w:ind w:left="567" w:hanging="720"/>
        <w:rPr>
          <w:rFonts w:asciiTheme="majorHAnsi" w:hAnsiTheme="majorHAnsi" w:cstheme="majorHAnsi"/>
          <w:sz w:val="24"/>
          <w:szCs w:val="24"/>
        </w:rPr>
      </w:pPr>
    </w:p>
    <w:p w14:paraId="3BD9E96F" w14:textId="45E094AD"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Department of Health. (2007). </w:t>
      </w:r>
      <w:r w:rsidRPr="00740B56">
        <w:rPr>
          <w:rFonts w:asciiTheme="majorHAnsi" w:hAnsiTheme="majorHAnsi" w:cstheme="majorHAnsi"/>
          <w:i/>
          <w:iCs/>
          <w:sz w:val="24"/>
          <w:szCs w:val="24"/>
        </w:rPr>
        <w:t>Mental Health Act.</w:t>
      </w:r>
      <w:r w:rsidRPr="00740B56">
        <w:rPr>
          <w:rFonts w:asciiTheme="majorHAnsi" w:hAnsiTheme="majorHAnsi" w:cstheme="majorHAnsi"/>
          <w:sz w:val="24"/>
          <w:szCs w:val="24"/>
        </w:rPr>
        <w:t xml:space="preserve"> Retrieved from: </w:t>
      </w:r>
      <w:hyperlink r:id="rId8" w:history="1">
        <w:r w:rsidR="007474BD" w:rsidRPr="00740B56">
          <w:rPr>
            <w:rStyle w:val="Hyperlink"/>
            <w:rFonts w:asciiTheme="majorHAnsi" w:hAnsiTheme="majorHAnsi" w:cstheme="majorHAnsi"/>
            <w:sz w:val="24"/>
            <w:szCs w:val="24"/>
          </w:rPr>
          <w:t>https://www.legislation.gov.uk/ukpga/2007/12/contents</w:t>
        </w:r>
      </w:hyperlink>
      <w:r w:rsidR="007474BD" w:rsidRPr="00740B56">
        <w:rPr>
          <w:rFonts w:asciiTheme="majorHAnsi" w:hAnsiTheme="majorHAnsi" w:cstheme="majorHAnsi"/>
          <w:sz w:val="24"/>
          <w:szCs w:val="24"/>
        </w:rPr>
        <w:t xml:space="preserve"> </w:t>
      </w:r>
    </w:p>
    <w:p w14:paraId="31DD0C42" w14:textId="77777777" w:rsidR="007000D8" w:rsidRPr="00740B56" w:rsidRDefault="007000D8" w:rsidP="006A3710">
      <w:pPr>
        <w:pStyle w:val="Body"/>
        <w:ind w:left="567" w:hanging="720"/>
        <w:rPr>
          <w:rFonts w:asciiTheme="majorHAnsi" w:hAnsiTheme="majorHAnsi" w:cstheme="majorHAnsi"/>
          <w:sz w:val="24"/>
          <w:szCs w:val="24"/>
        </w:rPr>
      </w:pPr>
    </w:p>
    <w:p w14:paraId="082C1E04" w14:textId="3D6AE1E1"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Department of Health. (2012). Compassion in practice. Retrieved from </w:t>
      </w:r>
      <w:hyperlink r:id="rId9" w:history="1">
        <w:r w:rsidR="007474BD" w:rsidRPr="00740B56">
          <w:rPr>
            <w:rStyle w:val="Hyperlink"/>
            <w:rFonts w:asciiTheme="majorHAnsi" w:hAnsiTheme="majorHAnsi" w:cstheme="majorHAnsi"/>
            <w:sz w:val="24"/>
            <w:szCs w:val="24"/>
          </w:rPr>
          <w:t>https://www.england.nhs.uk/wp-content/uploads/2012/12/compassion-in-practice.pdf</w:t>
        </w:r>
      </w:hyperlink>
      <w:r w:rsidR="007474BD" w:rsidRPr="00740B56">
        <w:rPr>
          <w:rFonts w:asciiTheme="majorHAnsi" w:hAnsiTheme="majorHAnsi" w:cstheme="majorHAnsi"/>
          <w:sz w:val="24"/>
          <w:szCs w:val="24"/>
        </w:rPr>
        <w:t xml:space="preserve"> </w:t>
      </w:r>
    </w:p>
    <w:p w14:paraId="1F88315C" w14:textId="77777777" w:rsidR="007000D8" w:rsidRPr="00740B56" w:rsidRDefault="007000D8" w:rsidP="006A3710">
      <w:pPr>
        <w:pStyle w:val="Body"/>
        <w:ind w:left="567" w:hanging="720"/>
        <w:rPr>
          <w:rFonts w:asciiTheme="majorHAnsi" w:hAnsiTheme="majorHAnsi" w:cstheme="majorHAnsi"/>
          <w:sz w:val="24"/>
          <w:szCs w:val="24"/>
        </w:rPr>
      </w:pPr>
    </w:p>
    <w:p w14:paraId="46DA48D9" w14:textId="4D7C5D23"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Felton, A., Wright, N., &amp; Stacey, G. (2018). Therapeutic risk-taking: a justifiable choice. </w:t>
      </w:r>
      <w:r w:rsidRPr="00740B56">
        <w:rPr>
          <w:rFonts w:asciiTheme="majorHAnsi" w:hAnsiTheme="majorHAnsi" w:cstheme="majorHAnsi"/>
          <w:i/>
          <w:iCs/>
          <w:sz w:val="24"/>
          <w:szCs w:val="24"/>
        </w:rPr>
        <w:t>BJPsych Advances, 23</w:t>
      </w:r>
      <w:r w:rsidRPr="00740B56">
        <w:rPr>
          <w:rFonts w:asciiTheme="majorHAnsi" w:hAnsiTheme="majorHAnsi" w:cstheme="majorHAnsi"/>
          <w:sz w:val="24"/>
          <w:szCs w:val="24"/>
        </w:rPr>
        <w:t xml:space="preserve">(2), 81-88. </w:t>
      </w:r>
      <w:hyperlink r:id="rId10" w:history="1">
        <w:r w:rsidR="007474BD" w:rsidRPr="00740B56">
          <w:rPr>
            <w:rStyle w:val="Hyperlink"/>
            <w:rFonts w:asciiTheme="majorHAnsi" w:hAnsiTheme="majorHAnsi" w:cstheme="majorHAnsi"/>
            <w:sz w:val="24"/>
            <w:szCs w:val="24"/>
            <w:lang w:val="pt-PT"/>
          </w:rPr>
          <w:t>https://doi.org/10.1192/apt.bp.115.015701</w:t>
        </w:r>
      </w:hyperlink>
      <w:r w:rsidR="007474BD" w:rsidRPr="00740B56">
        <w:rPr>
          <w:rFonts w:asciiTheme="majorHAnsi" w:hAnsiTheme="majorHAnsi" w:cstheme="majorHAnsi"/>
          <w:sz w:val="24"/>
          <w:szCs w:val="24"/>
          <w:lang w:val="pt-PT"/>
        </w:rPr>
        <w:t xml:space="preserve"> </w:t>
      </w:r>
    </w:p>
    <w:p w14:paraId="3F29900A" w14:textId="77777777" w:rsidR="007000D8" w:rsidRPr="00740B56" w:rsidRDefault="007000D8" w:rsidP="006A3710">
      <w:pPr>
        <w:pStyle w:val="Body"/>
        <w:ind w:left="567" w:hanging="720"/>
        <w:rPr>
          <w:rFonts w:asciiTheme="majorHAnsi" w:hAnsiTheme="majorHAnsi" w:cstheme="majorHAnsi"/>
          <w:sz w:val="24"/>
          <w:szCs w:val="24"/>
        </w:rPr>
      </w:pPr>
    </w:p>
    <w:p w14:paraId="388795FE" w14:textId="6A6FB79E"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Feo, R., Kitson, A., &amp; Conroy, T. (2018). How fundamental aspects of nursing care are defined in the literature: A scoping review. </w:t>
      </w:r>
      <w:r w:rsidRPr="00740B56">
        <w:rPr>
          <w:rFonts w:asciiTheme="majorHAnsi" w:hAnsiTheme="majorHAnsi" w:cstheme="majorHAnsi"/>
          <w:i/>
          <w:iCs/>
          <w:sz w:val="24"/>
          <w:szCs w:val="24"/>
        </w:rPr>
        <w:t>Journal of Clinical Nursing, 27</w:t>
      </w:r>
      <w:r w:rsidRPr="00740B56">
        <w:rPr>
          <w:rFonts w:asciiTheme="majorHAnsi" w:hAnsiTheme="majorHAnsi" w:cstheme="majorHAnsi"/>
          <w:sz w:val="24"/>
          <w:szCs w:val="24"/>
        </w:rPr>
        <w:t xml:space="preserve">(11-12), 2189-2229. </w:t>
      </w:r>
      <w:hyperlink r:id="rId11" w:history="1">
        <w:r w:rsidR="007474BD" w:rsidRPr="00740B56">
          <w:rPr>
            <w:rStyle w:val="Hyperlink"/>
            <w:rFonts w:asciiTheme="majorHAnsi" w:hAnsiTheme="majorHAnsi" w:cstheme="majorHAnsi"/>
            <w:sz w:val="24"/>
            <w:szCs w:val="24"/>
          </w:rPr>
          <w:t>https://doi.org/10.1111/jocn.14313</w:t>
        </w:r>
      </w:hyperlink>
      <w:r w:rsidR="007474BD" w:rsidRPr="00740B56">
        <w:rPr>
          <w:rFonts w:asciiTheme="majorHAnsi" w:hAnsiTheme="majorHAnsi" w:cstheme="majorHAnsi"/>
          <w:sz w:val="24"/>
          <w:szCs w:val="24"/>
        </w:rPr>
        <w:t xml:space="preserve"> </w:t>
      </w:r>
    </w:p>
    <w:p w14:paraId="4491FA41" w14:textId="77777777" w:rsidR="007000D8" w:rsidRPr="00740B56" w:rsidRDefault="007000D8" w:rsidP="006A3710">
      <w:pPr>
        <w:pStyle w:val="Body"/>
        <w:ind w:left="567" w:hanging="720"/>
        <w:rPr>
          <w:rFonts w:asciiTheme="majorHAnsi" w:hAnsiTheme="majorHAnsi" w:cstheme="majorHAnsi"/>
          <w:sz w:val="24"/>
          <w:szCs w:val="24"/>
        </w:rPr>
      </w:pPr>
    </w:p>
    <w:p w14:paraId="2F3A664F"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Frankena, W. K. (2020). The concept of morality. In </w:t>
      </w:r>
      <w:r w:rsidRPr="00740B56">
        <w:rPr>
          <w:rFonts w:asciiTheme="majorHAnsi" w:hAnsiTheme="majorHAnsi" w:cstheme="majorHAnsi"/>
          <w:i/>
          <w:iCs/>
          <w:sz w:val="24"/>
          <w:szCs w:val="24"/>
        </w:rPr>
        <w:t>The definition of morality</w:t>
      </w:r>
      <w:r w:rsidRPr="00740B56">
        <w:rPr>
          <w:rFonts w:asciiTheme="majorHAnsi" w:hAnsiTheme="majorHAnsi" w:cstheme="majorHAnsi"/>
          <w:sz w:val="24"/>
          <w:szCs w:val="24"/>
        </w:rPr>
        <w:t xml:space="preserve"> (pp. 146-173). Routledge.</w:t>
      </w:r>
    </w:p>
    <w:p w14:paraId="6E739E3E" w14:textId="77777777" w:rsidR="007000D8" w:rsidRPr="00740B56" w:rsidRDefault="007000D8" w:rsidP="006A3710">
      <w:pPr>
        <w:pStyle w:val="Body"/>
        <w:ind w:left="567" w:hanging="720"/>
        <w:rPr>
          <w:rFonts w:asciiTheme="majorHAnsi" w:hAnsiTheme="majorHAnsi" w:cstheme="majorHAnsi"/>
          <w:sz w:val="24"/>
          <w:szCs w:val="24"/>
        </w:rPr>
      </w:pPr>
    </w:p>
    <w:p w14:paraId="648A9D8B"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Gurung, D., Upadhyaya, N., Magar, J., Giri, N. P., Hanlon, C., &amp; Jordans, M. J. (2017). Service user and care giver involvement in mental health system strengthening in Nepal: a qualitative study on barriers and facilitating factors. </w:t>
      </w:r>
      <w:r w:rsidRPr="00740B56">
        <w:rPr>
          <w:rFonts w:asciiTheme="majorHAnsi" w:hAnsiTheme="majorHAnsi" w:cstheme="majorHAnsi"/>
          <w:i/>
          <w:iCs/>
          <w:sz w:val="24"/>
          <w:szCs w:val="24"/>
        </w:rPr>
        <w:t>International journal of mental health systems, 11</w:t>
      </w:r>
      <w:r w:rsidRPr="00740B56">
        <w:rPr>
          <w:rFonts w:asciiTheme="majorHAnsi" w:hAnsiTheme="majorHAnsi" w:cstheme="majorHAnsi"/>
          <w:sz w:val="24"/>
          <w:szCs w:val="24"/>
        </w:rPr>
        <w:t>(1), 1-11.</w:t>
      </w:r>
    </w:p>
    <w:p w14:paraId="34CAC26D" w14:textId="77777777" w:rsidR="007000D8" w:rsidRPr="00740B56" w:rsidRDefault="007000D8" w:rsidP="006A3710">
      <w:pPr>
        <w:pStyle w:val="Body"/>
        <w:ind w:left="567" w:hanging="720"/>
        <w:rPr>
          <w:rFonts w:asciiTheme="majorHAnsi" w:hAnsiTheme="majorHAnsi" w:cstheme="majorHAnsi"/>
          <w:sz w:val="24"/>
          <w:szCs w:val="24"/>
        </w:rPr>
      </w:pPr>
    </w:p>
    <w:p w14:paraId="61919CC6"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Hersted, L., Ness, O., &amp; Frimann, S. (2019). </w:t>
      </w:r>
      <w:r w:rsidRPr="00740B56">
        <w:rPr>
          <w:rFonts w:asciiTheme="majorHAnsi" w:hAnsiTheme="majorHAnsi" w:cstheme="majorHAnsi"/>
          <w:i/>
          <w:iCs/>
          <w:sz w:val="24"/>
          <w:szCs w:val="24"/>
        </w:rPr>
        <w:t xml:space="preserve">Action research in a relational perspective: Dialogue, reflexivity, </w:t>
      </w:r>
      <w:proofErr w:type="gramStart"/>
      <w:r w:rsidRPr="00740B56">
        <w:rPr>
          <w:rFonts w:asciiTheme="majorHAnsi" w:hAnsiTheme="majorHAnsi" w:cstheme="majorHAnsi"/>
          <w:i/>
          <w:iCs/>
          <w:sz w:val="24"/>
          <w:szCs w:val="24"/>
        </w:rPr>
        <w:t>power</w:t>
      </w:r>
      <w:proofErr w:type="gramEnd"/>
      <w:r w:rsidRPr="00740B56">
        <w:rPr>
          <w:rFonts w:asciiTheme="majorHAnsi" w:hAnsiTheme="majorHAnsi" w:cstheme="majorHAnsi"/>
          <w:i/>
          <w:iCs/>
          <w:sz w:val="24"/>
          <w:szCs w:val="24"/>
        </w:rPr>
        <w:t xml:space="preserve"> and ethics. </w:t>
      </w:r>
      <w:r w:rsidRPr="00740B56">
        <w:rPr>
          <w:rFonts w:asciiTheme="majorHAnsi" w:hAnsiTheme="majorHAnsi" w:cstheme="majorHAnsi"/>
          <w:sz w:val="24"/>
          <w:szCs w:val="24"/>
        </w:rPr>
        <w:t>Routledge.</w:t>
      </w:r>
    </w:p>
    <w:p w14:paraId="2A383538" w14:textId="77777777" w:rsidR="007000D8" w:rsidRPr="00740B56" w:rsidRDefault="007000D8" w:rsidP="006A3710">
      <w:pPr>
        <w:pStyle w:val="Body"/>
        <w:ind w:left="567" w:hanging="720"/>
        <w:rPr>
          <w:rFonts w:asciiTheme="majorHAnsi" w:hAnsiTheme="majorHAnsi" w:cstheme="majorHAnsi"/>
          <w:sz w:val="24"/>
          <w:szCs w:val="24"/>
        </w:rPr>
      </w:pPr>
    </w:p>
    <w:p w14:paraId="495E5E4A"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Hoffman, L., Wisniewski, H., Hays, R., Henson, P., Vaidyam, A., Hendell, V., Keshavan, M. &amp; Torous, J. (2020). Digital Opportunities for Outcomes in Recovery Services (DOORS): a pragmatic </w:t>
      </w:r>
      <w:proofErr w:type="gramStart"/>
      <w:r w:rsidRPr="00740B56">
        <w:rPr>
          <w:rFonts w:asciiTheme="majorHAnsi" w:hAnsiTheme="majorHAnsi" w:cstheme="majorHAnsi"/>
          <w:sz w:val="24"/>
          <w:szCs w:val="24"/>
        </w:rPr>
        <w:t>hands-on</w:t>
      </w:r>
      <w:proofErr w:type="gramEnd"/>
      <w:r w:rsidRPr="00740B56">
        <w:rPr>
          <w:rFonts w:asciiTheme="majorHAnsi" w:hAnsiTheme="majorHAnsi" w:cstheme="majorHAnsi"/>
          <w:sz w:val="24"/>
          <w:szCs w:val="24"/>
        </w:rPr>
        <w:t xml:space="preserve"> group approach toward increasing digital health and smartphone competencies, autonomy, relatedness, and alliance for those with serious mental illness. </w:t>
      </w:r>
      <w:r w:rsidRPr="00740B56">
        <w:rPr>
          <w:rFonts w:asciiTheme="majorHAnsi" w:hAnsiTheme="majorHAnsi" w:cstheme="majorHAnsi"/>
          <w:i/>
          <w:iCs/>
          <w:sz w:val="24"/>
          <w:szCs w:val="24"/>
        </w:rPr>
        <w:t>Journal of psychiatric practice, 26</w:t>
      </w:r>
      <w:r w:rsidRPr="00740B56">
        <w:rPr>
          <w:rFonts w:asciiTheme="majorHAnsi" w:hAnsiTheme="majorHAnsi" w:cstheme="majorHAnsi"/>
          <w:sz w:val="24"/>
          <w:szCs w:val="24"/>
        </w:rPr>
        <w:t>(2), 80.</w:t>
      </w:r>
    </w:p>
    <w:p w14:paraId="44541885" w14:textId="77777777" w:rsidR="007000D8" w:rsidRPr="00740B56" w:rsidRDefault="007000D8" w:rsidP="006A3710">
      <w:pPr>
        <w:pStyle w:val="Body"/>
        <w:ind w:left="567" w:hanging="720"/>
        <w:rPr>
          <w:rFonts w:asciiTheme="majorHAnsi" w:hAnsiTheme="majorHAnsi" w:cstheme="majorHAnsi"/>
          <w:sz w:val="24"/>
          <w:szCs w:val="24"/>
        </w:rPr>
      </w:pPr>
    </w:p>
    <w:p w14:paraId="693D85C6" w14:textId="30109EBD"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Horgan, A., Manning, F., Bocking, J., Happell, B., Lahti, M., Doody, R., Griffin, M., Bradley, S.K., Russell, S., Bjornsson, E.,</w:t>
      </w:r>
      <w:r w:rsidRPr="00740B56">
        <w:rPr>
          <w:rFonts w:asciiTheme="majorHAnsi" w:hAnsiTheme="majorHAnsi" w:cstheme="majorHAnsi"/>
          <w:sz w:val="24"/>
          <w:szCs w:val="24"/>
          <w:lang w:val="nl-NL"/>
        </w:rPr>
        <w:t xml:space="preserve"> &amp; Biering, P. (2018). </w:t>
      </w:r>
      <w:r w:rsidRPr="00740B56">
        <w:rPr>
          <w:rFonts w:asciiTheme="majorHAnsi" w:hAnsiTheme="majorHAnsi" w:cstheme="majorHAnsi"/>
          <w:sz w:val="24"/>
          <w:szCs w:val="24"/>
        </w:rPr>
        <w:t xml:space="preserve">‘To be treated as a human’: Using co‐production to explore experts by experience involvement in mental health nursing education–The COMMUNE project. </w:t>
      </w:r>
      <w:r w:rsidRPr="00740B56">
        <w:rPr>
          <w:rFonts w:asciiTheme="majorHAnsi" w:hAnsiTheme="majorHAnsi" w:cstheme="majorHAnsi"/>
          <w:i/>
          <w:iCs/>
          <w:sz w:val="24"/>
          <w:szCs w:val="24"/>
        </w:rPr>
        <w:t>International Journal of Mental Health Nursing, 27</w:t>
      </w:r>
      <w:r w:rsidRPr="00740B56">
        <w:rPr>
          <w:rFonts w:asciiTheme="majorHAnsi" w:hAnsiTheme="majorHAnsi" w:cstheme="majorHAnsi"/>
          <w:sz w:val="24"/>
          <w:szCs w:val="24"/>
        </w:rPr>
        <w:t xml:space="preserve">(4), 1282-1291. </w:t>
      </w:r>
      <w:hyperlink r:id="rId12" w:history="1">
        <w:r w:rsidR="007474BD" w:rsidRPr="00740B56">
          <w:rPr>
            <w:rStyle w:val="Hyperlink"/>
            <w:rFonts w:asciiTheme="majorHAnsi" w:hAnsiTheme="majorHAnsi" w:cstheme="majorHAnsi"/>
            <w:sz w:val="24"/>
            <w:szCs w:val="24"/>
          </w:rPr>
          <w:t>https://doi.org/10.1111/inm.12435</w:t>
        </w:r>
      </w:hyperlink>
      <w:r w:rsidR="007474BD" w:rsidRPr="00740B56">
        <w:rPr>
          <w:rFonts w:asciiTheme="majorHAnsi" w:hAnsiTheme="majorHAnsi" w:cstheme="majorHAnsi"/>
          <w:sz w:val="24"/>
          <w:szCs w:val="24"/>
        </w:rPr>
        <w:t xml:space="preserve"> </w:t>
      </w:r>
    </w:p>
    <w:p w14:paraId="7841E680" w14:textId="77777777" w:rsidR="007000D8" w:rsidRPr="00740B56" w:rsidRDefault="007000D8" w:rsidP="006A3710">
      <w:pPr>
        <w:pStyle w:val="Body"/>
        <w:ind w:left="567" w:hanging="720"/>
        <w:rPr>
          <w:rFonts w:asciiTheme="majorHAnsi" w:hAnsiTheme="majorHAnsi" w:cstheme="majorHAnsi"/>
          <w:sz w:val="24"/>
          <w:szCs w:val="24"/>
        </w:rPr>
      </w:pPr>
    </w:p>
    <w:p w14:paraId="1334BA15"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Human Rights Act., (1998). </w:t>
      </w:r>
      <w:r w:rsidRPr="00740B56">
        <w:rPr>
          <w:rFonts w:asciiTheme="majorHAnsi" w:hAnsiTheme="majorHAnsi" w:cstheme="majorHAnsi"/>
          <w:i/>
          <w:iCs/>
          <w:sz w:val="24"/>
          <w:szCs w:val="24"/>
        </w:rPr>
        <w:t>c.42.</w:t>
      </w:r>
      <w:r w:rsidRPr="00740B56">
        <w:rPr>
          <w:rFonts w:asciiTheme="majorHAnsi" w:hAnsiTheme="majorHAnsi" w:cstheme="majorHAnsi"/>
          <w:sz w:val="24"/>
          <w:szCs w:val="24"/>
        </w:rPr>
        <w:t xml:space="preserve"> Retrieved from https://www.legislation.gov.uk/ukpga/1998/42/contents</w:t>
      </w:r>
    </w:p>
    <w:p w14:paraId="68D37B96" w14:textId="77777777" w:rsidR="007000D8" w:rsidRPr="00740B56" w:rsidRDefault="007000D8" w:rsidP="006A3710">
      <w:pPr>
        <w:pStyle w:val="Body"/>
        <w:ind w:left="567" w:hanging="720"/>
        <w:rPr>
          <w:rFonts w:asciiTheme="majorHAnsi" w:hAnsiTheme="majorHAnsi" w:cstheme="majorHAnsi"/>
          <w:sz w:val="24"/>
          <w:szCs w:val="24"/>
        </w:rPr>
      </w:pPr>
    </w:p>
    <w:p w14:paraId="14392008" w14:textId="22CE3C09"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lang w:val="da-DK"/>
        </w:rPr>
        <w:t>Isaksson, A., Corker, E., Cotney, J., Hamilton, S., Pinfold, V., Rose, D., Ruesch, N., Henderson, C., Thornicroft, G.</w:t>
      </w:r>
      <w:r w:rsidRPr="00740B56">
        <w:rPr>
          <w:rFonts w:asciiTheme="majorHAnsi" w:hAnsiTheme="majorHAnsi" w:cstheme="majorHAnsi"/>
          <w:sz w:val="24"/>
          <w:szCs w:val="24"/>
        </w:rPr>
        <w:t xml:space="preserve">, &amp; Evans-Lacko, S. (2018). Coping with stigma and discrimination: evidence from mental health service users in England. </w:t>
      </w:r>
      <w:r w:rsidRPr="00740B56">
        <w:rPr>
          <w:rFonts w:asciiTheme="majorHAnsi" w:hAnsiTheme="majorHAnsi" w:cstheme="majorHAnsi"/>
          <w:i/>
          <w:iCs/>
          <w:sz w:val="24"/>
          <w:szCs w:val="24"/>
        </w:rPr>
        <w:t>Epidemiology and psychiatric sciences, 27</w:t>
      </w:r>
      <w:r w:rsidRPr="00740B56">
        <w:rPr>
          <w:rFonts w:asciiTheme="majorHAnsi" w:hAnsiTheme="majorHAnsi" w:cstheme="majorHAnsi"/>
          <w:sz w:val="24"/>
          <w:szCs w:val="24"/>
        </w:rPr>
        <w:t xml:space="preserve">(6), 577-588. </w:t>
      </w:r>
      <w:hyperlink r:id="rId13" w:history="1">
        <w:r w:rsidR="007474BD" w:rsidRPr="00740B56">
          <w:rPr>
            <w:rStyle w:val="Hyperlink"/>
            <w:rFonts w:asciiTheme="majorHAnsi" w:hAnsiTheme="majorHAnsi" w:cstheme="majorHAnsi"/>
            <w:sz w:val="24"/>
            <w:szCs w:val="24"/>
          </w:rPr>
          <w:t>https://doi.org/10.1017/S204579601700021X</w:t>
        </w:r>
      </w:hyperlink>
      <w:r w:rsidR="007474BD" w:rsidRPr="00740B56">
        <w:rPr>
          <w:rFonts w:asciiTheme="majorHAnsi" w:hAnsiTheme="majorHAnsi" w:cstheme="majorHAnsi"/>
          <w:sz w:val="24"/>
          <w:szCs w:val="24"/>
        </w:rPr>
        <w:t xml:space="preserve"> </w:t>
      </w:r>
    </w:p>
    <w:p w14:paraId="6E8E9404" w14:textId="77777777" w:rsidR="007000D8" w:rsidRPr="00740B56" w:rsidRDefault="007000D8" w:rsidP="006A3710">
      <w:pPr>
        <w:pStyle w:val="Body"/>
        <w:ind w:left="567" w:hanging="720"/>
        <w:rPr>
          <w:rFonts w:asciiTheme="majorHAnsi" w:hAnsiTheme="majorHAnsi" w:cstheme="majorHAnsi"/>
          <w:sz w:val="24"/>
          <w:szCs w:val="24"/>
        </w:rPr>
      </w:pPr>
    </w:p>
    <w:p w14:paraId="6ED157BC" w14:textId="5317B4B3"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Keefe, K., Cardemil, E. V., &amp; Thompson, M. (2020). Understanding barriers and facilitators to therapeutic relationships in state psychiatric hospitals. </w:t>
      </w:r>
      <w:r w:rsidRPr="00740B56">
        <w:rPr>
          <w:rFonts w:asciiTheme="majorHAnsi" w:hAnsiTheme="majorHAnsi" w:cstheme="majorHAnsi"/>
          <w:i/>
          <w:iCs/>
          <w:sz w:val="24"/>
          <w:szCs w:val="24"/>
        </w:rPr>
        <w:t>Journal of Clinical Psychology, 76</w:t>
      </w:r>
      <w:r w:rsidRPr="00740B56">
        <w:rPr>
          <w:rFonts w:asciiTheme="majorHAnsi" w:hAnsiTheme="majorHAnsi" w:cstheme="majorHAnsi"/>
          <w:sz w:val="24"/>
          <w:szCs w:val="24"/>
        </w:rPr>
        <w:t xml:space="preserve">(1), 195-209. </w:t>
      </w:r>
      <w:hyperlink r:id="rId14" w:history="1">
        <w:r w:rsidR="007474BD" w:rsidRPr="00740B56">
          <w:rPr>
            <w:rStyle w:val="Hyperlink"/>
            <w:rFonts w:asciiTheme="majorHAnsi" w:hAnsiTheme="majorHAnsi" w:cstheme="majorHAnsi"/>
            <w:sz w:val="24"/>
            <w:szCs w:val="24"/>
          </w:rPr>
          <w:t>https://doi.org/10.1002/jclp.22866</w:t>
        </w:r>
      </w:hyperlink>
      <w:r w:rsidR="007474BD" w:rsidRPr="00740B56">
        <w:rPr>
          <w:rFonts w:asciiTheme="majorHAnsi" w:hAnsiTheme="majorHAnsi" w:cstheme="majorHAnsi"/>
          <w:sz w:val="24"/>
          <w:szCs w:val="24"/>
        </w:rPr>
        <w:t xml:space="preserve"> </w:t>
      </w:r>
    </w:p>
    <w:p w14:paraId="701FB1EB" w14:textId="77777777" w:rsidR="007000D8" w:rsidRPr="00740B56" w:rsidRDefault="007000D8" w:rsidP="006A3710">
      <w:pPr>
        <w:pStyle w:val="Body"/>
        <w:ind w:left="567" w:hanging="720"/>
        <w:rPr>
          <w:rFonts w:asciiTheme="majorHAnsi" w:hAnsiTheme="majorHAnsi" w:cstheme="majorHAnsi"/>
          <w:sz w:val="24"/>
          <w:szCs w:val="24"/>
        </w:rPr>
      </w:pPr>
    </w:p>
    <w:p w14:paraId="0AF9707F"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Kranak, J. (2019). </w:t>
      </w:r>
      <w:r w:rsidRPr="00740B56">
        <w:rPr>
          <w:rFonts w:asciiTheme="majorHAnsi" w:hAnsiTheme="majorHAnsi" w:cstheme="majorHAnsi"/>
          <w:i/>
          <w:iCs/>
          <w:sz w:val="24"/>
          <w:szCs w:val="24"/>
        </w:rPr>
        <w:t xml:space="preserve">Kantian deontology. </w:t>
      </w:r>
      <w:r w:rsidRPr="00740B56">
        <w:rPr>
          <w:rFonts w:asciiTheme="majorHAnsi" w:hAnsiTheme="majorHAnsi" w:cstheme="majorHAnsi"/>
          <w:sz w:val="24"/>
          <w:szCs w:val="24"/>
        </w:rPr>
        <w:t>Retrieved from: https://press.rebus.community/intro-to-phil-ethics/chapter/kantian-deontology/</w:t>
      </w:r>
    </w:p>
    <w:p w14:paraId="1E5D6FD0" w14:textId="77777777" w:rsidR="007000D8" w:rsidRPr="00740B56" w:rsidRDefault="007000D8" w:rsidP="006A3710">
      <w:pPr>
        <w:pStyle w:val="Body"/>
        <w:ind w:left="567" w:hanging="720"/>
        <w:rPr>
          <w:rFonts w:asciiTheme="majorHAnsi" w:hAnsiTheme="majorHAnsi" w:cstheme="majorHAnsi"/>
          <w:sz w:val="24"/>
          <w:szCs w:val="24"/>
        </w:rPr>
      </w:pPr>
    </w:p>
    <w:p w14:paraId="01973078" w14:textId="0E1A596E"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Li, M., &amp; Chapman, G. B. (2020). Medical decision making. </w:t>
      </w:r>
      <w:r w:rsidRPr="00740B56">
        <w:rPr>
          <w:rFonts w:asciiTheme="majorHAnsi" w:hAnsiTheme="majorHAnsi" w:cstheme="majorHAnsi"/>
          <w:i/>
          <w:iCs/>
          <w:sz w:val="24"/>
          <w:szCs w:val="24"/>
        </w:rPr>
        <w:t>The Wiley Encyclopedia of Health Psychology</w:t>
      </w:r>
      <w:r w:rsidRPr="00740B56">
        <w:rPr>
          <w:rFonts w:asciiTheme="majorHAnsi" w:hAnsiTheme="majorHAnsi" w:cstheme="majorHAnsi"/>
          <w:sz w:val="24"/>
          <w:szCs w:val="24"/>
        </w:rPr>
        <w:t xml:space="preserve">, 347-353. </w:t>
      </w:r>
      <w:hyperlink r:id="rId15" w:history="1">
        <w:r w:rsidR="007474BD" w:rsidRPr="00740B56">
          <w:rPr>
            <w:rStyle w:val="Hyperlink"/>
            <w:rFonts w:asciiTheme="majorHAnsi" w:hAnsiTheme="majorHAnsi" w:cstheme="majorHAnsi"/>
            <w:sz w:val="24"/>
            <w:szCs w:val="24"/>
          </w:rPr>
          <w:t>https://doi.org/10.1002/9781119057840.ch84</w:t>
        </w:r>
      </w:hyperlink>
      <w:r w:rsidR="007474BD" w:rsidRPr="00740B56">
        <w:rPr>
          <w:rFonts w:asciiTheme="majorHAnsi" w:hAnsiTheme="majorHAnsi" w:cstheme="majorHAnsi"/>
          <w:sz w:val="24"/>
          <w:szCs w:val="24"/>
        </w:rPr>
        <w:t xml:space="preserve"> </w:t>
      </w:r>
    </w:p>
    <w:p w14:paraId="202B1E06" w14:textId="77777777" w:rsidR="007000D8" w:rsidRPr="00740B56" w:rsidRDefault="007000D8" w:rsidP="006A3710">
      <w:pPr>
        <w:pStyle w:val="Body"/>
        <w:ind w:left="567" w:hanging="720"/>
        <w:rPr>
          <w:rFonts w:asciiTheme="majorHAnsi" w:hAnsiTheme="majorHAnsi" w:cstheme="majorHAnsi"/>
          <w:sz w:val="24"/>
          <w:szCs w:val="24"/>
        </w:rPr>
      </w:pPr>
    </w:p>
    <w:p w14:paraId="312B8906" w14:textId="74E8CB7B"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lang w:val="de-DE"/>
        </w:rPr>
        <w:t>Lincoln, A. K., Adams, W., Eyllon, M., Garverich, S., Prener, C. G., Griffith, J., Paasche-Orlow, M.K.</w:t>
      </w:r>
      <w:r w:rsidRPr="00740B56">
        <w:rPr>
          <w:rFonts w:asciiTheme="majorHAnsi" w:hAnsiTheme="majorHAnsi" w:cstheme="majorHAnsi"/>
          <w:sz w:val="24"/>
          <w:szCs w:val="24"/>
        </w:rPr>
        <w:t xml:space="preserve">, &amp; Hopper, K. (2017). The double stigma of limited literacy and mental illness: Examining barriers to recovery and participation among public mental health service users. </w:t>
      </w:r>
      <w:r w:rsidRPr="00740B56">
        <w:rPr>
          <w:rFonts w:asciiTheme="majorHAnsi" w:hAnsiTheme="majorHAnsi" w:cstheme="majorHAnsi"/>
          <w:i/>
          <w:iCs/>
          <w:sz w:val="24"/>
          <w:szCs w:val="24"/>
        </w:rPr>
        <w:t>Society and Mental Health, 7</w:t>
      </w:r>
      <w:r w:rsidRPr="00740B56">
        <w:rPr>
          <w:rFonts w:asciiTheme="majorHAnsi" w:hAnsiTheme="majorHAnsi" w:cstheme="majorHAnsi"/>
          <w:sz w:val="24"/>
          <w:szCs w:val="24"/>
        </w:rPr>
        <w:t xml:space="preserve">(3), 121-141. </w:t>
      </w:r>
      <w:hyperlink r:id="rId16" w:history="1">
        <w:r w:rsidR="007474BD" w:rsidRPr="00740B56">
          <w:rPr>
            <w:rStyle w:val="Hyperlink"/>
            <w:rFonts w:asciiTheme="majorHAnsi" w:hAnsiTheme="majorHAnsi" w:cstheme="majorHAnsi"/>
            <w:sz w:val="24"/>
            <w:szCs w:val="24"/>
          </w:rPr>
          <w:t>https://doi.org/10.1177/2156869317707001</w:t>
        </w:r>
      </w:hyperlink>
      <w:r w:rsidR="007474BD" w:rsidRPr="00740B56">
        <w:rPr>
          <w:rFonts w:asciiTheme="majorHAnsi" w:hAnsiTheme="majorHAnsi" w:cstheme="majorHAnsi"/>
          <w:sz w:val="24"/>
          <w:szCs w:val="24"/>
        </w:rPr>
        <w:t xml:space="preserve"> </w:t>
      </w:r>
    </w:p>
    <w:p w14:paraId="6E347D09" w14:textId="77777777" w:rsidR="007000D8" w:rsidRPr="00740B56" w:rsidRDefault="007000D8" w:rsidP="006A3710">
      <w:pPr>
        <w:pStyle w:val="Body"/>
        <w:ind w:left="567" w:hanging="720"/>
        <w:rPr>
          <w:rFonts w:asciiTheme="majorHAnsi" w:hAnsiTheme="majorHAnsi" w:cstheme="majorHAnsi"/>
          <w:sz w:val="24"/>
          <w:szCs w:val="24"/>
        </w:rPr>
      </w:pPr>
    </w:p>
    <w:p w14:paraId="6EADC042" w14:textId="40E8528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MacKay, K. (2022). Public Health Virtue Ethics. </w:t>
      </w:r>
      <w:r w:rsidRPr="00740B56">
        <w:rPr>
          <w:rFonts w:asciiTheme="majorHAnsi" w:hAnsiTheme="majorHAnsi" w:cstheme="majorHAnsi"/>
          <w:i/>
          <w:iCs/>
          <w:sz w:val="24"/>
          <w:szCs w:val="24"/>
        </w:rPr>
        <w:t>Public Health Ethics, 15</w:t>
      </w:r>
      <w:r w:rsidRPr="00740B56">
        <w:rPr>
          <w:rFonts w:asciiTheme="majorHAnsi" w:hAnsiTheme="majorHAnsi" w:cstheme="majorHAnsi"/>
          <w:sz w:val="24"/>
          <w:szCs w:val="24"/>
        </w:rPr>
        <w:t xml:space="preserve">(1), 1-10. </w:t>
      </w:r>
      <w:hyperlink r:id="rId17" w:history="1">
        <w:r w:rsidR="007474BD" w:rsidRPr="00740B56">
          <w:rPr>
            <w:rStyle w:val="Hyperlink"/>
            <w:rFonts w:asciiTheme="majorHAnsi" w:hAnsiTheme="majorHAnsi" w:cstheme="majorHAnsi"/>
            <w:sz w:val="24"/>
            <w:szCs w:val="24"/>
          </w:rPr>
          <w:t>https://doi.org/10.1093/phe/phab027</w:t>
        </w:r>
      </w:hyperlink>
      <w:r w:rsidR="007474BD" w:rsidRPr="00740B56">
        <w:rPr>
          <w:rFonts w:asciiTheme="majorHAnsi" w:hAnsiTheme="majorHAnsi" w:cstheme="majorHAnsi"/>
          <w:sz w:val="24"/>
          <w:szCs w:val="24"/>
        </w:rPr>
        <w:t xml:space="preserve"> </w:t>
      </w:r>
    </w:p>
    <w:p w14:paraId="1AB5A17C" w14:textId="77777777" w:rsidR="007000D8" w:rsidRPr="00740B56" w:rsidRDefault="007000D8" w:rsidP="006A3710">
      <w:pPr>
        <w:pStyle w:val="Body"/>
        <w:ind w:left="567" w:hanging="720"/>
        <w:rPr>
          <w:rFonts w:asciiTheme="majorHAnsi" w:hAnsiTheme="majorHAnsi" w:cstheme="majorHAnsi"/>
          <w:sz w:val="24"/>
          <w:szCs w:val="24"/>
        </w:rPr>
      </w:pPr>
    </w:p>
    <w:p w14:paraId="4500CF1D" w14:textId="30E1FEDE"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Markham, S. (2020). Collaborative risk assessment in secure and forensic mental health settings in the UK. </w:t>
      </w:r>
      <w:r w:rsidRPr="00740B56">
        <w:rPr>
          <w:rFonts w:asciiTheme="majorHAnsi" w:hAnsiTheme="majorHAnsi" w:cstheme="majorHAnsi"/>
          <w:i/>
          <w:iCs/>
          <w:sz w:val="24"/>
          <w:szCs w:val="24"/>
        </w:rPr>
        <w:t>General Psychiatry, 33</w:t>
      </w:r>
      <w:r w:rsidRPr="00740B56">
        <w:rPr>
          <w:rFonts w:asciiTheme="majorHAnsi" w:hAnsiTheme="majorHAnsi" w:cstheme="majorHAnsi"/>
          <w:sz w:val="24"/>
          <w:szCs w:val="24"/>
        </w:rPr>
        <w:t xml:space="preserve">(5). </w:t>
      </w:r>
      <w:hyperlink r:id="rId18" w:history="1">
        <w:r w:rsidR="007474BD" w:rsidRPr="00740B56">
          <w:rPr>
            <w:rStyle w:val="Hyperlink"/>
            <w:rFonts w:asciiTheme="majorHAnsi" w:hAnsiTheme="majorHAnsi" w:cstheme="majorHAnsi"/>
            <w:sz w:val="24"/>
            <w:szCs w:val="24"/>
          </w:rPr>
          <w:t>https://doi.org/10.1136/gpsych-2020-100291</w:t>
        </w:r>
      </w:hyperlink>
      <w:r w:rsidR="007474BD" w:rsidRPr="00740B56">
        <w:rPr>
          <w:rFonts w:asciiTheme="majorHAnsi" w:hAnsiTheme="majorHAnsi" w:cstheme="majorHAnsi"/>
          <w:sz w:val="24"/>
          <w:szCs w:val="24"/>
        </w:rPr>
        <w:t xml:space="preserve"> </w:t>
      </w:r>
    </w:p>
    <w:p w14:paraId="4B1666CC" w14:textId="77777777" w:rsidR="007000D8" w:rsidRPr="00740B56" w:rsidRDefault="007000D8" w:rsidP="006A3710">
      <w:pPr>
        <w:pStyle w:val="Body"/>
        <w:ind w:left="567" w:hanging="720"/>
        <w:rPr>
          <w:rFonts w:asciiTheme="majorHAnsi" w:hAnsiTheme="majorHAnsi" w:cstheme="majorHAnsi"/>
          <w:sz w:val="24"/>
          <w:szCs w:val="24"/>
        </w:rPr>
      </w:pPr>
    </w:p>
    <w:p w14:paraId="35728317" w14:textId="536A53BE"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lang w:val="de-DE"/>
        </w:rPr>
        <w:t xml:space="preserve">Marklund, L., Wahlroos, T., Looi, G. M. E., &amp; Gabrielsson, S. (2020). </w:t>
      </w:r>
      <w:r w:rsidRPr="00740B56">
        <w:rPr>
          <w:rFonts w:asciiTheme="majorHAnsi" w:hAnsiTheme="majorHAnsi" w:cstheme="majorHAnsi"/>
          <w:sz w:val="24"/>
          <w:szCs w:val="24"/>
        </w:rPr>
        <w:t>‘I know what I need to recover’</w:t>
      </w:r>
      <w:r w:rsidRPr="00740B56">
        <w:rPr>
          <w:rFonts w:asciiTheme="majorHAnsi" w:hAnsiTheme="majorHAnsi" w:cstheme="majorHAnsi"/>
          <w:sz w:val="24"/>
          <w:szCs w:val="24"/>
          <w:lang w:val="de-DE"/>
        </w:rPr>
        <w:t>: Patients</w:t>
      </w:r>
      <w:r w:rsidRPr="00740B56">
        <w:rPr>
          <w:rFonts w:asciiTheme="majorHAnsi" w:hAnsiTheme="majorHAnsi" w:cstheme="majorHAnsi"/>
          <w:sz w:val="24"/>
          <w:szCs w:val="24"/>
        </w:rPr>
        <w:t xml:space="preserve">’ experiences and perceptions of forensic psychiatric inpatient care. </w:t>
      </w:r>
      <w:r w:rsidRPr="00740B56">
        <w:rPr>
          <w:rFonts w:asciiTheme="majorHAnsi" w:hAnsiTheme="majorHAnsi" w:cstheme="majorHAnsi"/>
          <w:i/>
          <w:iCs/>
          <w:sz w:val="24"/>
          <w:szCs w:val="24"/>
        </w:rPr>
        <w:t>International Journal of Mental Health Nursing, 29</w:t>
      </w:r>
      <w:r w:rsidRPr="00740B56">
        <w:rPr>
          <w:rFonts w:asciiTheme="majorHAnsi" w:hAnsiTheme="majorHAnsi" w:cstheme="majorHAnsi"/>
          <w:sz w:val="24"/>
          <w:szCs w:val="24"/>
        </w:rPr>
        <w:t xml:space="preserve">(2), 235-243. </w:t>
      </w:r>
      <w:hyperlink r:id="rId19" w:history="1">
        <w:r w:rsidR="007474BD" w:rsidRPr="00740B56">
          <w:rPr>
            <w:rStyle w:val="Hyperlink"/>
            <w:rFonts w:asciiTheme="majorHAnsi" w:hAnsiTheme="majorHAnsi" w:cstheme="majorHAnsi"/>
            <w:sz w:val="24"/>
            <w:szCs w:val="24"/>
          </w:rPr>
          <w:t>https://doi.org/10.1111/inm.12667</w:t>
        </w:r>
      </w:hyperlink>
      <w:r w:rsidR="007474BD" w:rsidRPr="00740B56">
        <w:rPr>
          <w:rFonts w:asciiTheme="majorHAnsi" w:hAnsiTheme="majorHAnsi" w:cstheme="majorHAnsi"/>
          <w:sz w:val="24"/>
          <w:szCs w:val="24"/>
        </w:rPr>
        <w:t xml:space="preserve"> </w:t>
      </w:r>
    </w:p>
    <w:p w14:paraId="051BE12D" w14:textId="77777777" w:rsidR="007000D8" w:rsidRPr="00740B56" w:rsidRDefault="007000D8" w:rsidP="006A3710">
      <w:pPr>
        <w:pStyle w:val="Body"/>
        <w:ind w:left="567" w:hanging="720"/>
        <w:rPr>
          <w:rFonts w:asciiTheme="majorHAnsi" w:hAnsiTheme="majorHAnsi" w:cstheme="majorHAnsi"/>
          <w:sz w:val="24"/>
          <w:szCs w:val="24"/>
        </w:rPr>
      </w:pPr>
    </w:p>
    <w:p w14:paraId="199A2A55" w14:textId="44E0978E"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lang w:val="da-DK"/>
        </w:rPr>
        <w:t>Mills, H., Mulfinger, N., Raeder, S., R</w:t>
      </w:r>
      <w:r w:rsidRPr="00740B56">
        <w:rPr>
          <w:rFonts w:asciiTheme="majorHAnsi" w:hAnsiTheme="majorHAnsi" w:cstheme="majorHAnsi"/>
          <w:sz w:val="24"/>
          <w:szCs w:val="24"/>
        </w:rPr>
        <w:t xml:space="preserve">üsch, N., Clements, H., &amp; Scior, K. (2020). Self-help interventions to reduce self-stigma in people with mental health problems: a systematic literature review. </w:t>
      </w:r>
      <w:r w:rsidRPr="00740B56">
        <w:rPr>
          <w:rFonts w:asciiTheme="majorHAnsi" w:hAnsiTheme="majorHAnsi" w:cstheme="majorHAnsi"/>
          <w:i/>
          <w:iCs/>
          <w:sz w:val="24"/>
          <w:szCs w:val="24"/>
        </w:rPr>
        <w:t xml:space="preserve">Psychiatry research, 284, </w:t>
      </w:r>
      <w:r w:rsidRPr="00740B56">
        <w:rPr>
          <w:rFonts w:asciiTheme="majorHAnsi" w:hAnsiTheme="majorHAnsi" w:cstheme="majorHAnsi"/>
          <w:sz w:val="24"/>
          <w:szCs w:val="24"/>
        </w:rPr>
        <w:t xml:space="preserve">112702. </w:t>
      </w:r>
      <w:hyperlink r:id="rId20" w:history="1">
        <w:r w:rsidR="007474BD" w:rsidRPr="00740B56">
          <w:rPr>
            <w:rStyle w:val="Hyperlink"/>
            <w:rFonts w:asciiTheme="majorHAnsi" w:hAnsiTheme="majorHAnsi" w:cstheme="majorHAnsi"/>
            <w:sz w:val="24"/>
            <w:szCs w:val="24"/>
          </w:rPr>
          <w:t>https://doi.org/10.1016/j.psychres.2019.112702</w:t>
        </w:r>
      </w:hyperlink>
      <w:r w:rsidR="007474BD" w:rsidRPr="00740B56">
        <w:rPr>
          <w:rFonts w:asciiTheme="majorHAnsi" w:hAnsiTheme="majorHAnsi" w:cstheme="majorHAnsi"/>
          <w:sz w:val="24"/>
          <w:szCs w:val="24"/>
        </w:rPr>
        <w:t xml:space="preserve"> </w:t>
      </w:r>
    </w:p>
    <w:p w14:paraId="4A56AE15" w14:textId="77777777" w:rsidR="007000D8" w:rsidRPr="00740B56" w:rsidRDefault="007000D8" w:rsidP="006A3710">
      <w:pPr>
        <w:pStyle w:val="Body"/>
        <w:ind w:left="567" w:hanging="720"/>
        <w:rPr>
          <w:rFonts w:asciiTheme="majorHAnsi" w:hAnsiTheme="majorHAnsi" w:cstheme="majorHAnsi"/>
          <w:sz w:val="24"/>
          <w:szCs w:val="24"/>
        </w:rPr>
      </w:pPr>
    </w:p>
    <w:p w14:paraId="7A614619" w14:textId="08336F6D"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Nursing and Midwifery Council. (2018). </w:t>
      </w:r>
      <w:r w:rsidRPr="00740B56">
        <w:rPr>
          <w:rFonts w:asciiTheme="majorHAnsi" w:hAnsiTheme="majorHAnsi" w:cstheme="majorHAnsi"/>
          <w:i/>
          <w:iCs/>
          <w:sz w:val="24"/>
          <w:szCs w:val="24"/>
        </w:rPr>
        <w:t>The code.</w:t>
      </w:r>
      <w:r w:rsidRPr="00740B56">
        <w:rPr>
          <w:rFonts w:asciiTheme="majorHAnsi" w:hAnsiTheme="majorHAnsi" w:cstheme="majorHAnsi"/>
          <w:sz w:val="24"/>
          <w:szCs w:val="24"/>
        </w:rPr>
        <w:t xml:space="preserve"> Retrieved from: </w:t>
      </w:r>
      <w:hyperlink r:id="rId21" w:history="1">
        <w:r w:rsidR="007474BD" w:rsidRPr="00740B56">
          <w:rPr>
            <w:rStyle w:val="Hyperlink"/>
            <w:rFonts w:asciiTheme="majorHAnsi" w:hAnsiTheme="majorHAnsi" w:cstheme="majorHAnsi"/>
            <w:sz w:val="24"/>
            <w:szCs w:val="24"/>
          </w:rPr>
          <w:t>https://www.nmc.org.uk/globalassets/sitedocuments/nmc-publications/nmc-code.pdf</w:t>
        </w:r>
      </w:hyperlink>
      <w:r w:rsidR="007474BD" w:rsidRPr="00740B56">
        <w:rPr>
          <w:rFonts w:asciiTheme="majorHAnsi" w:hAnsiTheme="majorHAnsi" w:cstheme="majorHAnsi"/>
          <w:sz w:val="24"/>
          <w:szCs w:val="24"/>
        </w:rPr>
        <w:t xml:space="preserve"> </w:t>
      </w:r>
    </w:p>
    <w:p w14:paraId="00CB318F" w14:textId="77777777" w:rsidR="007000D8" w:rsidRPr="00740B56" w:rsidRDefault="007000D8" w:rsidP="006A3710">
      <w:pPr>
        <w:pStyle w:val="Body"/>
        <w:ind w:left="567" w:hanging="720"/>
        <w:rPr>
          <w:rFonts w:asciiTheme="majorHAnsi" w:hAnsiTheme="majorHAnsi" w:cstheme="majorHAnsi"/>
          <w:sz w:val="24"/>
          <w:szCs w:val="24"/>
        </w:rPr>
      </w:pPr>
    </w:p>
    <w:p w14:paraId="0E38F3D3" w14:textId="32EEEB7F"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Staniszewska, S., Mockford, C., Chadburn, G., Fenton, S. J., Bhui, K., Larkin, M., Newton, E., Crepaz-Keay, D., Griffiths, F., &amp; Weich, S. (2019). Experiences of in-patient mental health services: systematic review. </w:t>
      </w:r>
      <w:r w:rsidRPr="00740B56">
        <w:rPr>
          <w:rFonts w:asciiTheme="majorHAnsi" w:hAnsiTheme="majorHAnsi" w:cstheme="majorHAnsi"/>
          <w:i/>
          <w:iCs/>
          <w:sz w:val="24"/>
          <w:szCs w:val="24"/>
        </w:rPr>
        <w:t>The British Journal of Psychiatry, 214</w:t>
      </w:r>
      <w:r w:rsidRPr="00740B56">
        <w:rPr>
          <w:rFonts w:asciiTheme="majorHAnsi" w:hAnsiTheme="majorHAnsi" w:cstheme="majorHAnsi"/>
          <w:sz w:val="24"/>
          <w:szCs w:val="24"/>
        </w:rPr>
        <w:t xml:space="preserve">(6), 329-338. </w:t>
      </w:r>
      <w:hyperlink r:id="rId22" w:history="1">
        <w:r w:rsidR="007474BD" w:rsidRPr="00740B56">
          <w:rPr>
            <w:rStyle w:val="Hyperlink"/>
            <w:rFonts w:asciiTheme="majorHAnsi" w:hAnsiTheme="majorHAnsi" w:cstheme="majorHAnsi"/>
            <w:sz w:val="24"/>
            <w:szCs w:val="24"/>
          </w:rPr>
          <w:t>https://doi.org/10.1192/bjp.2019.22</w:t>
        </w:r>
      </w:hyperlink>
      <w:r w:rsidR="007474BD" w:rsidRPr="00740B56">
        <w:rPr>
          <w:rFonts w:asciiTheme="majorHAnsi" w:hAnsiTheme="majorHAnsi" w:cstheme="majorHAnsi"/>
          <w:sz w:val="24"/>
          <w:szCs w:val="24"/>
        </w:rPr>
        <w:t xml:space="preserve"> </w:t>
      </w:r>
    </w:p>
    <w:p w14:paraId="39EE93F6" w14:textId="77777777" w:rsidR="007000D8" w:rsidRPr="00740B56" w:rsidRDefault="007000D8" w:rsidP="006A3710">
      <w:pPr>
        <w:pStyle w:val="Body"/>
        <w:ind w:left="567" w:hanging="720"/>
        <w:rPr>
          <w:rFonts w:asciiTheme="majorHAnsi" w:hAnsiTheme="majorHAnsi" w:cstheme="majorHAnsi"/>
          <w:sz w:val="24"/>
          <w:szCs w:val="24"/>
        </w:rPr>
      </w:pPr>
    </w:p>
    <w:p w14:paraId="10AF0D17" w14:textId="7C7A12DB"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Thomas, K. A., Schroder, A. M., &amp; Rickwood, D. J. (2020). A systematic review of current approaches to managing demand and waitlists for mental health services. </w:t>
      </w:r>
      <w:r w:rsidRPr="00740B56">
        <w:rPr>
          <w:rFonts w:asciiTheme="majorHAnsi" w:hAnsiTheme="majorHAnsi" w:cstheme="majorHAnsi"/>
          <w:i/>
          <w:iCs/>
          <w:sz w:val="24"/>
          <w:szCs w:val="24"/>
        </w:rPr>
        <w:t>Mental Health Review Journal, 26,</w:t>
      </w:r>
      <w:r w:rsidRPr="00740B56">
        <w:rPr>
          <w:rFonts w:asciiTheme="majorHAnsi" w:hAnsiTheme="majorHAnsi" w:cstheme="majorHAnsi"/>
          <w:sz w:val="24"/>
          <w:szCs w:val="24"/>
        </w:rPr>
        <w:t xml:space="preserve"> 1-17. </w:t>
      </w:r>
      <w:hyperlink r:id="rId23" w:history="1">
        <w:r w:rsidR="007474BD" w:rsidRPr="00740B56">
          <w:rPr>
            <w:rStyle w:val="Hyperlink"/>
            <w:rFonts w:asciiTheme="majorHAnsi" w:hAnsiTheme="majorHAnsi" w:cstheme="majorHAnsi"/>
            <w:sz w:val="24"/>
            <w:szCs w:val="24"/>
          </w:rPr>
          <w:t>https://doi.org/10.1108/MHRJ-05-2020-0025</w:t>
        </w:r>
      </w:hyperlink>
      <w:r w:rsidR="007474BD" w:rsidRPr="00740B56">
        <w:rPr>
          <w:rFonts w:asciiTheme="majorHAnsi" w:hAnsiTheme="majorHAnsi" w:cstheme="majorHAnsi"/>
          <w:sz w:val="24"/>
          <w:szCs w:val="24"/>
        </w:rPr>
        <w:t xml:space="preserve"> </w:t>
      </w:r>
    </w:p>
    <w:p w14:paraId="2695D684" w14:textId="77777777" w:rsidR="007000D8" w:rsidRPr="00740B56" w:rsidRDefault="007000D8" w:rsidP="006A3710">
      <w:pPr>
        <w:pStyle w:val="Body"/>
        <w:ind w:left="567" w:hanging="720"/>
        <w:rPr>
          <w:rFonts w:asciiTheme="majorHAnsi" w:hAnsiTheme="majorHAnsi" w:cstheme="majorHAnsi"/>
          <w:sz w:val="24"/>
          <w:szCs w:val="24"/>
        </w:rPr>
      </w:pPr>
    </w:p>
    <w:p w14:paraId="5D535168" w14:textId="099D0CF8"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Varkey, B. (2021). Principles of clinical ethics and their application to practice. </w:t>
      </w:r>
      <w:r w:rsidRPr="00740B56">
        <w:rPr>
          <w:rFonts w:asciiTheme="majorHAnsi" w:hAnsiTheme="majorHAnsi" w:cstheme="majorHAnsi"/>
          <w:i/>
          <w:iCs/>
          <w:sz w:val="24"/>
          <w:szCs w:val="24"/>
        </w:rPr>
        <w:t>Medical Principles and Practice, 30</w:t>
      </w:r>
      <w:r w:rsidRPr="00740B56">
        <w:rPr>
          <w:rFonts w:asciiTheme="majorHAnsi" w:hAnsiTheme="majorHAnsi" w:cstheme="majorHAnsi"/>
          <w:sz w:val="24"/>
          <w:szCs w:val="24"/>
        </w:rPr>
        <w:t xml:space="preserve">(1), 17-28. </w:t>
      </w:r>
      <w:hyperlink r:id="rId24" w:history="1">
        <w:r w:rsidR="004E5A0D" w:rsidRPr="00740B56">
          <w:rPr>
            <w:rStyle w:val="Hyperlink"/>
            <w:rFonts w:asciiTheme="majorHAnsi" w:hAnsiTheme="majorHAnsi" w:cstheme="majorHAnsi"/>
            <w:sz w:val="24"/>
            <w:szCs w:val="24"/>
          </w:rPr>
          <w:t>https://doi.org/10.1159/000509119</w:t>
        </w:r>
      </w:hyperlink>
      <w:r w:rsidR="004E5A0D" w:rsidRPr="00740B56">
        <w:rPr>
          <w:rFonts w:asciiTheme="majorHAnsi" w:hAnsiTheme="majorHAnsi" w:cstheme="majorHAnsi"/>
          <w:sz w:val="24"/>
          <w:szCs w:val="24"/>
        </w:rPr>
        <w:t xml:space="preserve"> </w:t>
      </w:r>
    </w:p>
    <w:p w14:paraId="6066D93F" w14:textId="77777777" w:rsidR="007000D8" w:rsidRPr="00740B56" w:rsidRDefault="007000D8" w:rsidP="006A3710">
      <w:pPr>
        <w:pStyle w:val="Body"/>
        <w:ind w:left="567" w:hanging="720"/>
        <w:rPr>
          <w:rFonts w:asciiTheme="majorHAnsi" w:hAnsiTheme="majorHAnsi" w:cstheme="majorHAnsi"/>
          <w:sz w:val="24"/>
          <w:szCs w:val="24"/>
        </w:rPr>
      </w:pPr>
    </w:p>
    <w:p w14:paraId="64A93740" w14:textId="2239782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Woods, J. B., Greenfield, G., Majeed, A., &amp; Hayhoe, B. (2020). Clinical effectiveness and cost effectiveness of individual mental health workers colocated within primary care practices: a systematic literature review. </w:t>
      </w:r>
      <w:r w:rsidRPr="00740B56">
        <w:rPr>
          <w:rFonts w:asciiTheme="majorHAnsi" w:hAnsiTheme="majorHAnsi" w:cstheme="majorHAnsi"/>
          <w:i/>
          <w:iCs/>
          <w:sz w:val="24"/>
          <w:szCs w:val="24"/>
          <w:lang w:val="nl-NL"/>
        </w:rPr>
        <w:t>BMJ open, 10</w:t>
      </w:r>
      <w:r w:rsidRPr="00740B56">
        <w:rPr>
          <w:rFonts w:asciiTheme="majorHAnsi" w:hAnsiTheme="majorHAnsi" w:cstheme="majorHAnsi"/>
          <w:sz w:val="24"/>
          <w:szCs w:val="24"/>
        </w:rPr>
        <w:t>(12), e042052.</w:t>
      </w:r>
      <w:r w:rsidR="004E5A0D" w:rsidRPr="00740B56">
        <w:rPr>
          <w:rFonts w:asciiTheme="majorHAnsi" w:hAnsiTheme="majorHAnsi" w:cstheme="majorHAnsi"/>
          <w:sz w:val="24"/>
          <w:szCs w:val="24"/>
        </w:rPr>
        <w:t xml:space="preserve"> </w:t>
      </w:r>
    </w:p>
    <w:p w14:paraId="4AB98BA2" w14:textId="77777777" w:rsidR="007000D8" w:rsidRPr="00740B56" w:rsidRDefault="007000D8" w:rsidP="006A3710">
      <w:pPr>
        <w:pStyle w:val="Body"/>
        <w:ind w:left="567" w:hanging="720"/>
        <w:rPr>
          <w:rFonts w:asciiTheme="majorHAnsi" w:hAnsiTheme="majorHAnsi" w:cstheme="majorHAnsi"/>
          <w:sz w:val="24"/>
          <w:szCs w:val="24"/>
        </w:rPr>
      </w:pPr>
    </w:p>
    <w:p w14:paraId="4B2EA995" w14:textId="77777777" w:rsidR="007000D8" w:rsidRPr="00740B56" w:rsidRDefault="007000D8" w:rsidP="006A3710">
      <w:pPr>
        <w:pStyle w:val="Body"/>
        <w:ind w:left="567" w:hanging="720"/>
        <w:rPr>
          <w:rFonts w:asciiTheme="majorHAnsi" w:hAnsiTheme="majorHAnsi" w:cstheme="majorHAnsi"/>
          <w:sz w:val="24"/>
          <w:szCs w:val="24"/>
        </w:rPr>
      </w:pPr>
      <w:r w:rsidRPr="00740B56">
        <w:rPr>
          <w:rFonts w:asciiTheme="majorHAnsi" w:hAnsiTheme="majorHAnsi" w:cstheme="majorHAnsi"/>
          <w:sz w:val="24"/>
          <w:szCs w:val="24"/>
        </w:rPr>
        <w:t xml:space="preserve">World Health Organization. (2021). </w:t>
      </w:r>
      <w:r w:rsidRPr="00740B56">
        <w:rPr>
          <w:rFonts w:asciiTheme="majorHAnsi" w:hAnsiTheme="majorHAnsi" w:cstheme="majorHAnsi"/>
          <w:i/>
          <w:iCs/>
          <w:sz w:val="24"/>
          <w:szCs w:val="24"/>
        </w:rPr>
        <w:t xml:space="preserve">Guidance on community mental health services: promoting person-centred and rights-based approaches. </w:t>
      </w:r>
      <w:r w:rsidRPr="00740B56">
        <w:rPr>
          <w:rFonts w:asciiTheme="majorHAnsi" w:hAnsiTheme="majorHAnsi" w:cstheme="majorHAnsi"/>
          <w:sz w:val="24"/>
          <w:szCs w:val="24"/>
        </w:rPr>
        <w:t>World Health Organization.</w:t>
      </w:r>
    </w:p>
    <w:p w14:paraId="582C89E7" w14:textId="77777777" w:rsidR="007000D8" w:rsidRPr="00740B56" w:rsidRDefault="007000D8" w:rsidP="006A3710">
      <w:pPr>
        <w:pStyle w:val="Body"/>
        <w:ind w:left="567" w:hanging="720"/>
        <w:rPr>
          <w:rFonts w:asciiTheme="majorHAnsi" w:hAnsiTheme="majorHAnsi" w:cstheme="majorHAnsi"/>
          <w:sz w:val="24"/>
          <w:szCs w:val="24"/>
        </w:rPr>
      </w:pPr>
    </w:p>
    <w:p w14:paraId="3FB3356A" w14:textId="77777777" w:rsidR="007000D8" w:rsidRPr="00740B56" w:rsidRDefault="007000D8" w:rsidP="006A3710">
      <w:pPr>
        <w:pStyle w:val="Body"/>
        <w:ind w:left="567" w:hanging="720"/>
        <w:rPr>
          <w:rFonts w:asciiTheme="majorHAnsi" w:hAnsiTheme="majorHAnsi" w:cstheme="majorHAnsi"/>
          <w:sz w:val="24"/>
          <w:szCs w:val="24"/>
        </w:rPr>
      </w:pPr>
    </w:p>
    <w:p w14:paraId="5914FCD2" w14:textId="77777777" w:rsidR="007000D8" w:rsidRPr="00740B56" w:rsidRDefault="007000D8" w:rsidP="006A3710">
      <w:pPr>
        <w:pStyle w:val="Body"/>
        <w:ind w:left="567" w:hanging="720"/>
        <w:rPr>
          <w:rFonts w:asciiTheme="majorHAnsi" w:hAnsiTheme="majorHAnsi" w:cstheme="majorHAnsi"/>
          <w:sz w:val="24"/>
          <w:szCs w:val="24"/>
        </w:rPr>
      </w:pPr>
    </w:p>
    <w:p w14:paraId="3F3241F1" w14:textId="77777777" w:rsidR="003E4935" w:rsidRPr="00740B56" w:rsidRDefault="003E4935" w:rsidP="006A3710">
      <w:pPr>
        <w:ind w:hanging="720"/>
        <w:rPr>
          <w:rFonts w:asciiTheme="majorHAnsi" w:hAnsiTheme="majorHAnsi" w:cstheme="majorHAnsi"/>
          <w:sz w:val="24"/>
          <w:szCs w:val="24"/>
        </w:rPr>
      </w:pPr>
    </w:p>
    <w:p w14:paraId="06189C09" w14:textId="77777777" w:rsidR="003E4935" w:rsidRPr="00740B56" w:rsidRDefault="003E4935" w:rsidP="006A3710">
      <w:pPr>
        <w:ind w:hanging="720"/>
        <w:rPr>
          <w:rFonts w:asciiTheme="majorHAnsi" w:hAnsiTheme="majorHAnsi" w:cstheme="majorHAnsi"/>
          <w:sz w:val="24"/>
          <w:szCs w:val="24"/>
        </w:rPr>
      </w:pPr>
    </w:p>
    <w:p w14:paraId="47449239" w14:textId="77777777" w:rsidR="002F5A8A" w:rsidRPr="00740B56" w:rsidRDefault="002F5A8A" w:rsidP="006A3710">
      <w:pPr>
        <w:ind w:hanging="720"/>
        <w:rPr>
          <w:rFonts w:asciiTheme="majorHAnsi" w:hAnsiTheme="majorHAnsi" w:cstheme="majorHAnsi"/>
          <w:sz w:val="24"/>
          <w:szCs w:val="24"/>
        </w:rPr>
      </w:pPr>
    </w:p>
    <w:sectPr w:rsidR="002F5A8A" w:rsidRPr="00740B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935"/>
    <w:rsid w:val="000F7840"/>
    <w:rsid w:val="0013229A"/>
    <w:rsid w:val="002F5A8A"/>
    <w:rsid w:val="00336ABC"/>
    <w:rsid w:val="003E4935"/>
    <w:rsid w:val="004D1DFC"/>
    <w:rsid w:val="004E5A0D"/>
    <w:rsid w:val="00524D19"/>
    <w:rsid w:val="006A3710"/>
    <w:rsid w:val="006B4BDF"/>
    <w:rsid w:val="006D7A9D"/>
    <w:rsid w:val="007000D8"/>
    <w:rsid w:val="00740B56"/>
    <w:rsid w:val="007474BD"/>
    <w:rsid w:val="00C61B39"/>
    <w:rsid w:val="00F65EAD"/>
    <w:rsid w:val="00FD0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30E3B"/>
  <w15:chartTrackingRefBased/>
  <w15:docId w15:val="{DC0A4841-6AB3-4730-B158-0863EF663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7000D8"/>
    <w:pPr>
      <w:pBdr>
        <w:top w:val="nil"/>
        <w:left w:val="nil"/>
        <w:bottom w:val="nil"/>
        <w:right w:val="nil"/>
        <w:between w:val="nil"/>
        <w:bar w:val="nil"/>
      </w:pBdr>
      <w:spacing w:after="0" w:line="240" w:lineRule="auto"/>
    </w:pPr>
    <w:rPr>
      <w:rFonts w:ascii="Helvetica" w:eastAsia="Arial Unicode MS" w:hAnsi="Arial Unicode MS" w:cs="Arial Unicode MS"/>
      <w:color w:val="000000"/>
      <w:bdr w:val="nil"/>
      <w:lang w:val="en-US" w:eastAsia="en-GB"/>
    </w:rPr>
  </w:style>
  <w:style w:type="character" w:styleId="Hyperlink">
    <w:name w:val="Hyperlink"/>
    <w:basedOn w:val="DefaultParagraphFont"/>
    <w:uiPriority w:val="99"/>
    <w:unhideWhenUsed/>
    <w:rsid w:val="007474BD"/>
    <w:rPr>
      <w:color w:val="0563C1" w:themeColor="hyperlink"/>
      <w:u w:val="single"/>
    </w:rPr>
  </w:style>
  <w:style w:type="character" w:styleId="UnresolvedMention">
    <w:name w:val="Unresolved Mention"/>
    <w:basedOn w:val="DefaultParagraphFont"/>
    <w:uiPriority w:val="99"/>
    <w:semiHidden/>
    <w:unhideWhenUsed/>
    <w:rsid w:val="007474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7/12/contents" TargetMode="External"/><Relationship Id="rId13" Type="http://schemas.openxmlformats.org/officeDocument/2006/relationships/hyperlink" Target="https://doi.org/10.1017/S204579601700021X" TargetMode="External"/><Relationship Id="rId18" Type="http://schemas.openxmlformats.org/officeDocument/2006/relationships/hyperlink" Target="https://doi.org/10.1136/gpsych-2020-100291"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nmc.org.uk/globalassets/sitedocuments/nmc-publications/nmc-code.pdf" TargetMode="External"/><Relationship Id="rId7" Type="http://schemas.openxmlformats.org/officeDocument/2006/relationships/hyperlink" Target="https://www.legislation.gov.uk/ukpga/2005/9/contents" TargetMode="External"/><Relationship Id="rId12" Type="http://schemas.openxmlformats.org/officeDocument/2006/relationships/hyperlink" Target="https://doi.org/10.1111/inm.12435" TargetMode="External"/><Relationship Id="rId17" Type="http://schemas.openxmlformats.org/officeDocument/2006/relationships/hyperlink" Target="https://doi.org/10.1093/phe/phab027"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177/2156869317707001" TargetMode="External"/><Relationship Id="rId20" Type="http://schemas.openxmlformats.org/officeDocument/2006/relationships/hyperlink" Target="https://doi.org/10.1016/j.psychres.2019.112702" TargetMode="External"/><Relationship Id="rId1" Type="http://schemas.openxmlformats.org/officeDocument/2006/relationships/styles" Target="styles.xml"/><Relationship Id="rId6" Type="http://schemas.openxmlformats.org/officeDocument/2006/relationships/hyperlink" Target="https://doi.org/10.1176/appi.ps.202000494" TargetMode="External"/><Relationship Id="rId11" Type="http://schemas.openxmlformats.org/officeDocument/2006/relationships/hyperlink" Target="https://doi.org/10.1111/jocn.14313" TargetMode="External"/><Relationship Id="rId24" Type="http://schemas.openxmlformats.org/officeDocument/2006/relationships/hyperlink" Target="https://doi.org/10.1159/000509119" TargetMode="External"/><Relationship Id="rId5" Type="http://schemas.openxmlformats.org/officeDocument/2006/relationships/hyperlink" Target="https://doi.org/10.1177/1049732316673581" TargetMode="External"/><Relationship Id="rId15" Type="http://schemas.openxmlformats.org/officeDocument/2006/relationships/hyperlink" Target="https://doi.org/10.1002/9781119057840.ch84" TargetMode="External"/><Relationship Id="rId23" Type="http://schemas.openxmlformats.org/officeDocument/2006/relationships/hyperlink" Target="https://doi.org/10.1108/MHRJ-05-2020-0025" TargetMode="External"/><Relationship Id="rId10" Type="http://schemas.openxmlformats.org/officeDocument/2006/relationships/hyperlink" Target="https://doi.org/10.1192/apt.bp.115.015701" TargetMode="External"/><Relationship Id="rId19" Type="http://schemas.openxmlformats.org/officeDocument/2006/relationships/hyperlink" Target="https://doi.org/10.1111/inm.12667" TargetMode="External"/><Relationship Id="rId4" Type="http://schemas.openxmlformats.org/officeDocument/2006/relationships/hyperlink" Target="https://doi.org/10.1080/01612840.2020.1770384" TargetMode="External"/><Relationship Id="rId9" Type="http://schemas.openxmlformats.org/officeDocument/2006/relationships/hyperlink" Target="https://www.england.nhs.uk/wp-content/uploads/2012/12/compassion-in-practice.pdf" TargetMode="External"/><Relationship Id="rId14" Type="http://schemas.openxmlformats.org/officeDocument/2006/relationships/hyperlink" Target="https://doi.org/10.1002/jclp.22866" TargetMode="External"/><Relationship Id="rId22" Type="http://schemas.openxmlformats.org/officeDocument/2006/relationships/hyperlink" Target="https://doi.org/10.1192/bjp.2019.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3578</Words>
  <Characters>20398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3</cp:revision>
  <dcterms:created xsi:type="dcterms:W3CDTF">2022-07-14T12:16:00Z</dcterms:created>
  <dcterms:modified xsi:type="dcterms:W3CDTF">2022-07-14T12:23:00Z</dcterms:modified>
</cp:coreProperties>
</file>