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E17A58" w14:textId="41FBEA42" w:rsidR="00D603C0" w:rsidRDefault="003A0D97" w:rsidP="003A0D97">
      <w:pPr>
        <w:jc w:val="both"/>
        <w:rPr>
          <w:rFonts w:ascii="Times New Roman" w:hAnsi="Times New Roman" w:cs="Times New Roman"/>
          <w:b/>
          <w:bCs/>
          <w:sz w:val="20"/>
          <w:szCs w:val="20"/>
        </w:rPr>
      </w:pPr>
      <w:r w:rsidRPr="003A0D97">
        <w:rPr>
          <w:rFonts w:ascii="Times New Roman" w:hAnsi="Times New Roman" w:cs="Times New Roman"/>
          <w:b/>
          <w:bCs/>
          <w:sz w:val="20"/>
          <w:szCs w:val="20"/>
        </w:rPr>
        <w:t>Consider how useful Childe’s criteria for the emergence of towns and/or states are for interpreting the emergence of social complexity in the East Mediterranean in the Bronze Age</w:t>
      </w:r>
      <w:r>
        <w:rPr>
          <w:rFonts w:ascii="Times New Roman" w:hAnsi="Times New Roman" w:cs="Times New Roman"/>
          <w:b/>
          <w:bCs/>
          <w:sz w:val="20"/>
          <w:szCs w:val="20"/>
        </w:rPr>
        <w:t>.</w:t>
      </w:r>
    </w:p>
    <w:p w14:paraId="7856AF1A" w14:textId="3028C907" w:rsidR="003A0D97" w:rsidRDefault="003A0D97" w:rsidP="003A0D97">
      <w:pPr>
        <w:jc w:val="both"/>
        <w:rPr>
          <w:rFonts w:ascii="Times New Roman" w:hAnsi="Times New Roman" w:cs="Times New Roman"/>
          <w:sz w:val="20"/>
          <w:szCs w:val="20"/>
        </w:rPr>
      </w:pPr>
      <w:r>
        <w:rPr>
          <w:rFonts w:ascii="Times New Roman" w:hAnsi="Times New Roman" w:cs="Times New Roman"/>
          <w:b/>
          <w:bCs/>
          <w:sz w:val="20"/>
          <w:szCs w:val="20"/>
        </w:rPr>
        <w:tab/>
      </w:r>
      <w:r w:rsidR="00FC1C1E">
        <w:rPr>
          <w:rFonts w:ascii="Times New Roman" w:hAnsi="Times New Roman" w:cs="Times New Roman"/>
          <w:sz w:val="20"/>
          <w:szCs w:val="20"/>
        </w:rPr>
        <w:t xml:space="preserve">In his 1950 article, ‘The Urban Revolution’, Childe sets out criteria for the urbanisation of society, criteria which correspond directly to the complexity of society. These criteria go from the basic, hunter-gatherer, level of society, and charts the progression from villages, centred around food, and water, sources, until such time as the development of craftsmen, and a craft based economy becomes dominant over an agricultural economy, from which point towns, and eventually cities, </w:t>
      </w:r>
      <w:r w:rsidR="009478AC">
        <w:rPr>
          <w:rFonts w:ascii="Times New Roman" w:hAnsi="Times New Roman" w:cs="Times New Roman"/>
          <w:sz w:val="20"/>
          <w:szCs w:val="20"/>
        </w:rPr>
        <w:t>begin to centre around increasingly specialised crafts, and trade within, and without, the settlement</w:t>
      </w:r>
      <w:r w:rsidR="009478AC">
        <w:rPr>
          <w:rStyle w:val="FootnoteReference"/>
          <w:rFonts w:ascii="Times New Roman" w:hAnsi="Times New Roman" w:cs="Times New Roman"/>
          <w:sz w:val="20"/>
          <w:szCs w:val="20"/>
        </w:rPr>
        <w:footnoteReference w:id="1"/>
      </w:r>
      <w:r w:rsidR="009478AC">
        <w:rPr>
          <w:rFonts w:ascii="Times New Roman" w:hAnsi="Times New Roman" w:cs="Times New Roman"/>
          <w:sz w:val="20"/>
          <w:szCs w:val="20"/>
        </w:rPr>
        <w:t xml:space="preserve">. This development, in Childe’s view, all come from populations density; people are attracted to a stable source of food, and water, the increasing population leads to increased need of craft object, a demand which cannot be supplied by </w:t>
      </w:r>
      <w:r w:rsidR="00FB5F23">
        <w:rPr>
          <w:rFonts w:ascii="Times New Roman" w:hAnsi="Times New Roman" w:cs="Times New Roman"/>
          <w:sz w:val="20"/>
          <w:szCs w:val="20"/>
        </w:rPr>
        <w:t>the domestic, part-time, craftmanship of the farming population, meaning that groups who are, specifically, craftsman, and not farmers, are needed, to fulfil the demand</w:t>
      </w:r>
      <w:r w:rsidR="00FB5F23">
        <w:rPr>
          <w:rStyle w:val="FootnoteReference"/>
          <w:rFonts w:ascii="Times New Roman" w:hAnsi="Times New Roman" w:cs="Times New Roman"/>
          <w:sz w:val="20"/>
          <w:szCs w:val="20"/>
        </w:rPr>
        <w:footnoteReference w:id="2"/>
      </w:r>
      <w:r w:rsidR="00FB5F23">
        <w:rPr>
          <w:rFonts w:ascii="Times New Roman" w:hAnsi="Times New Roman" w:cs="Times New Roman"/>
          <w:sz w:val="20"/>
          <w:szCs w:val="20"/>
        </w:rPr>
        <w:t xml:space="preserve">. As the population grows further, so does demand, both in quantity, and variety, so crafts must be more specialised – the lone metal-worker becomes many metal-workers, one focusing on knives, another focusing of ploughshares – and soon a settlement’s farmers become unable to support both themselves, and the non-farming craftsman, so it becomes necessary to exchange one settlement’s surplus of </w:t>
      </w:r>
      <w:r w:rsidR="000442D3">
        <w:rPr>
          <w:rFonts w:ascii="Times New Roman" w:hAnsi="Times New Roman" w:cs="Times New Roman"/>
          <w:sz w:val="20"/>
          <w:szCs w:val="20"/>
        </w:rPr>
        <w:t>crafted objects</w:t>
      </w:r>
      <w:r w:rsidR="00FB5F23">
        <w:rPr>
          <w:rFonts w:ascii="Times New Roman" w:hAnsi="Times New Roman" w:cs="Times New Roman"/>
          <w:sz w:val="20"/>
          <w:szCs w:val="20"/>
        </w:rPr>
        <w:t>, for another’s surplus of food</w:t>
      </w:r>
      <w:r w:rsidR="000442D3">
        <w:rPr>
          <w:rStyle w:val="FootnoteReference"/>
          <w:rFonts w:ascii="Times New Roman" w:hAnsi="Times New Roman" w:cs="Times New Roman"/>
          <w:sz w:val="20"/>
          <w:szCs w:val="20"/>
        </w:rPr>
        <w:footnoteReference w:id="3"/>
      </w:r>
      <w:r w:rsidR="000442D3">
        <w:rPr>
          <w:rFonts w:ascii="Times New Roman" w:hAnsi="Times New Roman" w:cs="Times New Roman"/>
          <w:sz w:val="20"/>
          <w:szCs w:val="20"/>
        </w:rPr>
        <w:t xml:space="preserve">. </w:t>
      </w:r>
      <w:r w:rsidR="006D6E33">
        <w:rPr>
          <w:rFonts w:ascii="Times New Roman" w:hAnsi="Times New Roman" w:cs="Times New Roman"/>
          <w:sz w:val="20"/>
          <w:szCs w:val="20"/>
        </w:rPr>
        <w:t>This trade also necessitates methods of recording transactions, resulting in written language</w:t>
      </w:r>
      <w:r w:rsidR="006D6E33">
        <w:rPr>
          <w:rStyle w:val="FootnoteReference"/>
          <w:rFonts w:ascii="Times New Roman" w:hAnsi="Times New Roman" w:cs="Times New Roman"/>
          <w:sz w:val="20"/>
          <w:szCs w:val="20"/>
        </w:rPr>
        <w:footnoteReference w:id="4"/>
      </w:r>
      <w:r w:rsidR="006D6E33">
        <w:rPr>
          <w:rFonts w:ascii="Times New Roman" w:hAnsi="Times New Roman" w:cs="Times New Roman"/>
          <w:sz w:val="20"/>
          <w:szCs w:val="20"/>
        </w:rPr>
        <w:t xml:space="preserve">. </w:t>
      </w:r>
      <w:r w:rsidR="000442D3">
        <w:rPr>
          <w:rFonts w:ascii="Times New Roman" w:hAnsi="Times New Roman" w:cs="Times New Roman"/>
          <w:sz w:val="20"/>
          <w:szCs w:val="20"/>
        </w:rPr>
        <w:t>This all relates to social complexity as the differentiation between craftsmen, and farmers, creates a class division, and exchange of materials requires that crafted objects have a value, in relation to food, and means the development of the concept of wealth, and consequently a wealthy class, able to use their wealth to buy the labour of the less wealthy, a state of affairs which, given time, develops into kingship, and capitalist economics</w:t>
      </w:r>
      <w:r w:rsidR="000442D3">
        <w:rPr>
          <w:rStyle w:val="FootnoteReference"/>
          <w:rFonts w:ascii="Times New Roman" w:hAnsi="Times New Roman" w:cs="Times New Roman"/>
          <w:sz w:val="20"/>
          <w:szCs w:val="20"/>
        </w:rPr>
        <w:footnoteReference w:id="5"/>
      </w:r>
      <w:r w:rsidR="000442D3">
        <w:rPr>
          <w:rFonts w:ascii="Times New Roman" w:hAnsi="Times New Roman" w:cs="Times New Roman"/>
          <w:sz w:val="20"/>
          <w:szCs w:val="20"/>
        </w:rPr>
        <w:t>.</w:t>
      </w:r>
    </w:p>
    <w:p w14:paraId="3CC661B8" w14:textId="60E53EF2" w:rsidR="00874A77" w:rsidRDefault="000442D3" w:rsidP="003A0D97">
      <w:pPr>
        <w:jc w:val="both"/>
        <w:rPr>
          <w:rFonts w:ascii="Times New Roman" w:hAnsi="Times New Roman" w:cs="Times New Roman"/>
          <w:sz w:val="20"/>
          <w:szCs w:val="20"/>
        </w:rPr>
      </w:pPr>
      <w:r>
        <w:rPr>
          <w:rFonts w:ascii="Times New Roman" w:hAnsi="Times New Roman" w:cs="Times New Roman"/>
          <w:sz w:val="20"/>
          <w:szCs w:val="20"/>
        </w:rPr>
        <w:tab/>
        <w:t>Childe’s urbanisation is a process which developed – in much of Europe, and the Middle-East – over the course of the late Stone-age, the Bronze-age, and the early Iron-age – however it</w:t>
      </w:r>
      <w:r w:rsidR="00C45131">
        <w:rPr>
          <w:rFonts w:ascii="Times New Roman" w:hAnsi="Times New Roman" w:cs="Times New Roman"/>
          <w:sz w:val="20"/>
          <w:szCs w:val="20"/>
        </w:rPr>
        <w:t xml:space="preserve"> is</w:t>
      </w:r>
      <w:r>
        <w:rPr>
          <w:rFonts w:ascii="Times New Roman" w:hAnsi="Times New Roman" w:cs="Times New Roman"/>
          <w:sz w:val="20"/>
          <w:szCs w:val="20"/>
        </w:rPr>
        <w:t xml:space="preserve"> not a universal model of progress. Childe’s criteria are flawed in</w:t>
      </w:r>
      <w:r w:rsidR="00874A77">
        <w:rPr>
          <w:rFonts w:ascii="Times New Roman" w:hAnsi="Times New Roman" w:cs="Times New Roman"/>
          <w:sz w:val="20"/>
          <w:szCs w:val="20"/>
        </w:rPr>
        <w:t xml:space="preserve"> that they rely a settled area being large enough to support a sufficiently, genetically diverse population, and having access both to arable land, and to the raw resources of the craftsmanship, which is not always the case, particularly on smaller islands, such as those of the Aegean. This being so, this essay intends to investigate the utility of Childe’s criteria, within the context of the developing, Aegean, societies</w:t>
      </w:r>
      <w:r w:rsidR="00422945">
        <w:rPr>
          <w:rFonts w:ascii="Times New Roman" w:hAnsi="Times New Roman" w:cs="Times New Roman"/>
          <w:sz w:val="20"/>
          <w:szCs w:val="20"/>
        </w:rPr>
        <w:t>.</w:t>
      </w:r>
    </w:p>
    <w:p w14:paraId="65DC9AC1" w14:textId="556F356D" w:rsidR="00422945" w:rsidRDefault="00C45131" w:rsidP="003A0D97">
      <w:pPr>
        <w:jc w:val="both"/>
        <w:rPr>
          <w:rFonts w:ascii="Times New Roman" w:hAnsi="Times New Roman" w:cs="Times New Roman"/>
          <w:sz w:val="20"/>
          <w:szCs w:val="20"/>
        </w:rPr>
      </w:pPr>
      <w:r>
        <w:rPr>
          <w:rFonts w:ascii="Times New Roman" w:hAnsi="Times New Roman" w:cs="Times New Roman"/>
          <w:sz w:val="20"/>
          <w:szCs w:val="20"/>
        </w:rPr>
        <w:tab/>
        <w:t xml:space="preserve">At the crux of Childe’s criteria is the assumption that the settled land is capable of supporting a population, first of hunter-gatherers, and later of farmers, until after such a time as the population is large enough to </w:t>
      </w:r>
      <w:r w:rsidR="00CA64FB">
        <w:rPr>
          <w:rFonts w:ascii="Times New Roman" w:hAnsi="Times New Roman" w:cs="Times New Roman"/>
          <w:sz w:val="20"/>
          <w:szCs w:val="20"/>
        </w:rPr>
        <w:t>urbanise, which leads to the development of a material, trade based, economy,</w:t>
      </w:r>
      <w:r>
        <w:rPr>
          <w:rFonts w:ascii="Times New Roman" w:hAnsi="Times New Roman" w:cs="Times New Roman"/>
          <w:sz w:val="20"/>
          <w:szCs w:val="20"/>
        </w:rPr>
        <w:t xml:space="preserve"> however this is not the case, Take, for example, the Cyclades</w:t>
      </w:r>
      <w:r w:rsidR="00E310F2">
        <w:rPr>
          <w:rFonts w:ascii="Times New Roman" w:hAnsi="Times New Roman" w:cs="Times New Roman"/>
          <w:sz w:val="20"/>
          <w:szCs w:val="20"/>
        </w:rPr>
        <w:t>, in the early Bronze-age, in this archipelago, settlements were at the level, Childe would designate, of barbarism; simple farmsteads, tended by singled families, and with no concentrated community</w:t>
      </w:r>
      <w:r w:rsidR="00E310F2">
        <w:rPr>
          <w:rStyle w:val="FootnoteReference"/>
          <w:rFonts w:ascii="Times New Roman" w:hAnsi="Times New Roman" w:cs="Times New Roman"/>
          <w:sz w:val="20"/>
          <w:szCs w:val="20"/>
        </w:rPr>
        <w:footnoteReference w:id="6"/>
      </w:r>
      <w:r w:rsidR="005857CB">
        <w:rPr>
          <w:rFonts w:ascii="Times New Roman" w:hAnsi="Times New Roman" w:cs="Times New Roman"/>
          <w:sz w:val="20"/>
          <w:szCs w:val="20"/>
        </w:rPr>
        <w:t>. But, despite being a pre-urban culture, the Cycladic people were – by necessity – traders, of a kind. Populations, on the islands, were small, and separated from each other,</w:t>
      </w:r>
      <w:r w:rsidR="006407B1">
        <w:rPr>
          <w:rFonts w:ascii="Times New Roman" w:hAnsi="Times New Roman" w:cs="Times New Roman"/>
          <w:sz w:val="20"/>
          <w:szCs w:val="20"/>
        </w:rPr>
        <w:t xml:space="preserve"> meaning that they were not internally sustainable, the gene-pool, on any one island, would have been very narrow</w:t>
      </w:r>
      <w:r w:rsidR="00FF30A9">
        <w:rPr>
          <w:rFonts w:ascii="Times New Roman" w:hAnsi="Times New Roman" w:cs="Times New Roman"/>
          <w:sz w:val="20"/>
          <w:szCs w:val="20"/>
        </w:rPr>
        <w:t>;</w:t>
      </w:r>
      <w:r w:rsidR="006407B1">
        <w:rPr>
          <w:rFonts w:ascii="Times New Roman" w:hAnsi="Times New Roman" w:cs="Times New Roman"/>
          <w:sz w:val="20"/>
          <w:szCs w:val="20"/>
        </w:rPr>
        <w:t xml:space="preserve"> in his chapter on the early Bronze-age in the Cyclades, Broodbank estimates a</w:t>
      </w:r>
      <w:r w:rsidR="00FF30A9">
        <w:rPr>
          <w:rFonts w:ascii="Times New Roman" w:hAnsi="Times New Roman" w:cs="Times New Roman"/>
          <w:sz w:val="20"/>
          <w:szCs w:val="20"/>
        </w:rPr>
        <w:t xml:space="preserve"> maximum</w:t>
      </w:r>
      <w:r w:rsidR="006407B1">
        <w:rPr>
          <w:rFonts w:ascii="Times New Roman" w:hAnsi="Times New Roman" w:cs="Times New Roman"/>
          <w:sz w:val="20"/>
          <w:szCs w:val="20"/>
        </w:rPr>
        <w:t xml:space="preserve"> population of hundred-and-twenty-five on middle sized islands such as Siphnos, </w:t>
      </w:r>
      <w:r w:rsidR="00FF30A9">
        <w:rPr>
          <w:rFonts w:ascii="Times New Roman" w:hAnsi="Times New Roman" w:cs="Times New Roman"/>
          <w:sz w:val="20"/>
          <w:szCs w:val="20"/>
        </w:rPr>
        <w:t>while, Broodbank notes, a minimum of three-hundred, unrelated, individuals would be necessary to sustain a population, over an extended period, without external input</w:t>
      </w:r>
      <w:r w:rsidR="00FF30A9">
        <w:rPr>
          <w:rStyle w:val="FootnoteReference"/>
          <w:rFonts w:ascii="Times New Roman" w:hAnsi="Times New Roman" w:cs="Times New Roman"/>
          <w:sz w:val="20"/>
          <w:szCs w:val="20"/>
        </w:rPr>
        <w:footnoteReference w:id="7"/>
      </w:r>
      <w:r w:rsidR="00FF30A9">
        <w:rPr>
          <w:rFonts w:ascii="Times New Roman" w:hAnsi="Times New Roman" w:cs="Times New Roman"/>
          <w:sz w:val="20"/>
          <w:szCs w:val="20"/>
        </w:rPr>
        <w:t xml:space="preserve">. This means, to </w:t>
      </w:r>
      <w:r w:rsidR="007E0D14">
        <w:rPr>
          <w:rFonts w:ascii="Times New Roman" w:hAnsi="Times New Roman" w:cs="Times New Roman"/>
          <w:sz w:val="20"/>
          <w:szCs w:val="20"/>
        </w:rPr>
        <w:t>avoid</w:t>
      </w:r>
      <w:r w:rsidR="00FF30A9">
        <w:rPr>
          <w:rFonts w:ascii="Times New Roman" w:hAnsi="Times New Roman" w:cs="Times New Roman"/>
          <w:sz w:val="20"/>
          <w:szCs w:val="20"/>
        </w:rPr>
        <w:t xml:space="preserve"> extensive inbreeding, on a level which would have led to irrevocable decline</w:t>
      </w:r>
      <w:r w:rsidR="007E0D14">
        <w:rPr>
          <w:rFonts w:ascii="Times New Roman" w:hAnsi="Times New Roman" w:cs="Times New Roman"/>
          <w:sz w:val="20"/>
          <w:szCs w:val="20"/>
        </w:rPr>
        <w:t>, the Cycladic peoples would have had to rely on inter-island breeding, the overall Cycladic population being an estimated, sustainable, ten-thousand, meaning they would have developed a maritime trade in husbands and wives, between the islands</w:t>
      </w:r>
      <w:r w:rsidR="007E0D14">
        <w:rPr>
          <w:rStyle w:val="FootnoteReference"/>
          <w:rFonts w:ascii="Times New Roman" w:hAnsi="Times New Roman" w:cs="Times New Roman"/>
          <w:sz w:val="20"/>
          <w:szCs w:val="20"/>
        </w:rPr>
        <w:footnoteReference w:id="8"/>
      </w:r>
      <w:r w:rsidR="007E0D14">
        <w:rPr>
          <w:rFonts w:ascii="Times New Roman" w:hAnsi="Times New Roman" w:cs="Times New Roman"/>
          <w:sz w:val="20"/>
          <w:szCs w:val="20"/>
        </w:rPr>
        <w:t>. The alternative, raiding parties, and kidnap, is unlikely</w:t>
      </w:r>
      <w:r w:rsidR="00352164">
        <w:rPr>
          <w:rFonts w:ascii="Times New Roman" w:hAnsi="Times New Roman" w:cs="Times New Roman"/>
          <w:sz w:val="20"/>
          <w:szCs w:val="20"/>
        </w:rPr>
        <w:t>;</w:t>
      </w:r>
      <w:r w:rsidR="007E0D14">
        <w:rPr>
          <w:rFonts w:ascii="Times New Roman" w:hAnsi="Times New Roman" w:cs="Times New Roman"/>
          <w:sz w:val="20"/>
          <w:szCs w:val="20"/>
        </w:rPr>
        <w:t xml:space="preserve"> for one thing populations would be too small, and isolated, for one island to muster sufficient manpower to raid multiple – as it would have to be, given the isolation </w:t>
      </w:r>
      <w:r w:rsidR="00352164">
        <w:rPr>
          <w:rFonts w:ascii="Times New Roman" w:hAnsi="Times New Roman" w:cs="Times New Roman"/>
          <w:sz w:val="20"/>
          <w:szCs w:val="20"/>
        </w:rPr>
        <w:t xml:space="preserve">– settlements on another island, </w:t>
      </w:r>
      <w:r w:rsidR="00352164">
        <w:rPr>
          <w:rFonts w:ascii="Times New Roman" w:hAnsi="Times New Roman" w:cs="Times New Roman"/>
          <w:sz w:val="20"/>
          <w:szCs w:val="20"/>
        </w:rPr>
        <w:lastRenderedPageBreak/>
        <w:t>for such a practice to endure, at least in common practice. In the Cyclades, contrary to Childe’s criteria, complex trade preceded urbanisation, and – indeed – was likely the catalyst for urbanisation – given the proximity of the earliest Cycladic settlements to urbanise to the sea – rather than urbanisation being the catalyst for trade, as Childe asserts</w:t>
      </w:r>
      <w:r w:rsidR="00352164">
        <w:rPr>
          <w:rStyle w:val="FootnoteReference"/>
          <w:rFonts w:ascii="Times New Roman" w:hAnsi="Times New Roman" w:cs="Times New Roman"/>
          <w:sz w:val="20"/>
          <w:szCs w:val="20"/>
        </w:rPr>
        <w:footnoteReference w:id="9"/>
      </w:r>
      <w:r w:rsidR="00352164">
        <w:rPr>
          <w:rFonts w:ascii="Times New Roman" w:hAnsi="Times New Roman" w:cs="Times New Roman"/>
          <w:sz w:val="20"/>
          <w:szCs w:val="20"/>
        </w:rPr>
        <w:t xml:space="preserve">. This being so, to claim, as Childe does, that the complexities of capitalist civilisation rely upon urbanisation, </w:t>
      </w:r>
      <w:r w:rsidR="00FE2DD6">
        <w:rPr>
          <w:rFonts w:ascii="Times New Roman" w:hAnsi="Times New Roman" w:cs="Times New Roman"/>
          <w:sz w:val="20"/>
          <w:szCs w:val="20"/>
        </w:rPr>
        <w:t>is erroneous, in the Cyclades the vary reverse is true. As such, it might be said that Childe’s criteria are of highly limited use, with regards to the Cyclades, as they simply are not reflected by the formative stages of Cycladic civilisation’s development.</w:t>
      </w:r>
    </w:p>
    <w:p w14:paraId="7A2C9FD2" w14:textId="1E1730B4" w:rsidR="00863398" w:rsidRDefault="00A112AB" w:rsidP="003A0D97">
      <w:pPr>
        <w:jc w:val="both"/>
        <w:rPr>
          <w:rFonts w:ascii="Times New Roman" w:hAnsi="Times New Roman" w:cs="Times New Roman"/>
          <w:sz w:val="20"/>
          <w:szCs w:val="20"/>
        </w:rPr>
      </w:pPr>
      <w:r>
        <w:rPr>
          <w:rFonts w:ascii="Times New Roman" w:hAnsi="Times New Roman" w:cs="Times New Roman"/>
          <w:sz w:val="20"/>
          <w:szCs w:val="20"/>
        </w:rPr>
        <w:tab/>
        <w:t xml:space="preserve">While it may not be reflected in the formative stages of Cycladic development, the more complex stages of urbanisation did occur, as Childe’s criteria suggest, throughout the Aegean, as the establishment of walled cities clearly shows. At Kastri in the Cyclades, as at </w:t>
      </w:r>
      <w:r w:rsidR="004B2ABE">
        <w:rPr>
          <w:rFonts w:ascii="Times New Roman" w:hAnsi="Times New Roman" w:cs="Times New Roman"/>
          <w:sz w:val="20"/>
          <w:szCs w:val="20"/>
        </w:rPr>
        <w:t>Crete, fortifying wall</w:t>
      </w:r>
      <w:r w:rsidR="002B0D58">
        <w:rPr>
          <w:rFonts w:ascii="Times New Roman" w:hAnsi="Times New Roman" w:cs="Times New Roman"/>
          <w:sz w:val="20"/>
          <w:szCs w:val="20"/>
        </w:rPr>
        <w:t>s</w:t>
      </w:r>
      <w:r w:rsidR="004B2ABE">
        <w:rPr>
          <w:rFonts w:ascii="Times New Roman" w:hAnsi="Times New Roman" w:cs="Times New Roman"/>
          <w:sz w:val="20"/>
          <w:szCs w:val="20"/>
        </w:rPr>
        <w:t xml:space="preserve"> were reflective, as Dickinson records in his overview of Bronze-age Aegean civilisations, of the availability of skilled workmen, and while, as Dickinson states, walled towns were rare</w:t>
      </w:r>
      <w:r w:rsidR="002B0D58">
        <w:rPr>
          <w:rFonts w:ascii="Times New Roman" w:hAnsi="Times New Roman" w:cs="Times New Roman"/>
          <w:sz w:val="20"/>
          <w:szCs w:val="20"/>
        </w:rPr>
        <w:t>r in the Aegean than in the Levant</w:t>
      </w:r>
      <w:r w:rsidR="004B2ABE">
        <w:rPr>
          <w:rFonts w:ascii="Times New Roman" w:hAnsi="Times New Roman" w:cs="Times New Roman"/>
          <w:sz w:val="20"/>
          <w:szCs w:val="20"/>
        </w:rPr>
        <w:t>, their mere existence shows that there were skilled workers</w:t>
      </w:r>
      <w:r w:rsidR="004B2ABE">
        <w:rPr>
          <w:rStyle w:val="FootnoteReference"/>
          <w:rFonts w:ascii="Times New Roman" w:hAnsi="Times New Roman" w:cs="Times New Roman"/>
          <w:sz w:val="20"/>
          <w:szCs w:val="20"/>
        </w:rPr>
        <w:footnoteReference w:id="10"/>
      </w:r>
      <w:r w:rsidR="004B2ABE">
        <w:rPr>
          <w:rFonts w:ascii="Times New Roman" w:hAnsi="Times New Roman" w:cs="Times New Roman"/>
          <w:sz w:val="20"/>
          <w:szCs w:val="20"/>
        </w:rPr>
        <w:t>. Skilled workers are a key feature of an urbanised society, according to Childe, and – as such skilled workers would have needed some incentive to construct these wall</w:t>
      </w:r>
      <w:r w:rsidR="001332F2">
        <w:rPr>
          <w:rFonts w:ascii="Times New Roman" w:hAnsi="Times New Roman" w:cs="Times New Roman"/>
          <w:sz w:val="20"/>
          <w:szCs w:val="20"/>
        </w:rPr>
        <w:t>s</w:t>
      </w:r>
      <w:r w:rsidR="004B2ABE">
        <w:rPr>
          <w:rFonts w:ascii="Times New Roman" w:hAnsi="Times New Roman" w:cs="Times New Roman"/>
          <w:sz w:val="20"/>
          <w:szCs w:val="20"/>
        </w:rPr>
        <w:t xml:space="preserve"> – </w:t>
      </w:r>
      <w:r w:rsidR="001332F2">
        <w:rPr>
          <w:rFonts w:ascii="Times New Roman" w:hAnsi="Times New Roman" w:cs="Times New Roman"/>
          <w:sz w:val="20"/>
          <w:szCs w:val="20"/>
        </w:rPr>
        <w:t>their must have been a wealthy patron of the walls, if not a local leader, the existence of which require their to be a material economy, another key feature of urban society</w:t>
      </w:r>
      <w:r w:rsidR="006D6E33">
        <w:rPr>
          <w:rStyle w:val="FootnoteReference"/>
          <w:rFonts w:ascii="Times New Roman" w:hAnsi="Times New Roman" w:cs="Times New Roman"/>
          <w:sz w:val="20"/>
          <w:szCs w:val="20"/>
        </w:rPr>
        <w:footnoteReference w:id="11"/>
      </w:r>
      <w:r w:rsidR="001332F2">
        <w:rPr>
          <w:rFonts w:ascii="Times New Roman" w:hAnsi="Times New Roman" w:cs="Times New Roman"/>
          <w:sz w:val="20"/>
          <w:szCs w:val="20"/>
        </w:rPr>
        <w:t xml:space="preserve">. Also, the fact that walls become practical shows a shift away from total reliance, of a settlement, on farmland, walls restrict internal space, while a society reliant of farming would prefer un restricted space, so that the quantity of crops might be increased with relative ease as the population grows, meaning the walls, in their own right, are symptom of the economic shift vital to urbanisation, as well as a product of </w:t>
      </w:r>
      <w:r w:rsidR="00170FD0">
        <w:rPr>
          <w:rFonts w:ascii="Times New Roman" w:hAnsi="Times New Roman" w:cs="Times New Roman"/>
          <w:sz w:val="20"/>
          <w:szCs w:val="20"/>
        </w:rPr>
        <w:t>an urban society.</w:t>
      </w:r>
      <w:r w:rsidR="001332F2">
        <w:rPr>
          <w:rFonts w:ascii="Times New Roman" w:hAnsi="Times New Roman" w:cs="Times New Roman"/>
          <w:sz w:val="20"/>
          <w:szCs w:val="20"/>
        </w:rPr>
        <w:t xml:space="preserve"> An important, to this essay, walled site was Kastri</w:t>
      </w:r>
      <w:r w:rsidR="00170FD0">
        <w:rPr>
          <w:rFonts w:ascii="Times New Roman" w:hAnsi="Times New Roman" w:cs="Times New Roman"/>
          <w:sz w:val="20"/>
          <w:szCs w:val="20"/>
        </w:rPr>
        <w:t>, on Syros, a Cycladic island. It has previously been discussed that early Cycladic society goes against the conventions of Childe’s criteria, however the walls at Kastri show, as has been discussed above, that Cycladic society was subject to some conventional urbanisation. Furthermore, excavations at the Kastri site, as Betancourt states, show that the urban feature of walls facilitated further urbanisation, in further specialisation, and proliferation, of craft, and craft objects; metallurgy increased substantially at the time of Kastri’s construction, showing an economic shift towards a material economy</w:t>
      </w:r>
      <w:r w:rsidR="00170FD0">
        <w:rPr>
          <w:rStyle w:val="FootnoteReference"/>
          <w:rFonts w:ascii="Times New Roman" w:hAnsi="Times New Roman" w:cs="Times New Roman"/>
          <w:sz w:val="20"/>
          <w:szCs w:val="20"/>
        </w:rPr>
        <w:footnoteReference w:id="12"/>
      </w:r>
      <w:r w:rsidR="006D6E33">
        <w:rPr>
          <w:rFonts w:ascii="Times New Roman" w:hAnsi="Times New Roman" w:cs="Times New Roman"/>
          <w:sz w:val="20"/>
          <w:szCs w:val="20"/>
        </w:rPr>
        <w:t>. This progress is very much in line with Childe’s</w:t>
      </w:r>
      <w:r w:rsidR="00863398">
        <w:rPr>
          <w:rFonts w:ascii="Times New Roman" w:hAnsi="Times New Roman" w:cs="Times New Roman"/>
          <w:sz w:val="20"/>
          <w:szCs w:val="20"/>
        </w:rPr>
        <w:t xml:space="preserve"> criteria, monumental architecture – such as walls – are the product of a local surplus of wealth, and – as they offer security to inhabitants – craftsmen are attracted to the settlement, progressing, and proliferating their crafts</w:t>
      </w:r>
      <w:r w:rsidR="00863398">
        <w:rPr>
          <w:rStyle w:val="FootnoteReference"/>
          <w:rFonts w:ascii="Times New Roman" w:hAnsi="Times New Roman" w:cs="Times New Roman"/>
          <w:sz w:val="20"/>
          <w:szCs w:val="20"/>
        </w:rPr>
        <w:footnoteReference w:id="13"/>
      </w:r>
      <w:r w:rsidR="00863398">
        <w:rPr>
          <w:rFonts w:ascii="Times New Roman" w:hAnsi="Times New Roman" w:cs="Times New Roman"/>
          <w:sz w:val="20"/>
          <w:szCs w:val="20"/>
        </w:rPr>
        <w:t>. This all suggests that, with regards to the Aegean as a whole, Childe’s criteria are of some use, multiple settlements</w:t>
      </w:r>
      <w:r w:rsidR="002B0D58">
        <w:rPr>
          <w:rFonts w:ascii="Times New Roman" w:hAnsi="Times New Roman" w:cs="Times New Roman"/>
          <w:sz w:val="20"/>
          <w:szCs w:val="20"/>
        </w:rPr>
        <w:t xml:space="preserve"> are shown to urbanise according to Childe’s criteria</w:t>
      </w:r>
      <w:r w:rsidR="00863398">
        <w:rPr>
          <w:rFonts w:ascii="Times New Roman" w:hAnsi="Times New Roman" w:cs="Times New Roman"/>
          <w:sz w:val="20"/>
          <w:szCs w:val="20"/>
        </w:rPr>
        <w:t>, including one in the Cyclades – a region previously shown to defy Childe’s criteria</w:t>
      </w:r>
      <w:r w:rsidR="002B0D58">
        <w:rPr>
          <w:rFonts w:ascii="Times New Roman" w:hAnsi="Times New Roman" w:cs="Times New Roman"/>
          <w:sz w:val="20"/>
          <w:szCs w:val="20"/>
        </w:rPr>
        <w:t>. This being so, it might be said that Childe’s criteria are of some use on a general level, at least with regards to the further urbanisation of a culture, if not the initial urbanisation.</w:t>
      </w:r>
    </w:p>
    <w:p w14:paraId="7AB420FC" w14:textId="33A5EEB0" w:rsidR="00517324" w:rsidRDefault="00517324" w:rsidP="003A0D97">
      <w:pPr>
        <w:jc w:val="both"/>
        <w:rPr>
          <w:rFonts w:ascii="Times New Roman" w:hAnsi="Times New Roman" w:cs="Times New Roman"/>
          <w:sz w:val="20"/>
          <w:szCs w:val="20"/>
        </w:rPr>
      </w:pPr>
      <w:r>
        <w:rPr>
          <w:rFonts w:ascii="Times New Roman" w:hAnsi="Times New Roman" w:cs="Times New Roman"/>
          <w:sz w:val="20"/>
          <w:szCs w:val="20"/>
        </w:rPr>
        <w:tab/>
        <w:t>One condition of Childe’s criteria is the emergence of a ruling class, a class empowered by their holding a surplus of material wealth</w:t>
      </w:r>
      <w:r w:rsidR="009138F1">
        <w:rPr>
          <w:rStyle w:val="FootnoteReference"/>
          <w:rFonts w:ascii="Times New Roman" w:hAnsi="Times New Roman" w:cs="Times New Roman"/>
          <w:sz w:val="20"/>
          <w:szCs w:val="20"/>
        </w:rPr>
        <w:footnoteReference w:id="14"/>
      </w:r>
      <w:r>
        <w:rPr>
          <w:rFonts w:ascii="Times New Roman" w:hAnsi="Times New Roman" w:cs="Times New Roman"/>
          <w:sz w:val="20"/>
          <w:szCs w:val="20"/>
        </w:rPr>
        <w:t xml:space="preserve">. On the surface this makes sense, said class being able to use their wealth to control the population of a settlement, establishing their credentials as rulers. However, in practice this seems not always to have been the case. </w:t>
      </w:r>
      <w:r w:rsidR="009138F1">
        <w:rPr>
          <w:rFonts w:ascii="Times New Roman" w:hAnsi="Times New Roman" w:cs="Times New Roman"/>
          <w:sz w:val="20"/>
          <w:szCs w:val="20"/>
        </w:rPr>
        <w:t>It was shown above that, in accordance with Childe’s criteria, monumental architecture, in the form of fortified walls, was significant of urbanisation. However, on sites such as Kastri, a fairly urbanised settlement, according to Childe’s criteria</w:t>
      </w:r>
      <w:r w:rsidR="00B67C3A">
        <w:rPr>
          <w:rFonts w:ascii="Times New Roman" w:hAnsi="Times New Roman" w:cs="Times New Roman"/>
          <w:sz w:val="20"/>
          <w:szCs w:val="20"/>
        </w:rPr>
        <w:t>, while there is evidence of economic urbanisation – specialised craft, and complex trade – and evidence of urban planning – the placements of abodes is centralised, within the walls – there is no evidence of distinct kingship, or a distinct ruling class</w:t>
      </w:r>
      <w:r w:rsidR="00B67C3A">
        <w:rPr>
          <w:rStyle w:val="FootnoteReference"/>
          <w:rFonts w:ascii="Times New Roman" w:hAnsi="Times New Roman" w:cs="Times New Roman"/>
          <w:sz w:val="20"/>
          <w:szCs w:val="20"/>
        </w:rPr>
        <w:footnoteReference w:id="15"/>
      </w:r>
      <w:r w:rsidR="00B67C3A">
        <w:rPr>
          <w:rFonts w:ascii="Times New Roman" w:hAnsi="Times New Roman" w:cs="Times New Roman"/>
          <w:sz w:val="20"/>
          <w:szCs w:val="20"/>
        </w:rPr>
        <w:t>. As Marthari describes in her online report</w:t>
      </w:r>
      <w:r w:rsidR="009678E6">
        <w:rPr>
          <w:rFonts w:ascii="Times New Roman" w:hAnsi="Times New Roman" w:cs="Times New Roman"/>
          <w:sz w:val="20"/>
          <w:szCs w:val="20"/>
        </w:rPr>
        <w:t xml:space="preserve"> on this settlement, and the neighbouring settlement at Chalandriani, the dwellings at excavated at Kastri consisted solely of one, or two, room houses, no mansions, as seen at Sparta in the mid-Second Millennium BC, nothing to distinguish a possible ruling class from the masses. This lack of monumental housing cannot be due to a lack of building ability within the native population, the same population constructed the walls of Kastri,</w:t>
      </w:r>
      <w:r w:rsidR="005B5297">
        <w:rPr>
          <w:rFonts w:ascii="Times New Roman" w:hAnsi="Times New Roman" w:cs="Times New Roman"/>
          <w:sz w:val="20"/>
          <w:szCs w:val="20"/>
        </w:rPr>
        <w:t xml:space="preserve"> nor a lack of resources, all the archeologically evidence shows that Kastri was a wealthy site, with links to the maritime trading </w:t>
      </w:r>
      <w:r w:rsidR="005B5297">
        <w:rPr>
          <w:rFonts w:ascii="Times New Roman" w:hAnsi="Times New Roman" w:cs="Times New Roman"/>
          <w:sz w:val="20"/>
          <w:szCs w:val="20"/>
        </w:rPr>
        <w:lastRenderedPageBreak/>
        <w:t>networks of the Cyclades</w:t>
      </w:r>
      <w:r w:rsidR="005B5297">
        <w:rPr>
          <w:rStyle w:val="FootnoteReference"/>
          <w:rFonts w:ascii="Times New Roman" w:hAnsi="Times New Roman" w:cs="Times New Roman"/>
          <w:sz w:val="20"/>
          <w:szCs w:val="20"/>
        </w:rPr>
        <w:footnoteReference w:id="16"/>
      </w:r>
      <w:r w:rsidR="009F222C">
        <w:rPr>
          <w:rFonts w:ascii="Times New Roman" w:hAnsi="Times New Roman" w:cs="Times New Roman"/>
          <w:sz w:val="20"/>
          <w:szCs w:val="20"/>
        </w:rPr>
        <w:t>. Furthermore, there is no evidence of religious leaders, key to the development of a ruling class in Childe’s view, as Kastri has no temples</w:t>
      </w:r>
      <w:r w:rsidR="009F222C">
        <w:rPr>
          <w:rStyle w:val="FootnoteReference"/>
          <w:rFonts w:ascii="Times New Roman" w:hAnsi="Times New Roman" w:cs="Times New Roman"/>
          <w:sz w:val="20"/>
          <w:szCs w:val="20"/>
        </w:rPr>
        <w:footnoteReference w:id="17"/>
      </w:r>
      <w:r w:rsidR="009F222C">
        <w:rPr>
          <w:rFonts w:ascii="Times New Roman" w:hAnsi="Times New Roman" w:cs="Times New Roman"/>
          <w:sz w:val="20"/>
          <w:szCs w:val="20"/>
        </w:rPr>
        <w:t xml:space="preserve">. This is significant as, according to Childe, rulers, and ruling classes, were key to </w:t>
      </w:r>
      <w:r w:rsidR="00D71927">
        <w:rPr>
          <w:rFonts w:ascii="Times New Roman" w:hAnsi="Times New Roman" w:cs="Times New Roman"/>
          <w:sz w:val="20"/>
          <w:szCs w:val="20"/>
        </w:rPr>
        <w:t>organisation – as might be expected, given they had wealth, a key encouragement to co-ordinate, and focus, labour</w:t>
      </w:r>
      <w:r w:rsidR="00D71927">
        <w:rPr>
          <w:rStyle w:val="FootnoteReference"/>
          <w:rFonts w:ascii="Times New Roman" w:hAnsi="Times New Roman" w:cs="Times New Roman"/>
          <w:sz w:val="20"/>
          <w:szCs w:val="20"/>
        </w:rPr>
        <w:footnoteReference w:id="18"/>
      </w:r>
      <w:r w:rsidR="00D71927">
        <w:rPr>
          <w:rFonts w:ascii="Times New Roman" w:hAnsi="Times New Roman" w:cs="Times New Roman"/>
          <w:sz w:val="20"/>
          <w:szCs w:val="20"/>
        </w:rPr>
        <w:t>. But, at Kastri, despite their being no evidence of kingship, the population was organised enough to plan the construction of their city, and construct fortifications</w:t>
      </w:r>
      <w:r w:rsidR="00D71927">
        <w:rPr>
          <w:rStyle w:val="FootnoteReference"/>
          <w:rFonts w:ascii="Times New Roman" w:hAnsi="Times New Roman" w:cs="Times New Roman"/>
          <w:sz w:val="20"/>
          <w:szCs w:val="20"/>
        </w:rPr>
        <w:footnoteReference w:id="19"/>
      </w:r>
      <w:r w:rsidR="00D71927">
        <w:rPr>
          <w:rFonts w:ascii="Times New Roman" w:hAnsi="Times New Roman" w:cs="Times New Roman"/>
          <w:sz w:val="20"/>
          <w:szCs w:val="20"/>
        </w:rPr>
        <w:t xml:space="preserve">. The fact that Kastri was able to urbanise to a significant extent, despite lacking a ruler, which if Childe’s criteria are accurate should have been fundamental to this level of urbanisation, would seem to reflect poorly on the utility of Childe’s criteria. </w:t>
      </w:r>
      <w:r w:rsidR="00051B23">
        <w:rPr>
          <w:rFonts w:ascii="Times New Roman" w:hAnsi="Times New Roman" w:cs="Times New Roman"/>
          <w:sz w:val="20"/>
          <w:szCs w:val="20"/>
        </w:rPr>
        <w:t>Childe’s criteria interlink urbanisation, and social complexity – growing complexities within society lead to urbanisation, and further urbanisation lead to further social complexity – this link is essential to Childe’s view, and is shown not to have been the case at Kastri. This being so, one might say, of Kastri, and the Cyclades generally, Childe’s criteria do not apply to any great extent, and so are of minimal use.</w:t>
      </w:r>
    </w:p>
    <w:p w14:paraId="7FC29F5D" w14:textId="0C24B5DE" w:rsidR="00051B23" w:rsidRDefault="00051B23" w:rsidP="00A4402B">
      <w:pPr>
        <w:ind w:firstLine="720"/>
        <w:jc w:val="both"/>
        <w:rPr>
          <w:rFonts w:ascii="Times New Roman" w:hAnsi="Times New Roman" w:cs="Times New Roman"/>
          <w:sz w:val="20"/>
          <w:szCs w:val="20"/>
        </w:rPr>
      </w:pPr>
      <w:bookmarkStart w:id="10" w:name="_GoBack"/>
      <w:bookmarkEnd w:id="10"/>
      <w:r>
        <w:rPr>
          <w:rFonts w:ascii="Times New Roman" w:hAnsi="Times New Roman" w:cs="Times New Roman"/>
          <w:sz w:val="20"/>
          <w:szCs w:val="20"/>
        </w:rPr>
        <w:t>In conclusion, this essay views Childe’s criteria to of little use with regards to the Aegean. While, it is true, that on a general level most Aegean sites urbanised according to Childe’s model</w:t>
      </w:r>
      <w:r w:rsidR="00030FFD">
        <w:rPr>
          <w:rFonts w:ascii="Times New Roman" w:hAnsi="Times New Roman" w:cs="Times New Roman"/>
          <w:sz w:val="20"/>
          <w:szCs w:val="20"/>
        </w:rPr>
        <w:t xml:space="preserve">, on a specific level this is not always the case. In the Cyclades, as this essay has shown, Childe’s criteria were not reflected during the formative stage of Cycladic urbanise society, neither was later development entirely consistent with Childe’s model. Quite contrary to Childe, in the Cyclades social developments – such as complex trade – preceded </w:t>
      </w:r>
      <w:r w:rsidR="004C51EA">
        <w:rPr>
          <w:rFonts w:ascii="Times New Roman" w:hAnsi="Times New Roman" w:cs="Times New Roman"/>
          <w:sz w:val="20"/>
          <w:szCs w:val="20"/>
        </w:rPr>
        <w:t>basic</w:t>
      </w:r>
      <w:r w:rsidR="00030FFD">
        <w:rPr>
          <w:rFonts w:ascii="Times New Roman" w:hAnsi="Times New Roman" w:cs="Times New Roman"/>
          <w:sz w:val="20"/>
          <w:szCs w:val="20"/>
        </w:rPr>
        <w:t xml:space="preserve"> </w:t>
      </w:r>
      <w:r w:rsidR="004C51EA">
        <w:rPr>
          <w:rFonts w:ascii="Times New Roman" w:hAnsi="Times New Roman" w:cs="Times New Roman"/>
          <w:sz w:val="20"/>
          <w:szCs w:val="20"/>
        </w:rPr>
        <w:t>urbanisation, and advanced urbanisation – planned construction, and organisation of labour, for example – preceded social development – like kingship. It is true that not all of the Aegean goes contrary – in so blatant of a fashion – to Childe’s criteria, but the fact that the Cyclades are so far removed from what Childe says should have happened, is indicative of fundamental flaws in Childe’s criteria. Childe makes assumption</w:t>
      </w:r>
      <w:r w:rsidR="00773033">
        <w:rPr>
          <w:rFonts w:ascii="Times New Roman" w:hAnsi="Times New Roman" w:cs="Times New Roman"/>
          <w:sz w:val="20"/>
          <w:szCs w:val="20"/>
        </w:rPr>
        <w:t>s</w:t>
      </w:r>
      <w:r w:rsidR="004C51EA">
        <w:rPr>
          <w:rFonts w:ascii="Times New Roman" w:hAnsi="Times New Roman" w:cs="Times New Roman"/>
          <w:sz w:val="20"/>
          <w:szCs w:val="20"/>
        </w:rPr>
        <w:t xml:space="preserve"> about the background of an urbanised society – for example the assumption that a settlement is internally sustainable prior to urbanisation, which leads to his belief that trade, which comes of a settlement not being internally sustainable, is a product of urbanisation </w:t>
      </w:r>
      <w:r w:rsidR="00773033">
        <w:rPr>
          <w:rFonts w:ascii="Times New Roman" w:hAnsi="Times New Roman" w:cs="Times New Roman"/>
          <w:sz w:val="20"/>
          <w:szCs w:val="20"/>
        </w:rPr>
        <w:t>–</w:t>
      </w:r>
      <w:r w:rsidR="004C51EA">
        <w:rPr>
          <w:rFonts w:ascii="Times New Roman" w:hAnsi="Times New Roman" w:cs="Times New Roman"/>
          <w:sz w:val="20"/>
          <w:szCs w:val="20"/>
        </w:rPr>
        <w:t xml:space="preserve"> </w:t>
      </w:r>
      <w:r w:rsidR="00773033">
        <w:rPr>
          <w:rFonts w:ascii="Times New Roman" w:hAnsi="Times New Roman" w:cs="Times New Roman"/>
          <w:sz w:val="20"/>
          <w:szCs w:val="20"/>
        </w:rPr>
        <w:t>and about the consequence of urbanisation – he takes it as a given that an urban society leads to the emergence of a ruling class. These are assumptions, and ill-founded ones as the fact that they are not always case suggests, and, as they are essential to his criteria, it suggests that said criteria are ill-founded. This being so, this essay concludes the utility of Childe’s criteria to be highly questionable.</w:t>
      </w:r>
    </w:p>
    <w:p w14:paraId="7761CF00" w14:textId="5384E52E" w:rsidR="00773033" w:rsidRPr="00773033" w:rsidRDefault="00773033" w:rsidP="00773033">
      <w:pPr>
        <w:jc w:val="center"/>
        <w:rPr>
          <w:rFonts w:ascii="Times New Roman" w:hAnsi="Times New Roman" w:cs="Times New Roman"/>
          <w:sz w:val="20"/>
          <w:szCs w:val="20"/>
        </w:rPr>
      </w:pPr>
      <w:r w:rsidRPr="00773033">
        <w:rPr>
          <w:rFonts w:ascii="Times New Roman" w:hAnsi="Times New Roman" w:cs="Times New Roman"/>
          <w:b/>
          <w:bCs/>
          <w:sz w:val="20"/>
          <w:szCs w:val="20"/>
          <w:u w:val="single"/>
        </w:rPr>
        <w:t>Bibliography</w:t>
      </w:r>
    </w:p>
    <w:p w14:paraId="2C58EBF4" w14:textId="122ECB8A" w:rsidR="00773033" w:rsidRDefault="00773033" w:rsidP="00773033">
      <w:pPr>
        <w:rPr>
          <w:rFonts w:ascii="Times New Roman" w:hAnsi="Times New Roman" w:cs="Times New Roman"/>
          <w:b/>
          <w:bCs/>
          <w:sz w:val="20"/>
          <w:szCs w:val="20"/>
        </w:rPr>
      </w:pPr>
      <w:r w:rsidRPr="00773033">
        <w:rPr>
          <w:rFonts w:ascii="Times New Roman" w:hAnsi="Times New Roman" w:cs="Times New Roman"/>
          <w:b/>
          <w:bCs/>
          <w:sz w:val="20"/>
          <w:szCs w:val="20"/>
        </w:rPr>
        <w:t>Secondary Sources</w:t>
      </w:r>
    </w:p>
    <w:p w14:paraId="1CE096E1" w14:textId="77777777" w:rsidR="00A4402B" w:rsidRDefault="00773033" w:rsidP="00A4402B">
      <w:pPr>
        <w:rPr>
          <w:rFonts w:ascii="Times New Roman" w:hAnsi="Times New Roman" w:cs="Times New Roman"/>
          <w:sz w:val="20"/>
          <w:szCs w:val="20"/>
        </w:rPr>
      </w:pPr>
      <w:r w:rsidRPr="00773033">
        <w:rPr>
          <w:rFonts w:ascii="Times New Roman" w:hAnsi="Times New Roman" w:cs="Times New Roman"/>
          <w:sz w:val="20"/>
          <w:szCs w:val="20"/>
        </w:rPr>
        <w:t xml:space="preserve">Betancourt, P. P., </w:t>
      </w:r>
      <w:r w:rsidRPr="00773033">
        <w:rPr>
          <w:rFonts w:ascii="Times New Roman" w:hAnsi="Times New Roman" w:cs="Times New Roman"/>
          <w:i/>
          <w:iCs/>
          <w:sz w:val="20"/>
          <w:szCs w:val="20"/>
        </w:rPr>
        <w:t>Introduction to Aegean Art</w:t>
      </w:r>
      <w:r w:rsidRPr="00773033">
        <w:rPr>
          <w:rFonts w:ascii="Times New Roman" w:hAnsi="Times New Roman" w:cs="Times New Roman"/>
          <w:sz w:val="20"/>
          <w:szCs w:val="20"/>
        </w:rPr>
        <w:t>, (Philadelphia, INSTAP Academic Press, 2007).</w:t>
      </w:r>
      <w:r w:rsidR="00A4402B" w:rsidRPr="00A4402B">
        <w:rPr>
          <w:rFonts w:ascii="Times New Roman" w:hAnsi="Times New Roman" w:cs="Times New Roman"/>
          <w:sz w:val="20"/>
          <w:szCs w:val="20"/>
        </w:rPr>
        <w:t xml:space="preserve"> </w:t>
      </w:r>
    </w:p>
    <w:p w14:paraId="284338F6" w14:textId="25870AB0" w:rsidR="00773033" w:rsidRDefault="00A4402B" w:rsidP="00773033">
      <w:pPr>
        <w:rPr>
          <w:rFonts w:ascii="Times New Roman" w:hAnsi="Times New Roman" w:cs="Times New Roman"/>
          <w:sz w:val="20"/>
          <w:szCs w:val="20"/>
        </w:rPr>
      </w:pPr>
      <w:r w:rsidRPr="00773033">
        <w:rPr>
          <w:rFonts w:ascii="Times New Roman" w:hAnsi="Times New Roman" w:cs="Times New Roman"/>
          <w:sz w:val="20"/>
          <w:szCs w:val="20"/>
        </w:rPr>
        <w:t xml:space="preserve">Broodbank, C., ‘The Early Bronze Age in the Cyclades’, in </w:t>
      </w:r>
      <w:r w:rsidRPr="00773033">
        <w:rPr>
          <w:rFonts w:ascii="Times New Roman" w:hAnsi="Times New Roman" w:cs="Times New Roman"/>
          <w:i/>
          <w:iCs/>
          <w:sz w:val="20"/>
          <w:szCs w:val="20"/>
        </w:rPr>
        <w:t>The Cambridge Companion to the Aegean Bronze Age,</w:t>
      </w:r>
      <w:r w:rsidRPr="00773033">
        <w:rPr>
          <w:rFonts w:ascii="Times New Roman" w:hAnsi="Times New Roman" w:cs="Times New Roman"/>
          <w:sz w:val="20"/>
          <w:szCs w:val="20"/>
        </w:rPr>
        <w:t xml:space="preserve"> ed. by Shelmerdine, C. W., (Cambridge, Cambridge University Press, 2008).</w:t>
      </w:r>
    </w:p>
    <w:p w14:paraId="48B1B6C3" w14:textId="4954B122" w:rsidR="00A4402B" w:rsidRPr="00773033" w:rsidRDefault="00A4402B" w:rsidP="00773033">
      <w:pPr>
        <w:rPr>
          <w:rFonts w:ascii="Times New Roman" w:hAnsi="Times New Roman" w:cs="Times New Roman"/>
          <w:sz w:val="20"/>
          <w:szCs w:val="20"/>
        </w:rPr>
      </w:pPr>
      <w:r w:rsidRPr="00773033">
        <w:rPr>
          <w:rFonts w:ascii="Times New Roman" w:hAnsi="Times New Roman" w:cs="Times New Roman"/>
          <w:sz w:val="20"/>
          <w:szCs w:val="20"/>
        </w:rPr>
        <w:t>Bro</w:t>
      </w:r>
      <w:r>
        <w:rPr>
          <w:rFonts w:ascii="Times New Roman" w:hAnsi="Times New Roman" w:cs="Times New Roman"/>
          <w:sz w:val="20"/>
          <w:szCs w:val="20"/>
        </w:rPr>
        <w:t>o</w:t>
      </w:r>
      <w:r w:rsidRPr="00773033">
        <w:rPr>
          <w:rFonts w:ascii="Times New Roman" w:hAnsi="Times New Roman" w:cs="Times New Roman"/>
          <w:sz w:val="20"/>
          <w:szCs w:val="20"/>
        </w:rPr>
        <w:t xml:space="preserve">dbank, C., </w:t>
      </w:r>
      <w:r w:rsidRPr="00773033">
        <w:rPr>
          <w:rFonts w:ascii="Times New Roman" w:hAnsi="Times New Roman" w:cs="Times New Roman"/>
          <w:i/>
          <w:iCs/>
          <w:sz w:val="20"/>
          <w:szCs w:val="20"/>
        </w:rPr>
        <w:t>An Island Archaeology of the Early Cyclades</w:t>
      </w:r>
      <w:r w:rsidRPr="00773033">
        <w:rPr>
          <w:rFonts w:ascii="Times New Roman" w:hAnsi="Times New Roman" w:cs="Times New Roman"/>
          <w:sz w:val="20"/>
          <w:szCs w:val="20"/>
        </w:rPr>
        <w:t>, (Cambridge, Cambridge University Press, 2000).</w:t>
      </w:r>
    </w:p>
    <w:p w14:paraId="49A6B436" w14:textId="1DCDAEFE" w:rsidR="00773033" w:rsidRPr="00773033" w:rsidRDefault="00773033" w:rsidP="00773033">
      <w:pPr>
        <w:rPr>
          <w:rFonts w:ascii="Times New Roman" w:hAnsi="Times New Roman" w:cs="Times New Roman"/>
          <w:sz w:val="20"/>
          <w:szCs w:val="20"/>
        </w:rPr>
      </w:pPr>
      <w:r w:rsidRPr="00773033">
        <w:rPr>
          <w:rFonts w:ascii="Times New Roman" w:hAnsi="Times New Roman" w:cs="Times New Roman"/>
          <w:sz w:val="20"/>
          <w:szCs w:val="20"/>
        </w:rPr>
        <w:t xml:space="preserve">Childe, </w:t>
      </w:r>
      <w:r w:rsidRPr="00773033">
        <w:rPr>
          <w:rFonts w:ascii="Times New Roman" w:hAnsi="Times New Roman" w:cs="Times New Roman"/>
          <w:sz w:val="20"/>
          <w:szCs w:val="20"/>
        </w:rPr>
        <w:t xml:space="preserve">V. G., </w:t>
      </w:r>
      <w:r w:rsidRPr="00773033">
        <w:rPr>
          <w:rFonts w:ascii="Times New Roman" w:hAnsi="Times New Roman" w:cs="Times New Roman"/>
          <w:sz w:val="20"/>
          <w:szCs w:val="20"/>
        </w:rPr>
        <w:t xml:space="preserve">‘The Urban Revolution’, </w:t>
      </w:r>
      <w:r w:rsidRPr="00773033">
        <w:rPr>
          <w:rFonts w:ascii="Times New Roman" w:hAnsi="Times New Roman" w:cs="Times New Roman"/>
          <w:i/>
          <w:iCs/>
          <w:sz w:val="20"/>
          <w:szCs w:val="20"/>
        </w:rPr>
        <w:t>The Town Planning Review</w:t>
      </w:r>
      <w:r w:rsidRPr="00773033">
        <w:rPr>
          <w:rFonts w:ascii="Times New Roman" w:hAnsi="Times New Roman" w:cs="Times New Roman"/>
          <w:sz w:val="20"/>
          <w:szCs w:val="20"/>
        </w:rPr>
        <w:t>, Vol. 21, No. 1, (1950).</w:t>
      </w:r>
    </w:p>
    <w:p w14:paraId="45C39303" w14:textId="76D31C87" w:rsidR="002B0D58" w:rsidRPr="00773033" w:rsidRDefault="00773033" w:rsidP="00773033">
      <w:pPr>
        <w:rPr>
          <w:rFonts w:ascii="Times New Roman" w:hAnsi="Times New Roman" w:cs="Times New Roman"/>
          <w:sz w:val="20"/>
          <w:szCs w:val="20"/>
        </w:rPr>
      </w:pPr>
      <w:r w:rsidRPr="00773033">
        <w:rPr>
          <w:rFonts w:ascii="Times New Roman" w:hAnsi="Times New Roman" w:cs="Times New Roman"/>
          <w:sz w:val="20"/>
          <w:szCs w:val="20"/>
        </w:rPr>
        <w:t>Dickinson,</w:t>
      </w:r>
      <w:r w:rsidRPr="00773033">
        <w:rPr>
          <w:rFonts w:ascii="Times New Roman" w:hAnsi="Times New Roman" w:cs="Times New Roman"/>
          <w:sz w:val="20"/>
          <w:szCs w:val="20"/>
        </w:rPr>
        <w:t xml:space="preserve"> O.,</w:t>
      </w:r>
      <w:r w:rsidRPr="00773033">
        <w:rPr>
          <w:rFonts w:ascii="Times New Roman" w:hAnsi="Times New Roman" w:cs="Times New Roman"/>
          <w:sz w:val="20"/>
          <w:szCs w:val="20"/>
        </w:rPr>
        <w:t xml:space="preserve"> </w:t>
      </w:r>
      <w:r w:rsidRPr="00773033">
        <w:rPr>
          <w:rFonts w:ascii="Times New Roman" w:hAnsi="Times New Roman" w:cs="Times New Roman"/>
          <w:i/>
          <w:iCs/>
          <w:sz w:val="20"/>
          <w:szCs w:val="20"/>
        </w:rPr>
        <w:t xml:space="preserve">The Aegean Bronze Age, </w:t>
      </w:r>
      <w:r w:rsidRPr="00773033">
        <w:rPr>
          <w:rFonts w:ascii="Times New Roman" w:hAnsi="Times New Roman" w:cs="Times New Roman"/>
          <w:sz w:val="20"/>
          <w:szCs w:val="20"/>
        </w:rPr>
        <w:t>(Cambridge, Cambridge University Press, 1994).</w:t>
      </w:r>
      <w:r w:rsidR="002B0D58" w:rsidRPr="00773033">
        <w:rPr>
          <w:rFonts w:ascii="Times New Roman" w:hAnsi="Times New Roman" w:cs="Times New Roman"/>
          <w:sz w:val="20"/>
          <w:szCs w:val="20"/>
        </w:rPr>
        <w:tab/>
      </w:r>
    </w:p>
    <w:p w14:paraId="69A78A10" w14:textId="22E49FEB" w:rsidR="00773033" w:rsidRPr="00773033" w:rsidRDefault="00773033" w:rsidP="00773033">
      <w:pPr>
        <w:rPr>
          <w:rFonts w:ascii="Times New Roman" w:hAnsi="Times New Roman" w:cs="Times New Roman"/>
          <w:b/>
          <w:bCs/>
          <w:sz w:val="20"/>
          <w:szCs w:val="20"/>
        </w:rPr>
      </w:pPr>
      <w:r w:rsidRPr="00773033">
        <w:rPr>
          <w:rFonts w:ascii="Times New Roman" w:hAnsi="Times New Roman" w:cs="Times New Roman"/>
          <w:b/>
          <w:bCs/>
          <w:sz w:val="20"/>
          <w:szCs w:val="20"/>
        </w:rPr>
        <w:t>Electronic Sources</w:t>
      </w:r>
    </w:p>
    <w:p w14:paraId="37D7B69D" w14:textId="09522413" w:rsidR="00773033" w:rsidRPr="00773033" w:rsidRDefault="00773033" w:rsidP="00773033">
      <w:pPr>
        <w:rPr>
          <w:rFonts w:ascii="Times New Roman" w:hAnsi="Times New Roman" w:cs="Times New Roman"/>
          <w:sz w:val="20"/>
          <w:szCs w:val="20"/>
        </w:rPr>
      </w:pPr>
      <w:r w:rsidRPr="00773033">
        <w:rPr>
          <w:rFonts w:ascii="Times New Roman" w:hAnsi="Times New Roman" w:cs="Times New Roman"/>
          <w:sz w:val="20"/>
          <w:szCs w:val="20"/>
        </w:rPr>
        <w:t>Marthari,</w:t>
      </w:r>
      <w:r w:rsidRPr="00773033">
        <w:rPr>
          <w:rFonts w:ascii="Times New Roman" w:hAnsi="Times New Roman" w:cs="Times New Roman"/>
          <w:sz w:val="20"/>
          <w:szCs w:val="20"/>
        </w:rPr>
        <w:t xml:space="preserve"> M.,</w:t>
      </w:r>
      <w:r w:rsidRPr="00773033">
        <w:rPr>
          <w:rFonts w:ascii="Times New Roman" w:hAnsi="Times New Roman" w:cs="Times New Roman"/>
          <w:sz w:val="20"/>
          <w:szCs w:val="20"/>
        </w:rPr>
        <w:t xml:space="preserve"> </w:t>
      </w:r>
      <w:r w:rsidRPr="00773033">
        <w:rPr>
          <w:rFonts w:ascii="Times New Roman" w:hAnsi="Times New Roman" w:cs="Times New Roman"/>
          <w:i/>
          <w:iCs/>
          <w:sz w:val="20"/>
          <w:szCs w:val="20"/>
        </w:rPr>
        <w:t>The archaeological site of Chalandriani – Kastri</w:t>
      </w:r>
      <w:r w:rsidRPr="00773033">
        <w:rPr>
          <w:rFonts w:ascii="Times New Roman" w:hAnsi="Times New Roman" w:cs="Times New Roman"/>
          <w:sz w:val="20"/>
          <w:szCs w:val="20"/>
        </w:rPr>
        <w:t>, (2016), https://www.apanomeria.org/en/the-archaeological-site-chalandriani-kastri/, [Accessed: 19/04/2020].</w:t>
      </w:r>
    </w:p>
    <w:sectPr w:rsidR="00773033" w:rsidRPr="0077303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57DFB2" w14:textId="77777777" w:rsidR="00993543" w:rsidRDefault="00993543" w:rsidP="003A0D97">
      <w:pPr>
        <w:spacing w:after="0" w:line="240" w:lineRule="auto"/>
      </w:pPr>
      <w:r>
        <w:separator/>
      </w:r>
    </w:p>
  </w:endnote>
  <w:endnote w:type="continuationSeparator" w:id="0">
    <w:p w14:paraId="7758AF3E" w14:textId="77777777" w:rsidR="00993543" w:rsidRDefault="00993543" w:rsidP="003A0D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63A3E2" w14:textId="77777777" w:rsidR="00993543" w:rsidRDefault="00993543" w:rsidP="003A0D97">
      <w:pPr>
        <w:spacing w:after="0" w:line="240" w:lineRule="auto"/>
      </w:pPr>
      <w:r>
        <w:separator/>
      </w:r>
    </w:p>
  </w:footnote>
  <w:footnote w:type="continuationSeparator" w:id="0">
    <w:p w14:paraId="043358C1" w14:textId="77777777" w:rsidR="00993543" w:rsidRDefault="00993543" w:rsidP="003A0D97">
      <w:pPr>
        <w:spacing w:after="0" w:line="240" w:lineRule="auto"/>
      </w:pPr>
      <w:r>
        <w:continuationSeparator/>
      </w:r>
    </w:p>
  </w:footnote>
  <w:footnote w:id="1">
    <w:p w14:paraId="796BBCAB" w14:textId="6E90C307" w:rsidR="009478AC" w:rsidRPr="000442D3" w:rsidRDefault="009478AC">
      <w:pPr>
        <w:pStyle w:val="FootnoteText"/>
        <w:rPr>
          <w:rFonts w:ascii="Times New Roman" w:hAnsi="Times New Roman" w:cs="Times New Roman"/>
        </w:rPr>
      </w:pPr>
      <w:r w:rsidRPr="000442D3">
        <w:rPr>
          <w:rStyle w:val="FootnoteReference"/>
          <w:rFonts w:ascii="Times New Roman" w:hAnsi="Times New Roman" w:cs="Times New Roman"/>
        </w:rPr>
        <w:footnoteRef/>
      </w:r>
      <w:r w:rsidRPr="000442D3">
        <w:rPr>
          <w:rFonts w:ascii="Times New Roman" w:hAnsi="Times New Roman" w:cs="Times New Roman"/>
        </w:rPr>
        <w:t xml:space="preserve"> </w:t>
      </w:r>
      <w:bookmarkStart w:id="0" w:name="_Hlk38315529"/>
      <w:r w:rsidRPr="000442D3">
        <w:rPr>
          <w:rFonts w:ascii="Times New Roman" w:hAnsi="Times New Roman" w:cs="Times New Roman"/>
        </w:rPr>
        <w:t xml:space="preserve">V. G. Childe, ‘The Urban Revolution’, </w:t>
      </w:r>
      <w:r w:rsidRPr="000442D3">
        <w:rPr>
          <w:rFonts w:ascii="Times New Roman" w:hAnsi="Times New Roman" w:cs="Times New Roman"/>
          <w:i/>
          <w:iCs/>
        </w:rPr>
        <w:t>The Town Planning Review</w:t>
      </w:r>
      <w:r w:rsidRPr="000442D3">
        <w:rPr>
          <w:rFonts w:ascii="Times New Roman" w:hAnsi="Times New Roman" w:cs="Times New Roman"/>
        </w:rPr>
        <w:t xml:space="preserve">, Vol. 21, No. 1, (1950). </w:t>
      </w:r>
      <w:bookmarkEnd w:id="0"/>
      <w:r w:rsidRPr="000442D3">
        <w:rPr>
          <w:rFonts w:ascii="Times New Roman" w:hAnsi="Times New Roman" w:cs="Times New Roman"/>
        </w:rPr>
        <w:t>Pp. 3-17.</w:t>
      </w:r>
    </w:p>
  </w:footnote>
  <w:footnote w:id="2">
    <w:p w14:paraId="5AFAE61C" w14:textId="141B2D9F" w:rsidR="00FB5F23" w:rsidRPr="005857CB" w:rsidRDefault="00FB5F23">
      <w:pPr>
        <w:pStyle w:val="FootnoteText"/>
        <w:rPr>
          <w:rFonts w:ascii="Times New Roman" w:hAnsi="Times New Roman" w:cs="Times New Roman"/>
        </w:rPr>
      </w:pPr>
      <w:r w:rsidRPr="005857CB">
        <w:rPr>
          <w:rStyle w:val="FootnoteReference"/>
          <w:rFonts w:ascii="Times New Roman" w:hAnsi="Times New Roman" w:cs="Times New Roman"/>
        </w:rPr>
        <w:footnoteRef/>
      </w:r>
      <w:r w:rsidRPr="005857CB">
        <w:rPr>
          <w:rFonts w:ascii="Times New Roman" w:hAnsi="Times New Roman" w:cs="Times New Roman"/>
        </w:rPr>
        <w:t xml:space="preserve"> Childe, ‘The Urban Revolution’. Pp. 3-17.</w:t>
      </w:r>
    </w:p>
  </w:footnote>
  <w:footnote w:id="3">
    <w:p w14:paraId="6B21CD1A" w14:textId="46B4582C" w:rsidR="000442D3" w:rsidRPr="006D6E33" w:rsidRDefault="000442D3">
      <w:pPr>
        <w:pStyle w:val="FootnoteText"/>
        <w:rPr>
          <w:rFonts w:ascii="Times New Roman" w:hAnsi="Times New Roman" w:cs="Times New Roman"/>
        </w:rPr>
      </w:pPr>
      <w:r w:rsidRPr="006D6E33">
        <w:rPr>
          <w:rStyle w:val="FootnoteReference"/>
          <w:rFonts w:ascii="Times New Roman" w:hAnsi="Times New Roman" w:cs="Times New Roman"/>
        </w:rPr>
        <w:footnoteRef/>
      </w:r>
      <w:r w:rsidRPr="006D6E33">
        <w:rPr>
          <w:rFonts w:ascii="Times New Roman" w:hAnsi="Times New Roman" w:cs="Times New Roman"/>
        </w:rPr>
        <w:t xml:space="preserve"> Ibid.</w:t>
      </w:r>
      <w:r w:rsidR="00FF30A9" w:rsidRPr="006D6E33">
        <w:rPr>
          <w:rFonts w:ascii="Times New Roman" w:hAnsi="Times New Roman" w:cs="Times New Roman"/>
        </w:rPr>
        <w:t xml:space="preserve"> Pp. 3-17</w:t>
      </w:r>
    </w:p>
  </w:footnote>
  <w:footnote w:id="4">
    <w:p w14:paraId="27B4E3BE" w14:textId="7889AC36" w:rsidR="006D6E33" w:rsidRDefault="006D6E33">
      <w:pPr>
        <w:pStyle w:val="FootnoteText"/>
      </w:pPr>
      <w:r w:rsidRPr="006D6E33">
        <w:rPr>
          <w:rStyle w:val="FootnoteReference"/>
          <w:rFonts w:ascii="Times New Roman" w:hAnsi="Times New Roman" w:cs="Times New Roman"/>
        </w:rPr>
        <w:footnoteRef/>
      </w:r>
      <w:r w:rsidRPr="006D6E33">
        <w:rPr>
          <w:rFonts w:ascii="Times New Roman" w:hAnsi="Times New Roman" w:cs="Times New Roman"/>
        </w:rPr>
        <w:t xml:space="preserve"> Ibid. Pp. 3-17.</w:t>
      </w:r>
    </w:p>
  </w:footnote>
  <w:footnote w:id="5">
    <w:p w14:paraId="4C22CE6F" w14:textId="23F60D40" w:rsidR="000442D3" w:rsidRPr="00FF30A9" w:rsidRDefault="000442D3">
      <w:pPr>
        <w:pStyle w:val="FootnoteText"/>
        <w:rPr>
          <w:rFonts w:ascii="Times New Roman" w:hAnsi="Times New Roman" w:cs="Times New Roman"/>
        </w:rPr>
      </w:pPr>
      <w:r w:rsidRPr="00FF30A9">
        <w:rPr>
          <w:rStyle w:val="FootnoteReference"/>
          <w:rFonts w:ascii="Times New Roman" w:hAnsi="Times New Roman" w:cs="Times New Roman"/>
        </w:rPr>
        <w:footnoteRef/>
      </w:r>
      <w:r w:rsidRPr="00FF30A9">
        <w:rPr>
          <w:rFonts w:ascii="Times New Roman" w:hAnsi="Times New Roman" w:cs="Times New Roman"/>
        </w:rPr>
        <w:t xml:space="preserve"> Ibid.</w:t>
      </w:r>
      <w:r w:rsidR="00FF30A9" w:rsidRPr="00FF30A9">
        <w:rPr>
          <w:rFonts w:ascii="Times New Roman" w:hAnsi="Times New Roman" w:cs="Times New Roman"/>
        </w:rPr>
        <w:t xml:space="preserve"> Pp. 3-17</w:t>
      </w:r>
    </w:p>
  </w:footnote>
  <w:footnote w:id="6">
    <w:p w14:paraId="76568658" w14:textId="162AB9E8" w:rsidR="00E310F2" w:rsidRPr="00FF30A9" w:rsidRDefault="00E310F2">
      <w:pPr>
        <w:pStyle w:val="FootnoteText"/>
        <w:rPr>
          <w:rFonts w:ascii="Times New Roman" w:hAnsi="Times New Roman" w:cs="Times New Roman"/>
        </w:rPr>
      </w:pPr>
      <w:r w:rsidRPr="00FF30A9">
        <w:rPr>
          <w:rStyle w:val="FootnoteReference"/>
          <w:rFonts w:ascii="Times New Roman" w:hAnsi="Times New Roman" w:cs="Times New Roman"/>
        </w:rPr>
        <w:footnoteRef/>
      </w:r>
      <w:r w:rsidRPr="00FF30A9">
        <w:rPr>
          <w:rFonts w:ascii="Times New Roman" w:hAnsi="Times New Roman" w:cs="Times New Roman"/>
        </w:rPr>
        <w:t xml:space="preserve"> </w:t>
      </w:r>
      <w:bookmarkStart w:id="1" w:name="_Hlk37965445"/>
      <w:r w:rsidRPr="00FF30A9">
        <w:rPr>
          <w:rFonts w:ascii="Times New Roman" w:hAnsi="Times New Roman" w:cs="Times New Roman"/>
        </w:rPr>
        <w:t>Childe, ‘The Urban Revolution’. Pp</w:t>
      </w:r>
      <w:r w:rsidR="00FF30A9" w:rsidRPr="00FF30A9">
        <w:rPr>
          <w:rFonts w:ascii="Times New Roman" w:hAnsi="Times New Roman" w:cs="Times New Roman"/>
        </w:rPr>
        <w:t>.</w:t>
      </w:r>
      <w:r w:rsidRPr="00FF30A9">
        <w:rPr>
          <w:rFonts w:ascii="Times New Roman" w:hAnsi="Times New Roman" w:cs="Times New Roman"/>
        </w:rPr>
        <w:t xml:space="preserve"> 3-17.</w:t>
      </w:r>
    </w:p>
    <w:p w14:paraId="446F604B" w14:textId="3A8E6951" w:rsidR="00E310F2" w:rsidRPr="007E0D14" w:rsidRDefault="00E310F2">
      <w:pPr>
        <w:pStyle w:val="FootnoteText"/>
        <w:rPr>
          <w:rFonts w:ascii="Times New Roman" w:hAnsi="Times New Roman" w:cs="Times New Roman"/>
        </w:rPr>
      </w:pPr>
      <w:r w:rsidRPr="00FF30A9">
        <w:rPr>
          <w:rFonts w:ascii="Times New Roman" w:hAnsi="Times New Roman" w:cs="Times New Roman"/>
        </w:rPr>
        <w:t>&amp; C. Broodbank, ‘</w:t>
      </w:r>
      <w:bookmarkStart w:id="2" w:name="_Hlk38311926"/>
      <w:r w:rsidRPr="00FF30A9">
        <w:rPr>
          <w:rFonts w:ascii="Times New Roman" w:hAnsi="Times New Roman" w:cs="Times New Roman"/>
        </w:rPr>
        <w:t>The Early Bronze Age in the Cyclades</w:t>
      </w:r>
      <w:bookmarkEnd w:id="2"/>
      <w:r w:rsidRPr="00FF30A9">
        <w:rPr>
          <w:rFonts w:ascii="Times New Roman" w:hAnsi="Times New Roman" w:cs="Times New Roman"/>
        </w:rPr>
        <w:t xml:space="preserve">’, in </w:t>
      </w:r>
      <w:r w:rsidRPr="00FF30A9">
        <w:rPr>
          <w:rFonts w:ascii="Times New Roman" w:hAnsi="Times New Roman" w:cs="Times New Roman"/>
          <w:i/>
          <w:iCs/>
        </w:rPr>
        <w:t xml:space="preserve">The Cambridge Companion to the Aegean Bronze </w:t>
      </w:r>
      <w:r w:rsidRPr="007E0D14">
        <w:rPr>
          <w:rFonts w:ascii="Times New Roman" w:hAnsi="Times New Roman" w:cs="Times New Roman"/>
          <w:i/>
          <w:iCs/>
        </w:rPr>
        <w:t>A</w:t>
      </w:r>
      <w:r w:rsidR="005857CB" w:rsidRPr="007E0D14">
        <w:rPr>
          <w:rFonts w:ascii="Times New Roman" w:hAnsi="Times New Roman" w:cs="Times New Roman"/>
          <w:i/>
          <w:iCs/>
        </w:rPr>
        <w:t>ge,</w:t>
      </w:r>
      <w:r w:rsidR="005857CB" w:rsidRPr="007E0D14">
        <w:rPr>
          <w:rFonts w:ascii="Times New Roman" w:hAnsi="Times New Roman" w:cs="Times New Roman"/>
        </w:rPr>
        <w:t xml:space="preserve"> ed. by C. W. Shelmerdine, (Cambridge, Cambridge University Press, 2008). Pp</w:t>
      </w:r>
      <w:r w:rsidR="00FF30A9" w:rsidRPr="007E0D14">
        <w:rPr>
          <w:rFonts w:ascii="Times New Roman" w:hAnsi="Times New Roman" w:cs="Times New Roman"/>
        </w:rPr>
        <w:t>.</w:t>
      </w:r>
      <w:r w:rsidR="005857CB" w:rsidRPr="007E0D14">
        <w:rPr>
          <w:rFonts w:ascii="Times New Roman" w:hAnsi="Times New Roman" w:cs="Times New Roman"/>
        </w:rPr>
        <w:t xml:space="preserve"> 53-5</w:t>
      </w:r>
      <w:r w:rsidR="00352164">
        <w:rPr>
          <w:rFonts w:ascii="Times New Roman" w:hAnsi="Times New Roman" w:cs="Times New Roman"/>
        </w:rPr>
        <w:t>6</w:t>
      </w:r>
      <w:r w:rsidR="005857CB" w:rsidRPr="007E0D14">
        <w:rPr>
          <w:rFonts w:ascii="Times New Roman" w:hAnsi="Times New Roman" w:cs="Times New Roman"/>
        </w:rPr>
        <w:t>.</w:t>
      </w:r>
      <w:bookmarkEnd w:id="1"/>
    </w:p>
  </w:footnote>
  <w:footnote w:id="7">
    <w:p w14:paraId="3C2119F6" w14:textId="683F022D" w:rsidR="00FF30A9" w:rsidRPr="007E0D14" w:rsidRDefault="00FF30A9">
      <w:pPr>
        <w:pStyle w:val="FootnoteText"/>
        <w:rPr>
          <w:rFonts w:ascii="Times New Roman" w:hAnsi="Times New Roman" w:cs="Times New Roman"/>
        </w:rPr>
      </w:pPr>
      <w:r w:rsidRPr="007E0D14">
        <w:rPr>
          <w:rStyle w:val="FootnoteReference"/>
          <w:rFonts w:ascii="Times New Roman" w:hAnsi="Times New Roman" w:cs="Times New Roman"/>
        </w:rPr>
        <w:footnoteRef/>
      </w:r>
      <w:r w:rsidRPr="007E0D14">
        <w:rPr>
          <w:rFonts w:ascii="Times New Roman" w:hAnsi="Times New Roman" w:cs="Times New Roman"/>
        </w:rPr>
        <w:t xml:space="preserve"> Broodbank, </w:t>
      </w:r>
      <w:r w:rsidR="005B5297">
        <w:rPr>
          <w:rFonts w:ascii="Times New Roman" w:hAnsi="Times New Roman" w:cs="Times New Roman"/>
        </w:rPr>
        <w:t>‘</w:t>
      </w:r>
      <w:r w:rsidR="005B5297" w:rsidRPr="00FF30A9">
        <w:rPr>
          <w:rFonts w:ascii="Times New Roman" w:hAnsi="Times New Roman" w:cs="Times New Roman"/>
        </w:rPr>
        <w:t>The Early Bronze Age in the Cyclades</w:t>
      </w:r>
      <w:r w:rsidR="005B5297">
        <w:rPr>
          <w:rFonts w:ascii="Times New Roman" w:hAnsi="Times New Roman" w:cs="Times New Roman"/>
        </w:rPr>
        <w:t xml:space="preserve">’. </w:t>
      </w:r>
      <w:r w:rsidRPr="007E0D14">
        <w:rPr>
          <w:rFonts w:ascii="Times New Roman" w:hAnsi="Times New Roman" w:cs="Times New Roman"/>
        </w:rPr>
        <w:t>P. 54.</w:t>
      </w:r>
    </w:p>
  </w:footnote>
  <w:footnote w:id="8">
    <w:p w14:paraId="24E3C417" w14:textId="2B20D1A3" w:rsidR="007E0D14" w:rsidRDefault="007E0D14">
      <w:pPr>
        <w:pStyle w:val="FootnoteText"/>
      </w:pPr>
      <w:r w:rsidRPr="007E0D14">
        <w:rPr>
          <w:rStyle w:val="FootnoteReference"/>
          <w:rFonts w:ascii="Times New Roman" w:hAnsi="Times New Roman" w:cs="Times New Roman"/>
        </w:rPr>
        <w:footnoteRef/>
      </w:r>
      <w:r w:rsidRPr="007E0D14">
        <w:rPr>
          <w:rFonts w:ascii="Times New Roman" w:hAnsi="Times New Roman" w:cs="Times New Roman"/>
        </w:rPr>
        <w:t xml:space="preserve"> Ibid. P. 54.</w:t>
      </w:r>
    </w:p>
  </w:footnote>
  <w:footnote w:id="9">
    <w:p w14:paraId="1D369A91" w14:textId="67415589" w:rsidR="00352164" w:rsidRPr="006D6E33" w:rsidRDefault="00352164" w:rsidP="00352164">
      <w:pPr>
        <w:pStyle w:val="FootnoteText"/>
        <w:rPr>
          <w:rFonts w:ascii="Times New Roman" w:hAnsi="Times New Roman" w:cs="Times New Roman"/>
        </w:rPr>
      </w:pPr>
      <w:r w:rsidRPr="006D6E33">
        <w:rPr>
          <w:rStyle w:val="FootnoteReference"/>
          <w:rFonts w:ascii="Times New Roman" w:hAnsi="Times New Roman" w:cs="Times New Roman"/>
        </w:rPr>
        <w:footnoteRef/>
      </w:r>
      <w:r w:rsidRPr="006D6E33">
        <w:rPr>
          <w:rFonts w:ascii="Times New Roman" w:hAnsi="Times New Roman" w:cs="Times New Roman"/>
        </w:rPr>
        <w:t xml:space="preserve"> </w:t>
      </w:r>
      <w:r w:rsidR="005B5297" w:rsidRPr="007E0D14">
        <w:rPr>
          <w:rFonts w:ascii="Times New Roman" w:hAnsi="Times New Roman" w:cs="Times New Roman"/>
        </w:rPr>
        <w:t xml:space="preserve">Broodbank, </w:t>
      </w:r>
      <w:r w:rsidR="005B5297">
        <w:rPr>
          <w:rFonts w:ascii="Times New Roman" w:hAnsi="Times New Roman" w:cs="Times New Roman"/>
        </w:rPr>
        <w:t>‘</w:t>
      </w:r>
      <w:r w:rsidR="005B5297" w:rsidRPr="00FF30A9">
        <w:rPr>
          <w:rFonts w:ascii="Times New Roman" w:hAnsi="Times New Roman" w:cs="Times New Roman"/>
        </w:rPr>
        <w:t>The Early Bronze Age in the Cyclades</w:t>
      </w:r>
      <w:r w:rsidR="005B5297">
        <w:rPr>
          <w:rFonts w:ascii="Times New Roman" w:hAnsi="Times New Roman" w:cs="Times New Roman"/>
        </w:rPr>
        <w:t xml:space="preserve">’. </w:t>
      </w:r>
      <w:r w:rsidR="005B5297" w:rsidRPr="007E0D14">
        <w:rPr>
          <w:rFonts w:ascii="Times New Roman" w:hAnsi="Times New Roman" w:cs="Times New Roman"/>
        </w:rPr>
        <w:t>P. 5</w:t>
      </w:r>
      <w:r w:rsidR="005B5297">
        <w:rPr>
          <w:rFonts w:ascii="Times New Roman" w:hAnsi="Times New Roman" w:cs="Times New Roman"/>
        </w:rPr>
        <w:t>6.</w:t>
      </w:r>
    </w:p>
    <w:p w14:paraId="1486CC06" w14:textId="2B98AE88" w:rsidR="00352164" w:rsidRPr="006D6E33" w:rsidRDefault="00352164" w:rsidP="00352164">
      <w:pPr>
        <w:pStyle w:val="FootnoteText"/>
        <w:rPr>
          <w:rFonts w:ascii="Times New Roman" w:hAnsi="Times New Roman" w:cs="Times New Roman"/>
        </w:rPr>
      </w:pPr>
      <w:r w:rsidRPr="006D6E33">
        <w:rPr>
          <w:rFonts w:ascii="Times New Roman" w:hAnsi="Times New Roman" w:cs="Times New Roman"/>
        </w:rPr>
        <w:t xml:space="preserve">&amp; </w:t>
      </w:r>
      <w:bookmarkStart w:id="3" w:name="_Hlk38051070"/>
      <w:r w:rsidRPr="006D6E33">
        <w:rPr>
          <w:rFonts w:ascii="Times New Roman" w:hAnsi="Times New Roman" w:cs="Times New Roman"/>
        </w:rPr>
        <w:t>Childe, ‘The Urban Revolution’. Pp. 3-17.</w:t>
      </w:r>
    </w:p>
    <w:bookmarkEnd w:id="3"/>
  </w:footnote>
  <w:footnote w:id="10">
    <w:p w14:paraId="26C11EE9" w14:textId="30D18882" w:rsidR="004B2ABE" w:rsidRPr="006D6E33" w:rsidRDefault="004B2ABE">
      <w:pPr>
        <w:pStyle w:val="FootnoteText"/>
        <w:rPr>
          <w:rFonts w:ascii="Times New Roman" w:hAnsi="Times New Roman" w:cs="Times New Roman"/>
        </w:rPr>
      </w:pPr>
      <w:r w:rsidRPr="006D6E33">
        <w:rPr>
          <w:rStyle w:val="FootnoteReference"/>
          <w:rFonts w:ascii="Times New Roman" w:hAnsi="Times New Roman" w:cs="Times New Roman"/>
        </w:rPr>
        <w:footnoteRef/>
      </w:r>
      <w:r w:rsidRPr="006D6E33">
        <w:rPr>
          <w:rFonts w:ascii="Times New Roman" w:hAnsi="Times New Roman" w:cs="Times New Roman"/>
        </w:rPr>
        <w:t xml:space="preserve"> O. Dickinson, </w:t>
      </w:r>
      <w:r w:rsidR="00170FD0" w:rsidRPr="006D6E33">
        <w:rPr>
          <w:rFonts w:ascii="Times New Roman" w:hAnsi="Times New Roman" w:cs="Times New Roman"/>
          <w:i/>
          <w:iCs/>
        </w:rPr>
        <w:t>T</w:t>
      </w:r>
      <w:r w:rsidRPr="006D6E33">
        <w:rPr>
          <w:rFonts w:ascii="Times New Roman" w:hAnsi="Times New Roman" w:cs="Times New Roman"/>
          <w:i/>
          <w:iCs/>
        </w:rPr>
        <w:t xml:space="preserve">he Aegean Bronze Age, </w:t>
      </w:r>
      <w:r w:rsidRPr="006D6E33">
        <w:rPr>
          <w:rFonts w:ascii="Times New Roman" w:hAnsi="Times New Roman" w:cs="Times New Roman"/>
        </w:rPr>
        <w:t>(Cambridge, Cambridge University Press, 1994). Pp. 158-160.</w:t>
      </w:r>
    </w:p>
  </w:footnote>
  <w:footnote w:id="11">
    <w:p w14:paraId="32D07E3D" w14:textId="7B2BA19E" w:rsidR="006D6E33" w:rsidRPr="006D6E33" w:rsidRDefault="006D6E33">
      <w:pPr>
        <w:pStyle w:val="FootnoteText"/>
        <w:rPr>
          <w:rFonts w:ascii="Times New Roman" w:hAnsi="Times New Roman" w:cs="Times New Roman"/>
        </w:rPr>
      </w:pPr>
      <w:r w:rsidRPr="006D6E33">
        <w:rPr>
          <w:rStyle w:val="FootnoteReference"/>
          <w:rFonts w:ascii="Times New Roman" w:hAnsi="Times New Roman" w:cs="Times New Roman"/>
        </w:rPr>
        <w:footnoteRef/>
      </w:r>
      <w:r w:rsidRPr="006D6E33">
        <w:rPr>
          <w:rFonts w:ascii="Times New Roman" w:hAnsi="Times New Roman" w:cs="Times New Roman"/>
        </w:rPr>
        <w:t xml:space="preserve"> Childe, ‘The Urban Revolution’. Pp. 3-17.</w:t>
      </w:r>
    </w:p>
  </w:footnote>
  <w:footnote w:id="12">
    <w:p w14:paraId="0260E977" w14:textId="74DE3BC8" w:rsidR="00170FD0" w:rsidRPr="009678E6" w:rsidRDefault="00170FD0">
      <w:pPr>
        <w:pStyle w:val="FootnoteText"/>
        <w:rPr>
          <w:rFonts w:ascii="Times New Roman" w:hAnsi="Times New Roman" w:cs="Times New Roman"/>
        </w:rPr>
      </w:pPr>
      <w:r w:rsidRPr="009678E6">
        <w:rPr>
          <w:rStyle w:val="FootnoteReference"/>
          <w:rFonts w:ascii="Times New Roman" w:hAnsi="Times New Roman" w:cs="Times New Roman"/>
        </w:rPr>
        <w:footnoteRef/>
      </w:r>
      <w:r w:rsidRPr="009678E6">
        <w:rPr>
          <w:rFonts w:ascii="Times New Roman" w:hAnsi="Times New Roman" w:cs="Times New Roman"/>
        </w:rPr>
        <w:t xml:space="preserve"> P. P. Betancourt, </w:t>
      </w:r>
      <w:r w:rsidRPr="009678E6">
        <w:rPr>
          <w:rFonts w:ascii="Times New Roman" w:hAnsi="Times New Roman" w:cs="Times New Roman"/>
          <w:i/>
          <w:iCs/>
        </w:rPr>
        <w:t>Introduction to Aegean Art</w:t>
      </w:r>
      <w:r w:rsidRPr="009678E6">
        <w:rPr>
          <w:rFonts w:ascii="Times New Roman" w:hAnsi="Times New Roman" w:cs="Times New Roman"/>
        </w:rPr>
        <w:t>, (Philadelphia, INSTAP Academic Press, 2007). Pp 12-13</w:t>
      </w:r>
      <w:r w:rsidR="006D6E33" w:rsidRPr="009678E6">
        <w:rPr>
          <w:rFonts w:ascii="Times New Roman" w:hAnsi="Times New Roman" w:cs="Times New Roman"/>
        </w:rPr>
        <w:t>.</w:t>
      </w:r>
    </w:p>
  </w:footnote>
  <w:footnote w:id="13">
    <w:p w14:paraId="74E2E7F0" w14:textId="2E969374" w:rsidR="00863398" w:rsidRPr="009678E6" w:rsidRDefault="00863398">
      <w:pPr>
        <w:pStyle w:val="FootnoteText"/>
        <w:rPr>
          <w:rFonts w:ascii="Times New Roman" w:hAnsi="Times New Roman" w:cs="Times New Roman"/>
        </w:rPr>
      </w:pPr>
      <w:r w:rsidRPr="009678E6">
        <w:rPr>
          <w:rStyle w:val="FootnoteReference"/>
          <w:rFonts w:ascii="Times New Roman" w:hAnsi="Times New Roman" w:cs="Times New Roman"/>
        </w:rPr>
        <w:footnoteRef/>
      </w:r>
      <w:r w:rsidRPr="009678E6">
        <w:rPr>
          <w:rFonts w:ascii="Times New Roman" w:hAnsi="Times New Roman" w:cs="Times New Roman"/>
        </w:rPr>
        <w:t xml:space="preserve"> </w:t>
      </w:r>
      <w:bookmarkStart w:id="4" w:name="_Hlk38312428"/>
      <w:r w:rsidRPr="009678E6">
        <w:rPr>
          <w:rFonts w:ascii="Times New Roman" w:hAnsi="Times New Roman" w:cs="Times New Roman"/>
        </w:rPr>
        <w:t>Childe, ‘The Urban Revolution’. Pp. 3-17.</w:t>
      </w:r>
      <w:bookmarkEnd w:id="4"/>
    </w:p>
  </w:footnote>
  <w:footnote w:id="14">
    <w:p w14:paraId="60FFF5D6" w14:textId="33986099" w:rsidR="009138F1" w:rsidRPr="009678E6" w:rsidRDefault="009138F1">
      <w:pPr>
        <w:pStyle w:val="FootnoteText"/>
        <w:rPr>
          <w:rFonts w:ascii="Times New Roman" w:hAnsi="Times New Roman" w:cs="Times New Roman"/>
        </w:rPr>
      </w:pPr>
      <w:r w:rsidRPr="009678E6">
        <w:rPr>
          <w:rStyle w:val="FootnoteReference"/>
          <w:rFonts w:ascii="Times New Roman" w:hAnsi="Times New Roman" w:cs="Times New Roman"/>
        </w:rPr>
        <w:footnoteRef/>
      </w:r>
      <w:r w:rsidRPr="009678E6">
        <w:rPr>
          <w:rFonts w:ascii="Times New Roman" w:hAnsi="Times New Roman" w:cs="Times New Roman"/>
        </w:rPr>
        <w:t xml:space="preserve"> Ibid. Pp 3-17.</w:t>
      </w:r>
    </w:p>
  </w:footnote>
  <w:footnote w:id="15">
    <w:p w14:paraId="56849135" w14:textId="3E1634D3" w:rsidR="00B67C3A" w:rsidRPr="00B67C3A" w:rsidRDefault="00B67C3A">
      <w:pPr>
        <w:pStyle w:val="FootnoteText"/>
      </w:pPr>
      <w:r w:rsidRPr="009678E6">
        <w:rPr>
          <w:rStyle w:val="FootnoteReference"/>
          <w:rFonts w:ascii="Times New Roman" w:hAnsi="Times New Roman" w:cs="Times New Roman"/>
        </w:rPr>
        <w:footnoteRef/>
      </w:r>
      <w:r w:rsidRPr="009678E6">
        <w:rPr>
          <w:rFonts w:ascii="Times New Roman" w:hAnsi="Times New Roman" w:cs="Times New Roman"/>
        </w:rPr>
        <w:t xml:space="preserve"> </w:t>
      </w:r>
      <w:bookmarkStart w:id="5" w:name="_Hlk38315724"/>
      <w:r w:rsidRPr="009678E6">
        <w:rPr>
          <w:rFonts w:ascii="Times New Roman" w:hAnsi="Times New Roman" w:cs="Times New Roman"/>
        </w:rPr>
        <w:t xml:space="preserve">M. Marthari, </w:t>
      </w:r>
      <w:r w:rsidRPr="009678E6">
        <w:rPr>
          <w:rFonts w:ascii="Times New Roman" w:hAnsi="Times New Roman" w:cs="Times New Roman"/>
          <w:i/>
          <w:iCs/>
        </w:rPr>
        <w:t xml:space="preserve">The archaeological site of </w:t>
      </w:r>
      <w:bookmarkStart w:id="6" w:name="_Hlk38311858"/>
      <w:r w:rsidRPr="009678E6">
        <w:rPr>
          <w:rFonts w:ascii="Times New Roman" w:hAnsi="Times New Roman" w:cs="Times New Roman"/>
          <w:i/>
          <w:iCs/>
        </w:rPr>
        <w:t>Chalandriani – Kastri</w:t>
      </w:r>
      <w:bookmarkEnd w:id="6"/>
      <w:r w:rsidRPr="009678E6">
        <w:rPr>
          <w:rFonts w:ascii="Times New Roman" w:hAnsi="Times New Roman" w:cs="Times New Roman"/>
        </w:rPr>
        <w:t xml:space="preserve">, (2016), </w:t>
      </w:r>
      <w:r w:rsidRPr="009678E6">
        <w:rPr>
          <w:rFonts w:ascii="Times New Roman" w:hAnsi="Times New Roman" w:cs="Times New Roman"/>
        </w:rPr>
        <w:t>https://www.apanomeria.org/en/the-archaeological-site-chalandriani-kastri/</w:t>
      </w:r>
      <w:r w:rsidRPr="009678E6">
        <w:rPr>
          <w:rFonts w:ascii="Times New Roman" w:hAnsi="Times New Roman" w:cs="Times New Roman"/>
        </w:rPr>
        <w:t>, [Accessed: 19/04/2020].</w:t>
      </w:r>
      <w:bookmarkEnd w:id="5"/>
    </w:p>
  </w:footnote>
  <w:footnote w:id="16">
    <w:p w14:paraId="360D6BC2" w14:textId="275407BE" w:rsidR="005B5297" w:rsidRPr="009F222C" w:rsidRDefault="005B5297">
      <w:pPr>
        <w:pStyle w:val="FootnoteText"/>
        <w:rPr>
          <w:rFonts w:ascii="Times New Roman" w:hAnsi="Times New Roman" w:cs="Times New Roman"/>
        </w:rPr>
      </w:pPr>
      <w:r w:rsidRPr="009F222C">
        <w:rPr>
          <w:rStyle w:val="FootnoteReference"/>
          <w:rFonts w:ascii="Times New Roman" w:hAnsi="Times New Roman" w:cs="Times New Roman"/>
        </w:rPr>
        <w:footnoteRef/>
      </w:r>
      <w:r w:rsidRPr="009F222C">
        <w:rPr>
          <w:rFonts w:ascii="Times New Roman" w:hAnsi="Times New Roman" w:cs="Times New Roman"/>
        </w:rPr>
        <w:t xml:space="preserve"> </w:t>
      </w:r>
      <w:bookmarkStart w:id="7" w:name="_Hlk38312449"/>
      <w:r w:rsidRPr="009F222C">
        <w:rPr>
          <w:rFonts w:ascii="Times New Roman" w:hAnsi="Times New Roman" w:cs="Times New Roman"/>
        </w:rPr>
        <w:t xml:space="preserve">Marthari, </w:t>
      </w:r>
      <w:r w:rsidRPr="009F222C">
        <w:rPr>
          <w:rFonts w:ascii="Times New Roman" w:hAnsi="Times New Roman" w:cs="Times New Roman"/>
          <w:i/>
          <w:iCs/>
        </w:rPr>
        <w:t>Chalandriani – Kastri</w:t>
      </w:r>
      <w:r w:rsidRPr="009F222C">
        <w:rPr>
          <w:rFonts w:ascii="Times New Roman" w:hAnsi="Times New Roman" w:cs="Times New Roman"/>
        </w:rPr>
        <w:t>.</w:t>
      </w:r>
      <w:bookmarkEnd w:id="7"/>
    </w:p>
    <w:p w14:paraId="5DB9D23F" w14:textId="333CDAFC" w:rsidR="005B5297" w:rsidRPr="00D71927" w:rsidRDefault="005B5297">
      <w:pPr>
        <w:pStyle w:val="FootnoteText"/>
        <w:rPr>
          <w:rFonts w:ascii="Times New Roman" w:hAnsi="Times New Roman" w:cs="Times New Roman"/>
        </w:rPr>
      </w:pPr>
      <w:r w:rsidRPr="009F222C">
        <w:rPr>
          <w:rFonts w:ascii="Times New Roman" w:hAnsi="Times New Roman" w:cs="Times New Roman"/>
        </w:rPr>
        <w:t xml:space="preserve">&amp; </w:t>
      </w:r>
      <w:bookmarkStart w:id="8" w:name="_Hlk38315688"/>
      <w:r w:rsidRPr="009F222C">
        <w:rPr>
          <w:rFonts w:ascii="Times New Roman" w:hAnsi="Times New Roman" w:cs="Times New Roman"/>
        </w:rPr>
        <w:t>C. Bro</w:t>
      </w:r>
      <w:r w:rsidR="00A4402B">
        <w:rPr>
          <w:rFonts w:ascii="Times New Roman" w:hAnsi="Times New Roman" w:cs="Times New Roman"/>
        </w:rPr>
        <w:t>o</w:t>
      </w:r>
      <w:r w:rsidRPr="009F222C">
        <w:rPr>
          <w:rFonts w:ascii="Times New Roman" w:hAnsi="Times New Roman" w:cs="Times New Roman"/>
        </w:rPr>
        <w:t xml:space="preserve">dbank, </w:t>
      </w:r>
      <w:r w:rsidRPr="009F222C">
        <w:rPr>
          <w:rFonts w:ascii="Times New Roman" w:hAnsi="Times New Roman" w:cs="Times New Roman"/>
          <w:i/>
          <w:iCs/>
        </w:rPr>
        <w:t>An Island Archaeology of the Early Cyclades</w:t>
      </w:r>
      <w:r w:rsidRPr="009F222C">
        <w:rPr>
          <w:rFonts w:ascii="Times New Roman" w:hAnsi="Times New Roman" w:cs="Times New Roman"/>
        </w:rPr>
        <w:t xml:space="preserve">, (Cambridge, Cambridge University Press, </w:t>
      </w:r>
      <w:r w:rsidRPr="00D71927">
        <w:rPr>
          <w:rFonts w:ascii="Times New Roman" w:hAnsi="Times New Roman" w:cs="Times New Roman"/>
        </w:rPr>
        <w:t xml:space="preserve">2000). </w:t>
      </w:r>
      <w:bookmarkEnd w:id="8"/>
      <w:r w:rsidRPr="00D71927">
        <w:rPr>
          <w:rFonts w:ascii="Times New Roman" w:hAnsi="Times New Roman" w:cs="Times New Roman"/>
        </w:rPr>
        <w:t>Pp. 258-260.</w:t>
      </w:r>
    </w:p>
  </w:footnote>
  <w:footnote w:id="17">
    <w:p w14:paraId="51D6C108" w14:textId="7479FF7E" w:rsidR="009F222C" w:rsidRPr="00D71927" w:rsidRDefault="009F222C">
      <w:pPr>
        <w:pStyle w:val="FootnoteText"/>
        <w:rPr>
          <w:rFonts w:ascii="Times New Roman" w:hAnsi="Times New Roman" w:cs="Times New Roman"/>
        </w:rPr>
      </w:pPr>
      <w:r w:rsidRPr="00D71927">
        <w:rPr>
          <w:rStyle w:val="FootnoteReference"/>
          <w:rFonts w:ascii="Times New Roman" w:hAnsi="Times New Roman" w:cs="Times New Roman"/>
        </w:rPr>
        <w:footnoteRef/>
      </w:r>
      <w:r w:rsidRPr="00D71927">
        <w:rPr>
          <w:rFonts w:ascii="Times New Roman" w:hAnsi="Times New Roman" w:cs="Times New Roman"/>
        </w:rPr>
        <w:t xml:space="preserve"> </w:t>
      </w:r>
      <w:r w:rsidRPr="00D71927">
        <w:rPr>
          <w:rFonts w:ascii="Times New Roman" w:hAnsi="Times New Roman" w:cs="Times New Roman"/>
        </w:rPr>
        <w:t>Childe, ‘The Urban Revolution’. Pp. 3-17.</w:t>
      </w:r>
    </w:p>
    <w:p w14:paraId="074B8C8C" w14:textId="75E87416" w:rsidR="009F222C" w:rsidRPr="00D71927" w:rsidRDefault="009F222C">
      <w:pPr>
        <w:pStyle w:val="FootnoteText"/>
        <w:rPr>
          <w:rFonts w:ascii="Times New Roman" w:hAnsi="Times New Roman" w:cs="Times New Roman"/>
        </w:rPr>
      </w:pPr>
      <w:r w:rsidRPr="00D71927">
        <w:rPr>
          <w:rFonts w:ascii="Times New Roman" w:hAnsi="Times New Roman" w:cs="Times New Roman"/>
        </w:rPr>
        <w:t xml:space="preserve">&amp; </w:t>
      </w:r>
      <w:bookmarkStart w:id="9" w:name="_Hlk38313201"/>
      <w:r w:rsidRPr="00D71927">
        <w:rPr>
          <w:rFonts w:ascii="Times New Roman" w:hAnsi="Times New Roman" w:cs="Times New Roman"/>
        </w:rPr>
        <w:t xml:space="preserve">Marthari, </w:t>
      </w:r>
      <w:r w:rsidRPr="00D71927">
        <w:rPr>
          <w:rFonts w:ascii="Times New Roman" w:hAnsi="Times New Roman" w:cs="Times New Roman"/>
          <w:i/>
          <w:iCs/>
        </w:rPr>
        <w:t>Chalandriani – Kastri</w:t>
      </w:r>
      <w:r w:rsidRPr="00D71927">
        <w:rPr>
          <w:rFonts w:ascii="Times New Roman" w:hAnsi="Times New Roman" w:cs="Times New Roman"/>
        </w:rPr>
        <w:t>.</w:t>
      </w:r>
      <w:bookmarkEnd w:id="9"/>
    </w:p>
  </w:footnote>
  <w:footnote w:id="18">
    <w:p w14:paraId="2BE14197" w14:textId="681EDF43" w:rsidR="00D71927" w:rsidRPr="00D71927" w:rsidRDefault="00D71927">
      <w:pPr>
        <w:pStyle w:val="FootnoteText"/>
        <w:rPr>
          <w:rFonts w:ascii="Times New Roman" w:hAnsi="Times New Roman" w:cs="Times New Roman"/>
        </w:rPr>
      </w:pPr>
      <w:r w:rsidRPr="00D71927">
        <w:rPr>
          <w:rStyle w:val="FootnoteReference"/>
          <w:rFonts w:ascii="Times New Roman" w:hAnsi="Times New Roman" w:cs="Times New Roman"/>
        </w:rPr>
        <w:footnoteRef/>
      </w:r>
      <w:r w:rsidRPr="00D71927">
        <w:rPr>
          <w:rFonts w:ascii="Times New Roman" w:hAnsi="Times New Roman" w:cs="Times New Roman"/>
        </w:rPr>
        <w:t xml:space="preserve"> </w:t>
      </w:r>
      <w:r w:rsidRPr="00D71927">
        <w:rPr>
          <w:rFonts w:ascii="Times New Roman" w:hAnsi="Times New Roman" w:cs="Times New Roman"/>
        </w:rPr>
        <w:t>Childe, ‘The Urban Revolution’. Pp. 3-17.</w:t>
      </w:r>
    </w:p>
  </w:footnote>
  <w:footnote w:id="19">
    <w:p w14:paraId="37B3E199" w14:textId="71DBF00A" w:rsidR="00D71927" w:rsidRDefault="00D71927">
      <w:pPr>
        <w:pStyle w:val="FootnoteText"/>
      </w:pPr>
      <w:r w:rsidRPr="00D71927">
        <w:rPr>
          <w:rStyle w:val="FootnoteReference"/>
          <w:rFonts w:ascii="Times New Roman" w:hAnsi="Times New Roman" w:cs="Times New Roman"/>
        </w:rPr>
        <w:footnoteRef/>
      </w:r>
      <w:r w:rsidRPr="00D71927">
        <w:rPr>
          <w:rFonts w:ascii="Times New Roman" w:hAnsi="Times New Roman" w:cs="Times New Roman"/>
        </w:rPr>
        <w:t xml:space="preserve"> </w:t>
      </w:r>
      <w:r w:rsidRPr="00D71927">
        <w:rPr>
          <w:rFonts w:ascii="Times New Roman" w:hAnsi="Times New Roman" w:cs="Times New Roman"/>
        </w:rPr>
        <w:t xml:space="preserve">Marthari, </w:t>
      </w:r>
      <w:r w:rsidRPr="00D71927">
        <w:rPr>
          <w:rFonts w:ascii="Times New Roman" w:hAnsi="Times New Roman" w:cs="Times New Roman"/>
          <w:i/>
          <w:iCs/>
        </w:rPr>
        <w:t>Chalandriani – Kastri</w:t>
      </w:r>
      <w:r w:rsidRPr="00D71927">
        <w:rPr>
          <w:rFonts w:ascii="Times New Roman" w:hAnsi="Times New Roman" w:cs="Times New Roman"/>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038B6F" w14:textId="1833E7EA" w:rsidR="003A0D97" w:rsidRPr="003A0D97" w:rsidRDefault="003A0D97" w:rsidP="003A0D97">
    <w:pPr>
      <w:pStyle w:val="Header"/>
      <w:jc w:val="center"/>
      <w:rPr>
        <w:rFonts w:ascii="Times New Roman" w:hAnsi="Times New Roman" w:cs="Times New Roman"/>
        <w:sz w:val="20"/>
        <w:szCs w:val="20"/>
      </w:rPr>
    </w:pPr>
    <w:r>
      <w:rPr>
        <w:rFonts w:ascii="Times New Roman" w:hAnsi="Times New Roman" w:cs="Times New Roman"/>
        <w:sz w:val="20"/>
        <w:szCs w:val="20"/>
      </w:rPr>
      <w:t>Samuel Lawrence – Pharaohs, Phoenicians, and People of the Sea – Essay Task</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D97"/>
    <w:rsid w:val="00030FFD"/>
    <w:rsid w:val="000442D3"/>
    <w:rsid w:val="00051B23"/>
    <w:rsid w:val="000A202D"/>
    <w:rsid w:val="001332F2"/>
    <w:rsid w:val="00170FD0"/>
    <w:rsid w:val="001F6624"/>
    <w:rsid w:val="002B0D58"/>
    <w:rsid w:val="00352164"/>
    <w:rsid w:val="003A0D97"/>
    <w:rsid w:val="00422945"/>
    <w:rsid w:val="004B2ABE"/>
    <w:rsid w:val="004C51EA"/>
    <w:rsid w:val="00517324"/>
    <w:rsid w:val="005857CB"/>
    <w:rsid w:val="005B5297"/>
    <w:rsid w:val="006407B1"/>
    <w:rsid w:val="006D6E33"/>
    <w:rsid w:val="00773033"/>
    <w:rsid w:val="0077729C"/>
    <w:rsid w:val="007E0D14"/>
    <w:rsid w:val="00863398"/>
    <w:rsid w:val="00874A77"/>
    <w:rsid w:val="009138F1"/>
    <w:rsid w:val="009478AC"/>
    <w:rsid w:val="009678E6"/>
    <w:rsid w:val="00993543"/>
    <w:rsid w:val="009F222C"/>
    <w:rsid w:val="00A112AB"/>
    <w:rsid w:val="00A4402B"/>
    <w:rsid w:val="00B67C3A"/>
    <w:rsid w:val="00C45131"/>
    <w:rsid w:val="00CA64FB"/>
    <w:rsid w:val="00D603C0"/>
    <w:rsid w:val="00D71927"/>
    <w:rsid w:val="00E310F2"/>
    <w:rsid w:val="00FB5F23"/>
    <w:rsid w:val="00FC1C1E"/>
    <w:rsid w:val="00FE2DD6"/>
    <w:rsid w:val="00FF30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D3FFE"/>
  <w15:chartTrackingRefBased/>
  <w15:docId w15:val="{C46021B7-A2B1-4E0E-B204-9392BFF3F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A0D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0D97"/>
  </w:style>
  <w:style w:type="paragraph" w:styleId="Footer">
    <w:name w:val="footer"/>
    <w:basedOn w:val="Normal"/>
    <w:link w:val="FooterChar"/>
    <w:uiPriority w:val="99"/>
    <w:unhideWhenUsed/>
    <w:rsid w:val="003A0D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0D97"/>
  </w:style>
  <w:style w:type="paragraph" w:styleId="FootnoteText">
    <w:name w:val="footnote text"/>
    <w:basedOn w:val="Normal"/>
    <w:link w:val="FootnoteTextChar"/>
    <w:uiPriority w:val="99"/>
    <w:semiHidden/>
    <w:unhideWhenUsed/>
    <w:rsid w:val="009478A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78AC"/>
    <w:rPr>
      <w:sz w:val="20"/>
      <w:szCs w:val="20"/>
    </w:rPr>
  </w:style>
  <w:style w:type="character" w:styleId="FootnoteReference">
    <w:name w:val="footnote reference"/>
    <w:basedOn w:val="DefaultParagraphFont"/>
    <w:uiPriority w:val="99"/>
    <w:semiHidden/>
    <w:unhideWhenUsed/>
    <w:rsid w:val="009478AC"/>
    <w:rPr>
      <w:vertAlign w:val="superscript"/>
    </w:rPr>
  </w:style>
  <w:style w:type="character" w:styleId="Hyperlink">
    <w:name w:val="Hyperlink"/>
    <w:basedOn w:val="DefaultParagraphFont"/>
    <w:uiPriority w:val="99"/>
    <w:unhideWhenUsed/>
    <w:rsid w:val="00B67C3A"/>
    <w:rPr>
      <w:color w:val="0563C1" w:themeColor="hyperlink"/>
      <w:u w:val="single"/>
    </w:rPr>
  </w:style>
  <w:style w:type="character" w:styleId="UnresolvedMention">
    <w:name w:val="Unresolved Mention"/>
    <w:basedOn w:val="DefaultParagraphFont"/>
    <w:uiPriority w:val="99"/>
    <w:semiHidden/>
    <w:unhideWhenUsed/>
    <w:rsid w:val="00B67C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DE1BD2-F167-490D-94BE-EF9A210120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TotalTime>
  <Pages>3</Pages>
  <Words>1983</Words>
  <Characters>11305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Lawrence</dc:creator>
  <cp:keywords/>
  <dc:description/>
  <cp:lastModifiedBy>Samuel Lawrence</cp:lastModifiedBy>
  <cp:revision>4</cp:revision>
  <dcterms:created xsi:type="dcterms:W3CDTF">2020-04-15T19:04:00Z</dcterms:created>
  <dcterms:modified xsi:type="dcterms:W3CDTF">2020-04-20T21:59:00Z</dcterms:modified>
</cp:coreProperties>
</file>