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FA56B" w14:textId="77777777" w:rsidR="00160DC8" w:rsidRPr="00160DC8" w:rsidRDefault="00160DC8" w:rsidP="00160DC8">
      <w:pPr>
        <w:spacing w:line="360" w:lineRule="auto"/>
        <w:jc w:val="both"/>
        <w:rPr>
          <w:rFonts w:cstheme="minorHAnsi"/>
          <w:b/>
          <w:bCs/>
        </w:rPr>
      </w:pPr>
      <w:r w:rsidRPr="00160DC8">
        <w:rPr>
          <w:rFonts w:cstheme="minorHAnsi"/>
          <w:b/>
          <w:bCs/>
        </w:rPr>
        <w:t>Essay one:</w:t>
      </w:r>
    </w:p>
    <w:p w14:paraId="06D446E8" w14:textId="452E314F" w:rsidR="00160DC8" w:rsidRPr="00160DC8" w:rsidRDefault="00160DC8" w:rsidP="00160DC8">
      <w:pPr>
        <w:spacing w:line="360" w:lineRule="auto"/>
        <w:jc w:val="both"/>
        <w:rPr>
          <w:rFonts w:cstheme="minorHAnsi"/>
          <w:b/>
          <w:bCs/>
        </w:rPr>
      </w:pPr>
      <w:r w:rsidRPr="00160DC8">
        <w:rPr>
          <w:rFonts w:eastAsia="Calibri" w:cstheme="minorHAnsi"/>
        </w:rPr>
        <w:t xml:space="preserve">A profession is a type of occupation that has a recognised role in serving society and requires an advanced formal education (usually a subject specific degree) along with specialised training and a specific set of skills, expertise, and knowledge (Green and Gates, 2014) Whilst indeed a type of occupation, professions are unique in that Members are governed by a Code of Ethical conduct and are often licensed by a governing body or statute.  </w:t>
      </w:r>
    </w:p>
    <w:p w14:paraId="18B0DF9E"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Professionalisation therefore is the process by which an occupation seeks to become a profession. </w:t>
      </w:r>
    </w:p>
    <w:p w14:paraId="547F5FC1"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The </w:t>
      </w:r>
      <w:proofErr w:type="gramStart"/>
      <w:r w:rsidRPr="00160DC8">
        <w:rPr>
          <w:rFonts w:eastAsia="Calibri" w:cstheme="minorHAnsi"/>
        </w:rPr>
        <w:t>ultimate goal</w:t>
      </w:r>
      <w:proofErr w:type="gramEnd"/>
      <w:r w:rsidRPr="00160DC8">
        <w:rPr>
          <w:rFonts w:eastAsia="Calibri" w:cstheme="minorHAnsi"/>
        </w:rPr>
        <w:t xml:space="preserve"> of professionalisation is to establish a profession as a distinct, autonomous field of expertise with a recognised body of knowledge and a set of ethical principles and standards that guide professional practice. </w:t>
      </w:r>
    </w:p>
    <w:p w14:paraId="35894129"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For the police professionalisation was not a new concept and had been long sought after over the past few decades with limited success. In recent years, the re-emergence in desire for professionalisation was founded on public demand for improved standards, in the wake of several high-profile incidents and scandals, the public called for the police to be held to higher standards of professionalism and accountability, this was coupled with the economic pressure of the recession and subsequent budget cuts (Martin, 2021). </w:t>
      </w:r>
    </w:p>
    <w:p w14:paraId="6D9597C3" w14:textId="77777777" w:rsidR="00160DC8" w:rsidRPr="00160DC8" w:rsidRDefault="00160DC8" w:rsidP="00160DC8">
      <w:pPr>
        <w:spacing w:line="360" w:lineRule="auto"/>
        <w:jc w:val="both"/>
        <w:rPr>
          <w:rFonts w:eastAsia="Calibri" w:cstheme="minorHAnsi"/>
        </w:rPr>
      </w:pPr>
      <w:r w:rsidRPr="00160DC8">
        <w:rPr>
          <w:rFonts w:eastAsia="Calibri" w:cstheme="minorHAnsi"/>
        </w:rPr>
        <w:t>The Professionalisation of the police would bring several benefits including, improved standards and practices, enhanced accountability, better public trust and confidence, increased efficiency and ensure that officers have the skills and knowledge necessary to meet the changing demands of policing.</w:t>
      </w:r>
    </w:p>
    <w:p w14:paraId="1EEBF3D3"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The founding of the College of Policing (CoP) in 2012 and the introduction of policing Education qualification framework (PEQF) saw the organisation begin their quest for ‘professional’ status.  The College of Policing would consequently become the single body of knowledge responsible for the definition and dissemination of national police guidance, standards, and training, promoting consistent and evidence-based practices across the police force in England and Wales and would also include the creation of a single Code of Ethics for police in England and Wales. </w:t>
      </w:r>
    </w:p>
    <w:p w14:paraId="5CF5B35A" w14:textId="77777777" w:rsidR="00160DC8" w:rsidRPr="00160DC8" w:rsidRDefault="00160DC8" w:rsidP="00160DC8">
      <w:pPr>
        <w:spacing w:line="360" w:lineRule="auto"/>
        <w:jc w:val="both"/>
        <w:rPr>
          <w:rFonts w:eastAsia="Calibri" w:cstheme="minorHAnsi"/>
        </w:rPr>
      </w:pPr>
      <w:r w:rsidRPr="00160DC8">
        <w:rPr>
          <w:rFonts w:eastAsia="Calibri" w:cstheme="minorHAnsi"/>
        </w:rPr>
        <w:t>The PEQF would be delivered through partnerships with higher education institutes (HEI’s) formalising and ultimately transforming police training and education facilitating the transition to evidence-based practices. This transformation would mirror those seen in other westernised countries including, Australia and Northern America (Fleming, 2014). As a result, the new workforce in theory would be knowledgeable, critical thinkers, autonomous and resilient and would consequently be better equipped to deal with the changing landscape of modern-day society (</w:t>
      </w:r>
      <w:proofErr w:type="spellStart"/>
      <w:r w:rsidRPr="00160DC8">
        <w:rPr>
          <w:rFonts w:eastAsia="Calibri" w:cstheme="minorHAnsi"/>
        </w:rPr>
        <w:t>Holdaway</w:t>
      </w:r>
      <w:proofErr w:type="spellEnd"/>
      <w:r w:rsidRPr="00160DC8">
        <w:rPr>
          <w:rFonts w:eastAsia="Calibri" w:cstheme="minorHAnsi"/>
        </w:rPr>
        <w:t xml:space="preserve">, 2017). </w:t>
      </w:r>
    </w:p>
    <w:p w14:paraId="58EE6B65" w14:textId="77777777" w:rsidR="00160DC8" w:rsidRPr="00160DC8" w:rsidRDefault="00160DC8" w:rsidP="00160DC8">
      <w:pPr>
        <w:spacing w:line="360" w:lineRule="auto"/>
        <w:jc w:val="both"/>
        <w:rPr>
          <w:rFonts w:eastAsia="Calibri" w:cstheme="minorHAnsi"/>
        </w:rPr>
      </w:pPr>
      <w:r w:rsidRPr="00160DC8">
        <w:rPr>
          <w:rFonts w:eastAsia="Calibri" w:cstheme="minorHAnsi"/>
        </w:rPr>
        <w:lastRenderedPageBreak/>
        <w:t xml:space="preserve">In turn this professionalised workforce would enhance public trust and confidence in policing, as the public is more likely to have faith in a police force that is subject to higher standards of conduct and training (Lumsden, 2017). </w:t>
      </w:r>
    </w:p>
    <w:p w14:paraId="4D9AEA84" w14:textId="77777777" w:rsidR="00160DC8" w:rsidRPr="00160DC8" w:rsidRDefault="00160DC8" w:rsidP="00160DC8">
      <w:pPr>
        <w:spacing w:line="360" w:lineRule="auto"/>
        <w:jc w:val="both"/>
        <w:rPr>
          <w:rFonts w:eastAsia="Calibri" w:cstheme="minorHAnsi"/>
        </w:rPr>
      </w:pPr>
    </w:p>
    <w:p w14:paraId="4B23A836"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When considering the impact of professionalisation on the organisational culture of the police it is first worth considering what organisational culture means in the context of policing. </w:t>
      </w:r>
    </w:p>
    <w:p w14:paraId="31F90CCA"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Organisational culture refers to the shared values, beliefs, behaviours, and norms that characterize and organisation (Schein, 1987).  It encompasses the way things are done in an organisation, how employees interact with one another and with stakeholders, and the overall working environment. </w:t>
      </w:r>
    </w:p>
    <w:p w14:paraId="3A6C6DCF"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A positive organisational culture fosters a sense of belonging and commitment amongst employees leading to greater job satisfaction, and employee wellbeing as well as enhancing teamwork and collaboration (Roodt G., Rieger H.S. and </w:t>
      </w:r>
      <w:proofErr w:type="spellStart"/>
      <w:r w:rsidRPr="00160DC8">
        <w:rPr>
          <w:rFonts w:eastAsia="Calibri" w:cstheme="minorHAnsi"/>
        </w:rPr>
        <w:t>Sempane</w:t>
      </w:r>
      <w:proofErr w:type="spellEnd"/>
      <w:r w:rsidRPr="00160DC8">
        <w:rPr>
          <w:rFonts w:eastAsia="Calibri" w:cstheme="minorHAnsi"/>
        </w:rPr>
        <w:t xml:space="preserve"> M.E., 2002). Conversely, a negative organisational culture would lead to low morale and wellbeing, high turnover, and poor performance. </w:t>
      </w:r>
    </w:p>
    <w:p w14:paraId="6CBD8287"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Longstanding pre-assumption of police culture denote that of a ‘machoistic’ cop-culture that often-accepted behaviours such as racism, sexism, misogyny, and homophobia (Brown, Fleming and Silvestri, 2020; Brough, </w:t>
      </w:r>
      <w:proofErr w:type="spellStart"/>
      <w:r w:rsidRPr="00160DC8">
        <w:rPr>
          <w:rFonts w:eastAsia="Calibri" w:cstheme="minorHAnsi"/>
        </w:rPr>
        <w:t>Chataway</w:t>
      </w:r>
      <w:proofErr w:type="spellEnd"/>
      <w:r w:rsidRPr="00160DC8">
        <w:rPr>
          <w:rFonts w:eastAsia="Calibri" w:cstheme="minorHAnsi"/>
        </w:rPr>
        <w:t xml:space="preserve"> and Biggs, 2016). It was in part these behaviours coupled with entrenched solidarity amongst officers that would lead to misconduct. Professionalisation, and a better educated workforce would consequently assist in establishing a more respectful culture within the police (Martin, 2021).</w:t>
      </w:r>
    </w:p>
    <w:p w14:paraId="3D455733"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Professionalisation of the police can improve organisational culture in several ways. </w:t>
      </w:r>
    </w:p>
    <w:p w14:paraId="282F1792"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Firstly, the establishment of the college of policing as previously stated aims to establish an educated workforce that is more knowledgeable, and better equipped to deal with the complexities and stressors of life and modern-day policing (HEFCE, 2017). This in theory would improve the overall quality of policing and increase officers’ confidence and resilience. </w:t>
      </w:r>
    </w:p>
    <w:p w14:paraId="31A7FFED"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However, when examining the research surrounding job performance and higher education in the context of policing there is conflicting research. </w:t>
      </w:r>
    </w:p>
    <w:p w14:paraId="1511F04E" w14:textId="77777777" w:rsidR="00160DC8" w:rsidRPr="00160DC8" w:rsidRDefault="00160DC8" w:rsidP="00160DC8">
      <w:pPr>
        <w:spacing w:line="360" w:lineRule="auto"/>
        <w:jc w:val="both"/>
        <w:rPr>
          <w:rFonts w:eastAsia="Calibri" w:cstheme="minorHAnsi"/>
        </w:rPr>
      </w:pPr>
      <w:r w:rsidRPr="00160DC8">
        <w:rPr>
          <w:rFonts w:eastAsia="Calibri" w:cstheme="minorHAnsi"/>
        </w:rPr>
        <w:t>Studies showed minimal, inverse or in fact no relationship between academic achievement and job performance (</w:t>
      </w:r>
      <w:proofErr w:type="spellStart"/>
      <w:r w:rsidRPr="00160DC8">
        <w:rPr>
          <w:rFonts w:eastAsia="Calibri" w:cstheme="minorHAnsi"/>
        </w:rPr>
        <w:t>Vodicka</w:t>
      </w:r>
      <w:proofErr w:type="spellEnd"/>
      <w:r w:rsidRPr="00160DC8">
        <w:rPr>
          <w:rFonts w:eastAsia="Calibri" w:cstheme="minorHAnsi"/>
        </w:rPr>
        <w:t xml:space="preserve">, 1993). Yet, accreditation by higher education attributed to better communication skills and openness to change (Vespucci, 2020). Additionally, </w:t>
      </w:r>
      <w:proofErr w:type="spellStart"/>
      <w:r w:rsidRPr="00160DC8">
        <w:rPr>
          <w:rFonts w:eastAsia="Calibri" w:cstheme="minorHAnsi"/>
        </w:rPr>
        <w:t>Shernock</w:t>
      </w:r>
      <w:proofErr w:type="spellEnd"/>
      <w:r w:rsidRPr="00160DC8">
        <w:rPr>
          <w:rFonts w:eastAsia="Calibri" w:cstheme="minorHAnsi"/>
        </w:rPr>
        <w:t xml:space="preserve"> (1992) found that of officers with a higher education level placed greater regard on ethical conduct. This is prudent given that of many assumed characteristics of police culture, ‘solidarity’ and ‘loyalty’ between officers </w:t>
      </w:r>
      <w:r w:rsidRPr="00160DC8">
        <w:rPr>
          <w:rFonts w:eastAsia="Calibri" w:cstheme="minorHAnsi"/>
        </w:rPr>
        <w:lastRenderedPageBreak/>
        <w:t xml:space="preserve">is cited as being one of the most powerful (Brough, </w:t>
      </w:r>
      <w:proofErr w:type="spellStart"/>
      <w:r w:rsidRPr="00160DC8">
        <w:rPr>
          <w:rFonts w:eastAsia="Calibri" w:cstheme="minorHAnsi"/>
        </w:rPr>
        <w:t>Chataway</w:t>
      </w:r>
      <w:proofErr w:type="spellEnd"/>
      <w:r w:rsidRPr="00160DC8">
        <w:rPr>
          <w:rFonts w:eastAsia="Calibri" w:cstheme="minorHAnsi"/>
        </w:rPr>
        <w:t xml:space="preserve"> and Biggs, 2016). Whilst important in the context of the potentially dangerous situations officers are often faced with, it also relates to the ‘blue wall of silence’ wherein a colleague may be relied on in instances where their integrity is called into question.  </w:t>
      </w:r>
    </w:p>
    <w:p w14:paraId="6C3CA591" w14:textId="77777777" w:rsidR="00160DC8" w:rsidRPr="00160DC8" w:rsidRDefault="00160DC8" w:rsidP="00160DC8">
      <w:pPr>
        <w:spacing w:line="360" w:lineRule="auto"/>
        <w:jc w:val="both"/>
        <w:rPr>
          <w:rFonts w:eastAsia="Calibri" w:cstheme="minorHAnsi"/>
        </w:rPr>
      </w:pPr>
      <w:r w:rsidRPr="00160DC8">
        <w:rPr>
          <w:rFonts w:eastAsia="Calibri" w:cstheme="minorHAnsi"/>
        </w:rPr>
        <w:t>Consequently, a professionalised workforce with a higher level of education could in return elicit a workforce with greater regard for ethical conduct and the creation of the Code of Ethics would further ensure accountability.</w:t>
      </w:r>
    </w:p>
    <w:p w14:paraId="6DA8A595" w14:textId="77777777" w:rsidR="00160DC8" w:rsidRPr="00160DC8" w:rsidRDefault="00160DC8" w:rsidP="00160DC8">
      <w:pPr>
        <w:spacing w:line="360" w:lineRule="auto"/>
        <w:jc w:val="both"/>
        <w:rPr>
          <w:rFonts w:eastAsia="Calibri" w:cstheme="minorHAnsi"/>
        </w:rPr>
      </w:pPr>
    </w:p>
    <w:p w14:paraId="79E53358"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However, when considering the impact of professionalisation on officer’s well-being it is can be argued that increased attenuation of stress </w:t>
      </w:r>
      <w:proofErr w:type="gramStart"/>
      <w:r w:rsidRPr="00160DC8">
        <w:rPr>
          <w:rFonts w:eastAsia="Calibri" w:cstheme="minorHAnsi"/>
        </w:rPr>
        <w:t>as a result of</w:t>
      </w:r>
      <w:proofErr w:type="gramEnd"/>
      <w:r w:rsidRPr="00160DC8">
        <w:rPr>
          <w:rFonts w:eastAsia="Calibri" w:cstheme="minorHAnsi"/>
        </w:rPr>
        <w:t xml:space="preserve"> the implementation of higher education accreditation can negatively affect student officers (</w:t>
      </w:r>
      <w:proofErr w:type="spellStart"/>
      <w:r w:rsidRPr="00160DC8">
        <w:rPr>
          <w:rFonts w:eastAsia="Calibri" w:cstheme="minorHAnsi"/>
        </w:rPr>
        <w:t>Robotham</w:t>
      </w:r>
      <w:proofErr w:type="spellEnd"/>
      <w:r w:rsidRPr="00160DC8">
        <w:rPr>
          <w:rFonts w:eastAsia="Calibri" w:cstheme="minorHAnsi"/>
        </w:rPr>
        <w:t>, 2008).</w:t>
      </w:r>
    </w:p>
    <w:p w14:paraId="68EFBEA9"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Research has shown that police officers who experience high levels of stress and trauma are at increased risk of developing mental health problems such as depression and anxiety (Edwards and </w:t>
      </w:r>
      <w:proofErr w:type="spellStart"/>
      <w:r w:rsidRPr="00160DC8">
        <w:rPr>
          <w:rFonts w:eastAsia="Calibri" w:cstheme="minorHAnsi"/>
        </w:rPr>
        <w:t>Kotera</w:t>
      </w:r>
      <w:proofErr w:type="spellEnd"/>
      <w:r w:rsidRPr="00160DC8">
        <w:rPr>
          <w:rFonts w:eastAsia="Calibri" w:cstheme="minorHAnsi"/>
        </w:rPr>
        <w:t xml:space="preserve">, 2020). Contributing factors include the high-pressure nature of policing and exposure to violence. It can therefore be argued that professionalisation can exacerbate these stressors increasing demand on officers and leading to greater risk of burnout.  </w:t>
      </w:r>
    </w:p>
    <w:p w14:paraId="507257CC" w14:textId="77777777" w:rsidR="00160DC8" w:rsidRPr="00160DC8" w:rsidRDefault="00160DC8" w:rsidP="00160DC8">
      <w:pPr>
        <w:spacing w:line="360" w:lineRule="auto"/>
        <w:jc w:val="both"/>
        <w:rPr>
          <w:rFonts w:eastAsia="Calibri" w:cstheme="minorHAnsi"/>
        </w:rPr>
      </w:pPr>
      <w:r w:rsidRPr="00160DC8">
        <w:rPr>
          <w:rFonts w:eastAsia="Calibri" w:cstheme="minorHAnsi"/>
        </w:rPr>
        <w:t xml:space="preserve">To promote police officer well-being and resilience in the context of professionalisation, it is important to provide comprehensive support and resources to help officers cope with the demands of the job (Cohen, McCormick, and Rich, 2019). It is also important to create a culture within the police that values mental health and well-being to mitigate against the potential demands of professionalisation. </w:t>
      </w:r>
    </w:p>
    <w:p w14:paraId="406502CF" w14:textId="7FBFB200" w:rsidR="00160DC8" w:rsidRPr="00160DC8" w:rsidRDefault="00160DC8" w:rsidP="00160DC8">
      <w:pPr>
        <w:spacing w:line="360" w:lineRule="auto"/>
        <w:jc w:val="both"/>
        <w:rPr>
          <w:rFonts w:cstheme="minorHAnsi"/>
          <w:b/>
          <w:bCs/>
        </w:rPr>
      </w:pPr>
      <w:r w:rsidRPr="00160DC8">
        <w:rPr>
          <w:rFonts w:cstheme="minorHAnsi"/>
          <w:b/>
          <w:bCs/>
        </w:rPr>
        <w:t>1065 words</w:t>
      </w:r>
    </w:p>
    <w:p w14:paraId="781CAAE0" w14:textId="7ED43D65" w:rsidR="00160DC8" w:rsidRPr="00160DC8" w:rsidRDefault="00160DC8" w:rsidP="00160DC8">
      <w:pPr>
        <w:spacing w:line="360" w:lineRule="auto"/>
        <w:jc w:val="both"/>
        <w:rPr>
          <w:rFonts w:cstheme="minorHAnsi"/>
          <w:b/>
          <w:bCs/>
        </w:rPr>
      </w:pPr>
    </w:p>
    <w:p w14:paraId="19DF50B9" w14:textId="77777777" w:rsidR="00160DC8" w:rsidRDefault="00160DC8" w:rsidP="00160DC8">
      <w:pPr>
        <w:spacing w:line="360" w:lineRule="auto"/>
        <w:ind w:right="531"/>
        <w:jc w:val="both"/>
        <w:rPr>
          <w:rFonts w:cstheme="minorHAnsi"/>
          <w:b/>
          <w:bCs/>
        </w:rPr>
      </w:pPr>
    </w:p>
    <w:p w14:paraId="2F444CCB" w14:textId="27287CD6" w:rsidR="00160DC8" w:rsidRPr="00160DC8" w:rsidRDefault="00160DC8" w:rsidP="00160DC8">
      <w:pPr>
        <w:spacing w:line="360" w:lineRule="auto"/>
        <w:ind w:right="531"/>
        <w:jc w:val="both"/>
        <w:rPr>
          <w:rFonts w:cstheme="minorHAnsi"/>
          <w:b/>
          <w:bCs/>
        </w:rPr>
      </w:pPr>
      <w:r w:rsidRPr="00160DC8">
        <w:rPr>
          <w:rFonts w:cstheme="minorHAnsi"/>
          <w:b/>
          <w:bCs/>
        </w:rPr>
        <w:t>Essay two:</w:t>
      </w:r>
      <w:r>
        <w:rPr>
          <w:rFonts w:cstheme="minorHAnsi"/>
          <w:b/>
          <w:bCs/>
        </w:rPr>
        <w:t xml:space="preserve"> </w:t>
      </w:r>
      <w:r w:rsidRPr="00160DC8">
        <w:rPr>
          <w:rFonts w:eastAsia="Calibri" w:cstheme="minorHAnsi"/>
          <w:b/>
          <w:bCs/>
        </w:rPr>
        <w:t>Digital policing</w:t>
      </w:r>
      <w:r w:rsidRPr="00160DC8">
        <w:rPr>
          <w:rFonts w:eastAsia="Calibri" w:cstheme="minorHAnsi"/>
        </w:rPr>
        <w:t xml:space="preserve"> </w:t>
      </w:r>
    </w:p>
    <w:p w14:paraId="39024CF3" w14:textId="77777777" w:rsidR="00160DC8" w:rsidRPr="00160DC8" w:rsidRDefault="00160DC8" w:rsidP="00160DC8">
      <w:pPr>
        <w:spacing w:line="360" w:lineRule="auto"/>
        <w:jc w:val="both"/>
        <w:rPr>
          <w:rFonts w:cstheme="minorHAnsi"/>
        </w:rPr>
      </w:pPr>
      <w:r w:rsidRPr="00160DC8">
        <w:rPr>
          <w:rFonts w:cstheme="minorHAnsi"/>
        </w:rPr>
        <w:t xml:space="preserve">The advancement of digital technology means that there are now very few aspects of our lives both in society and economy that are untouched or uninfluenced by such technologies. </w:t>
      </w:r>
    </w:p>
    <w:p w14:paraId="284ED46E" w14:textId="77777777" w:rsidR="00160DC8" w:rsidRPr="00160DC8" w:rsidRDefault="00160DC8" w:rsidP="00160DC8">
      <w:pPr>
        <w:spacing w:line="360" w:lineRule="auto"/>
        <w:jc w:val="both"/>
        <w:rPr>
          <w:rFonts w:cstheme="minorHAnsi"/>
        </w:rPr>
      </w:pPr>
      <w:r w:rsidRPr="00160DC8">
        <w:rPr>
          <w:rFonts w:cstheme="minorHAnsi"/>
        </w:rPr>
        <w:t xml:space="preserve">The majority or businesses including critical sectors such as health, transport, energy, agriculture, and finance have grown to be somewhat reliant on digital technologies and the use of the internet to function. Socially the internet provides a large platform for connecting with others. </w:t>
      </w:r>
    </w:p>
    <w:p w14:paraId="733844BE" w14:textId="77777777" w:rsidR="00160DC8" w:rsidRPr="00160DC8" w:rsidRDefault="00160DC8" w:rsidP="00160DC8">
      <w:pPr>
        <w:spacing w:line="360" w:lineRule="auto"/>
        <w:jc w:val="both"/>
        <w:rPr>
          <w:rFonts w:cstheme="minorHAnsi"/>
        </w:rPr>
      </w:pPr>
      <w:r w:rsidRPr="00160DC8">
        <w:rPr>
          <w:rFonts w:cstheme="minorHAnsi"/>
        </w:rPr>
        <w:lastRenderedPageBreak/>
        <w:t>It is estimated that 67.9% of the global population now has access to the internet and a further 86.34% own a smartphone, 35% increase from 2016 (</w:t>
      </w:r>
      <w:proofErr w:type="spellStart"/>
      <w:r w:rsidRPr="00160DC8">
        <w:rPr>
          <w:rFonts w:cstheme="minorHAnsi"/>
        </w:rPr>
        <w:t>GFk</w:t>
      </w:r>
      <w:proofErr w:type="spellEnd"/>
      <w:r w:rsidRPr="00160DC8">
        <w:rPr>
          <w:rFonts w:cstheme="minorHAnsi"/>
        </w:rPr>
        <w:t xml:space="preserve">, 2022). </w:t>
      </w:r>
    </w:p>
    <w:p w14:paraId="50B2237C" w14:textId="77777777" w:rsidR="00160DC8" w:rsidRPr="00160DC8" w:rsidRDefault="00160DC8" w:rsidP="00160DC8">
      <w:pPr>
        <w:spacing w:line="360" w:lineRule="auto"/>
        <w:jc w:val="both"/>
        <w:rPr>
          <w:rFonts w:cstheme="minorHAnsi"/>
        </w:rPr>
      </w:pPr>
      <w:r w:rsidRPr="00160DC8">
        <w:rPr>
          <w:rFonts w:cstheme="minorHAnsi"/>
        </w:rPr>
        <w:t xml:space="preserve">Although this digital transformation is indeed impressive it is not without problem and has facilitated a new era of criminals and types of crime. Such crimes can include cyber fraud, hacking, identity theft, cyber bullying, and cyber terrorism, amongst others. The increased uptake in social media for instance has created an easily interactable and accessible pool of victims for offenders (Curtis and </w:t>
      </w:r>
      <w:proofErr w:type="spellStart"/>
      <w:r w:rsidRPr="00160DC8">
        <w:rPr>
          <w:rFonts w:cstheme="minorHAnsi"/>
        </w:rPr>
        <w:t>Oxburgh</w:t>
      </w:r>
      <w:proofErr w:type="spellEnd"/>
      <w:r w:rsidRPr="00160DC8">
        <w:rPr>
          <w:rFonts w:cstheme="minorHAnsi"/>
        </w:rPr>
        <w:t xml:space="preserve">, 2022). </w:t>
      </w:r>
    </w:p>
    <w:p w14:paraId="5D082CA1" w14:textId="77777777" w:rsidR="00160DC8" w:rsidRPr="00160DC8" w:rsidRDefault="00160DC8" w:rsidP="00160DC8">
      <w:pPr>
        <w:spacing w:line="360" w:lineRule="auto"/>
        <w:jc w:val="both"/>
        <w:rPr>
          <w:rFonts w:cstheme="minorHAnsi"/>
        </w:rPr>
      </w:pPr>
      <w:r w:rsidRPr="00160DC8">
        <w:rPr>
          <w:rFonts w:cstheme="minorHAnsi"/>
        </w:rPr>
        <w:t xml:space="preserve">A complex internet crime is a type of cybercrime that involves the use of sophisticated techniques tools and digital technologies, making them difficult to investigate and subsequently prosecute (Curtis and </w:t>
      </w:r>
      <w:proofErr w:type="spellStart"/>
      <w:r w:rsidRPr="00160DC8">
        <w:rPr>
          <w:rFonts w:cstheme="minorHAnsi"/>
        </w:rPr>
        <w:t>Oxburgh</w:t>
      </w:r>
      <w:proofErr w:type="spellEnd"/>
      <w:r w:rsidRPr="00160DC8">
        <w:rPr>
          <w:rFonts w:cstheme="minorHAnsi"/>
        </w:rPr>
        <w:t>, 2022). It typically targets high value assets, such as financial systems, government or corporate networks and critical infrastructure, and often involves multiple stages, large groups of coordinated participant’s and varying motives.</w:t>
      </w:r>
    </w:p>
    <w:p w14:paraId="1DA4FB80" w14:textId="77777777" w:rsidR="00160DC8" w:rsidRPr="00160DC8" w:rsidRDefault="00160DC8" w:rsidP="00160DC8">
      <w:pPr>
        <w:spacing w:line="360" w:lineRule="auto"/>
        <w:jc w:val="both"/>
        <w:rPr>
          <w:rFonts w:cstheme="minorHAnsi"/>
        </w:rPr>
      </w:pPr>
      <w:r w:rsidRPr="00160DC8">
        <w:rPr>
          <w:rFonts w:cstheme="minorHAnsi"/>
        </w:rPr>
        <w:t>The police have responsibility to investigate online crime, just as they would investigate any other type of crime.</w:t>
      </w:r>
    </w:p>
    <w:p w14:paraId="5D511D43" w14:textId="77777777" w:rsidR="00160DC8" w:rsidRPr="00160DC8" w:rsidRDefault="00160DC8" w:rsidP="00160DC8">
      <w:pPr>
        <w:spacing w:line="360" w:lineRule="auto"/>
        <w:jc w:val="both"/>
        <w:rPr>
          <w:rFonts w:cstheme="minorHAnsi"/>
        </w:rPr>
      </w:pPr>
      <w:r w:rsidRPr="00160DC8">
        <w:rPr>
          <w:rFonts w:cstheme="minorHAnsi"/>
        </w:rPr>
        <w:t xml:space="preserve">Consequently, it is important the police are equipped to deal with evolving nature of criminality. In the National Digital Policing Strategy 2030 the National Police Chief’s Council (NPCC) and Association of Police and Crime commissioner (APCC) outline their plan in response to this digital expansion. Including </w:t>
      </w:r>
    </w:p>
    <w:p w14:paraId="0BDC8349" w14:textId="77777777" w:rsidR="00160DC8" w:rsidRPr="00160DC8" w:rsidRDefault="00160DC8" w:rsidP="00160DC8">
      <w:pPr>
        <w:spacing w:line="360" w:lineRule="auto"/>
        <w:jc w:val="both"/>
        <w:rPr>
          <w:rFonts w:cstheme="minorHAnsi"/>
        </w:rPr>
      </w:pPr>
      <w:r w:rsidRPr="00160DC8">
        <w:rPr>
          <w:rFonts w:cstheme="minorHAnsi"/>
        </w:rPr>
        <w:t xml:space="preserve">However, investigating internet crimes can be a challenging task, due to the nature of the internet, and the global reach of many of the crimes (Curtis and </w:t>
      </w:r>
      <w:proofErr w:type="spellStart"/>
      <w:r w:rsidRPr="00160DC8">
        <w:rPr>
          <w:rFonts w:cstheme="minorHAnsi"/>
        </w:rPr>
        <w:t>Oxburgh</w:t>
      </w:r>
      <w:proofErr w:type="spellEnd"/>
      <w:r w:rsidRPr="00160DC8">
        <w:rPr>
          <w:rFonts w:cstheme="minorHAnsi"/>
        </w:rPr>
        <w:t xml:space="preserve">, 2022). It is important the police work with other agencies along with the private sector to gather information and collaborate on investigations, equally it is important the police educate the public themselves on the risks of online crime to reduce the likelihood of them falling victim to online crime. Furthermore, victims of online crime often feel ashamed and embarrassed and encouraging reporting of online crime, can not only mean justice for those victims but also prevent criminals committing future crimes (Cross, et.al 2016). </w:t>
      </w:r>
    </w:p>
    <w:p w14:paraId="25A5493C" w14:textId="77777777" w:rsidR="00160DC8" w:rsidRPr="00160DC8" w:rsidRDefault="00160DC8" w:rsidP="00160DC8">
      <w:pPr>
        <w:spacing w:line="360" w:lineRule="auto"/>
        <w:jc w:val="both"/>
        <w:rPr>
          <w:rFonts w:cstheme="minorHAnsi"/>
        </w:rPr>
      </w:pPr>
      <w:r w:rsidRPr="00160DC8">
        <w:rPr>
          <w:rFonts w:cstheme="minorHAnsi"/>
        </w:rPr>
        <w:t xml:space="preserve">One of the main challenges is the ability of criminals to use technology to conceal their identity and location, making it difficult to identify suspect and gather evidence (Nurse and Bada, 2019). Detecting a crime has taken place is equally problematic, Traditional crimes often involve DNA evidence, traces are left, and these are often linked back to the criminal’s enabling prosecution. Digital Crimes however are complex, evidence is easily destroyed leaving little to no trace. The police employ several Digital forensic specialists who assist in extrapolating data and analysing it in real time (College of policing, 2022). </w:t>
      </w:r>
    </w:p>
    <w:p w14:paraId="50F741BC" w14:textId="77777777" w:rsidR="00160DC8" w:rsidRPr="00160DC8" w:rsidRDefault="00160DC8" w:rsidP="00160DC8">
      <w:pPr>
        <w:spacing w:line="360" w:lineRule="auto"/>
        <w:jc w:val="both"/>
        <w:rPr>
          <w:rFonts w:cstheme="minorHAnsi"/>
        </w:rPr>
      </w:pPr>
      <w:r w:rsidRPr="00160DC8">
        <w:rPr>
          <w:rFonts w:cstheme="minorHAnsi"/>
        </w:rPr>
        <w:lastRenderedPageBreak/>
        <w:t xml:space="preserve">Another challenge is the size of a digital crime scene and the vast amount of data that must be analysed during an investigation. This can include information from multiple sources such as social media, email, and cloud storage, as well as data from various devices such as computers, smartphones, and servers. Again, sifting through this data can be time-consuming and requires specialist skills and resource to both retrieve and preserve its integrity as evidence for a court to prevent inadmissibility (Clough, 2012). </w:t>
      </w:r>
    </w:p>
    <w:p w14:paraId="38A1B951" w14:textId="77777777" w:rsidR="00160DC8" w:rsidRPr="00160DC8" w:rsidRDefault="00160DC8" w:rsidP="00160DC8">
      <w:pPr>
        <w:spacing w:line="360" w:lineRule="auto"/>
        <w:jc w:val="both"/>
        <w:rPr>
          <w:rFonts w:cstheme="minorHAnsi"/>
        </w:rPr>
      </w:pPr>
      <w:r w:rsidRPr="00160DC8">
        <w:rPr>
          <w:rFonts w:cstheme="minorHAnsi"/>
        </w:rPr>
        <w:t>What’s more, is the borderless nature of online crime means unlike traditional crime there is often no local victim, local offender and local police force, criminals can operate from all over the world from anywhere with an internet connection and victims may be in another country all together (</w:t>
      </w:r>
      <w:proofErr w:type="spellStart"/>
      <w:r w:rsidRPr="00160DC8">
        <w:rPr>
          <w:rFonts w:cstheme="minorHAnsi"/>
        </w:rPr>
        <w:t>Sarre</w:t>
      </w:r>
      <w:proofErr w:type="spellEnd"/>
      <w:r w:rsidRPr="00160DC8">
        <w:rPr>
          <w:rFonts w:cstheme="minorHAnsi"/>
        </w:rPr>
        <w:t xml:space="preserve">, Lau and Chang, 2018).   Investigating internet crime, therefore, often involves international cooperation and coordination, as criminals may operate across multiple countries and jurisdictions. This can be complicated owing to the differences in legal systems and data protection laws between countries. </w:t>
      </w:r>
    </w:p>
    <w:p w14:paraId="2F4F211C" w14:textId="77777777" w:rsidR="00160DC8" w:rsidRPr="00160DC8" w:rsidRDefault="00160DC8" w:rsidP="00160DC8">
      <w:pPr>
        <w:spacing w:line="360" w:lineRule="auto"/>
        <w:jc w:val="both"/>
        <w:rPr>
          <w:rFonts w:cstheme="minorHAnsi"/>
        </w:rPr>
      </w:pPr>
      <w:r w:rsidRPr="00160DC8">
        <w:rPr>
          <w:rFonts w:cstheme="minorHAnsi"/>
        </w:rPr>
        <w:t xml:space="preserve">With the internet being a global network, the police must work with their international counterparts to tackle cross-border internet crimes. The formation of bodies such as European Union Agency for Criminal Justice Cooperation can assist in facilitating cross-border cooperation, they </w:t>
      </w:r>
      <w:r w:rsidRPr="00160DC8">
        <w:rPr>
          <w:rFonts w:cstheme="minorHAnsi"/>
          <w:color w:val="032025"/>
          <w:shd w:val="clear" w:color="auto" w:fill="F8F8F8"/>
        </w:rPr>
        <w:t>support national authorities to work together and to make use of available cross-border investigative tools and host the European Judicial Cybercrime Network at the Agency’s premises in The Hague (Eurojust, 2021).</w:t>
      </w:r>
    </w:p>
    <w:p w14:paraId="09B5E9FF" w14:textId="77777777" w:rsidR="00160DC8" w:rsidRPr="00160DC8" w:rsidRDefault="00160DC8" w:rsidP="00160DC8">
      <w:pPr>
        <w:spacing w:line="360" w:lineRule="auto"/>
        <w:jc w:val="both"/>
        <w:rPr>
          <w:rFonts w:cstheme="minorHAnsi"/>
        </w:rPr>
      </w:pPr>
      <w:r w:rsidRPr="00160DC8">
        <w:rPr>
          <w:rFonts w:cstheme="minorHAnsi"/>
        </w:rPr>
        <w:t xml:space="preserve">However, advances in technology have also provided new tools and techniques for investigating internet crimes (Wall, 2007). For example, data analytics and machine learning can help to quickly identify patterns and connections in large amounts of data, and digital forensics can provide valuable evidence from digital devices. This coupled with the development of specialised units and specially trained officers can help to improve the police response to internet crime as well as taking the demand off front line staff who simply do not have the correct training to investigate such crimes. </w:t>
      </w:r>
    </w:p>
    <w:p w14:paraId="22DE7F4E" w14:textId="77777777" w:rsidR="00160DC8" w:rsidRPr="00160DC8" w:rsidRDefault="00160DC8" w:rsidP="00160DC8">
      <w:pPr>
        <w:spacing w:line="360" w:lineRule="auto"/>
        <w:jc w:val="both"/>
        <w:rPr>
          <w:rFonts w:cstheme="minorHAnsi"/>
        </w:rPr>
      </w:pPr>
      <w:r w:rsidRPr="00160DC8">
        <w:rPr>
          <w:rFonts w:cstheme="minorHAnsi"/>
        </w:rPr>
        <w:t xml:space="preserve">Specialised units include, Action Fraud, an online team dedicated solely to the response to online Fraud and online crime, as well as digital forensics who assist in investigating more complex online crime (Action Fraud, 2019). </w:t>
      </w:r>
    </w:p>
    <w:p w14:paraId="4CC6987F" w14:textId="77777777" w:rsidR="00160DC8" w:rsidRPr="00160DC8" w:rsidRDefault="00160DC8" w:rsidP="00160DC8">
      <w:pPr>
        <w:spacing w:line="360" w:lineRule="auto"/>
        <w:jc w:val="both"/>
        <w:rPr>
          <w:rFonts w:cstheme="minorHAnsi"/>
        </w:rPr>
      </w:pPr>
      <w:r w:rsidRPr="00160DC8">
        <w:rPr>
          <w:rFonts w:cstheme="minorHAnsi"/>
        </w:rPr>
        <w:t xml:space="preserve">However, the development of new technologies and establishment and training of specialised officers is both expensive and resource intensive, it requires significant support in terms of budget and manpower (Curtis and </w:t>
      </w:r>
      <w:proofErr w:type="spellStart"/>
      <w:r w:rsidRPr="00160DC8">
        <w:rPr>
          <w:rFonts w:cstheme="minorHAnsi"/>
        </w:rPr>
        <w:t>Oxburgh</w:t>
      </w:r>
      <w:proofErr w:type="spellEnd"/>
      <w:r w:rsidRPr="00160DC8">
        <w:rPr>
          <w:rFonts w:cstheme="minorHAnsi"/>
        </w:rPr>
        <w:t xml:space="preserve">, 2022). </w:t>
      </w:r>
    </w:p>
    <w:p w14:paraId="79D50CB6" w14:textId="77777777" w:rsidR="00160DC8" w:rsidRPr="00160DC8" w:rsidRDefault="00160DC8" w:rsidP="00160DC8">
      <w:pPr>
        <w:spacing w:line="360" w:lineRule="auto"/>
        <w:jc w:val="both"/>
        <w:rPr>
          <w:rFonts w:cstheme="minorHAnsi"/>
        </w:rPr>
      </w:pPr>
    </w:p>
    <w:p w14:paraId="7D559461" w14:textId="77777777" w:rsidR="00160DC8" w:rsidRPr="00160DC8" w:rsidRDefault="00160DC8" w:rsidP="00160DC8">
      <w:pPr>
        <w:spacing w:line="360" w:lineRule="auto"/>
        <w:jc w:val="both"/>
        <w:rPr>
          <w:rFonts w:cstheme="minorHAnsi"/>
        </w:rPr>
      </w:pPr>
      <w:r w:rsidRPr="00160DC8">
        <w:rPr>
          <w:rFonts w:cstheme="minorHAnsi"/>
        </w:rPr>
        <w:t xml:space="preserve">The Police must evolve and take a proactive approach to internet crime by identifying and targeting criminal network before they have a chance to cause harm through continuous intelligence gathering, </w:t>
      </w:r>
      <w:r w:rsidRPr="00160DC8">
        <w:rPr>
          <w:rFonts w:cstheme="minorHAnsi"/>
        </w:rPr>
        <w:lastRenderedPageBreak/>
        <w:t xml:space="preserve">as well as engaging with those most at risk of becoming victims of online crime. Campaigns such as Interpol’s “You may be next” campaign looked to educate the public on the risks of online crime (Interpol, 2020). </w:t>
      </w:r>
    </w:p>
    <w:p w14:paraId="572A4D97" w14:textId="77777777" w:rsidR="00160DC8" w:rsidRPr="00160DC8" w:rsidRDefault="00160DC8" w:rsidP="00160DC8">
      <w:pPr>
        <w:spacing w:line="360" w:lineRule="auto"/>
        <w:jc w:val="both"/>
        <w:rPr>
          <w:rFonts w:cstheme="minorHAnsi"/>
        </w:rPr>
      </w:pPr>
      <w:r w:rsidRPr="00160DC8">
        <w:rPr>
          <w:rFonts w:cstheme="minorHAnsi"/>
        </w:rPr>
        <w:t>In 2019 a report was commissioned by her majesty’s inspectorate constabulary that sought to evaluate the response by different police forces across the United Kingdom to cyber-crime, highlighted a stark need for improvement (HMICFRS, 2019).</w:t>
      </w:r>
    </w:p>
    <w:p w14:paraId="0CEF798B" w14:textId="77777777" w:rsidR="00160DC8" w:rsidRPr="00160DC8" w:rsidRDefault="00160DC8" w:rsidP="00160DC8">
      <w:pPr>
        <w:spacing w:line="360" w:lineRule="auto"/>
        <w:jc w:val="both"/>
        <w:rPr>
          <w:rFonts w:cstheme="minorHAnsi"/>
        </w:rPr>
      </w:pPr>
      <w:r w:rsidRPr="00160DC8">
        <w:rPr>
          <w:rFonts w:cstheme="minorHAnsi"/>
        </w:rPr>
        <w:t>What is clear is that to effectively respond to the challenges associated with modernisation and digital expansion working together with the public, our government the private sector and our international counterparts is critical if we are to be effective in preventing and tackling internet crime (</w:t>
      </w:r>
      <w:proofErr w:type="spellStart"/>
      <w:r w:rsidRPr="00160DC8">
        <w:rPr>
          <w:rFonts w:cstheme="minorHAnsi"/>
        </w:rPr>
        <w:t>Sarre</w:t>
      </w:r>
      <w:proofErr w:type="spellEnd"/>
      <w:r w:rsidRPr="00160DC8">
        <w:rPr>
          <w:rFonts w:cstheme="minorHAnsi"/>
        </w:rPr>
        <w:t xml:space="preserve">, Lau and Chang, 2018). </w:t>
      </w:r>
    </w:p>
    <w:p w14:paraId="3AA60196" w14:textId="5C50894E" w:rsidR="00160DC8" w:rsidRPr="00160DC8" w:rsidRDefault="00160DC8" w:rsidP="00160DC8">
      <w:pPr>
        <w:spacing w:line="360" w:lineRule="auto"/>
        <w:jc w:val="both"/>
        <w:rPr>
          <w:rFonts w:cstheme="minorHAnsi"/>
          <w:b/>
          <w:bCs/>
        </w:rPr>
      </w:pPr>
      <w:r w:rsidRPr="00160DC8">
        <w:rPr>
          <w:rFonts w:cstheme="minorHAnsi"/>
          <w:b/>
          <w:bCs/>
        </w:rPr>
        <w:t>1051 words</w:t>
      </w:r>
    </w:p>
    <w:p w14:paraId="18B04EA7" w14:textId="3EC623ED" w:rsidR="00160DC8" w:rsidRPr="00160DC8" w:rsidRDefault="00160DC8" w:rsidP="00160DC8">
      <w:pPr>
        <w:spacing w:line="360" w:lineRule="auto"/>
        <w:jc w:val="both"/>
        <w:rPr>
          <w:rFonts w:cstheme="minorHAnsi"/>
          <w:b/>
          <w:bCs/>
        </w:rPr>
      </w:pPr>
    </w:p>
    <w:p w14:paraId="515D8604" w14:textId="77777777" w:rsidR="00160DC8" w:rsidRPr="00160DC8" w:rsidRDefault="00160DC8" w:rsidP="00160DC8">
      <w:pPr>
        <w:spacing w:line="360" w:lineRule="auto"/>
        <w:ind w:right="531"/>
        <w:jc w:val="both"/>
        <w:rPr>
          <w:rFonts w:cstheme="minorHAnsi"/>
          <w:b/>
          <w:bCs/>
        </w:rPr>
      </w:pPr>
      <w:r w:rsidRPr="00160DC8">
        <w:rPr>
          <w:rFonts w:cstheme="minorHAnsi"/>
          <w:b/>
          <w:bCs/>
        </w:rPr>
        <w:t xml:space="preserve">Essay four: </w:t>
      </w:r>
    </w:p>
    <w:p w14:paraId="0BEB24E4"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u w:val="single"/>
        </w:rPr>
        <w:t>Critically evaluate</w:t>
      </w:r>
      <w:r w:rsidRPr="00160DC8">
        <w:rPr>
          <w:rFonts w:eastAsia="Calibri" w:cstheme="minorHAnsi"/>
        </w:rPr>
        <w:t xml:space="preserve"> the effectiveness of crime prevention strategies in relation to Serious and Organised Crime.</w:t>
      </w:r>
    </w:p>
    <w:p w14:paraId="0778FD4A"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lang w:eastAsia="en-GB"/>
        </w:rPr>
        <w:t>SOC is defined in the 2018 Serious and Organised Crime strategy as “individuals planning and coordinating and committing serious offences, whether individually, in groups and/or as part of transnational networks</w:t>
      </w:r>
      <w:r w:rsidRPr="00160DC8">
        <w:rPr>
          <w:rFonts w:eastAsia="Times New Roman" w:cstheme="minorHAnsi"/>
          <w:color w:val="111111"/>
          <w:shd w:val="clear" w:color="auto" w:fill="FFFFFF"/>
          <w:lang w:eastAsia="en-GB"/>
        </w:rPr>
        <w:t xml:space="preserve">” (Home Office, 2018).  These serious offences include but are not limited to, child sexual exploitation and abuse, modern slavery and human trafficking, immigration crime, illegal drugs and firearms, cybercrime, fraud, and money laundering.   </w:t>
      </w:r>
    </w:p>
    <w:p w14:paraId="4799BB3A"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6FB07483"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 xml:space="preserve">SOC is often facilitated by Organised Crime Groups (OCGs.) The motivation for this criminality is usually centred around the acquisition of money, profit, influence, and power, and those involved often use high levels of violence and intimidation to protect such assets. Serious and Organised Crime is estimated to cost the UK at least £37 Billion a year although owing to the secrecy surrounding these types of crimes these figures are likely to be higher (NCA, 2020). The impacts of SOC are not solely economic and there are far reaching implications both for the vulnerable victims often exploited but also the wider communities who suffer as a result. </w:t>
      </w:r>
    </w:p>
    <w:p w14:paraId="5F72BAA0"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4F6E81D6"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Although it is recognised that the impact of SOC for the UK is far greater than any other national security threat, it is not limited to the UK and</w:t>
      </w:r>
      <w:r w:rsidRPr="00160DC8">
        <w:rPr>
          <w:rFonts w:eastAsia="Times New Roman" w:cstheme="minorHAnsi"/>
          <w:lang w:eastAsia="en-GB"/>
        </w:rPr>
        <w:t xml:space="preserve"> </w:t>
      </w:r>
      <w:r w:rsidRPr="00160DC8">
        <w:rPr>
          <w:rFonts w:eastAsia="Times New Roman" w:cstheme="minorHAnsi"/>
          <w:color w:val="111111"/>
          <w:shd w:val="clear" w:color="auto" w:fill="FFFFFF"/>
          <w:lang w:eastAsia="en-GB"/>
        </w:rPr>
        <w:t xml:space="preserve">is continually evolving in both complexity and volume </w:t>
      </w:r>
      <w:r w:rsidRPr="00160DC8">
        <w:rPr>
          <w:rFonts w:eastAsia="Times New Roman" w:cstheme="minorHAnsi"/>
          <w:color w:val="111111"/>
          <w:shd w:val="clear" w:color="auto" w:fill="FFFFFF"/>
          <w:lang w:eastAsia="en-GB"/>
        </w:rPr>
        <w:lastRenderedPageBreak/>
        <w:t xml:space="preserve">posing a significant challenge to the police and other law enforcement agencies not just within the UK but worldwide (NCA, 2020). Those responsible pay no regard to national borders or national interests. </w:t>
      </w:r>
    </w:p>
    <w:p w14:paraId="5D77D64B"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5964D622"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 xml:space="preserve">The responsibility for tackling SOC is so vast that it is accepted that not one single body has sole ownership for its prevention and resourcing, instead a collaborative and coordinated response by several agencies is required to tackle it. Within that, it is fundamental that there is effective sharing of information and intelligence. These agencies include several government departments, law enforcement bodies and agencies including the police and National Crime Agency (NCA) as well as other partnering organisations. Although there has been significant headway since 2013, with the introduction of various legislation introduced there remains much more to be done. </w:t>
      </w:r>
    </w:p>
    <w:p w14:paraId="0C77BCDB"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6894E39D"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Crime prevention strategies surrounding serious and organised crime are centred around the following objectives outlined in the Home Office 2013 Serious and Organised crime strategy; Pursue, prepare, protect, and prevent (Home Office, 2013).</w:t>
      </w:r>
    </w:p>
    <w:p w14:paraId="32ECF7DF"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47EDE6D3"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 xml:space="preserve">‘Pursue’ relates to targeted action against those involved in SOC through prosecution and disruption of their criminal activities. </w:t>
      </w:r>
    </w:p>
    <w:p w14:paraId="0CBD0B11"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4B5E398E"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 xml:space="preserve">‘Prepare’ reflects the establishment of defence strategies to mitigate against the effect of SOC. This works in tandem with ‘protect’ which implies ensuring the safety of individuals, communities and organisations affected. </w:t>
      </w:r>
    </w:p>
    <w:p w14:paraId="78D2E721"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4DF9E86E"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 xml:space="preserve">Lastly ‘Prevent’, this encapsulates the root source of SOC and the need to stop further individuals from engaging in SOC. </w:t>
      </w:r>
    </w:p>
    <w:p w14:paraId="07569F27"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212450D2"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 xml:space="preserve">The college of policing identifies these strategies as being of a problem-solving approach, which ultimately looks to address the root cause of SOC enabling an effective long terms response as a pose to short term measures. </w:t>
      </w:r>
    </w:p>
    <w:p w14:paraId="093D3DDE"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0D7B1C42"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t xml:space="preserve">The first objective focuses largely on the disruption of SOC and prosecution of those involved. This has meant the introduction of more robust legislation that makes it harder for those involved to get away with committing crimes, including but not limited to participation offences, new child sexual exploitation and computer misuse offences (CPS, 2019). </w:t>
      </w:r>
    </w:p>
    <w:p w14:paraId="46F7C2B4"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29F54C1B"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r w:rsidRPr="00160DC8">
        <w:rPr>
          <w:rFonts w:eastAsia="Times New Roman" w:cstheme="minorHAnsi"/>
          <w:color w:val="111111"/>
          <w:shd w:val="clear" w:color="auto" w:fill="FFFFFF"/>
          <w:lang w:eastAsia="en-GB"/>
        </w:rPr>
        <w:lastRenderedPageBreak/>
        <w:t xml:space="preserve">Further powers, tools, interventions, and disposal measures available to involved agencies are outlined in the College of Policing’s ‘menu of tactics’ which focuses on 6 key areas of disruption: Business, Travel, Behaviour, Vehicle and Lifestyle. It highlights the sheer enormity at which SOC impacts and the need for a wide-reaching coordinated response to deter its offenders. </w:t>
      </w:r>
    </w:p>
    <w:p w14:paraId="4275840C" w14:textId="77777777" w:rsidR="00160DC8" w:rsidRPr="00160DC8" w:rsidRDefault="00160DC8" w:rsidP="00160DC8">
      <w:pPr>
        <w:spacing w:after="0" w:line="360" w:lineRule="auto"/>
        <w:jc w:val="both"/>
        <w:rPr>
          <w:rFonts w:eastAsia="Times New Roman" w:cstheme="minorHAnsi"/>
          <w:color w:val="111111"/>
          <w:shd w:val="clear" w:color="auto" w:fill="FFFFFF"/>
          <w:lang w:eastAsia="en-GB"/>
        </w:rPr>
      </w:pPr>
    </w:p>
    <w:p w14:paraId="31578AD7" w14:textId="77777777" w:rsidR="00160DC8" w:rsidRPr="00160DC8" w:rsidRDefault="00160DC8" w:rsidP="00160DC8">
      <w:pPr>
        <w:spacing w:after="0" w:line="360" w:lineRule="auto"/>
        <w:jc w:val="both"/>
        <w:rPr>
          <w:rFonts w:eastAsia="Times New Roman" w:cstheme="minorHAnsi"/>
          <w:lang w:eastAsia="en-GB"/>
        </w:rPr>
      </w:pPr>
      <w:r w:rsidRPr="00160DC8">
        <w:rPr>
          <w:rFonts w:eastAsia="Times New Roman" w:cstheme="minorHAnsi"/>
          <w:lang w:eastAsia="en-GB"/>
        </w:rPr>
        <w:t xml:space="preserve">For example, the use of Automatic-number-plate-recognition (ANPR) is an effective tool in disrupting organised crime. SOC groups (OCGs) regularly utilise our extensive road network to facilitate crime, be it through the trafficking of people or county line drugs. Consequently, gathered intelligence on specific vehicles involved in SOC can be tracked and possibly stopped or can lead to further developing of intelligence as to the wider scope of SOC in the UK. </w:t>
      </w:r>
    </w:p>
    <w:p w14:paraId="067622B7" w14:textId="77777777" w:rsidR="00160DC8" w:rsidRPr="00160DC8" w:rsidRDefault="00160DC8" w:rsidP="00160DC8">
      <w:pPr>
        <w:spacing w:after="0" w:line="360" w:lineRule="auto"/>
        <w:jc w:val="both"/>
        <w:rPr>
          <w:rFonts w:eastAsia="Times New Roman" w:cstheme="minorHAnsi"/>
          <w:lang w:eastAsia="en-GB"/>
        </w:rPr>
      </w:pPr>
    </w:p>
    <w:p w14:paraId="7D1E7A54" w14:textId="77777777" w:rsidR="00160DC8" w:rsidRPr="00160DC8" w:rsidRDefault="00160DC8" w:rsidP="00160DC8">
      <w:pPr>
        <w:spacing w:after="0" w:line="360" w:lineRule="auto"/>
        <w:jc w:val="both"/>
        <w:rPr>
          <w:rFonts w:eastAsia="Times New Roman" w:cstheme="minorHAnsi"/>
          <w:lang w:eastAsia="en-GB"/>
        </w:rPr>
      </w:pPr>
      <w:r w:rsidRPr="00160DC8">
        <w:rPr>
          <w:rFonts w:eastAsia="Times New Roman" w:cstheme="minorHAnsi"/>
          <w:lang w:eastAsia="en-GB"/>
        </w:rPr>
        <w:t xml:space="preserve">To some extent the development of specialist divisions in response to the developing threat of SOC particularly in their online capabilities can be seen as an effective means of crime prevention (Home Office, 2018). For example, a significant increase in funding for cybercrime specialists increases the likelihood for successful prosecution for online offences where previously capability for investigation would be limited. Specialist units however are costly and often not developed, it is however vital as SOC continually modernises and grows in complexity (National Crime Agency, 2021). </w:t>
      </w:r>
    </w:p>
    <w:p w14:paraId="1547DD08" w14:textId="77777777" w:rsidR="00160DC8" w:rsidRPr="00160DC8" w:rsidRDefault="00160DC8" w:rsidP="00160DC8">
      <w:pPr>
        <w:spacing w:after="0" w:line="360" w:lineRule="auto"/>
        <w:jc w:val="both"/>
        <w:rPr>
          <w:rFonts w:eastAsia="Times New Roman" w:cstheme="minorHAnsi"/>
          <w:lang w:eastAsia="en-GB"/>
        </w:rPr>
      </w:pPr>
    </w:p>
    <w:p w14:paraId="00F740C5" w14:textId="77777777" w:rsidR="00160DC8" w:rsidRPr="00160DC8" w:rsidRDefault="00160DC8" w:rsidP="00160DC8">
      <w:pPr>
        <w:spacing w:after="0" w:line="360" w:lineRule="auto"/>
        <w:jc w:val="both"/>
        <w:rPr>
          <w:rFonts w:eastAsia="Times New Roman" w:cstheme="minorHAnsi"/>
          <w:lang w:eastAsia="en-GB"/>
        </w:rPr>
      </w:pPr>
      <w:r w:rsidRPr="00160DC8">
        <w:rPr>
          <w:rFonts w:eastAsia="Times New Roman" w:cstheme="minorHAnsi"/>
          <w:lang w:eastAsia="en-GB"/>
        </w:rPr>
        <w:t xml:space="preserve">When considering the two objectives ‘protect’ and ‘prepare’ crime prevention strategies in relation to SOC largely focus on communities and those at risk of being exploited as either a victim or future offender. </w:t>
      </w:r>
    </w:p>
    <w:p w14:paraId="287C7646" w14:textId="77777777" w:rsidR="00160DC8" w:rsidRPr="00160DC8" w:rsidRDefault="00160DC8" w:rsidP="00160DC8">
      <w:pPr>
        <w:spacing w:after="0" w:line="360" w:lineRule="auto"/>
        <w:jc w:val="both"/>
        <w:rPr>
          <w:rFonts w:eastAsia="Times New Roman" w:cstheme="minorHAnsi"/>
          <w:lang w:eastAsia="en-GB"/>
        </w:rPr>
      </w:pPr>
    </w:p>
    <w:p w14:paraId="49D21174" w14:textId="77777777" w:rsidR="00160DC8" w:rsidRPr="00160DC8" w:rsidRDefault="00160DC8" w:rsidP="00160DC8">
      <w:pPr>
        <w:spacing w:after="0" w:line="360" w:lineRule="auto"/>
        <w:jc w:val="both"/>
        <w:rPr>
          <w:rFonts w:eastAsia="Times New Roman" w:cstheme="minorHAnsi"/>
          <w:lang w:eastAsia="en-GB"/>
        </w:rPr>
      </w:pPr>
      <w:r w:rsidRPr="00160DC8">
        <w:rPr>
          <w:rFonts w:eastAsia="Times New Roman" w:cstheme="minorHAnsi"/>
          <w:lang w:eastAsia="en-GB"/>
        </w:rPr>
        <w:t xml:space="preserve">Traditional crime prevention approaches largely neglect a focus on the community as an effective means to prevent and tackle serious and organised crime (Levi and Maguire, 2004). Community policing focuses on the decentralisation of policing through building relationships with local communities to gain their trust and co-operation in not only identifying those involved in criminality but also enables identification and intervention for those at risk of being exploiting subsequently establishing subsequently safer communities (OSCE, 2014). </w:t>
      </w:r>
    </w:p>
    <w:p w14:paraId="1AF4730F" w14:textId="77777777" w:rsidR="00160DC8" w:rsidRPr="00160DC8" w:rsidRDefault="00160DC8" w:rsidP="00160DC8">
      <w:pPr>
        <w:spacing w:after="0" w:line="360" w:lineRule="auto"/>
        <w:jc w:val="both"/>
        <w:rPr>
          <w:rFonts w:eastAsia="Times New Roman" w:cstheme="minorHAnsi"/>
          <w:lang w:eastAsia="en-GB"/>
        </w:rPr>
      </w:pPr>
    </w:p>
    <w:p w14:paraId="2EEED56D" w14:textId="77777777" w:rsidR="00160DC8" w:rsidRPr="00160DC8" w:rsidRDefault="00160DC8" w:rsidP="00160DC8">
      <w:pPr>
        <w:spacing w:after="0" w:line="360" w:lineRule="auto"/>
        <w:jc w:val="both"/>
        <w:rPr>
          <w:rFonts w:eastAsia="Times New Roman" w:cstheme="minorHAnsi"/>
          <w:lang w:eastAsia="en-GB"/>
        </w:rPr>
      </w:pPr>
      <w:r w:rsidRPr="00160DC8">
        <w:rPr>
          <w:rFonts w:eastAsia="Times New Roman" w:cstheme="minorHAnsi"/>
          <w:lang w:eastAsia="en-GB"/>
        </w:rPr>
        <w:t>Reducing public tolerance towards crime by educating them on the risks and consequences of criminality can be effective in protecting them against the effects of organised crime (</w:t>
      </w:r>
      <w:proofErr w:type="spellStart"/>
      <w:r w:rsidRPr="00160DC8">
        <w:rPr>
          <w:rFonts w:eastAsia="Times New Roman" w:cstheme="minorHAnsi"/>
          <w:lang w:eastAsia="en-GB"/>
        </w:rPr>
        <w:t>Arisukwu</w:t>
      </w:r>
      <w:proofErr w:type="spellEnd"/>
      <w:r w:rsidRPr="00160DC8">
        <w:rPr>
          <w:rFonts w:eastAsia="Times New Roman" w:cstheme="minorHAnsi"/>
          <w:lang w:eastAsia="en-GB"/>
        </w:rPr>
        <w:t xml:space="preserve"> et al., 2020). This may be through increasing education and opportunities in vulnerable communities as well as building stronger links with those communities, equipping them with better attitudes and resources. However, it is resource and time costly, and success can be dependent on factors such as </w:t>
      </w:r>
      <w:r w:rsidRPr="00160DC8">
        <w:rPr>
          <w:rFonts w:eastAsia="Times New Roman" w:cstheme="minorHAnsi"/>
          <w:lang w:eastAsia="en-GB"/>
        </w:rPr>
        <w:lastRenderedPageBreak/>
        <w:t xml:space="preserve">socio-economic status, cultural normal and historical relationships with law enforcement (Crocker et al., 2017). Other means of increasing public awareness would be through organisation such as ‘Crimestoppers’ social media campaigns which aim to educate communities and individuals on the risks about Crime as well as educating them on the harmful impacts of drugs, knives, and firearms (NCA, 2021). </w:t>
      </w:r>
    </w:p>
    <w:p w14:paraId="1B7E7B4F" w14:textId="77777777" w:rsidR="00160DC8" w:rsidRPr="00160DC8" w:rsidRDefault="00160DC8" w:rsidP="00160DC8">
      <w:pPr>
        <w:spacing w:after="0" w:line="360" w:lineRule="auto"/>
        <w:jc w:val="both"/>
        <w:rPr>
          <w:rFonts w:eastAsia="Times New Roman" w:cstheme="minorHAnsi"/>
          <w:lang w:eastAsia="en-GB"/>
        </w:rPr>
      </w:pPr>
    </w:p>
    <w:p w14:paraId="5E4D4ED4" w14:textId="77777777" w:rsidR="00160DC8" w:rsidRPr="00160DC8" w:rsidRDefault="00160DC8" w:rsidP="00160DC8">
      <w:pPr>
        <w:spacing w:after="0" w:line="360" w:lineRule="auto"/>
        <w:jc w:val="both"/>
        <w:rPr>
          <w:rFonts w:eastAsia="Times New Roman" w:cstheme="minorHAnsi"/>
          <w:lang w:eastAsia="en-GB"/>
        </w:rPr>
      </w:pPr>
    </w:p>
    <w:p w14:paraId="56D5FFA5" w14:textId="77777777" w:rsidR="00160DC8" w:rsidRPr="00160DC8" w:rsidRDefault="00160DC8" w:rsidP="00160DC8">
      <w:pPr>
        <w:spacing w:after="0" w:line="360" w:lineRule="auto"/>
        <w:jc w:val="both"/>
        <w:rPr>
          <w:rFonts w:eastAsia="Times New Roman" w:cstheme="minorHAnsi"/>
          <w:lang w:eastAsia="en-GB"/>
        </w:rPr>
      </w:pPr>
      <w:r w:rsidRPr="00160DC8">
        <w:rPr>
          <w:rFonts w:eastAsia="Times New Roman" w:cstheme="minorHAnsi"/>
          <w:lang w:eastAsia="en-GB"/>
        </w:rPr>
        <w:t xml:space="preserve">When considering prevention as a crime prevention strategy we consider the future offenders. ‘Project engage’ funded by the home office was an initiative introduced in 2015 aiming to “prevent young people and vulnerable individuals from becoming involved in SOC, and to support those already involved in moving away from SOC” (Hurley and Boulton, 2021). The project would see information sharing across various partner agencies identifying vulnerable targets and formulating individualised action plans for each young person. In a review of the project, it was found there was a significant reduction in offending behaviour as well as further positive changes in participants attitude and behaviour (Boulton, </w:t>
      </w:r>
      <w:proofErr w:type="spellStart"/>
      <w:r w:rsidRPr="00160DC8">
        <w:rPr>
          <w:rFonts w:eastAsia="Times New Roman" w:cstheme="minorHAnsi"/>
          <w:lang w:eastAsia="en-GB"/>
        </w:rPr>
        <w:t>Phythian</w:t>
      </w:r>
      <w:proofErr w:type="spellEnd"/>
      <w:r w:rsidRPr="00160DC8">
        <w:rPr>
          <w:rFonts w:eastAsia="Times New Roman" w:cstheme="minorHAnsi"/>
          <w:lang w:eastAsia="en-GB"/>
        </w:rPr>
        <w:t xml:space="preserve"> and Kirby, 2019). Although further development on information sharing and collaboration between partnering agencies was highlighted. </w:t>
      </w:r>
    </w:p>
    <w:p w14:paraId="6ABD349B" w14:textId="77777777" w:rsidR="00160DC8" w:rsidRPr="00160DC8" w:rsidRDefault="00160DC8" w:rsidP="00160DC8">
      <w:pPr>
        <w:spacing w:after="0" w:line="360" w:lineRule="auto"/>
        <w:jc w:val="both"/>
        <w:rPr>
          <w:rFonts w:eastAsia="Times New Roman" w:cstheme="minorHAnsi"/>
          <w:lang w:eastAsia="en-GB"/>
        </w:rPr>
      </w:pPr>
    </w:p>
    <w:p w14:paraId="77980C13" w14:textId="0DF4A91F" w:rsidR="00160DC8" w:rsidRDefault="00160DC8" w:rsidP="00160DC8">
      <w:pPr>
        <w:spacing w:after="0" w:line="360" w:lineRule="auto"/>
        <w:jc w:val="both"/>
        <w:rPr>
          <w:rFonts w:eastAsia="Times New Roman" w:cstheme="minorHAnsi"/>
          <w:lang w:eastAsia="en-GB"/>
        </w:rPr>
      </w:pPr>
      <w:r w:rsidRPr="00160DC8">
        <w:rPr>
          <w:rFonts w:eastAsia="Times New Roman" w:cstheme="minorHAnsi"/>
          <w:lang w:eastAsia="en-GB"/>
        </w:rPr>
        <w:t xml:space="preserve">SOC continues to be a growing concern globally and without a large-scale collaborative approach there will be limited success in reducing its effect. This essay outlines some of the many crime prevention strategies available to tackle and reduce the prevalence of SOC in the UK. </w:t>
      </w:r>
    </w:p>
    <w:p w14:paraId="7E08C933" w14:textId="321B998C" w:rsidR="00160DC8" w:rsidRDefault="00160DC8" w:rsidP="00160DC8">
      <w:pPr>
        <w:spacing w:after="0" w:line="360" w:lineRule="auto"/>
        <w:jc w:val="both"/>
        <w:rPr>
          <w:rFonts w:eastAsia="Times New Roman" w:cstheme="minorHAnsi"/>
          <w:lang w:eastAsia="en-GB"/>
        </w:rPr>
      </w:pPr>
    </w:p>
    <w:p w14:paraId="67DE589D" w14:textId="62BE48DA" w:rsidR="00160DC8" w:rsidRPr="00160DC8" w:rsidRDefault="00160DC8" w:rsidP="00160DC8">
      <w:pPr>
        <w:spacing w:after="0" w:line="360" w:lineRule="auto"/>
        <w:jc w:val="both"/>
        <w:rPr>
          <w:rFonts w:eastAsia="Times New Roman" w:cstheme="minorHAnsi"/>
          <w:lang w:eastAsia="en-GB"/>
        </w:rPr>
      </w:pPr>
      <w:r>
        <w:rPr>
          <w:rFonts w:eastAsia="Times New Roman" w:cstheme="minorHAnsi"/>
          <w:lang w:eastAsia="en-GB"/>
        </w:rPr>
        <w:t>1151 words</w:t>
      </w:r>
    </w:p>
    <w:p w14:paraId="442EEA83" w14:textId="1EF079DF" w:rsidR="00160DC8" w:rsidRPr="00160DC8" w:rsidRDefault="00160DC8" w:rsidP="00160DC8">
      <w:pPr>
        <w:spacing w:line="360" w:lineRule="auto"/>
        <w:ind w:right="531"/>
        <w:jc w:val="both"/>
        <w:rPr>
          <w:rFonts w:eastAsia="Calibri" w:cstheme="minorHAnsi"/>
        </w:rPr>
      </w:pPr>
    </w:p>
    <w:p w14:paraId="56E783CC" w14:textId="77777777" w:rsidR="00160DC8" w:rsidRPr="00160DC8" w:rsidRDefault="00160DC8" w:rsidP="00160DC8">
      <w:pPr>
        <w:spacing w:line="360" w:lineRule="auto"/>
        <w:ind w:left="567" w:right="531"/>
        <w:jc w:val="both"/>
        <w:rPr>
          <w:rFonts w:cstheme="minorHAnsi"/>
        </w:rPr>
      </w:pPr>
    </w:p>
    <w:p w14:paraId="0AB80BA5" w14:textId="3FF2A14A" w:rsidR="00160DC8" w:rsidRPr="00160DC8" w:rsidRDefault="00160DC8" w:rsidP="00160DC8">
      <w:pPr>
        <w:spacing w:line="360" w:lineRule="auto"/>
        <w:ind w:right="531"/>
        <w:jc w:val="both"/>
        <w:rPr>
          <w:rFonts w:cstheme="minorHAnsi"/>
        </w:rPr>
      </w:pPr>
      <w:r w:rsidRPr="00160DC8">
        <w:rPr>
          <w:rFonts w:eastAsia="Calibri" w:cstheme="minorHAnsi"/>
          <w:b/>
          <w:bCs/>
        </w:rPr>
        <w:t xml:space="preserve">Essay five: </w:t>
      </w:r>
    </w:p>
    <w:p w14:paraId="1026897D"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Domestic abuse, also known as Domestic violence is any incident or pattern of behaviour enacted by a person towards another of whom they are “personally connected” regardless of gender and that behaviour consists of </w:t>
      </w:r>
      <w:proofErr w:type="gramStart"/>
      <w:r w:rsidRPr="00160DC8">
        <w:rPr>
          <w:rFonts w:eastAsia="Calibri" w:cstheme="minorHAnsi"/>
        </w:rPr>
        <w:t>psychological ,</w:t>
      </w:r>
      <w:proofErr w:type="gramEnd"/>
      <w:r w:rsidRPr="00160DC8">
        <w:rPr>
          <w:rFonts w:eastAsia="Calibri" w:cstheme="minorHAnsi"/>
        </w:rPr>
        <w:t xml:space="preserve"> physical , sexual, emotional or financial abuse and/or controlling or coercive behaviour (Domestic abuse Act 2021). Whilst Domestic abuse per its definition can include one incident or several it largely manifests itself as a persistent pattern of abuse. </w:t>
      </w:r>
    </w:p>
    <w:p w14:paraId="569E529C" w14:textId="77777777" w:rsidR="00160DC8" w:rsidRDefault="00160DC8" w:rsidP="00160DC8">
      <w:pPr>
        <w:spacing w:line="360" w:lineRule="auto"/>
        <w:ind w:right="531"/>
        <w:jc w:val="both"/>
        <w:rPr>
          <w:rFonts w:eastAsia="Calibri" w:cstheme="minorHAnsi"/>
        </w:rPr>
      </w:pPr>
    </w:p>
    <w:p w14:paraId="7CC2DBC4" w14:textId="7562492E" w:rsidR="00160DC8" w:rsidRPr="00160DC8" w:rsidRDefault="00160DC8" w:rsidP="00160DC8">
      <w:pPr>
        <w:spacing w:line="360" w:lineRule="auto"/>
        <w:ind w:right="531"/>
        <w:jc w:val="both"/>
        <w:rPr>
          <w:rFonts w:eastAsia="Calibri" w:cstheme="minorHAnsi"/>
        </w:rPr>
      </w:pPr>
      <w:r w:rsidRPr="00160DC8">
        <w:rPr>
          <w:rFonts w:eastAsia="Calibri" w:cstheme="minorHAnsi"/>
        </w:rPr>
        <w:lastRenderedPageBreak/>
        <w:t xml:space="preserve">Domestic Abuse is an abhorrent crime that devastates the lives of victims. Its prevalence in the United Kingdom is such that it is estimated that 1 in 5 adults experience domestic abuse in their lifetime (ONS,2020).  The high prevalence of Domestic abuse has as a result attracted significant academic attention in patterns and causes of perpetration and more recently prevention and treatment. </w:t>
      </w:r>
    </w:p>
    <w:p w14:paraId="100AF008"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Preventing re-offending with domestic abuse and subsequently breaking this pattern is a complex and multi-faceted process but undeniably a key priority for the government and in policing. There are several strategies available which whilst not successful in every instance, can mitigate risk of further violence or abuse. When considering these options in relation to evidence-based policing we simply refer to what works and what is backed up by evidence and research. </w:t>
      </w:r>
    </w:p>
    <w:p w14:paraId="0EA715C9" w14:textId="77777777" w:rsidR="00160DC8" w:rsidRPr="00160DC8" w:rsidRDefault="00160DC8" w:rsidP="00160DC8">
      <w:pPr>
        <w:spacing w:line="360" w:lineRule="auto"/>
        <w:ind w:right="531"/>
        <w:jc w:val="both"/>
        <w:rPr>
          <w:rFonts w:eastAsia="Calibri" w:cstheme="minorHAnsi"/>
        </w:rPr>
      </w:pPr>
    </w:p>
    <w:p w14:paraId="3AFB804F"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Firstly, there is the option of arrest. Where officers have been called to an incident and have arrested a perpetrator for Domestic assault, perpetrators will be taken into custody. If there is sufficient evidence and the victim is supportive of police action the matter could be taken to court. In the interim depending on the risk to the victim the police can issue bail conditions which might include not contacting the victim or attending the victims address, if the perpetrator were to breach these conditions, then they can be re-arrested, and held before attending court. </w:t>
      </w:r>
    </w:p>
    <w:p w14:paraId="5D762AB1" w14:textId="77777777" w:rsidR="00160DC8" w:rsidRPr="00160DC8" w:rsidRDefault="00160DC8" w:rsidP="00160DC8">
      <w:pPr>
        <w:spacing w:line="360" w:lineRule="auto"/>
        <w:ind w:right="531"/>
        <w:jc w:val="both"/>
        <w:rPr>
          <w:rFonts w:eastAsia="Calibri" w:cstheme="minorHAnsi"/>
        </w:rPr>
      </w:pPr>
    </w:p>
    <w:p w14:paraId="1950B9E5"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 If the risk to victim is such that the offender is likely to breach these conditions then the police can look to remand them, in which case they will remain in custody until the court day. Both options ensure the victim is safeguarded from any further violence or abuse. </w:t>
      </w:r>
    </w:p>
    <w:p w14:paraId="48F847C1" w14:textId="77777777" w:rsidR="00160DC8" w:rsidRPr="00160DC8" w:rsidRDefault="00160DC8" w:rsidP="00160DC8">
      <w:pPr>
        <w:spacing w:line="360" w:lineRule="auto"/>
        <w:ind w:right="531"/>
        <w:jc w:val="both"/>
        <w:rPr>
          <w:rFonts w:eastAsia="Calibri" w:cstheme="minorHAnsi"/>
        </w:rPr>
      </w:pPr>
    </w:p>
    <w:p w14:paraId="77E58E7A"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However, some critics argue that arrest does little to deter perpetrators and subsequent imprisonment has mixed to little effect on combating recidivism as it fails to address the root cause of offending behaviour (Hester, </w:t>
      </w:r>
      <w:proofErr w:type="gramStart"/>
      <w:r w:rsidRPr="00160DC8">
        <w:rPr>
          <w:rFonts w:eastAsia="Calibri" w:cstheme="minorHAnsi"/>
        </w:rPr>
        <w:t>2006 ;Trevena</w:t>
      </w:r>
      <w:proofErr w:type="gramEnd"/>
      <w:r w:rsidRPr="00160DC8">
        <w:rPr>
          <w:rFonts w:eastAsia="Calibri" w:cstheme="minorHAnsi"/>
        </w:rPr>
        <w:t xml:space="preserve"> and Poynton, 2016, ). Whilst custodial sentences can detract some from further criminal activity the secondary impact of prison sentences on offenders such as loss of housing, employment and social ties can in fact encourage future offending (Bales and Piquero, 2011; Cid, 2009). </w:t>
      </w:r>
    </w:p>
    <w:p w14:paraId="3C97D695" w14:textId="77777777" w:rsidR="00160DC8" w:rsidRPr="00160DC8" w:rsidRDefault="00160DC8" w:rsidP="00160DC8">
      <w:pPr>
        <w:spacing w:line="360" w:lineRule="auto"/>
        <w:ind w:right="531"/>
        <w:jc w:val="both"/>
        <w:rPr>
          <w:rFonts w:eastAsia="Calibri" w:cstheme="minorHAnsi"/>
        </w:rPr>
      </w:pPr>
    </w:p>
    <w:p w14:paraId="280FDA23"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lastRenderedPageBreak/>
        <w:t xml:space="preserve">Instead, other posit that perhaps the answer lies in offering offenders rehabilitative education and treatment programmes with the aim of addressing the abuse any underlying issues surrounding it including alcohol and substance abuse, mental </w:t>
      </w:r>
      <w:proofErr w:type="gramStart"/>
      <w:r w:rsidRPr="00160DC8">
        <w:rPr>
          <w:rFonts w:eastAsia="Calibri" w:cstheme="minorHAnsi"/>
        </w:rPr>
        <w:t>health</w:t>
      </w:r>
      <w:proofErr w:type="gramEnd"/>
      <w:r w:rsidRPr="00160DC8">
        <w:rPr>
          <w:rFonts w:eastAsia="Calibri" w:cstheme="minorHAnsi"/>
        </w:rPr>
        <w:t xml:space="preserve"> and anger management.  However, whilst studies in the United States and Canada have shown promise in demonstrating a reduction of Domestic Violence recidivism with such interventions these programmes in the United Kingdom are in their infancy the majority of schemes in the UK focus </w:t>
      </w:r>
      <w:proofErr w:type="gramStart"/>
      <w:r w:rsidRPr="00160DC8">
        <w:rPr>
          <w:rFonts w:eastAsia="Calibri" w:cstheme="minorHAnsi"/>
        </w:rPr>
        <w:t>around</w:t>
      </w:r>
      <w:proofErr w:type="gramEnd"/>
      <w:r w:rsidRPr="00160DC8">
        <w:rPr>
          <w:rFonts w:eastAsia="Calibri" w:cstheme="minorHAnsi"/>
        </w:rPr>
        <w:t xml:space="preserve"> the Victim (Scott et al., 2013). However, the UK National Probation service in their deliverance of two domestic violence interventions over the course of 27 weeks saw a significant reduction in DV and reoffending (Bloomfield and Dixon, 2015). </w:t>
      </w:r>
    </w:p>
    <w:p w14:paraId="6C1C789D"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Another strategy in preventing further instances of Domestic Violence and ensuring victim safety was through the introduction of Domestic Violence Protection orders (DVPO) and Domestic Violence Protection Notices (DVPN). These were short term measure introduced to fill the gap in protection for victims where bail conditions were perhaps not impossible and gave victims and agencies time to consider a long-term plan. These civil orders give 48 hours and 14 to 28 days respectively and served as emergency non-molestation orders and eviction </w:t>
      </w:r>
      <w:proofErr w:type="gramStart"/>
      <w:r w:rsidRPr="00160DC8">
        <w:rPr>
          <w:rFonts w:eastAsia="Calibri" w:cstheme="minorHAnsi"/>
        </w:rPr>
        <w:t>notices .</w:t>
      </w:r>
      <w:proofErr w:type="gramEnd"/>
      <w:r w:rsidRPr="00160DC8">
        <w:rPr>
          <w:rFonts w:eastAsia="Calibri" w:cstheme="minorHAnsi"/>
        </w:rPr>
        <w:t xml:space="preserve"> Whilst breach of DVPN is not a criminal offence, it </w:t>
      </w:r>
      <w:proofErr w:type="gramStart"/>
      <w:r w:rsidRPr="00160DC8">
        <w:rPr>
          <w:rFonts w:eastAsia="Calibri" w:cstheme="minorHAnsi"/>
        </w:rPr>
        <w:t>is considered to be</w:t>
      </w:r>
      <w:proofErr w:type="gramEnd"/>
      <w:r w:rsidRPr="00160DC8">
        <w:rPr>
          <w:rFonts w:eastAsia="Calibri" w:cstheme="minorHAnsi"/>
        </w:rPr>
        <w:t xml:space="preserve"> in contempt of court and subsequently arrestable. These protection orders exist not just in the United Kingdom but across several other countries including the United States in similar or equivalent forms.</w:t>
      </w:r>
    </w:p>
    <w:p w14:paraId="4EBC996C" w14:textId="18266CD5"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Assessing the effectiveness of measures such as DVPO/DVPNs is challenging, whilst the number of </w:t>
      </w:r>
      <w:proofErr w:type="gramStart"/>
      <w:r w:rsidRPr="00160DC8">
        <w:rPr>
          <w:rFonts w:eastAsia="Calibri" w:cstheme="minorHAnsi"/>
        </w:rPr>
        <w:t>order</w:t>
      </w:r>
      <w:proofErr w:type="gramEnd"/>
      <w:r w:rsidRPr="00160DC8">
        <w:rPr>
          <w:rFonts w:eastAsia="Calibri" w:cstheme="minorHAnsi"/>
        </w:rPr>
        <w:t xml:space="preserve"> issued by police and courts is indicative of positive uptake from forces it does not demonstrate any consequential reduction in recidivism (Blackburn and </w:t>
      </w:r>
      <w:proofErr w:type="spellStart"/>
      <w:r w:rsidRPr="00160DC8">
        <w:rPr>
          <w:rFonts w:eastAsia="Calibri" w:cstheme="minorHAnsi"/>
        </w:rPr>
        <w:t>Graca</w:t>
      </w:r>
      <w:proofErr w:type="spellEnd"/>
      <w:r w:rsidRPr="00160DC8">
        <w:rPr>
          <w:rFonts w:eastAsia="Calibri" w:cstheme="minorHAnsi"/>
        </w:rPr>
        <w:t xml:space="preserve">, 2020). Whilst Kelly et </w:t>
      </w:r>
      <w:proofErr w:type="gramStart"/>
      <w:r w:rsidRPr="00160DC8">
        <w:rPr>
          <w:rFonts w:eastAsia="Calibri" w:cstheme="minorHAnsi"/>
        </w:rPr>
        <w:t>al,(</w:t>
      </w:r>
      <w:proofErr w:type="gramEnd"/>
      <w:r w:rsidRPr="00160DC8">
        <w:rPr>
          <w:rFonts w:eastAsia="Calibri" w:cstheme="minorHAnsi"/>
        </w:rPr>
        <w:t xml:space="preserve">2013) have suggested some success through the reduction in police ‘call-outs’ following their issue and was particularly impactful to chronic offenders this does not account for those that fail or are unwilling to report, a common feature with instances of Domestic Abuse. </w:t>
      </w:r>
    </w:p>
    <w:p w14:paraId="7C5F5506"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Perhaps in response to past mistakes and subsequent lessons learnt there has been an increased shift in focus towards a multi-agency approach in policing. The Government both in their Domestic Abuse Action plan and Domestic Abuse bill have made it clear that not one agency is responsible for tackling Domestic Abuse and instead agencies including the police, social and public </w:t>
      </w:r>
      <w:proofErr w:type="spellStart"/>
      <w:r w:rsidRPr="00160DC8">
        <w:rPr>
          <w:rFonts w:eastAsia="Calibri" w:cstheme="minorHAnsi"/>
        </w:rPr>
        <w:t>heath</w:t>
      </w:r>
      <w:proofErr w:type="spellEnd"/>
      <w:r w:rsidRPr="00160DC8">
        <w:rPr>
          <w:rFonts w:eastAsia="Calibri" w:cstheme="minorHAnsi"/>
        </w:rPr>
        <w:t xml:space="preserve"> sector must come together to support </w:t>
      </w:r>
      <w:proofErr w:type="gramStart"/>
      <w:r w:rsidRPr="00160DC8">
        <w:rPr>
          <w:rFonts w:eastAsia="Calibri" w:cstheme="minorHAnsi"/>
        </w:rPr>
        <w:t>victims</w:t>
      </w:r>
      <w:proofErr w:type="gramEnd"/>
      <w:r w:rsidRPr="00160DC8">
        <w:rPr>
          <w:rFonts w:eastAsia="Calibri" w:cstheme="minorHAnsi"/>
        </w:rPr>
        <w:t xml:space="preserve"> and both punish and manage perpetrators. </w:t>
      </w:r>
    </w:p>
    <w:p w14:paraId="704DCB80" w14:textId="77777777" w:rsidR="00160DC8" w:rsidRPr="00160DC8" w:rsidRDefault="00160DC8" w:rsidP="00160DC8">
      <w:pPr>
        <w:spacing w:line="360" w:lineRule="auto"/>
        <w:ind w:right="531"/>
        <w:jc w:val="both"/>
        <w:rPr>
          <w:rFonts w:eastAsia="Calibri" w:cstheme="minorHAnsi"/>
        </w:rPr>
      </w:pPr>
    </w:p>
    <w:p w14:paraId="7384E54F"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lastRenderedPageBreak/>
        <w:t xml:space="preserve">At incidents of Domestic </w:t>
      </w:r>
      <w:proofErr w:type="gramStart"/>
      <w:r w:rsidRPr="00160DC8">
        <w:rPr>
          <w:rFonts w:eastAsia="Calibri" w:cstheme="minorHAnsi"/>
        </w:rPr>
        <w:t>Violence</w:t>
      </w:r>
      <w:proofErr w:type="gramEnd"/>
      <w:r w:rsidRPr="00160DC8">
        <w:rPr>
          <w:rFonts w:eastAsia="Calibri" w:cstheme="minorHAnsi"/>
        </w:rPr>
        <w:t xml:space="preserve"> the responding officers complete a Public Protection notice which includes a Domestic Abuse Stalking and Harassment questionnaire (DASH) this is an information sharing document that both serves as a risk identifying tool and also initiates referrals to partner agencies more adept at supporting victim’s needs. </w:t>
      </w:r>
    </w:p>
    <w:p w14:paraId="4C5DF29F" w14:textId="77777777" w:rsidR="00160DC8" w:rsidRPr="00160DC8" w:rsidRDefault="00160DC8" w:rsidP="00160DC8">
      <w:pPr>
        <w:spacing w:line="360" w:lineRule="auto"/>
        <w:ind w:right="531"/>
        <w:jc w:val="both"/>
        <w:rPr>
          <w:rFonts w:eastAsia="Calibri" w:cstheme="minorHAnsi"/>
        </w:rPr>
      </w:pPr>
    </w:p>
    <w:p w14:paraId="4B319F65"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Where Victims are noted as high risk information is shared to Multi-Agency Risk Assessment Conferences. These local meetings were first rolled out in and focus on the needs of the Victim. MARACs host several contributing agencies including police, women’s aid and safety unit, social-services, and GPs as well as Independent Domestic Violence Advocates (IDVAs) who then develop action plans to support and safeguard high-risk victims from further violence or abuse. </w:t>
      </w:r>
    </w:p>
    <w:p w14:paraId="49BCB32B" w14:textId="77777777" w:rsidR="00160DC8" w:rsidRPr="00160DC8" w:rsidRDefault="00160DC8" w:rsidP="00160DC8">
      <w:pPr>
        <w:spacing w:line="360" w:lineRule="auto"/>
        <w:ind w:right="531"/>
        <w:jc w:val="both"/>
        <w:rPr>
          <w:rFonts w:eastAsia="Calibri" w:cstheme="minorHAnsi"/>
        </w:rPr>
      </w:pPr>
    </w:p>
    <w:p w14:paraId="67324B6A"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Research into the success of such meetings has been significantly promising.  One study found showed about 6 in 10 victims had not suffered further recidivism 6 months following a MARAC forum (Robinson, 2004). </w:t>
      </w:r>
    </w:p>
    <w:p w14:paraId="0F8416B3" w14:textId="77777777" w:rsidR="00160DC8" w:rsidRPr="00160DC8" w:rsidRDefault="00160DC8" w:rsidP="00160DC8">
      <w:pPr>
        <w:spacing w:line="360" w:lineRule="auto"/>
        <w:ind w:right="531"/>
        <w:jc w:val="both"/>
        <w:rPr>
          <w:rFonts w:eastAsia="Calibri" w:cstheme="minorHAnsi"/>
        </w:rPr>
      </w:pPr>
    </w:p>
    <w:p w14:paraId="596787CC"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Whilst these meetings are victim focused where perpetrators have previous criminal convictions and meet a specific threshold consideration is given for their referral to MAPPA management. MAPPA works alongside MARAC but instead focuses on the management of sexual and violent offenders, through agencies including the police, prison services and probation. </w:t>
      </w:r>
    </w:p>
    <w:p w14:paraId="73D194D8" w14:textId="77777777" w:rsidR="00160DC8" w:rsidRPr="00160DC8" w:rsidRDefault="00160DC8" w:rsidP="00160DC8">
      <w:pPr>
        <w:spacing w:line="360" w:lineRule="auto"/>
        <w:ind w:right="531"/>
        <w:jc w:val="both"/>
        <w:rPr>
          <w:rFonts w:eastAsia="Calibri" w:cstheme="minorHAnsi"/>
        </w:rPr>
      </w:pPr>
    </w:p>
    <w:p w14:paraId="4A480659" w14:textId="77777777" w:rsidR="00160DC8" w:rsidRPr="00160DC8" w:rsidRDefault="00160DC8" w:rsidP="00160DC8">
      <w:pPr>
        <w:spacing w:line="360" w:lineRule="auto"/>
        <w:ind w:right="531"/>
        <w:jc w:val="both"/>
        <w:rPr>
          <w:rFonts w:eastAsia="Calibri" w:cstheme="minorHAnsi"/>
        </w:rPr>
      </w:pPr>
      <w:r w:rsidRPr="00160DC8">
        <w:rPr>
          <w:rFonts w:eastAsia="Calibri" w:cstheme="minorHAnsi"/>
        </w:rPr>
        <w:t xml:space="preserve">Whilst holding the perpetrators accountable for their actions through arrest and a successful prosecution is key to safeguarding victims and holding perpetrators to account it is not without its limitation and criticism. Providing victims with adequate support through a multi-agency response assisting them in rebuilding their lives and prevent them falling into future abusive relationships as well as providing support and learning opportunities to perpetrators to enable in a bit to break their abusive habits may also have some merit. </w:t>
      </w:r>
    </w:p>
    <w:p w14:paraId="4828631E" w14:textId="77777777" w:rsidR="00160DC8" w:rsidRPr="00160DC8" w:rsidRDefault="00160DC8" w:rsidP="00160DC8">
      <w:pPr>
        <w:spacing w:line="360" w:lineRule="auto"/>
        <w:ind w:right="531"/>
        <w:jc w:val="both"/>
        <w:rPr>
          <w:rFonts w:eastAsia="Calibri" w:cstheme="minorHAnsi"/>
        </w:rPr>
      </w:pPr>
    </w:p>
    <w:p w14:paraId="506F471F" w14:textId="451D3E87" w:rsidR="00160DC8" w:rsidRPr="00160DC8" w:rsidRDefault="00160DC8" w:rsidP="00160DC8">
      <w:pPr>
        <w:spacing w:line="360" w:lineRule="auto"/>
        <w:ind w:right="531"/>
        <w:jc w:val="both"/>
        <w:rPr>
          <w:rFonts w:eastAsia="Calibri" w:cstheme="minorHAnsi"/>
        </w:rPr>
      </w:pPr>
      <w:r>
        <w:rPr>
          <w:rFonts w:eastAsia="Calibri" w:cstheme="minorHAnsi"/>
        </w:rPr>
        <w:t>1118 words</w:t>
      </w:r>
    </w:p>
    <w:p w14:paraId="58084634" w14:textId="77777777" w:rsidR="00160DC8" w:rsidRPr="00160DC8" w:rsidRDefault="00160DC8" w:rsidP="00160DC8">
      <w:pPr>
        <w:spacing w:line="360" w:lineRule="auto"/>
        <w:ind w:right="531"/>
        <w:jc w:val="both"/>
        <w:rPr>
          <w:rFonts w:eastAsia="Calibri" w:cstheme="minorHAnsi"/>
        </w:rPr>
      </w:pPr>
    </w:p>
    <w:p w14:paraId="507A1FD7" w14:textId="77777777" w:rsidR="00160DC8" w:rsidRPr="00160DC8" w:rsidRDefault="00160DC8" w:rsidP="00160DC8">
      <w:pPr>
        <w:spacing w:line="360" w:lineRule="auto"/>
        <w:ind w:right="531"/>
        <w:jc w:val="both"/>
        <w:rPr>
          <w:rFonts w:eastAsia="Calibri" w:cstheme="minorHAnsi"/>
        </w:rPr>
      </w:pPr>
    </w:p>
    <w:p w14:paraId="749C2B8C" w14:textId="726ACEBE" w:rsidR="00E839AE" w:rsidRDefault="00E839AE" w:rsidP="00E839AE">
      <w:pPr>
        <w:pStyle w:val="NormalWeb"/>
        <w:spacing w:before="0" w:beforeAutospacing="0" w:after="240" w:afterAutospacing="0" w:line="360" w:lineRule="auto"/>
        <w:rPr>
          <w:sz w:val="36"/>
          <w:szCs w:val="36"/>
        </w:rPr>
      </w:pPr>
      <w:r>
        <w:rPr>
          <w:sz w:val="36"/>
          <w:szCs w:val="36"/>
        </w:rPr>
        <w:lastRenderedPageBreak/>
        <w:t>Bibliography</w:t>
      </w:r>
    </w:p>
    <w:p w14:paraId="263FA228" w14:textId="77777777" w:rsidR="00E839AE" w:rsidRDefault="00E839AE" w:rsidP="00E839AE">
      <w:pPr>
        <w:pStyle w:val="NormalWeb"/>
        <w:spacing w:before="0" w:beforeAutospacing="0" w:after="240" w:afterAutospacing="0" w:line="360" w:lineRule="auto"/>
      </w:pPr>
      <w:r>
        <w:t xml:space="preserve">Action Fraud (2019). </w:t>
      </w:r>
      <w:r>
        <w:rPr>
          <w:i/>
          <w:iCs/>
        </w:rPr>
        <w:t>Action Fraud</w:t>
      </w:r>
      <w:r>
        <w:t>. [online] Action Fraud. Available at: https://www.actionfraud.police.uk/ [Accessed 7 Apr. 2023].</w:t>
      </w:r>
    </w:p>
    <w:p w14:paraId="723C9B97" w14:textId="77777777" w:rsidR="00E839AE" w:rsidRDefault="00E839AE" w:rsidP="00E839AE">
      <w:pPr>
        <w:pStyle w:val="NormalWeb"/>
        <w:spacing w:before="0" w:beforeAutospacing="0" w:after="240" w:afterAutospacing="0" w:line="360" w:lineRule="auto"/>
      </w:pPr>
      <w:proofErr w:type="spellStart"/>
      <w:r>
        <w:t>Arisukwu</w:t>
      </w:r>
      <w:proofErr w:type="spellEnd"/>
      <w:r>
        <w:t xml:space="preserve">, O., </w:t>
      </w:r>
      <w:proofErr w:type="spellStart"/>
      <w:r>
        <w:t>Igbolekwu</w:t>
      </w:r>
      <w:proofErr w:type="spellEnd"/>
      <w:r>
        <w:t xml:space="preserve">, C., </w:t>
      </w:r>
      <w:proofErr w:type="spellStart"/>
      <w:r>
        <w:t>Oye</w:t>
      </w:r>
      <w:proofErr w:type="spellEnd"/>
      <w:r>
        <w:t xml:space="preserve">, J., </w:t>
      </w:r>
      <w:proofErr w:type="spellStart"/>
      <w:r>
        <w:t>Oyeyipo</w:t>
      </w:r>
      <w:proofErr w:type="spellEnd"/>
      <w:r>
        <w:t xml:space="preserve">, E., </w:t>
      </w:r>
      <w:proofErr w:type="spellStart"/>
      <w:r>
        <w:t>Asamu</w:t>
      </w:r>
      <w:proofErr w:type="spellEnd"/>
      <w:r>
        <w:t xml:space="preserve">, F., </w:t>
      </w:r>
      <w:proofErr w:type="spellStart"/>
      <w:r>
        <w:t>Rasak</w:t>
      </w:r>
      <w:proofErr w:type="spellEnd"/>
      <w:r>
        <w:t xml:space="preserve">, B. and </w:t>
      </w:r>
      <w:proofErr w:type="spellStart"/>
      <w:r>
        <w:t>Oyekola</w:t>
      </w:r>
      <w:proofErr w:type="spellEnd"/>
      <w:r>
        <w:t xml:space="preserve">, I. (2020). Community participation in crime prevention and control in rural Nigeria. </w:t>
      </w:r>
      <w:proofErr w:type="spellStart"/>
      <w:r>
        <w:rPr>
          <w:i/>
          <w:iCs/>
        </w:rPr>
        <w:t>Heliyon</w:t>
      </w:r>
      <w:proofErr w:type="spellEnd"/>
      <w:r>
        <w:t xml:space="preserve">, 6(9), p.e05015. </w:t>
      </w:r>
      <w:proofErr w:type="spellStart"/>
      <w:proofErr w:type="gramStart"/>
      <w:r>
        <w:t>doi:https</w:t>
      </w:r>
      <w:proofErr w:type="spellEnd"/>
      <w:r>
        <w:t>://doi.org/10.1016/j.heliyon.2020.e05015</w:t>
      </w:r>
      <w:proofErr w:type="gramEnd"/>
      <w:r>
        <w:t>.</w:t>
      </w:r>
    </w:p>
    <w:p w14:paraId="1A29DF80" w14:textId="77777777" w:rsidR="00E839AE" w:rsidRDefault="00E839AE" w:rsidP="00E839AE">
      <w:pPr>
        <w:pStyle w:val="NormalWeb"/>
        <w:spacing w:before="0" w:beforeAutospacing="0" w:after="240" w:afterAutospacing="0" w:line="360" w:lineRule="auto"/>
      </w:pPr>
      <w:r>
        <w:t xml:space="preserve">Bales, W.D. and Piquero, A.R. (2011). Assessing the impact of imprisonment on recidivism. </w:t>
      </w:r>
      <w:r>
        <w:rPr>
          <w:i/>
          <w:iCs/>
        </w:rPr>
        <w:t>Journal of Experimental Criminology</w:t>
      </w:r>
      <w:r>
        <w:t xml:space="preserve">, 8(1), pp.71–101. </w:t>
      </w:r>
      <w:proofErr w:type="spellStart"/>
      <w:proofErr w:type="gramStart"/>
      <w:r>
        <w:t>doi:https</w:t>
      </w:r>
      <w:proofErr w:type="spellEnd"/>
      <w:r>
        <w:t>://doi.org/10.1007/s11292-011-9139-3</w:t>
      </w:r>
      <w:proofErr w:type="gramEnd"/>
      <w:r>
        <w:t>.</w:t>
      </w:r>
    </w:p>
    <w:p w14:paraId="536FFDDA" w14:textId="77777777" w:rsidR="00E839AE" w:rsidRDefault="00E839AE" w:rsidP="00E839AE">
      <w:pPr>
        <w:pStyle w:val="NormalWeb"/>
        <w:spacing w:before="0" w:beforeAutospacing="0" w:after="240" w:afterAutospacing="0" w:line="360" w:lineRule="auto"/>
      </w:pPr>
      <w:r>
        <w:t xml:space="preserve">Blackburn, K. and </w:t>
      </w:r>
      <w:proofErr w:type="spellStart"/>
      <w:r>
        <w:t>Graca</w:t>
      </w:r>
      <w:proofErr w:type="spellEnd"/>
      <w:r>
        <w:t xml:space="preserve">, S. (2020). A critical reflection on the use and effectiveness of DVPNs and DVPOs. </w:t>
      </w:r>
      <w:r>
        <w:rPr>
          <w:i/>
          <w:iCs/>
        </w:rPr>
        <w:t>Police Practice and Research</w:t>
      </w:r>
      <w:r>
        <w:t xml:space="preserve">, 22(1), pp.1–17. </w:t>
      </w:r>
      <w:proofErr w:type="spellStart"/>
      <w:proofErr w:type="gramStart"/>
      <w:r>
        <w:t>doi:https</w:t>
      </w:r>
      <w:proofErr w:type="spellEnd"/>
      <w:r>
        <w:t>://doi.org/10.1080/15614263.2020.1759059</w:t>
      </w:r>
      <w:proofErr w:type="gramEnd"/>
      <w:r>
        <w:t>.</w:t>
      </w:r>
    </w:p>
    <w:p w14:paraId="0A6A718F" w14:textId="77777777" w:rsidR="00E839AE" w:rsidRDefault="00E839AE" w:rsidP="00E839AE">
      <w:pPr>
        <w:pStyle w:val="NormalWeb"/>
        <w:spacing w:before="0" w:beforeAutospacing="0" w:after="240" w:afterAutospacing="0" w:line="360" w:lineRule="auto"/>
      </w:pPr>
      <w:r>
        <w:t xml:space="preserve">Bloomfield, S. and Dixon, L. (2015). </w:t>
      </w:r>
      <w:r>
        <w:rPr>
          <w:i/>
          <w:iCs/>
        </w:rPr>
        <w:t>An outcome evaluation of the Integrated Domestic Abuse Programme (IDAP) and Community Domestic Violence Programme (CDVP)</w:t>
      </w:r>
      <w:r>
        <w:t xml:space="preserve">. [online] </w:t>
      </w:r>
      <w:r>
        <w:rPr>
          <w:i/>
          <w:iCs/>
        </w:rPr>
        <w:t>Gov.uk</w:t>
      </w:r>
      <w:r>
        <w:t>. Gov.uk: National Offender Management Service. Available at: https://assets.publishing.service.gov.uk/government/uploads/system/uploads/attachment_data/file/449008/outcome-evaluation-idap-cdvp.pdf [Accessed 20 Jan. 2023].</w:t>
      </w:r>
    </w:p>
    <w:p w14:paraId="30933ADD" w14:textId="77777777" w:rsidR="00E839AE" w:rsidRDefault="00E839AE" w:rsidP="00E839AE">
      <w:pPr>
        <w:pStyle w:val="NormalWeb"/>
        <w:spacing w:before="0" w:beforeAutospacing="0" w:after="240" w:afterAutospacing="0" w:line="360" w:lineRule="auto"/>
      </w:pPr>
      <w:r>
        <w:t xml:space="preserve">Boulton, L.J., </w:t>
      </w:r>
      <w:proofErr w:type="spellStart"/>
      <w:r>
        <w:t>Phythian</w:t>
      </w:r>
      <w:proofErr w:type="spellEnd"/>
      <w:r>
        <w:t xml:space="preserve">, R. and Kirby, S. (2019). Diverting young men from gangs: a qualitative evaluation. </w:t>
      </w:r>
      <w:r>
        <w:rPr>
          <w:i/>
          <w:iCs/>
        </w:rPr>
        <w:t>Policing: An International Journal</w:t>
      </w:r>
      <w:r>
        <w:t xml:space="preserve">, 42(5), pp.887–900. </w:t>
      </w:r>
      <w:proofErr w:type="spellStart"/>
      <w:proofErr w:type="gramStart"/>
      <w:r>
        <w:t>doi:https</w:t>
      </w:r>
      <w:proofErr w:type="spellEnd"/>
      <w:r>
        <w:t>://doi.org/10.1108/pijpsm-04-2019-0043</w:t>
      </w:r>
      <w:proofErr w:type="gramEnd"/>
      <w:r>
        <w:t>.</w:t>
      </w:r>
    </w:p>
    <w:p w14:paraId="1B4607CE" w14:textId="77777777" w:rsidR="00E839AE" w:rsidRDefault="00E839AE" w:rsidP="00E839AE">
      <w:pPr>
        <w:pStyle w:val="NormalWeb"/>
        <w:spacing w:before="0" w:beforeAutospacing="0" w:after="240" w:afterAutospacing="0" w:line="360" w:lineRule="auto"/>
      </w:pPr>
      <w:r>
        <w:t xml:space="preserve">Brough, P., </w:t>
      </w:r>
      <w:proofErr w:type="spellStart"/>
      <w:r>
        <w:t>Chataway</w:t>
      </w:r>
      <w:proofErr w:type="spellEnd"/>
      <w:r>
        <w:t xml:space="preserve">, S. and Biggs, A. (2016). ‘You don’t want people knowing you’re a copper!’ A contemporary assessment of police organisational culture. </w:t>
      </w:r>
      <w:r>
        <w:rPr>
          <w:i/>
          <w:iCs/>
        </w:rPr>
        <w:t>International Journal of Police Science &amp; Management</w:t>
      </w:r>
      <w:r>
        <w:t xml:space="preserve">, 18(1), pp.28–36. </w:t>
      </w:r>
      <w:proofErr w:type="spellStart"/>
      <w:proofErr w:type="gramStart"/>
      <w:r>
        <w:t>doi:https</w:t>
      </w:r>
      <w:proofErr w:type="spellEnd"/>
      <w:r>
        <w:t>://doi.org/10.1177/1461355716638361</w:t>
      </w:r>
      <w:proofErr w:type="gramEnd"/>
      <w:r>
        <w:t>.</w:t>
      </w:r>
    </w:p>
    <w:p w14:paraId="68A6234E" w14:textId="77777777" w:rsidR="00E839AE" w:rsidRDefault="00E839AE" w:rsidP="00E839AE">
      <w:pPr>
        <w:pStyle w:val="NormalWeb"/>
        <w:spacing w:before="0" w:beforeAutospacing="0" w:after="240" w:afterAutospacing="0" w:line="360" w:lineRule="auto"/>
      </w:pPr>
      <w:r>
        <w:t xml:space="preserve">Brown, J., Fleming, J. and Silvestri, M. (2020). Policewomen’s perceptions of occupational culture in the changing policing environment of England and Wales: A study in liminality. </w:t>
      </w:r>
      <w:r>
        <w:rPr>
          <w:i/>
          <w:iCs/>
        </w:rPr>
        <w:t xml:space="preserve">The Police journal; </w:t>
      </w:r>
      <w:proofErr w:type="gramStart"/>
      <w:r>
        <w:rPr>
          <w:i/>
          <w:iCs/>
        </w:rPr>
        <w:t>Theory ,</w:t>
      </w:r>
      <w:proofErr w:type="gramEnd"/>
      <w:r>
        <w:rPr>
          <w:i/>
          <w:iCs/>
        </w:rPr>
        <w:t xml:space="preserve"> practice and principles</w:t>
      </w:r>
      <w:r>
        <w:t xml:space="preserve">, [online] 94(3). </w:t>
      </w:r>
      <w:proofErr w:type="spellStart"/>
      <w:proofErr w:type="gramStart"/>
      <w:r>
        <w:t>doi:https</w:t>
      </w:r>
      <w:proofErr w:type="spellEnd"/>
      <w:r>
        <w:t>://doi.org/10.1177/0032258X20914337</w:t>
      </w:r>
      <w:proofErr w:type="gramEnd"/>
      <w:r>
        <w:t>.</w:t>
      </w:r>
    </w:p>
    <w:p w14:paraId="48A54D63" w14:textId="77777777" w:rsidR="00E839AE" w:rsidRDefault="00E839AE" w:rsidP="00E839AE">
      <w:pPr>
        <w:pStyle w:val="NormalWeb"/>
        <w:spacing w:before="0" w:beforeAutospacing="0" w:after="240" w:afterAutospacing="0" w:line="360" w:lineRule="auto"/>
      </w:pPr>
      <w:proofErr w:type="spellStart"/>
      <w:r>
        <w:lastRenderedPageBreak/>
        <w:t>Caneppele</w:t>
      </w:r>
      <w:proofErr w:type="spellEnd"/>
      <w:r>
        <w:t xml:space="preserve">, S. and Aebi, M.F. (2017). Crime Drop or Police Recording Flop? On the Relationship between the Decrease of Offline Crime and the Increase of Online and Hybrid Crimes. </w:t>
      </w:r>
      <w:r>
        <w:rPr>
          <w:i/>
          <w:iCs/>
        </w:rPr>
        <w:t>Policing: A Journal of Policy and Practice</w:t>
      </w:r>
      <w:r>
        <w:t xml:space="preserve">, 13(1), pp.66–79. </w:t>
      </w:r>
      <w:proofErr w:type="spellStart"/>
      <w:proofErr w:type="gramStart"/>
      <w:r>
        <w:t>doi:https</w:t>
      </w:r>
      <w:proofErr w:type="spellEnd"/>
      <w:r>
        <w:t>://doi.org/10.1093/police/pax055</w:t>
      </w:r>
      <w:proofErr w:type="gramEnd"/>
      <w:r>
        <w:t>.</w:t>
      </w:r>
    </w:p>
    <w:p w14:paraId="0896B7F1" w14:textId="77777777" w:rsidR="00E839AE" w:rsidRDefault="00E839AE" w:rsidP="00E839AE">
      <w:pPr>
        <w:pStyle w:val="NormalWeb"/>
        <w:spacing w:before="0" w:beforeAutospacing="0" w:after="240" w:afterAutospacing="0" w:line="360" w:lineRule="auto"/>
      </w:pPr>
      <w:r>
        <w:t xml:space="preserve">Cid, J. (2009). Is Imprisonment Criminogenic? </w:t>
      </w:r>
      <w:r>
        <w:rPr>
          <w:i/>
          <w:iCs/>
        </w:rPr>
        <w:t>European Journal of Criminology</w:t>
      </w:r>
      <w:r>
        <w:t xml:space="preserve">, 6(6), pp.459–480. </w:t>
      </w:r>
      <w:proofErr w:type="spellStart"/>
      <w:proofErr w:type="gramStart"/>
      <w:r>
        <w:t>doi:https</w:t>
      </w:r>
      <w:proofErr w:type="spellEnd"/>
      <w:r>
        <w:t>://doi.org/10.1177/1477370809341128</w:t>
      </w:r>
      <w:proofErr w:type="gramEnd"/>
      <w:r>
        <w:t>.</w:t>
      </w:r>
    </w:p>
    <w:p w14:paraId="191B5E63" w14:textId="77777777" w:rsidR="00E839AE" w:rsidRDefault="00E839AE" w:rsidP="00E839AE">
      <w:pPr>
        <w:pStyle w:val="NormalWeb"/>
        <w:spacing w:before="0" w:beforeAutospacing="0" w:after="240" w:afterAutospacing="0" w:line="360" w:lineRule="auto"/>
      </w:pPr>
      <w:r>
        <w:t xml:space="preserve">Clough, J. (2012). The Council of Europe Convention on Cybercrime: Defining `Crime’ in a Digital World. </w:t>
      </w:r>
      <w:r>
        <w:rPr>
          <w:i/>
          <w:iCs/>
        </w:rPr>
        <w:t>Criminal Law Forum</w:t>
      </w:r>
      <w:r>
        <w:t xml:space="preserve">, [online] 23(4), pp.363–391. </w:t>
      </w:r>
      <w:proofErr w:type="spellStart"/>
      <w:proofErr w:type="gramStart"/>
      <w:r>
        <w:t>doi:https</w:t>
      </w:r>
      <w:proofErr w:type="spellEnd"/>
      <w:r>
        <w:t>://doi.org/10.1007/s10609-012-9183-3</w:t>
      </w:r>
      <w:proofErr w:type="gramEnd"/>
      <w:r>
        <w:t>.</w:t>
      </w:r>
    </w:p>
    <w:p w14:paraId="4A00BA88" w14:textId="77777777" w:rsidR="00E839AE" w:rsidRDefault="00E839AE" w:rsidP="00E839AE">
      <w:pPr>
        <w:pStyle w:val="NormalWeb"/>
        <w:spacing w:before="0" w:beforeAutospacing="0" w:after="240" w:afterAutospacing="0" w:line="360" w:lineRule="auto"/>
      </w:pPr>
      <w:r>
        <w:t xml:space="preserve">Cohen, I.M., McCormick, A.V. and Rich, B. (2019). Creating a Culture of Police Officer Wellness. </w:t>
      </w:r>
      <w:r>
        <w:rPr>
          <w:i/>
          <w:iCs/>
        </w:rPr>
        <w:t>Policing: A Journal of Policy and Practice</w:t>
      </w:r>
      <w:r>
        <w:t xml:space="preserve">, 13(2), pp.213–229. </w:t>
      </w:r>
      <w:proofErr w:type="spellStart"/>
      <w:proofErr w:type="gramStart"/>
      <w:r>
        <w:t>doi:https</w:t>
      </w:r>
      <w:proofErr w:type="spellEnd"/>
      <w:r>
        <w:t>://doi.org/10.1093/police/paz001</w:t>
      </w:r>
      <w:proofErr w:type="gramEnd"/>
      <w:r>
        <w:t>.</w:t>
      </w:r>
    </w:p>
    <w:p w14:paraId="1900C096" w14:textId="77777777" w:rsidR="00E839AE" w:rsidRDefault="00E839AE" w:rsidP="00E839AE">
      <w:pPr>
        <w:pStyle w:val="NormalWeb"/>
        <w:spacing w:before="0" w:beforeAutospacing="0" w:after="240" w:afterAutospacing="0" w:line="360" w:lineRule="auto"/>
      </w:pPr>
      <w:r>
        <w:t xml:space="preserve">College of Policing (2016). </w:t>
      </w:r>
      <w:r>
        <w:rPr>
          <w:i/>
          <w:iCs/>
        </w:rPr>
        <w:t>Disrupting serious and organised criminals – menu of tactics</w:t>
      </w:r>
      <w:r>
        <w:t>. [online] College of Policing. Available at: https://www.college.police.uk/research/menu-of-tactics.</w:t>
      </w:r>
    </w:p>
    <w:p w14:paraId="4CE8F16A" w14:textId="77777777" w:rsidR="00E839AE" w:rsidRDefault="00E839AE" w:rsidP="00E839AE">
      <w:pPr>
        <w:pStyle w:val="NormalWeb"/>
        <w:spacing w:before="0" w:beforeAutospacing="0" w:after="240" w:afterAutospacing="0" w:line="360" w:lineRule="auto"/>
      </w:pPr>
      <w:r>
        <w:t xml:space="preserve">College of policing (2022). </w:t>
      </w:r>
      <w:r>
        <w:rPr>
          <w:i/>
          <w:iCs/>
        </w:rPr>
        <w:t>Forensics</w:t>
      </w:r>
      <w:r>
        <w:t>. [online] College of Policing. Available at: https://www.college.police.uk/app/investigation/forensics [Accessed 7 Apr. 2023].</w:t>
      </w:r>
    </w:p>
    <w:p w14:paraId="1F824ED2" w14:textId="77777777" w:rsidR="00E839AE" w:rsidRDefault="00E839AE" w:rsidP="00E839AE">
      <w:pPr>
        <w:pStyle w:val="NormalWeb"/>
        <w:spacing w:before="0" w:beforeAutospacing="0" w:after="240" w:afterAutospacing="0" w:line="360" w:lineRule="auto"/>
      </w:pPr>
      <w:r>
        <w:t xml:space="preserve">Collins Dictionary (n.d.). </w:t>
      </w:r>
      <w:r>
        <w:rPr>
          <w:i/>
          <w:iCs/>
        </w:rPr>
        <w:t>Profession definition and meaning | Collins English Dictionary</w:t>
      </w:r>
      <w:r>
        <w:t>. [online] www.collinsdictionary.com. Available at: https://www.collinsdictionary.com/dictionary/english/profession [Accessed 6 Apr. 2023].</w:t>
      </w:r>
    </w:p>
    <w:p w14:paraId="65168390" w14:textId="77777777" w:rsidR="00E839AE" w:rsidRDefault="00E839AE" w:rsidP="00E839AE">
      <w:pPr>
        <w:pStyle w:val="NormalWeb"/>
        <w:spacing w:before="0" w:beforeAutospacing="0" w:after="240" w:afterAutospacing="0" w:line="360" w:lineRule="auto"/>
      </w:pPr>
      <w:r>
        <w:t xml:space="preserve">CPS (2019). </w:t>
      </w:r>
      <w:r>
        <w:rPr>
          <w:i/>
          <w:iCs/>
        </w:rPr>
        <w:t>Organised Crime - Strategy | The Crown Prosecution Service</w:t>
      </w:r>
      <w:r>
        <w:t>. [online] Cps.gov.uk. Available at: https://www.cps.gov.uk/organised-crime-strategy [Accessed 6 Apr. 2023].</w:t>
      </w:r>
    </w:p>
    <w:p w14:paraId="2BC20AC6" w14:textId="77777777" w:rsidR="00E839AE" w:rsidRDefault="00E839AE" w:rsidP="00E839AE">
      <w:pPr>
        <w:pStyle w:val="NormalWeb"/>
        <w:spacing w:before="0" w:beforeAutospacing="0" w:after="240" w:afterAutospacing="0" w:line="360" w:lineRule="auto"/>
      </w:pPr>
      <w:r>
        <w:t xml:space="preserve">Crocker, R., Webb, S., Garner, </w:t>
      </w:r>
      <w:proofErr w:type="gramStart"/>
      <w:r>
        <w:t>D.S.</w:t>
      </w:r>
      <w:proofErr w:type="gramEnd"/>
      <w:r>
        <w:t xml:space="preserve"> and Michael Skidmore (2017). The impact of organised crime in local communities. </w:t>
      </w:r>
      <w:r>
        <w:rPr>
          <w:i/>
          <w:iCs/>
        </w:rPr>
        <w:t>The Police foundation</w:t>
      </w:r>
      <w:r>
        <w:t>. [online] Available at: https://perpetuityresearch.com/wp-content/uploads/2017/06/2017-05-Organised-Crime-in-Local-Communities-Final-Report-web.pdf [Accessed 6 Apr. 2023].</w:t>
      </w:r>
    </w:p>
    <w:p w14:paraId="4E241124" w14:textId="77777777" w:rsidR="00E839AE" w:rsidRDefault="00E839AE" w:rsidP="00E839AE">
      <w:pPr>
        <w:pStyle w:val="NormalWeb"/>
        <w:spacing w:before="0" w:beforeAutospacing="0" w:after="240" w:afterAutospacing="0" w:line="360" w:lineRule="auto"/>
      </w:pPr>
      <w:r>
        <w:lastRenderedPageBreak/>
        <w:t xml:space="preserve">Cross, C., Richards, K. and Smith, R.J. (2016). The reporting experiences and support needs of victims of online fraud. </w:t>
      </w:r>
      <w:r>
        <w:rPr>
          <w:i/>
          <w:iCs/>
        </w:rPr>
        <w:t>Trends and Issues in Crime and Criminal Justice</w:t>
      </w:r>
      <w:r>
        <w:t>, [online] (518). Available at: https://search.informit.org/doi/abs/10.3316/informit.300566903591621 [Accessed 7 Apr. 2023].</w:t>
      </w:r>
    </w:p>
    <w:p w14:paraId="58B2694B" w14:textId="77777777" w:rsidR="00E839AE" w:rsidRDefault="00E839AE" w:rsidP="00E839AE">
      <w:pPr>
        <w:pStyle w:val="NormalWeb"/>
        <w:spacing w:before="0" w:beforeAutospacing="0" w:after="240" w:afterAutospacing="0" w:line="360" w:lineRule="auto"/>
      </w:pPr>
      <w:r>
        <w:t xml:space="preserve">Curtis, J. and </w:t>
      </w:r>
      <w:proofErr w:type="spellStart"/>
      <w:r>
        <w:t>Oxburgh</w:t>
      </w:r>
      <w:proofErr w:type="spellEnd"/>
      <w:r>
        <w:t xml:space="preserve">, G. (2022). Understanding Cybercrime in ‘Real World’ Policing and Law Enforcement. </w:t>
      </w:r>
      <w:r>
        <w:rPr>
          <w:i/>
          <w:iCs/>
        </w:rPr>
        <w:t>The Police Journal: Theory, Practice and Principles</w:t>
      </w:r>
      <w:r>
        <w:t xml:space="preserve">, 0(0), p.0032258X2211075. </w:t>
      </w:r>
      <w:proofErr w:type="spellStart"/>
      <w:proofErr w:type="gramStart"/>
      <w:r>
        <w:t>doi:https</w:t>
      </w:r>
      <w:proofErr w:type="spellEnd"/>
      <w:r>
        <w:t>://doi.org/10.1177/0032258x221107584</w:t>
      </w:r>
      <w:proofErr w:type="gramEnd"/>
      <w:r>
        <w:t>.</w:t>
      </w:r>
    </w:p>
    <w:p w14:paraId="4F7E4C92" w14:textId="77777777" w:rsidR="00E839AE" w:rsidRDefault="00E839AE" w:rsidP="00E839AE">
      <w:pPr>
        <w:pStyle w:val="NormalWeb"/>
        <w:spacing w:before="0" w:beforeAutospacing="0" w:after="240" w:afterAutospacing="0" w:line="360" w:lineRule="auto"/>
      </w:pPr>
      <w:r>
        <w:t xml:space="preserve">David, W. and Stefano, B. (2016). </w:t>
      </w:r>
      <w:r>
        <w:rPr>
          <w:i/>
          <w:iCs/>
        </w:rPr>
        <w:t>Organised Crime in the United Kingdom. In: Organised Crime Infiltration of Legitimate Businesses in Europe: A Pilot Project in Five European Countries.</w:t>
      </w:r>
      <w:r>
        <w:t xml:space="preserve"> [online] </w:t>
      </w:r>
      <w:r>
        <w:rPr>
          <w:i/>
          <w:iCs/>
        </w:rPr>
        <w:t>Northumbria University</w:t>
      </w:r>
      <w:r>
        <w:t>. Northumbria University. Available at: https://nrl.northumbria.ac.uk/id/eprint/24743/1/report.pdf [Accessed 6 Apr. 2023].</w:t>
      </w:r>
    </w:p>
    <w:p w14:paraId="3B4C4D37" w14:textId="77777777" w:rsidR="00E839AE" w:rsidRDefault="00E839AE" w:rsidP="00E839AE">
      <w:pPr>
        <w:pStyle w:val="NormalWeb"/>
        <w:spacing w:before="0" w:beforeAutospacing="0" w:after="240" w:afterAutospacing="0" w:line="360" w:lineRule="auto"/>
      </w:pPr>
      <w:r>
        <w:t xml:space="preserve">Edwards, A.-M. and </w:t>
      </w:r>
      <w:proofErr w:type="spellStart"/>
      <w:r>
        <w:t>Kotera</w:t>
      </w:r>
      <w:proofErr w:type="spellEnd"/>
      <w:r>
        <w:t xml:space="preserve">, Y. (2020). Mental Health in the UK Police Force: </w:t>
      </w:r>
      <w:proofErr w:type="gramStart"/>
      <w:r>
        <w:t>a</w:t>
      </w:r>
      <w:proofErr w:type="gramEnd"/>
      <w:r>
        <w:t xml:space="preserve"> Qualitative Investigation into the Stigma with Mental Illness. </w:t>
      </w:r>
      <w:r>
        <w:rPr>
          <w:i/>
          <w:iCs/>
        </w:rPr>
        <w:t>International Journal of Mental Health and Addiction</w:t>
      </w:r>
      <w:r>
        <w:t xml:space="preserve">, [online] 19(4). </w:t>
      </w:r>
      <w:proofErr w:type="spellStart"/>
      <w:proofErr w:type="gramStart"/>
      <w:r>
        <w:t>doi:https</w:t>
      </w:r>
      <w:proofErr w:type="spellEnd"/>
      <w:r>
        <w:t>://doi.org/10.1007/s11469-019-00214-x</w:t>
      </w:r>
      <w:proofErr w:type="gramEnd"/>
      <w:r>
        <w:t>.</w:t>
      </w:r>
    </w:p>
    <w:p w14:paraId="793AF817" w14:textId="77777777" w:rsidR="00E839AE" w:rsidRDefault="00E839AE" w:rsidP="00E839AE">
      <w:pPr>
        <w:pStyle w:val="NormalWeb"/>
        <w:spacing w:before="0" w:beforeAutospacing="0" w:after="240" w:afterAutospacing="0" w:line="360" w:lineRule="auto"/>
      </w:pPr>
      <w:r>
        <w:t xml:space="preserve">Eurojust (2021). </w:t>
      </w:r>
      <w:r>
        <w:rPr>
          <w:i/>
          <w:iCs/>
        </w:rPr>
        <w:t>Cybercrime | Eurojust | European Union Agency for Criminal Justice Cooperation</w:t>
      </w:r>
      <w:r>
        <w:t>. [online] www.eurojust.europa.eu. Available at: https://www.eurojust.europa.eu/crime-types-and-cases/crime-types/cybercrime#:~:text=The%20often%20borderless%20nature%20of%20cyber-%20and%20cyber-related [Accessed 7 Apr. 2023].</w:t>
      </w:r>
    </w:p>
    <w:p w14:paraId="664C84A3" w14:textId="77777777" w:rsidR="00E839AE" w:rsidRDefault="00E839AE" w:rsidP="00E839AE">
      <w:pPr>
        <w:pStyle w:val="NormalWeb"/>
        <w:spacing w:before="0" w:beforeAutospacing="0" w:after="240" w:afterAutospacing="0" w:line="360" w:lineRule="auto"/>
      </w:pPr>
      <w:r>
        <w:t xml:space="preserve">Fleming, J. (2014). </w:t>
      </w:r>
      <w:r>
        <w:rPr>
          <w:i/>
          <w:iCs/>
        </w:rPr>
        <w:t>The pursuit of professionalism: Lessons from Australasia</w:t>
      </w:r>
      <w:r>
        <w:t>. The future of policing: Routledge, pp.355–368.</w:t>
      </w:r>
    </w:p>
    <w:p w14:paraId="20894BD7" w14:textId="77777777" w:rsidR="00E839AE" w:rsidRDefault="00E839AE" w:rsidP="00E839AE">
      <w:pPr>
        <w:pStyle w:val="NormalWeb"/>
        <w:spacing w:before="0" w:beforeAutospacing="0" w:after="240" w:afterAutospacing="0" w:line="360" w:lineRule="auto"/>
      </w:pPr>
      <w:proofErr w:type="spellStart"/>
      <w:r>
        <w:t>GFk</w:t>
      </w:r>
      <w:proofErr w:type="spellEnd"/>
      <w:r>
        <w:t xml:space="preserve"> (2022). </w:t>
      </w:r>
      <w:r>
        <w:rPr>
          <w:i/>
          <w:iCs/>
        </w:rPr>
        <w:t>World Internet Users Statistics and 2023 World Population Stats</w:t>
      </w:r>
      <w:r>
        <w:t>. [online] www.internetworldstats.com. Available at: https://www.internetworldstats.com/stats.htm#:~:text=WORLD%20INTERNET%20USAGE%20AND%20POPULATION%20STATISTICS%202023%20Year [Accessed 14 Feb. 2023].</w:t>
      </w:r>
    </w:p>
    <w:p w14:paraId="4E2F3CCA" w14:textId="77777777" w:rsidR="00E839AE" w:rsidRDefault="00E839AE" w:rsidP="00E839AE">
      <w:pPr>
        <w:pStyle w:val="NormalWeb"/>
        <w:spacing w:before="0" w:beforeAutospacing="0" w:after="240" w:afterAutospacing="0" w:line="360" w:lineRule="auto"/>
      </w:pPr>
      <w:r>
        <w:t xml:space="preserve">Green, T. and Gates, A. (2014). Understanding the Process of Professionalisation in the Police Organisation. </w:t>
      </w:r>
      <w:r>
        <w:rPr>
          <w:i/>
          <w:iCs/>
        </w:rPr>
        <w:t>The Police Journal: Theory, Practice and Principles</w:t>
      </w:r>
      <w:r>
        <w:t xml:space="preserve">, [online] 87(2), pp.75–91. </w:t>
      </w:r>
      <w:proofErr w:type="spellStart"/>
      <w:proofErr w:type="gramStart"/>
      <w:r>
        <w:t>doi:https</w:t>
      </w:r>
      <w:proofErr w:type="spellEnd"/>
      <w:r>
        <w:t>://doi.org/10.1350/pojo.2014.87.2.662</w:t>
      </w:r>
      <w:proofErr w:type="gramEnd"/>
      <w:r>
        <w:t>.</w:t>
      </w:r>
    </w:p>
    <w:p w14:paraId="053BE861" w14:textId="77777777" w:rsidR="00E839AE" w:rsidRDefault="00E839AE" w:rsidP="00E839AE">
      <w:pPr>
        <w:pStyle w:val="NormalWeb"/>
        <w:spacing w:before="0" w:beforeAutospacing="0" w:after="240" w:afterAutospacing="0" w:line="360" w:lineRule="auto"/>
      </w:pPr>
      <w:r>
        <w:lastRenderedPageBreak/>
        <w:t xml:space="preserve">HEFCE (2017). </w:t>
      </w:r>
      <w:r>
        <w:rPr>
          <w:i/>
          <w:iCs/>
        </w:rPr>
        <w:t>The wellbeing of graduates - Assessing the contribution of higher education to graduates’ wellbeing in the UK</w:t>
      </w:r>
      <w:r>
        <w:t xml:space="preserve">. [online] </w:t>
      </w:r>
      <w:r>
        <w:rPr>
          <w:i/>
          <w:iCs/>
        </w:rPr>
        <w:t>National Archives</w:t>
      </w:r>
      <w:r>
        <w:t>. Higher Education and Funding Council for England. Available at: https://webarchive.nationalarchives.gov.uk/ukgwa/20180319114412/http://www.hefce.ac.uk/pubs/year/2017/201731/ [Accessed 6 Apr. 2023].</w:t>
      </w:r>
    </w:p>
    <w:p w14:paraId="664E804B" w14:textId="77777777" w:rsidR="00E839AE" w:rsidRDefault="00E839AE" w:rsidP="00E839AE">
      <w:pPr>
        <w:pStyle w:val="NormalWeb"/>
        <w:spacing w:before="0" w:beforeAutospacing="0" w:after="240" w:afterAutospacing="0" w:line="360" w:lineRule="auto"/>
      </w:pPr>
      <w:r>
        <w:t xml:space="preserve">Hester, M. (2006). Making it through the Criminal Justice System: Attrition and Domestic Violence. </w:t>
      </w:r>
      <w:r>
        <w:rPr>
          <w:i/>
          <w:iCs/>
        </w:rPr>
        <w:t>Social Policy and Society</w:t>
      </w:r>
      <w:r>
        <w:t xml:space="preserve">, [online] 5(1), pp.79–90. </w:t>
      </w:r>
      <w:proofErr w:type="spellStart"/>
      <w:proofErr w:type="gramStart"/>
      <w:r>
        <w:t>doi:https</w:t>
      </w:r>
      <w:proofErr w:type="spellEnd"/>
      <w:r>
        <w:t>://doi.org/10.1017/s1474746405002769</w:t>
      </w:r>
      <w:proofErr w:type="gramEnd"/>
      <w:r>
        <w:t>.</w:t>
      </w:r>
    </w:p>
    <w:p w14:paraId="6C9C99C8" w14:textId="77777777" w:rsidR="00E839AE" w:rsidRDefault="00E839AE" w:rsidP="00E839AE">
      <w:pPr>
        <w:pStyle w:val="NormalWeb"/>
        <w:spacing w:before="0" w:beforeAutospacing="0" w:after="240" w:afterAutospacing="0" w:line="360" w:lineRule="auto"/>
      </w:pPr>
      <w:r>
        <w:t xml:space="preserve">HMICFRS (2019). </w:t>
      </w:r>
      <w:r>
        <w:rPr>
          <w:i/>
          <w:iCs/>
        </w:rPr>
        <w:t xml:space="preserve">Cyber: Keep the light on </w:t>
      </w:r>
      <w:proofErr w:type="gramStart"/>
      <w:r>
        <w:rPr>
          <w:i/>
          <w:iCs/>
        </w:rPr>
        <w:t>An</w:t>
      </w:r>
      <w:proofErr w:type="gramEnd"/>
      <w:r>
        <w:rPr>
          <w:i/>
          <w:iCs/>
        </w:rPr>
        <w:t xml:space="preserve"> inspection of the police response to cyber-dependent crime</w:t>
      </w:r>
      <w:r>
        <w:t xml:space="preserve">. [online] </w:t>
      </w:r>
      <w:r>
        <w:rPr>
          <w:i/>
          <w:iCs/>
        </w:rPr>
        <w:t>Justice Inspectorate</w:t>
      </w:r>
      <w:r>
        <w:t>. Justice Inspectorate. Available at: https://www.justiceinspectorates.gov.uk/hmicfrs/wp-content/uploads/cyber-keep-the-light-on-an-inspection-of-the-police-response-to-cyber-dependent-crime.pdf [Accessed 7 Apr. 2023].</w:t>
      </w:r>
    </w:p>
    <w:p w14:paraId="4EC47402" w14:textId="77777777" w:rsidR="00E839AE" w:rsidRDefault="00E839AE" w:rsidP="00E839AE">
      <w:pPr>
        <w:pStyle w:val="NormalWeb"/>
        <w:spacing w:before="0" w:beforeAutospacing="0" w:after="240" w:afterAutospacing="0" w:line="360" w:lineRule="auto"/>
      </w:pPr>
      <w:proofErr w:type="spellStart"/>
      <w:r>
        <w:t>Holdaway</w:t>
      </w:r>
      <w:proofErr w:type="spellEnd"/>
      <w:r>
        <w:t xml:space="preserve">, S. (2017). The re-professionalization of the police in England and Wales. </w:t>
      </w:r>
      <w:r>
        <w:rPr>
          <w:i/>
          <w:iCs/>
        </w:rPr>
        <w:t>Criminology &amp; Criminal Justice</w:t>
      </w:r>
      <w:r>
        <w:t xml:space="preserve">, [online] 17(5), pp.588–604. </w:t>
      </w:r>
      <w:proofErr w:type="spellStart"/>
      <w:proofErr w:type="gramStart"/>
      <w:r>
        <w:t>doi:https</w:t>
      </w:r>
      <w:proofErr w:type="spellEnd"/>
      <w:r>
        <w:t>://doi.org/10.1177/1748895817690214</w:t>
      </w:r>
      <w:proofErr w:type="gramEnd"/>
      <w:r>
        <w:t>.</w:t>
      </w:r>
    </w:p>
    <w:p w14:paraId="61A34F5C" w14:textId="77777777" w:rsidR="00E839AE" w:rsidRDefault="00E839AE" w:rsidP="00E839AE">
      <w:pPr>
        <w:pStyle w:val="NormalWeb"/>
        <w:spacing w:before="0" w:beforeAutospacing="0" w:after="240" w:afterAutospacing="0" w:line="360" w:lineRule="auto"/>
      </w:pPr>
      <w:r>
        <w:t xml:space="preserve">Home Office (2013). </w:t>
      </w:r>
      <w:r>
        <w:rPr>
          <w:i/>
          <w:iCs/>
        </w:rPr>
        <w:t>Serious and Organised Crime Strategy</w:t>
      </w:r>
      <w:r>
        <w:t xml:space="preserve">. [online] </w:t>
      </w:r>
      <w:r>
        <w:rPr>
          <w:i/>
          <w:iCs/>
        </w:rPr>
        <w:t>gov.uk</w:t>
      </w:r>
      <w:r>
        <w:t>. Available at: https://assets.publishing.service.gov.uk/government/uploads/system/uploads/attachment_data/file/752850/SOC-2018-web.pdf [Accessed 6 Apr. 2023].</w:t>
      </w:r>
    </w:p>
    <w:p w14:paraId="51286612" w14:textId="77777777" w:rsidR="00E839AE" w:rsidRDefault="00E839AE" w:rsidP="00E839AE">
      <w:pPr>
        <w:pStyle w:val="NormalWeb"/>
        <w:spacing w:before="0" w:beforeAutospacing="0" w:after="240" w:afterAutospacing="0" w:line="360" w:lineRule="auto"/>
      </w:pPr>
      <w:r>
        <w:t xml:space="preserve">Hurley, M. and Boulton, L.J. (2021). Early identification and intervention with individuals at risk of becoming involved in serious and organised crime (SOC). </w:t>
      </w:r>
      <w:r>
        <w:rPr>
          <w:i/>
          <w:iCs/>
        </w:rPr>
        <w:t>Safer Communities</w:t>
      </w:r>
      <w:r>
        <w:t xml:space="preserve">, 20(2), pp.73–84. </w:t>
      </w:r>
      <w:proofErr w:type="spellStart"/>
      <w:proofErr w:type="gramStart"/>
      <w:r>
        <w:t>doi:https</w:t>
      </w:r>
      <w:proofErr w:type="spellEnd"/>
      <w:r>
        <w:t>://doi.org/10.1108/sc-11-2020-0039</w:t>
      </w:r>
      <w:proofErr w:type="gramEnd"/>
      <w:r>
        <w:t>.</w:t>
      </w:r>
    </w:p>
    <w:p w14:paraId="15E09EBA" w14:textId="77777777" w:rsidR="00E839AE" w:rsidRDefault="00E839AE" w:rsidP="00E839AE">
      <w:pPr>
        <w:pStyle w:val="NormalWeb"/>
        <w:spacing w:before="0" w:beforeAutospacing="0" w:after="240" w:afterAutospacing="0" w:line="360" w:lineRule="auto"/>
      </w:pPr>
      <w:r>
        <w:t xml:space="preserve">Interpol (2020). </w:t>
      </w:r>
      <w:r>
        <w:rPr>
          <w:i/>
          <w:iCs/>
        </w:rPr>
        <w:t>Awareness campaigns</w:t>
      </w:r>
      <w:r>
        <w:t>. [online] www.interpol.int. Available at: https://www.interpol.int/en/Crimes/Cybercrime/Awareness-campaigns [Accessed 7 Apr. 2023].</w:t>
      </w:r>
    </w:p>
    <w:p w14:paraId="65360568" w14:textId="77777777" w:rsidR="00E839AE" w:rsidRDefault="00E839AE" w:rsidP="00E839AE">
      <w:pPr>
        <w:pStyle w:val="NormalWeb"/>
        <w:spacing w:before="0" w:beforeAutospacing="0" w:after="240" w:afterAutospacing="0" w:line="360" w:lineRule="auto"/>
      </w:pPr>
      <w:r>
        <w:t xml:space="preserve">Kelly, L., Adler, J.R., Horvath, M.A., Coulson, M., </w:t>
      </w:r>
      <w:proofErr w:type="spellStart"/>
      <w:r>
        <w:t>Kernohan</w:t>
      </w:r>
      <w:proofErr w:type="spellEnd"/>
      <w:r>
        <w:t xml:space="preserve">, D. and Grey, M. (2013). </w:t>
      </w:r>
      <w:r>
        <w:rPr>
          <w:i/>
          <w:iCs/>
        </w:rPr>
        <w:t>Evaluation of the pilot of domestic violence protection orders</w:t>
      </w:r>
      <w:r>
        <w:t xml:space="preserve">. </w:t>
      </w:r>
      <w:r>
        <w:rPr>
          <w:i/>
          <w:iCs/>
        </w:rPr>
        <w:t>https://assets.publishing.service.gov.uk/government/uploads/system/uploads/attachment_data/file/260897/horr76.pdf</w:t>
      </w:r>
      <w:r>
        <w:t>. Gov.uk: Home Office.</w:t>
      </w:r>
    </w:p>
    <w:p w14:paraId="647A5DB1" w14:textId="77777777" w:rsidR="00E839AE" w:rsidRDefault="00E839AE" w:rsidP="00E839AE">
      <w:pPr>
        <w:pStyle w:val="NormalWeb"/>
        <w:spacing w:before="0" w:beforeAutospacing="0" w:after="240" w:afterAutospacing="0" w:line="360" w:lineRule="auto"/>
      </w:pPr>
      <w:proofErr w:type="spellStart"/>
      <w:r>
        <w:lastRenderedPageBreak/>
        <w:t>Kingshott</w:t>
      </w:r>
      <w:proofErr w:type="spellEnd"/>
      <w:r>
        <w:t xml:space="preserve">, B.F., Bailey, K. and Wolfe, S.E. (2004). Police Culture, Ethics and Entitlement Theory. </w:t>
      </w:r>
      <w:r>
        <w:rPr>
          <w:i/>
          <w:iCs/>
        </w:rPr>
        <w:t>Criminal Justice Studies</w:t>
      </w:r>
      <w:r>
        <w:t xml:space="preserve">, 17(2), pp.187–202. </w:t>
      </w:r>
      <w:proofErr w:type="spellStart"/>
      <w:proofErr w:type="gramStart"/>
      <w:r>
        <w:t>doi:https</w:t>
      </w:r>
      <w:proofErr w:type="spellEnd"/>
      <w:r>
        <w:t>://doi.org/10.1080/0888431042000235020</w:t>
      </w:r>
      <w:proofErr w:type="gramEnd"/>
      <w:r>
        <w:t>.</w:t>
      </w:r>
    </w:p>
    <w:p w14:paraId="45693341" w14:textId="77777777" w:rsidR="00E839AE" w:rsidRDefault="00E839AE" w:rsidP="00E839AE">
      <w:pPr>
        <w:pStyle w:val="NormalWeb"/>
        <w:spacing w:before="0" w:beforeAutospacing="0" w:after="240" w:afterAutospacing="0" w:line="360" w:lineRule="auto"/>
      </w:pPr>
      <w:r>
        <w:t xml:space="preserve">Levi, M. and Maguire, M. (2004). Reducing and preventing organised crime: An evidence-based critique. </w:t>
      </w:r>
      <w:r>
        <w:rPr>
          <w:i/>
          <w:iCs/>
        </w:rPr>
        <w:t xml:space="preserve">Crime, </w:t>
      </w:r>
      <w:proofErr w:type="gramStart"/>
      <w:r>
        <w:rPr>
          <w:i/>
          <w:iCs/>
        </w:rPr>
        <w:t>Law</w:t>
      </w:r>
      <w:proofErr w:type="gramEnd"/>
      <w:r>
        <w:rPr>
          <w:i/>
          <w:iCs/>
        </w:rPr>
        <w:t xml:space="preserve"> and Social Change</w:t>
      </w:r>
      <w:r>
        <w:t xml:space="preserve">, 41(5), pp.397–469. </w:t>
      </w:r>
      <w:proofErr w:type="spellStart"/>
      <w:proofErr w:type="gramStart"/>
      <w:r>
        <w:t>doi:https</w:t>
      </w:r>
      <w:proofErr w:type="spellEnd"/>
      <w:r>
        <w:t>://doi.org/10.1023/b:cris.0000039600.88691.af</w:t>
      </w:r>
      <w:proofErr w:type="gramEnd"/>
      <w:r>
        <w:t>.</w:t>
      </w:r>
    </w:p>
    <w:p w14:paraId="6FE02A4A" w14:textId="77777777" w:rsidR="00E839AE" w:rsidRDefault="00E839AE" w:rsidP="00E839AE">
      <w:pPr>
        <w:pStyle w:val="NormalWeb"/>
        <w:spacing w:before="0" w:beforeAutospacing="0" w:after="240" w:afterAutospacing="0" w:line="360" w:lineRule="auto"/>
      </w:pPr>
      <w:r>
        <w:t xml:space="preserve">Lumsden, K. (2017). ‘It’s a Profession, it Isn’t a Job’: Police Officers’ Views on the Professionalisation of Policing in England. </w:t>
      </w:r>
      <w:r>
        <w:rPr>
          <w:i/>
          <w:iCs/>
        </w:rPr>
        <w:t>Sociological Research Online</w:t>
      </w:r>
      <w:r>
        <w:t xml:space="preserve">, 22(3), pp.4–20. </w:t>
      </w:r>
      <w:proofErr w:type="spellStart"/>
      <w:proofErr w:type="gramStart"/>
      <w:r>
        <w:t>doi:https</w:t>
      </w:r>
      <w:proofErr w:type="spellEnd"/>
      <w:r>
        <w:t>://doi.org/10.1177/1360780417724062</w:t>
      </w:r>
      <w:proofErr w:type="gramEnd"/>
      <w:r>
        <w:t>.</w:t>
      </w:r>
    </w:p>
    <w:p w14:paraId="05C34562" w14:textId="77777777" w:rsidR="00E839AE" w:rsidRDefault="00E839AE" w:rsidP="00E839AE">
      <w:pPr>
        <w:pStyle w:val="NormalWeb"/>
        <w:spacing w:before="0" w:beforeAutospacing="0" w:after="240" w:afterAutospacing="0" w:line="360" w:lineRule="auto"/>
      </w:pPr>
      <w:r>
        <w:t xml:space="preserve">Martin, D. (2021). Understanding the reconstruction of police professionalism in the UK. </w:t>
      </w:r>
      <w:r>
        <w:rPr>
          <w:i/>
          <w:iCs/>
        </w:rPr>
        <w:t>Policing and Society</w:t>
      </w:r>
      <w:r>
        <w:t xml:space="preserve">, 32(7), pp.1–16. </w:t>
      </w:r>
      <w:proofErr w:type="spellStart"/>
      <w:proofErr w:type="gramStart"/>
      <w:r>
        <w:t>doi:https</w:t>
      </w:r>
      <w:proofErr w:type="spellEnd"/>
      <w:r>
        <w:t>://doi.org/10.1080/10439463.2021.1999447</w:t>
      </w:r>
      <w:proofErr w:type="gramEnd"/>
      <w:r>
        <w:t>.</w:t>
      </w:r>
    </w:p>
    <w:p w14:paraId="2F4974AE" w14:textId="77777777" w:rsidR="00E839AE" w:rsidRDefault="00E839AE" w:rsidP="00E839AE">
      <w:pPr>
        <w:pStyle w:val="NormalWeb"/>
        <w:spacing w:before="0" w:beforeAutospacing="0" w:after="240" w:afterAutospacing="0" w:line="360" w:lineRule="auto"/>
      </w:pPr>
      <w:r>
        <w:t xml:space="preserve">Muir, R. (2022). Police culture has been called out. It’s time for change. </w:t>
      </w:r>
      <w:r>
        <w:rPr>
          <w:i/>
          <w:iCs/>
        </w:rPr>
        <w:t>Policing legitimacy, Policing and the public</w:t>
      </w:r>
      <w:r>
        <w:t>. Available at: https://www.police-foundation.org.uk/2022/11/police-culture-has-been-called-out-its-time-for-change/ [Accessed 6 Apr. 2023].</w:t>
      </w:r>
    </w:p>
    <w:p w14:paraId="300DF3E7" w14:textId="77777777" w:rsidR="00E839AE" w:rsidRDefault="00E839AE" w:rsidP="00E839AE">
      <w:pPr>
        <w:pStyle w:val="NormalWeb"/>
        <w:spacing w:before="0" w:beforeAutospacing="0" w:after="240" w:afterAutospacing="0" w:line="360" w:lineRule="auto"/>
      </w:pPr>
      <w:r>
        <w:t xml:space="preserve">National Crime Agency (2021). </w:t>
      </w:r>
      <w:r>
        <w:rPr>
          <w:i/>
          <w:iCs/>
        </w:rPr>
        <w:t>Investigating and disrupting the highest risk serious and organised criminals</w:t>
      </w:r>
      <w:r>
        <w:t>. [online] nationalcrimeagency.gov.uk. Available at: https://nationalcrimeagency.gov.uk/what-we-do/how-we-work/investigating-and-disrupting-the-highest-risk-serious-and-organised-criminals [Accessed 6 Apr. 2023].</w:t>
      </w:r>
    </w:p>
    <w:p w14:paraId="2252C3B4" w14:textId="77777777" w:rsidR="00E839AE" w:rsidRDefault="00E839AE" w:rsidP="00E839AE">
      <w:pPr>
        <w:pStyle w:val="NormalWeb"/>
        <w:spacing w:before="0" w:beforeAutospacing="0" w:after="240" w:afterAutospacing="0" w:line="360" w:lineRule="auto"/>
      </w:pPr>
      <w:r>
        <w:t xml:space="preserve">NCA (2020). </w:t>
      </w:r>
      <w:r>
        <w:rPr>
          <w:i/>
          <w:iCs/>
        </w:rPr>
        <w:t>National Strategic Assessment of Serious and Organised Crime 2020</w:t>
      </w:r>
      <w:r>
        <w:t xml:space="preserve">. [online] </w:t>
      </w:r>
      <w:r>
        <w:rPr>
          <w:i/>
          <w:iCs/>
        </w:rPr>
        <w:t>National Crime Agency</w:t>
      </w:r>
      <w:r>
        <w:t>. Available at: https://www.nationalcrimeagency.gov.uk/news/nsa2020 [Accessed 6 Apr. 2023].</w:t>
      </w:r>
    </w:p>
    <w:p w14:paraId="5C2AA19D" w14:textId="77777777" w:rsidR="00E839AE" w:rsidRDefault="00E839AE" w:rsidP="00E839AE">
      <w:pPr>
        <w:pStyle w:val="NormalWeb"/>
        <w:spacing w:before="0" w:beforeAutospacing="0" w:after="240" w:afterAutospacing="0" w:line="360" w:lineRule="auto"/>
      </w:pPr>
      <w:r>
        <w:t xml:space="preserve">NCA (2021). </w:t>
      </w:r>
      <w:r>
        <w:rPr>
          <w:i/>
          <w:iCs/>
        </w:rPr>
        <w:t>YOU ONLY GET ONE SHOT IN LIFE – DON’T BLOW IT</w:t>
      </w:r>
      <w:r>
        <w:t>. [online] nationalcrimeagency.gov.uk. Available at: https://nationalcrimeagency.gov.uk/news/you-only-get-one-shot-in-life-don-t-blow-it [Accessed 6 Apr. 2023].</w:t>
      </w:r>
    </w:p>
    <w:p w14:paraId="6A86D9FA" w14:textId="77777777" w:rsidR="00E839AE" w:rsidRDefault="00E839AE" w:rsidP="00E839AE">
      <w:pPr>
        <w:pStyle w:val="NormalWeb"/>
        <w:spacing w:before="0" w:beforeAutospacing="0" w:after="240" w:afterAutospacing="0" w:line="360" w:lineRule="auto"/>
      </w:pPr>
      <w:r>
        <w:t xml:space="preserve">Nurse, </w:t>
      </w:r>
      <w:proofErr w:type="spellStart"/>
      <w:r>
        <w:t>Jason.R.C</w:t>
      </w:r>
      <w:proofErr w:type="spellEnd"/>
      <w:r>
        <w:t xml:space="preserve">. and Bada, M. (2019). The Group Element of Cybercrime: Types, Dynamics, and Criminal Operations. </w:t>
      </w:r>
      <w:r>
        <w:rPr>
          <w:i/>
          <w:iCs/>
        </w:rPr>
        <w:t>The Oxford Handbook of Cyberpsychology</w:t>
      </w:r>
      <w:r>
        <w:t xml:space="preserve">. [online] </w:t>
      </w:r>
      <w:proofErr w:type="spellStart"/>
      <w:proofErr w:type="gramStart"/>
      <w:r>
        <w:t>doi:https</w:t>
      </w:r>
      <w:proofErr w:type="spellEnd"/>
      <w:r>
        <w:t>://doi.org/10.48550/arXiv.1901.01914</w:t>
      </w:r>
      <w:proofErr w:type="gramEnd"/>
      <w:r>
        <w:t>.</w:t>
      </w:r>
    </w:p>
    <w:p w14:paraId="526532C5" w14:textId="77777777" w:rsidR="00E839AE" w:rsidRDefault="00E839AE" w:rsidP="00E839AE">
      <w:pPr>
        <w:pStyle w:val="NormalWeb"/>
        <w:spacing w:before="0" w:beforeAutospacing="0" w:after="240" w:afterAutospacing="0" w:line="360" w:lineRule="auto"/>
      </w:pPr>
      <w:r>
        <w:lastRenderedPageBreak/>
        <w:t xml:space="preserve">Organization for Security and Co-operation in Europe (2014). </w:t>
      </w:r>
      <w:r>
        <w:rPr>
          <w:i/>
          <w:iCs/>
        </w:rPr>
        <w:t>Preventing Terrorism and Countering Violent Extremism and Radicalization that Lead to Terrorism: A Community-Policing Approach</w:t>
      </w:r>
      <w:r>
        <w:t xml:space="preserve">. [online] </w:t>
      </w:r>
      <w:r>
        <w:rPr>
          <w:i/>
          <w:iCs/>
        </w:rPr>
        <w:t>Organization for Security and Co-operation in Europe</w:t>
      </w:r>
      <w:r>
        <w:t>. Organization for Security and Co-operation in Europe. Available at: https://www.osce.org/atu/111438?download=true [Accessed 6 Apr. 2023].</w:t>
      </w:r>
    </w:p>
    <w:p w14:paraId="0F599F70" w14:textId="77777777" w:rsidR="00E839AE" w:rsidRDefault="00E839AE" w:rsidP="00E839AE">
      <w:pPr>
        <w:pStyle w:val="NormalWeb"/>
        <w:spacing w:before="0" w:beforeAutospacing="0" w:after="240" w:afterAutospacing="0" w:line="360" w:lineRule="auto"/>
      </w:pPr>
      <w:r>
        <w:t xml:space="preserve">Robinson, A. (2004). </w:t>
      </w:r>
      <w:r>
        <w:rPr>
          <w:i/>
          <w:iCs/>
        </w:rPr>
        <w:t>Domestic Violence MARACs (Multi-Agency Risk Assessment Conferences) for Very High-Risk Victims in Cardiff, Wales: A Process and Outcome Evaluation</w:t>
      </w:r>
      <w:r>
        <w:t>. Cardiff University.</w:t>
      </w:r>
    </w:p>
    <w:p w14:paraId="7C46466E" w14:textId="77777777" w:rsidR="00E839AE" w:rsidRDefault="00E839AE" w:rsidP="00E839AE">
      <w:pPr>
        <w:pStyle w:val="NormalWeb"/>
        <w:spacing w:before="0" w:beforeAutospacing="0" w:after="240" w:afterAutospacing="0" w:line="360" w:lineRule="auto"/>
      </w:pPr>
      <w:proofErr w:type="spellStart"/>
      <w:r>
        <w:t>Robotham</w:t>
      </w:r>
      <w:proofErr w:type="spellEnd"/>
      <w:r>
        <w:t xml:space="preserve">, D. (2008). Stress among higher education students: towards a research agenda. </w:t>
      </w:r>
      <w:r>
        <w:rPr>
          <w:i/>
          <w:iCs/>
        </w:rPr>
        <w:t>Higher Education</w:t>
      </w:r>
      <w:r>
        <w:t xml:space="preserve">, 56(6), pp.735–746. </w:t>
      </w:r>
      <w:proofErr w:type="spellStart"/>
      <w:proofErr w:type="gramStart"/>
      <w:r>
        <w:t>doi:https</w:t>
      </w:r>
      <w:proofErr w:type="spellEnd"/>
      <w:r>
        <w:t>://doi.org/10.1007/s10734-008-9137-1</w:t>
      </w:r>
      <w:proofErr w:type="gramEnd"/>
      <w:r>
        <w:t>.</w:t>
      </w:r>
    </w:p>
    <w:p w14:paraId="2F08D363" w14:textId="77777777" w:rsidR="00E839AE" w:rsidRDefault="00E839AE" w:rsidP="00E839AE">
      <w:pPr>
        <w:pStyle w:val="NormalWeb"/>
        <w:spacing w:before="0" w:beforeAutospacing="0" w:after="240" w:afterAutospacing="0" w:line="360" w:lineRule="auto"/>
      </w:pPr>
      <w:r>
        <w:t xml:space="preserve">Roodt G., Rieger H.S. and </w:t>
      </w:r>
      <w:proofErr w:type="spellStart"/>
      <w:r>
        <w:t>Sempane</w:t>
      </w:r>
      <w:proofErr w:type="spellEnd"/>
      <w:r>
        <w:t xml:space="preserve"> M.E. (2002). Job satisfaction in relation to organisational culture. </w:t>
      </w:r>
      <w:r>
        <w:rPr>
          <w:i/>
          <w:iCs/>
        </w:rPr>
        <w:t>SA Journal of Industrial Psychology</w:t>
      </w:r>
      <w:r>
        <w:t xml:space="preserve">, [online] 28(2), pp.23–30. </w:t>
      </w:r>
      <w:proofErr w:type="spellStart"/>
      <w:proofErr w:type="gramStart"/>
      <w:r>
        <w:t>doi:https</w:t>
      </w:r>
      <w:proofErr w:type="spellEnd"/>
      <w:r>
        <w:t>://doi.org/10.10520/EJC88907</w:t>
      </w:r>
      <w:proofErr w:type="gramEnd"/>
      <w:r>
        <w:t>.</w:t>
      </w:r>
    </w:p>
    <w:p w14:paraId="00A24653" w14:textId="77777777" w:rsidR="00E839AE" w:rsidRDefault="00E839AE" w:rsidP="00E839AE">
      <w:pPr>
        <w:pStyle w:val="NormalWeb"/>
        <w:spacing w:before="0" w:beforeAutospacing="0" w:after="240" w:afterAutospacing="0" w:line="360" w:lineRule="auto"/>
      </w:pPr>
      <w:proofErr w:type="spellStart"/>
      <w:r>
        <w:t>Sarre</w:t>
      </w:r>
      <w:proofErr w:type="spellEnd"/>
      <w:r>
        <w:t>, R., Lau, L.Y.-</w:t>
      </w:r>
      <w:proofErr w:type="gramStart"/>
      <w:r>
        <w:t>C.</w:t>
      </w:r>
      <w:proofErr w:type="gramEnd"/>
      <w:r>
        <w:t xml:space="preserve"> and Chang, L.Y.C. (2018). Responding to Cybercrime: Current Trends. </w:t>
      </w:r>
      <w:r>
        <w:rPr>
          <w:i/>
          <w:iCs/>
        </w:rPr>
        <w:t>Police Practice and Research</w:t>
      </w:r>
      <w:r>
        <w:t xml:space="preserve">, [online] 19(6), pp.515–518. </w:t>
      </w:r>
      <w:proofErr w:type="spellStart"/>
      <w:proofErr w:type="gramStart"/>
      <w:r>
        <w:t>doi:https</w:t>
      </w:r>
      <w:proofErr w:type="spellEnd"/>
      <w:r>
        <w:t>://doi.org/10.1080/15614263.2018.1507888</w:t>
      </w:r>
      <w:proofErr w:type="gramEnd"/>
      <w:r>
        <w:t>.</w:t>
      </w:r>
    </w:p>
    <w:p w14:paraId="6C708AF5" w14:textId="77777777" w:rsidR="00E839AE" w:rsidRDefault="00E839AE" w:rsidP="00E839AE">
      <w:pPr>
        <w:pStyle w:val="NormalWeb"/>
        <w:spacing w:before="0" w:beforeAutospacing="0" w:after="240" w:afterAutospacing="0" w:line="360" w:lineRule="auto"/>
      </w:pPr>
      <w:r>
        <w:t xml:space="preserve">Schein, E.H. (1987). </w:t>
      </w:r>
      <w:r>
        <w:rPr>
          <w:i/>
          <w:iCs/>
        </w:rPr>
        <w:t>Defining Organisation Culture</w:t>
      </w:r>
      <w:r>
        <w:t>. Somerset: Wiley, pp.381–396.</w:t>
      </w:r>
    </w:p>
    <w:p w14:paraId="348FCAAC" w14:textId="77777777" w:rsidR="00E839AE" w:rsidRDefault="00E839AE" w:rsidP="00E839AE">
      <w:pPr>
        <w:pStyle w:val="NormalWeb"/>
        <w:spacing w:before="0" w:beforeAutospacing="0" w:after="240" w:afterAutospacing="0" w:line="360" w:lineRule="auto"/>
      </w:pPr>
      <w:r>
        <w:t xml:space="preserve">Scott, K., Heslop, L., Kelly, T. and Wiggins, K. (2013). Intervening to Prevent Repeat Offending Among Moderate- to High-Risk Domestic Violence Offenders. </w:t>
      </w:r>
      <w:r>
        <w:rPr>
          <w:i/>
          <w:iCs/>
        </w:rPr>
        <w:t>International Journal of Offender Therapy and Comparative Criminology</w:t>
      </w:r>
      <w:r>
        <w:t xml:space="preserve">, 59(3), pp.273–294. </w:t>
      </w:r>
      <w:proofErr w:type="spellStart"/>
      <w:proofErr w:type="gramStart"/>
      <w:r>
        <w:t>doi:https</w:t>
      </w:r>
      <w:proofErr w:type="spellEnd"/>
      <w:r>
        <w:t>://doi.org/10.1177/0306624x13513709</w:t>
      </w:r>
      <w:proofErr w:type="gramEnd"/>
      <w:r>
        <w:t>.</w:t>
      </w:r>
    </w:p>
    <w:p w14:paraId="0B5EFCA2" w14:textId="77777777" w:rsidR="00E839AE" w:rsidRDefault="00E839AE" w:rsidP="00E839AE">
      <w:pPr>
        <w:pStyle w:val="NormalWeb"/>
        <w:spacing w:before="0" w:beforeAutospacing="0" w:after="240" w:afterAutospacing="0" w:line="360" w:lineRule="auto"/>
      </w:pPr>
      <w:proofErr w:type="spellStart"/>
      <w:r>
        <w:t>Shernock</w:t>
      </w:r>
      <w:proofErr w:type="spellEnd"/>
      <w:r>
        <w:t xml:space="preserve">, S.K. (1992). The effects of college education on professional attitudes among police. </w:t>
      </w:r>
      <w:r>
        <w:rPr>
          <w:i/>
          <w:iCs/>
        </w:rPr>
        <w:t>Journal of Criminal Justice Education</w:t>
      </w:r>
      <w:r>
        <w:t xml:space="preserve">, 3(1), pp.71–92. </w:t>
      </w:r>
      <w:proofErr w:type="spellStart"/>
      <w:proofErr w:type="gramStart"/>
      <w:r>
        <w:t>doi:https</w:t>
      </w:r>
      <w:proofErr w:type="spellEnd"/>
      <w:r>
        <w:t>://doi.org/10.1080/10511259200082531</w:t>
      </w:r>
      <w:proofErr w:type="gramEnd"/>
      <w:r>
        <w:t>.</w:t>
      </w:r>
    </w:p>
    <w:p w14:paraId="560E85A7" w14:textId="77777777" w:rsidR="00E839AE" w:rsidRDefault="00E839AE" w:rsidP="00E839AE">
      <w:pPr>
        <w:pStyle w:val="NormalWeb"/>
        <w:spacing w:before="0" w:beforeAutospacing="0" w:after="240" w:afterAutospacing="0" w:line="360" w:lineRule="auto"/>
      </w:pPr>
      <w:r>
        <w:t xml:space="preserve">Statista (2022). </w:t>
      </w:r>
      <w:r>
        <w:rPr>
          <w:i/>
          <w:iCs/>
        </w:rPr>
        <w:t>Number of Smartphone Users Worldwide 2014-2020 | Statista</w:t>
      </w:r>
      <w:r>
        <w:t>. [online] Statista. Available at: https://www.statista.com/statistics/330695/number-of-smartphone-users-worldwide/.</w:t>
      </w:r>
    </w:p>
    <w:p w14:paraId="062A375B" w14:textId="77777777" w:rsidR="00E839AE" w:rsidRDefault="00E839AE" w:rsidP="00E839AE">
      <w:pPr>
        <w:pStyle w:val="NormalWeb"/>
        <w:spacing w:before="0" w:beforeAutospacing="0" w:after="240" w:afterAutospacing="0" w:line="360" w:lineRule="auto"/>
      </w:pPr>
      <w:proofErr w:type="spellStart"/>
      <w:r>
        <w:lastRenderedPageBreak/>
        <w:t>Tcherni</w:t>
      </w:r>
      <w:proofErr w:type="spellEnd"/>
      <w:r>
        <w:t xml:space="preserve">, M., Davies, A., Lopes, G. and Lizotte, A. (2015). The Dark Figure of Online Property Crime: Is Cyberspace Hiding a Crime Wave? </w:t>
      </w:r>
      <w:r>
        <w:rPr>
          <w:i/>
          <w:iCs/>
        </w:rPr>
        <w:t>Justice Quarterly</w:t>
      </w:r>
      <w:r>
        <w:t xml:space="preserve">, 33(5), pp.890–911. </w:t>
      </w:r>
      <w:proofErr w:type="spellStart"/>
      <w:proofErr w:type="gramStart"/>
      <w:r>
        <w:t>doi:https</w:t>
      </w:r>
      <w:proofErr w:type="spellEnd"/>
      <w:r>
        <w:t>://doi.org/10.1080/07418825.2014.994658</w:t>
      </w:r>
      <w:proofErr w:type="gramEnd"/>
      <w:r>
        <w:t>.</w:t>
      </w:r>
    </w:p>
    <w:p w14:paraId="1C9A4FD0" w14:textId="77777777" w:rsidR="00E839AE" w:rsidRDefault="00E839AE" w:rsidP="00E839AE">
      <w:pPr>
        <w:pStyle w:val="NormalWeb"/>
        <w:spacing w:before="0" w:beforeAutospacing="0" w:after="240" w:afterAutospacing="0" w:line="360" w:lineRule="auto"/>
      </w:pPr>
      <w:r>
        <w:t xml:space="preserve">Trevena, J. and Poynton, S. (2016). Does a prison sentence affect future domestic violence reoffending? </w:t>
      </w:r>
      <w:r>
        <w:rPr>
          <w:i/>
          <w:iCs/>
        </w:rPr>
        <w:t>NSW Journal of Crime Statistics and Research</w:t>
      </w:r>
      <w:r>
        <w:t>, 190.</w:t>
      </w:r>
    </w:p>
    <w:p w14:paraId="66F4A96A" w14:textId="77777777" w:rsidR="00E839AE" w:rsidRDefault="00E839AE" w:rsidP="00E839AE">
      <w:pPr>
        <w:pStyle w:val="NormalWeb"/>
        <w:spacing w:before="0" w:beforeAutospacing="0" w:after="240" w:afterAutospacing="0" w:line="360" w:lineRule="auto"/>
      </w:pPr>
      <w:r>
        <w:t xml:space="preserve">UK Gov (2022). </w:t>
      </w:r>
      <w:r>
        <w:rPr>
          <w:i/>
          <w:iCs/>
        </w:rPr>
        <w:t>Cyber security breaches survey 2022</w:t>
      </w:r>
      <w:r>
        <w:t>. [online] GOV.UK. Available at: https://www.gov.uk/government/statistics/cyber-security-breaches-survey-2022 [Accessed 14 Feb. 2023].</w:t>
      </w:r>
    </w:p>
    <w:p w14:paraId="531432F4" w14:textId="77777777" w:rsidR="00E839AE" w:rsidRDefault="00E839AE" w:rsidP="00E839AE">
      <w:pPr>
        <w:pStyle w:val="NormalWeb"/>
        <w:spacing w:before="0" w:beforeAutospacing="0" w:after="240" w:afterAutospacing="0" w:line="360" w:lineRule="auto"/>
      </w:pPr>
      <w:r>
        <w:t xml:space="preserve">Vespucci, J. (2020). </w:t>
      </w:r>
      <w:r>
        <w:rPr>
          <w:i/>
          <w:iCs/>
        </w:rPr>
        <w:t>Education Level and Police Use of Force</w:t>
      </w:r>
      <w:r>
        <w:t xml:space="preserve">. [online] </w:t>
      </w:r>
      <w:proofErr w:type="spellStart"/>
      <w:r>
        <w:rPr>
          <w:i/>
          <w:iCs/>
        </w:rPr>
        <w:t>SpringerBriefs</w:t>
      </w:r>
      <w:proofErr w:type="spellEnd"/>
      <w:r>
        <w:rPr>
          <w:i/>
          <w:iCs/>
        </w:rPr>
        <w:t xml:space="preserve"> in Criminology</w:t>
      </w:r>
      <w:r>
        <w:t xml:space="preserve">. Cham: Springer International Publishing. </w:t>
      </w:r>
      <w:proofErr w:type="spellStart"/>
      <w:proofErr w:type="gramStart"/>
      <w:r>
        <w:t>doi:https</w:t>
      </w:r>
      <w:proofErr w:type="spellEnd"/>
      <w:r>
        <w:t>://doi.org/10.1007/978-3-030-42795-5</w:t>
      </w:r>
      <w:proofErr w:type="gramEnd"/>
      <w:r>
        <w:t>.</w:t>
      </w:r>
    </w:p>
    <w:p w14:paraId="48F3A69D" w14:textId="77777777" w:rsidR="00E839AE" w:rsidRDefault="00E839AE" w:rsidP="00E839AE">
      <w:pPr>
        <w:pStyle w:val="NormalWeb"/>
        <w:spacing w:before="0" w:beforeAutospacing="0" w:after="240" w:afterAutospacing="0" w:line="360" w:lineRule="auto"/>
      </w:pPr>
      <w:proofErr w:type="spellStart"/>
      <w:r>
        <w:t>Vodicka</w:t>
      </w:r>
      <w:proofErr w:type="spellEnd"/>
      <w:r>
        <w:t xml:space="preserve">, A.T. (1993). Educational </w:t>
      </w:r>
      <w:proofErr w:type="spellStart"/>
      <w:r>
        <w:t>Recuirements</w:t>
      </w:r>
      <w:proofErr w:type="spellEnd"/>
      <w:r>
        <w:t xml:space="preserve"> for Police </w:t>
      </w:r>
      <w:proofErr w:type="spellStart"/>
      <w:r>
        <w:t>recuits</w:t>
      </w:r>
      <w:proofErr w:type="spellEnd"/>
      <w:r>
        <w:t xml:space="preserve">. </w:t>
      </w:r>
      <w:proofErr w:type="spellStart"/>
      <w:r>
        <w:rPr>
          <w:i/>
          <w:iCs/>
        </w:rPr>
        <w:t>Aslet</w:t>
      </w:r>
      <w:proofErr w:type="spellEnd"/>
      <w:r>
        <w:rPr>
          <w:i/>
          <w:iCs/>
        </w:rPr>
        <w:t xml:space="preserve"> Journal</w:t>
      </w:r>
      <w:r>
        <w:t>, [online] 8(5). Available at: https://www.ojp.gov/ncjrs/virtual-library/abstracts/educational-requirements-police-recruits [Accessed 6 Apr. 2023].</w:t>
      </w:r>
    </w:p>
    <w:p w14:paraId="464BA50F" w14:textId="77777777" w:rsidR="00E839AE" w:rsidRDefault="00E839AE" w:rsidP="00E839AE">
      <w:pPr>
        <w:pStyle w:val="NormalWeb"/>
        <w:spacing w:before="0" w:beforeAutospacing="0" w:after="240" w:afterAutospacing="0" w:line="360" w:lineRule="auto"/>
      </w:pPr>
      <w:r>
        <w:t xml:space="preserve">Wall, D. (2001). </w:t>
      </w:r>
      <w:r>
        <w:rPr>
          <w:i/>
          <w:iCs/>
        </w:rPr>
        <w:t>Crime and the internet</w:t>
      </w:r>
      <w:r>
        <w:t>. New York: Routledge.</w:t>
      </w:r>
    </w:p>
    <w:p w14:paraId="5F0809FD" w14:textId="77777777" w:rsidR="00E839AE" w:rsidRDefault="00E839AE" w:rsidP="00E839AE">
      <w:pPr>
        <w:pStyle w:val="NormalWeb"/>
        <w:spacing w:before="0" w:beforeAutospacing="0" w:after="240" w:afterAutospacing="0" w:line="360" w:lineRule="auto"/>
      </w:pPr>
      <w:r>
        <w:t xml:space="preserve">Wall, D.S. (2007). Policing Cybercrimes: Situating the Public Police in Networks of Security within Cyberspace. </w:t>
      </w:r>
      <w:r>
        <w:rPr>
          <w:i/>
          <w:iCs/>
        </w:rPr>
        <w:t>Police Practice and Research</w:t>
      </w:r>
      <w:r>
        <w:t xml:space="preserve">, [online] 8(2), pp.183–205. </w:t>
      </w:r>
      <w:proofErr w:type="spellStart"/>
      <w:proofErr w:type="gramStart"/>
      <w:r>
        <w:t>doi:https</w:t>
      </w:r>
      <w:proofErr w:type="spellEnd"/>
      <w:r>
        <w:t>://doi.org/10.1080/15614260701377729</w:t>
      </w:r>
      <w:proofErr w:type="gramEnd"/>
      <w:r>
        <w:t>.</w:t>
      </w:r>
    </w:p>
    <w:p w14:paraId="52740B12" w14:textId="77777777" w:rsidR="00E839AE" w:rsidRDefault="00E839AE" w:rsidP="00E839AE">
      <w:pPr>
        <w:pStyle w:val="NormalWeb"/>
        <w:spacing w:before="0" w:beforeAutospacing="0" w:after="240" w:afterAutospacing="0" w:line="360" w:lineRule="auto"/>
      </w:pPr>
      <w:r>
        <w:t xml:space="preserve">Winchester, N. (2020). </w:t>
      </w:r>
      <w:r>
        <w:rPr>
          <w:i/>
          <w:iCs/>
        </w:rPr>
        <w:t>Policing in the UK: Serious and Organised Crime</w:t>
      </w:r>
      <w:r>
        <w:t xml:space="preserve">. [online] </w:t>
      </w:r>
      <w:r>
        <w:rPr>
          <w:i/>
          <w:iCs/>
        </w:rPr>
        <w:t>Lords Library</w:t>
      </w:r>
      <w:r>
        <w:t>. Lords Library: House of Lords. Available at: https://researchbriefings.files.parliament.uk/documents/LLN-2020-0016/LLN-2020-0016.pdf.</w:t>
      </w:r>
    </w:p>
    <w:p w14:paraId="78246AF8" w14:textId="77777777" w:rsidR="00160DC8" w:rsidRPr="00160DC8" w:rsidRDefault="00160DC8" w:rsidP="00160DC8">
      <w:pPr>
        <w:spacing w:line="360" w:lineRule="auto"/>
        <w:ind w:right="531"/>
        <w:jc w:val="both"/>
        <w:rPr>
          <w:rFonts w:eastAsia="Calibri" w:cstheme="minorHAnsi"/>
        </w:rPr>
      </w:pPr>
    </w:p>
    <w:p w14:paraId="2828B391" w14:textId="77777777" w:rsidR="00160DC8" w:rsidRPr="00160DC8" w:rsidRDefault="00160DC8" w:rsidP="00160DC8">
      <w:pPr>
        <w:spacing w:line="360" w:lineRule="auto"/>
        <w:ind w:right="531"/>
        <w:jc w:val="both"/>
        <w:rPr>
          <w:rFonts w:eastAsia="Calibri" w:cstheme="minorHAnsi"/>
        </w:rPr>
      </w:pPr>
    </w:p>
    <w:p w14:paraId="731CF7DF" w14:textId="77777777" w:rsidR="00160DC8" w:rsidRPr="00160DC8" w:rsidRDefault="00160DC8" w:rsidP="00160DC8">
      <w:pPr>
        <w:spacing w:line="360" w:lineRule="auto"/>
        <w:ind w:right="531"/>
        <w:jc w:val="both"/>
        <w:rPr>
          <w:rFonts w:eastAsia="Calibri" w:cstheme="minorHAnsi"/>
        </w:rPr>
      </w:pPr>
    </w:p>
    <w:p w14:paraId="525D0AF8" w14:textId="77777777" w:rsidR="00160DC8" w:rsidRPr="00160DC8" w:rsidRDefault="00160DC8" w:rsidP="00160DC8">
      <w:pPr>
        <w:spacing w:line="360" w:lineRule="auto"/>
        <w:jc w:val="both"/>
        <w:rPr>
          <w:rFonts w:cstheme="minorHAnsi"/>
          <w:b/>
          <w:bCs/>
        </w:rPr>
      </w:pPr>
    </w:p>
    <w:sectPr w:rsidR="00160DC8" w:rsidRPr="00160D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5E840" w14:textId="77777777" w:rsidR="00932474" w:rsidRDefault="00932474" w:rsidP="00932474">
      <w:pPr>
        <w:spacing w:after="0" w:line="240" w:lineRule="auto"/>
      </w:pPr>
      <w:r>
        <w:separator/>
      </w:r>
    </w:p>
  </w:endnote>
  <w:endnote w:type="continuationSeparator" w:id="0">
    <w:p w14:paraId="6996FA52" w14:textId="77777777" w:rsidR="00932474" w:rsidRDefault="00932474" w:rsidP="00932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36525" w14:textId="77777777" w:rsidR="00932474" w:rsidRDefault="00932474" w:rsidP="00932474">
      <w:pPr>
        <w:spacing w:after="0" w:line="240" w:lineRule="auto"/>
      </w:pPr>
      <w:r>
        <w:separator/>
      </w:r>
    </w:p>
  </w:footnote>
  <w:footnote w:type="continuationSeparator" w:id="0">
    <w:p w14:paraId="55A7F709" w14:textId="77777777" w:rsidR="00932474" w:rsidRDefault="00932474" w:rsidP="009324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DC8"/>
    <w:rsid w:val="00051024"/>
    <w:rsid w:val="00153451"/>
    <w:rsid w:val="00160DC8"/>
    <w:rsid w:val="003E1DB9"/>
    <w:rsid w:val="004130C5"/>
    <w:rsid w:val="006800C2"/>
    <w:rsid w:val="00932474"/>
    <w:rsid w:val="00DF4022"/>
    <w:rsid w:val="00E83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A09396D"/>
  <w15:chartTrackingRefBased/>
  <w15:docId w15:val="{3CE30F27-A974-4275-AF5B-18FE85831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39A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063880">
      <w:bodyDiv w:val="1"/>
      <w:marLeft w:val="0"/>
      <w:marRight w:val="0"/>
      <w:marTop w:val="0"/>
      <w:marBottom w:val="0"/>
      <w:divBdr>
        <w:top w:val="none" w:sz="0" w:space="0" w:color="auto"/>
        <w:left w:val="none" w:sz="0" w:space="0" w:color="auto"/>
        <w:bottom w:val="none" w:sz="0" w:space="0" w:color="auto"/>
        <w:right w:val="none" w:sz="0" w:space="0" w:color="auto"/>
      </w:divBdr>
      <w:divsChild>
        <w:div w:id="5200963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A7638AD198724EA23EC3D80514E661" ma:contentTypeVersion="2" ma:contentTypeDescription="Create a new document." ma:contentTypeScope="" ma:versionID="2e166589fe6ccfeb15eac93269e85323">
  <xsd:schema xmlns:xsd="http://www.w3.org/2001/XMLSchema" xmlns:xs="http://www.w3.org/2001/XMLSchema" xmlns:p="http://schemas.microsoft.com/office/2006/metadata/properties" xmlns:ns3="1b1d4c64-4802-48cb-904c-7490ad1e651d" targetNamespace="http://schemas.microsoft.com/office/2006/metadata/properties" ma:root="true" ma:fieldsID="a64703a1b9ddd53e1f53f3dbf77474e3" ns3:_="">
    <xsd:import namespace="1b1d4c64-4802-48cb-904c-7490ad1e651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1d4c64-4802-48cb-904c-7490ad1e65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767793-83C8-43F8-A076-7E73CEA3A954}">
  <ds:schemaRefs>
    <ds:schemaRef ds:uri="http://schemas.microsoft.com/office/infopath/2007/PartnerControls"/>
    <ds:schemaRef ds:uri="http://www.w3.org/XML/1998/namespace"/>
    <ds:schemaRef ds:uri="http://purl.org/dc/dcmitype/"/>
    <ds:schemaRef ds:uri="http://purl.org/dc/elements/1.1/"/>
    <ds:schemaRef ds:uri="http://schemas.microsoft.com/office/2006/metadata/properties"/>
    <ds:schemaRef ds:uri="http://purl.org/dc/terms/"/>
    <ds:schemaRef ds:uri="http://schemas.microsoft.com/office/2006/documentManagement/types"/>
    <ds:schemaRef ds:uri="1b1d4c64-4802-48cb-904c-7490ad1e651d"/>
    <ds:schemaRef ds:uri="http://schemas.openxmlformats.org/package/2006/metadata/core-properties"/>
  </ds:schemaRefs>
</ds:datastoreItem>
</file>

<file path=customXml/itemProps2.xml><?xml version="1.0" encoding="utf-8"?>
<ds:datastoreItem xmlns:ds="http://schemas.openxmlformats.org/officeDocument/2006/customXml" ds:itemID="{747ECF08-6341-41AD-A465-F25B31DE6D97}">
  <ds:schemaRefs>
    <ds:schemaRef ds:uri="http://schemas.microsoft.com/sharepoint/v3/contenttype/forms"/>
  </ds:schemaRefs>
</ds:datastoreItem>
</file>

<file path=customXml/itemProps3.xml><?xml version="1.0" encoding="utf-8"?>
<ds:datastoreItem xmlns:ds="http://schemas.openxmlformats.org/officeDocument/2006/customXml" ds:itemID="{8F6DBDA8-76CC-450F-A771-E83BEC813A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1d4c64-4802-48cb-904c-7490ad1e65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6377</Words>
  <Characters>36351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Evans,Jessica swp6975</dc:creator>
  <cp:keywords/>
  <dc:description/>
  <cp:lastModifiedBy>Jessica Evans</cp:lastModifiedBy>
  <cp:revision>2</cp:revision>
  <dcterms:created xsi:type="dcterms:W3CDTF">2023-04-08T12:59:00Z</dcterms:created>
  <dcterms:modified xsi:type="dcterms:W3CDTF">2023-04-08T12:59:00Z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2023-04-08T12:32:53Z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7a1a4dfb-9b9d-45ca-93a3-e1cbdadaa5dd</vt:lpwstr>
  </property>
  <property fmtid="{D5CDD505-2E9C-101B-9397-08002B2CF9AE}" pid="8" name="MSIP_Label_66cf8fe5-b7b7-4df7-b38d-1c61ac2f6639_ContentBits">
    <vt:lpwstr>0</vt:lpwstr>
  </property>
  <property fmtid="{D5CDD505-2E9C-101B-9397-08002B2CF9AE}" pid="9" name="ContentTypeId">
    <vt:lpwstr>0x01010045A7638AD198724EA23EC3D80514E661</vt:lpwstr>
  </property>
</Properties>
</file>