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ED9D5C" w14:textId="1F39D66B" w:rsidR="00063D3A" w:rsidRDefault="00FE4344" w:rsidP="00FE4344">
      <w:pPr>
        <w:jc w:val="center"/>
      </w:pPr>
      <w:bookmarkStart w:id="0" w:name="_GoBack"/>
      <w:bookmarkEnd w:id="0"/>
      <w:r>
        <w:rPr>
          <w:noProof/>
          <w:lang w:eastAsia="en-GB"/>
        </w:rPr>
        <w:drawing>
          <wp:inline distT="0" distB="0" distL="0" distR="0" wp14:anchorId="0FBA96AF" wp14:editId="62C191C8">
            <wp:extent cx="3390900" cy="1455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90900" cy="1455420"/>
                    </a:xfrm>
                    <a:prstGeom prst="rect">
                      <a:avLst/>
                    </a:prstGeom>
                    <a:noFill/>
                    <a:ln>
                      <a:noFill/>
                    </a:ln>
                  </pic:spPr>
                </pic:pic>
              </a:graphicData>
            </a:graphic>
          </wp:inline>
        </w:drawing>
      </w:r>
    </w:p>
    <w:p w14:paraId="08E3995F" w14:textId="1E7F8477" w:rsidR="004F5A41" w:rsidRDefault="004F5A41" w:rsidP="00FE4344">
      <w:pPr>
        <w:jc w:val="center"/>
      </w:pPr>
    </w:p>
    <w:p w14:paraId="12F8DB49" w14:textId="77777777" w:rsidR="004F5A41" w:rsidRDefault="004F5A41" w:rsidP="004F5A41">
      <w:pPr>
        <w:pStyle w:val="Heading2"/>
        <w:shd w:val="clear" w:color="auto" w:fill="FFFFFF"/>
        <w:spacing w:before="0" w:after="150"/>
        <w:rPr>
          <w:rFonts w:ascii="Helvetica" w:hAnsi="Helvetica" w:cs="Helvetica"/>
          <w:color w:val="333333"/>
          <w:sz w:val="54"/>
          <w:szCs w:val="54"/>
        </w:rPr>
      </w:pPr>
      <w:r>
        <w:rPr>
          <w:rStyle w:val="Strong"/>
          <w:rFonts w:ascii="Helvetica" w:hAnsi="Helvetica" w:cs="Helvetica"/>
          <w:b w:val="0"/>
          <w:bCs w:val="0"/>
          <w:color w:val="333333"/>
          <w:sz w:val="54"/>
          <w:szCs w:val="54"/>
        </w:rPr>
        <w:t>New national approach to improve safeguarding in Wales</w:t>
      </w:r>
    </w:p>
    <w:p w14:paraId="70014B1F"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Wales will become the first part of the UK to introduce a single set of safeguarding guidelines for children and adults at risk when the new Wales Safeguarding Procedures launch, online and via an app, on 11 November 2019.</w:t>
      </w:r>
    </w:p>
    <w:p w14:paraId="7CABC8AA"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The Wales Safeguarding Procedures will standardise practice across Wales and between agencies and sectors.</w:t>
      </w:r>
    </w:p>
    <w:p w14:paraId="653E0AE1"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The procedures will set out the essential roles and responsibilities for anyone working with children or adults who are experiencing, or at risk of, abuse, neglect or other kinds of harm. In doing so they will replace the current All Wales Child Protection Procedures as well as various local safeguarding procedures for adults and other central guidance previously issued by Welsh Government.</w:t>
      </w:r>
    </w:p>
    <w:p w14:paraId="183453F3"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In another first for the sector, the Wales Safeguarding Procedures will only be published digitally.</w:t>
      </w:r>
    </w:p>
    <w:p w14:paraId="2A854E92"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There will be no printed copies of the procedures. Instead they will be available to everyone online, either via the dedicated Wales Safeguarding Procedures website or the mobile app which will be available for both iPhone and Android devices.</w:t>
      </w:r>
    </w:p>
    <w:p w14:paraId="572400D8"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This means that there will always be a single up-to-date version available to all practitioners. It will also make finding information quick and easy.</w:t>
      </w:r>
    </w:p>
    <w:p w14:paraId="1B413517"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‘Pointers for practice’ are featured throughout both the web and app versions of the procedures and provide simple ‘how to’ guidance for practitioners. These draw on the latest research and practice developments.</w:t>
      </w:r>
    </w:p>
    <w:p w14:paraId="2F9E65EF"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Both platforms will also feature a searchable glossary. This will make it easier for people to work in partnership by ensuring that every practitioner is using the same terminology in the same way, irrespective of their sector or professional discipline.</w:t>
      </w:r>
    </w:p>
    <w:p w14:paraId="6AB94C9A"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lastRenderedPageBreak/>
        <w:t>The Wales Safeguarding Procedures will be published on 11 November 2019 and will be available to everyone to view from this date either via the official website or by downloading the Wales Safeguarding Procedures app.</w:t>
      </w:r>
    </w:p>
    <w:p w14:paraId="61BC946C"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Each Regional Safeguarding Board will then need to formally adopt the procedures. At this point they will become endorsed for use in each region.</w:t>
      </w:r>
    </w:p>
    <w:p w14:paraId="1A96E354" w14:textId="77777777" w:rsidR="004F5A41" w:rsidRDefault="004F5A41" w:rsidP="004F5A41">
      <w:pPr>
        <w:pStyle w:val="NormalWeb"/>
        <w:shd w:val="clear" w:color="auto" w:fill="FFFFFF"/>
        <w:spacing w:before="0" w:beforeAutospacing="0" w:after="390" w:afterAutospacing="0"/>
        <w:rPr>
          <w:rFonts w:ascii="Helvetica" w:hAnsi="Helvetica" w:cs="Helvetica"/>
          <w:color w:val="222222"/>
        </w:rPr>
      </w:pPr>
      <w:r>
        <w:rPr>
          <w:rFonts w:ascii="Helvetica" w:hAnsi="Helvetica" w:cs="Helvetica"/>
          <w:color w:val="222222"/>
        </w:rPr>
        <w:t>It will be for each board to schedule their own timetable for adoption of the procedures, but it is expected that the Wales Safeguarding Procedures will be considered by each board before the end of January 2020.</w:t>
      </w:r>
    </w:p>
    <w:p w14:paraId="299BDD2B" w14:textId="1C707A01" w:rsidR="004F5A41" w:rsidRDefault="004F5A41" w:rsidP="004F5A41">
      <w:pPr>
        <w:pStyle w:val="NormalWeb"/>
        <w:rPr>
          <w:rFonts w:ascii="Helvetica" w:hAnsi="Helvetica" w:cs="Helvetica"/>
          <w:color w:val="222222"/>
          <w:shd w:val="clear" w:color="auto" w:fill="FFFFFF"/>
        </w:rPr>
      </w:pPr>
      <w:r>
        <w:rPr>
          <w:rFonts w:ascii="Helvetica" w:hAnsi="Helvetica" w:cs="Helvetica"/>
          <w:color w:val="222222"/>
          <w:shd w:val="clear" w:color="auto" w:fill="FFFFFF"/>
        </w:rPr>
        <w:t xml:space="preserve">The Wales Safeguarding Procedures app is available for download now via the Apple App Store and Google Play Store. </w:t>
      </w:r>
    </w:p>
    <w:p w14:paraId="22052EFD" w14:textId="3BE86359" w:rsidR="004F5A41" w:rsidRDefault="004F5A41" w:rsidP="004F5A41">
      <w:pPr>
        <w:pStyle w:val="NormalWeb"/>
        <w:rPr>
          <w:rFonts w:ascii="Helvetica" w:hAnsi="Helvetica" w:cs="Helvetica"/>
          <w:color w:val="222222"/>
          <w:shd w:val="clear" w:color="auto" w:fill="FFFFFF"/>
        </w:rPr>
      </w:pPr>
    </w:p>
    <w:p w14:paraId="5D381317" w14:textId="77777777" w:rsidR="004F5A41" w:rsidRDefault="004F5A41" w:rsidP="004F5A41">
      <w:pPr>
        <w:pStyle w:val="NormalWeb"/>
        <w:rPr>
          <w:rFonts w:ascii="Helvetica" w:hAnsi="Helvetica" w:cs="Helvetica"/>
          <w:color w:val="222222"/>
          <w:shd w:val="clear" w:color="auto" w:fill="FFFFFF"/>
        </w:rPr>
      </w:pPr>
    </w:p>
    <w:p w14:paraId="5B807151" w14:textId="77777777" w:rsidR="004F5A41" w:rsidRDefault="004F5A41" w:rsidP="004F5A41">
      <w:pPr>
        <w:pStyle w:val="NormalWeb"/>
        <w:rPr>
          <w:rFonts w:ascii="Helvetica" w:hAnsi="Helvetica" w:cs="Helvetica"/>
          <w:color w:val="222222"/>
          <w:shd w:val="clear" w:color="auto" w:fill="FFFFFF"/>
        </w:rPr>
      </w:pPr>
    </w:p>
    <w:p w14:paraId="69882131" w14:textId="32138003" w:rsidR="004F5A41" w:rsidRDefault="004F5A41" w:rsidP="004F5A41">
      <w:pPr>
        <w:pStyle w:val="NormalWeb"/>
        <w:rPr>
          <w:rFonts w:ascii="Helvetica" w:hAnsi="Helvetica" w:cs="Helvetica"/>
          <w:color w:val="222222"/>
          <w:shd w:val="clear" w:color="auto" w:fill="FFFFFF"/>
        </w:rPr>
      </w:pPr>
      <w:r w:rsidRPr="001C4172">
        <w:rPr>
          <w:rFonts w:ascii="Helvetica" w:hAnsi="Helvetica" w:cs="Helvetica"/>
          <w:noProof/>
          <w:color w:val="222222"/>
          <w:shd w:val="clear" w:color="auto" w:fill="FFFFFF"/>
        </w:rPr>
        <w:drawing>
          <wp:inline distT="0" distB="0" distL="0" distR="0" wp14:anchorId="266E3CCE" wp14:editId="488B2E1F">
            <wp:extent cx="2482506" cy="3505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2639" cy="3533628"/>
                    </a:xfrm>
                    <a:prstGeom prst="rect">
                      <a:avLst/>
                    </a:prstGeom>
                    <a:noFill/>
                    <a:ln>
                      <a:noFill/>
                    </a:ln>
                  </pic:spPr>
                </pic:pic>
              </a:graphicData>
            </a:graphic>
          </wp:inline>
        </w:drawing>
      </w:r>
      <w:r w:rsidRPr="004F5A41">
        <w:rPr>
          <w:rFonts w:ascii="Helvetica" w:hAnsi="Helvetica" w:cs="Helvetica"/>
          <w:color w:val="222222"/>
          <w:shd w:val="clear" w:color="auto" w:fill="FFFFFF"/>
        </w:rPr>
        <w:t xml:space="preserve"> </w:t>
      </w:r>
    </w:p>
    <w:p w14:paraId="1D09907D" w14:textId="77777777" w:rsidR="004F5A41" w:rsidRDefault="004F5A41" w:rsidP="00FE4344">
      <w:pPr>
        <w:jc w:val="center"/>
      </w:pPr>
    </w:p>
    <w:p w14:paraId="7862FFF7" w14:textId="508A6936" w:rsidR="00FE4344" w:rsidRDefault="00FE4344" w:rsidP="00FE4344">
      <w:pPr>
        <w:jc w:val="center"/>
      </w:pPr>
    </w:p>
    <w:p w14:paraId="68F3248A" w14:textId="52CDBFDD" w:rsidR="004F5A41" w:rsidRDefault="004F5A41" w:rsidP="00FE4344">
      <w:pPr>
        <w:jc w:val="center"/>
      </w:pPr>
    </w:p>
    <w:p w14:paraId="3A46532F" w14:textId="36F1FA02" w:rsidR="004F5A41" w:rsidRDefault="004F5A41" w:rsidP="00FE4344">
      <w:pPr>
        <w:jc w:val="center"/>
      </w:pPr>
    </w:p>
    <w:p w14:paraId="7C10E096" w14:textId="77777777" w:rsidR="004F5A41" w:rsidRDefault="004F5A41" w:rsidP="00FE4344">
      <w:pPr>
        <w:jc w:val="center"/>
      </w:pPr>
    </w:p>
    <w:p w14:paraId="1FA55376" w14:textId="77777777" w:rsidR="00FE4344" w:rsidRPr="00FE4344" w:rsidRDefault="00FE4344" w:rsidP="00FE4344">
      <w:pPr>
        <w:shd w:val="clear" w:color="auto" w:fill="FFFFFF"/>
        <w:spacing w:after="0" w:line="510" w:lineRule="atLeast"/>
        <w:ind w:left="-300" w:right="-300"/>
        <w:outlineLvl w:val="0"/>
        <w:rPr>
          <w:rFonts w:ascii="Helvetica" w:eastAsia="Times New Roman" w:hAnsi="Helvetica" w:cs="Helvetica"/>
          <w:b/>
          <w:bCs/>
          <w:color w:val="37394B"/>
          <w:kern w:val="36"/>
          <w:sz w:val="36"/>
          <w:szCs w:val="36"/>
          <w:lang w:eastAsia="en-GB"/>
        </w:rPr>
      </w:pPr>
      <w:r w:rsidRPr="00FE4344">
        <w:rPr>
          <w:rFonts w:ascii="Helvetica" w:eastAsia="Times New Roman" w:hAnsi="Helvetica" w:cs="Helvetica"/>
          <w:b/>
          <w:bCs/>
          <w:color w:val="37394B"/>
          <w:kern w:val="36"/>
          <w:sz w:val="36"/>
          <w:szCs w:val="36"/>
          <w:lang w:eastAsia="en-GB"/>
        </w:rPr>
        <w:lastRenderedPageBreak/>
        <w:t>The Wales Safeguarding Procedures for children and adults at risk of abuse and neglect</w:t>
      </w:r>
    </w:p>
    <w:p w14:paraId="247F890C" w14:textId="1DEBB368" w:rsidR="00FE4344" w:rsidRDefault="00FE4344" w:rsidP="00FE4344">
      <w:pPr>
        <w:spacing w:before="100" w:beforeAutospacing="1" w:after="100" w:afterAutospacing="1" w:line="240" w:lineRule="auto"/>
        <w:rPr>
          <w:rFonts w:ascii="Helvetica" w:eastAsia="Times New Roman" w:hAnsi="Helvetica" w:cs="Helvetica"/>
          <w:color w:val="37394B"/>
          <w:sz w:val="27"/>
          <w:szCs w:val="27"/>
          <w:lang w:eastAsia="en-GB"/>
        </w:rPr>
      </w:pPr>
      <w:r w:rsidRPr="00FE4344">
        <w:rPr>
          <w:rFonts w:ascii="Helvetica" w:eastAsia="Times New Roman" w:hAnsi="Helvetica" w:cs="Helvetica"/>
          <w:color w:val="37394B"/>
          <w:sz w:val="27"/>
          <w:szCs w:val="27"/>
          <w:lang w:eastAsia="en-GB"/>
        </w:rPr>
        <w:t>These are the national Wales Safeguarding Procedures. They detail the essential roles and responsibilities for practitioners to ensure that they safeguard children and adults who are at risk of abuse and neglect</w:t>
      </w:r>
      <w:r>
        <w:rPr>
          <w:rFonts w:ascii="Helvetica" w:eastAsia="Times New Roman" w:hAnsi="Helvetica" w:cs="Helvetica"/>
          <w:color w:val="37394B"/>
          <w:sz w:val="27"/>
          <w:szCs w:val="27"/>
          <w:lang w:eastAsia="en-GB"/>
        </w:rPr>
        <w:t>.</w:t>
      </w:r>
    </w:p>
    <w:p w14:paraId="0B1D5795" w14:textId="77777777" w:rsidR="00FE4344" w:rsidRDefault="00FE4344" w:rsidP="00FE4344">
      <w:pPr>
        <w:pStyle w:val="Heading2"/>
        <w:spacing w:before="600" w:after="135" w:line="420" w:lineRule="atLeast"/>
        <w:rPr>
          <w:rFonts w:ascii="Helvetica" w:hAnsi="Helvetica" w:cs="Helvetica"/>
          <w:color w:val="37394B"/>
          <w:sz w:val="30"/>
          <w:szCs w:val="30"/>
        </w:rPr>
      </w:pPr>
      <w:r>
        <w:rPr>
          <w:rFonts w:ascii="Helvetica" w:hAnsi="Helvetica" w:cs="Helvetica"/>
          <w:color w:val="37394B"/>
          <w:sz w:val="30"/>
          <w:szCs w:val="30"/>
        </w:rPr>
        <w:t>What they are for</w:t>
      </w:r>
    </w:p>
    <w:p w14:paraId="7FB5A3A6"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The Procedures helps practitioners apply the legislation </w:t>
      </w:r>
      <w:hyperlink r:id="rId8" w:tgtFrame="_blank" w:history="1">
        <w:r>
          <w:rPr>
            <w:rStyle w:val="Hyperlink"/>
            <w:rFonts w:ascii="Helvetica" w:hAnsi="Helvetica" w:cs="Helvetica"/>
            <w:color w:val="11846A"/>
            <w:sz w:val="27"/>
            <w:szCs w:val="27"/>
          </w:rPr>
          <w:t>Social Services and Wellbeing (Wales) Act 2014</w:t>
        </w:r>
      </w:hyperlink>
      <w:r>
        <w:rPr>
          <w:rFonts w:ascii="Helvetica" w:hAnsi="Helvetica" w:cs="Helvetica"/>
          <w:color w:val="37394B"/>
          <w:sz w:val="27"/>
          <w:szCs w:val="27"/>
        </w:rPr>
        <w:t> and statutory safeguarding guidance </w:t>
      </w:r>
      <w:hyperlink r:id="rId9" w:tgtFrame="_blank" w:history="1">
        <w:r>
          <w:rPr>
            <w:rStyle w:val="Hyperlink"/>
            <w:rFonts w:ascii="Helvetica" w:hAnsi="Helvetica" w:cs="Helvetica"/>
            <w:color w:val="11846A"/>
            <w:sz w:val="27"/>
            <w:szCs w:val="27"/>
          </w:rPr>
          <w:t>Working Together to Safeguard People</w:t>
        </w:r>
      </w:hyperlink>
      <w:r>
        <w:rPr>
          <w:rFonts w:ascii="Helvetica" w:hAnsi="Helvetica" w:cs="Helvetica"/>
          <w:color w:val="37394B"/>
          <w:sz w:val="27"/>
          <w:szCs w:val="27"/>
        </w:rPr>
        <w:t>.</w:t>
      </w:r>
    </w:p>
    <w:p w14:paraId="7654242B"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Throughout the procedures you will find </w:t>
      </w:r>
      <w:r>
        <w:rPr>
          <w:rStyle w:val="Strong"/>
          <w:rFonts w:ascii="Helvetica" w:hAnsi="Helvetica" w:cs="Helvetica"/>
          <w:color w:val="37394B"/>
          <w:sz w:val="27"/>
          <w:szCs w:val="27"/>
        </w:rPr>
        <w:t>‘pointers for practice’</w:t>
      </w:r>
      <w:r>
        <w:rPr>
          <w:rFonts w:ascii="Helvetica" w:hAnsi="Helvetica" w:cs="Helvetica"/>
          <w:color w:val="37394B"/>
          <w:sz w:val="27"/>
          <w:szCs w:val="27"/>
        </w:rPr>
        <w:t>. Whilst the Procedures tell you </w:t>
      </w:r>
      <w:r>
        <w:rPr>
          <w:rStyle w:val="Emphasis"/>
          <w:rFonts w:ascii="Helvetica" w:hAnsi="Helvetica" w:cs="Helvetica"/>
          <w:color w:val="37394B"/>
          <w:sz w:val="27"/>
          <w:szCs w:val="27"/>
        </w:rPr>
        <w:t>what</w:t>
      </w:r>
      <w:r>
        <w:rPr>
          <w:rFonts w:ascii="Helvetica" w:hAnsi="Helvetica" w:cs="Helvetica"/>
          <w:color w:val="37394B"/>
          <w:sz w:val="27"/>
          <w:szCs w:val="27"/>
        </w:rPr>
        <w:t> to do, the pointers for practice provide information as to </w:t>
      </w:r>
      <w:r>
        <w:rPr>
          <w:rStyle w:val="Emphasis"/>
          <w:rFonts w:ascii="Helvetica" w:hAnsi="Helvetica" w:cs="Helvetica"/>
          <w:color w:val="37394B"/>
          <w:sz w:val="27"/>
          <w:szCs w:val="27"/>
        </w:rPr>
        <w:t>how</w:t>
      </w:r>
      <w:r>
        <w:rPr>
          <w:rFonts w:ascii="Helvetica" w:hAnsi="Helvetica" w:cs="Helvetica"/>
          <w:color w:val="37394B"/>
          <w:sz w:val="27"/>
          <w:szCs w:val="27"/>
        </w:rPr>
        <w:t> to complete the task. The pointers for practice draw on the latest research and practice developments.</w:t>
      </w:r>
    </w:p>
    <w:p w14:paraId="14FC720C" w14:textId="77777777" w:rsidR="00FE4344" w:rsidRDefault="00FE4344" w:rsidP="00FE4344">
      <w:pPr>
        <w:pStyle w:val="Heading2"/>
        <w:spacing w:before="600" w:after="135" w:line="420" w:lineRule="atLeast"/>
        <w:rPr>
          <w:rFonts w:ascii="Helvetica" w:hAnsi="Helvetica" w:cs="Helvetica"/>
          <w:color w:val="37394B"/>
          <w:sz w:val="30"/>
          <w:szCs w:val="30"/>
        </w:rPr>
      </w:pPr>
      <w:r>
        <w:rPr>
          <w:rFonts w:ascii="Helvetica" w:hAnsi="Helvetica" w:cs="Helvetica"/>
          <w:color w:val="37394B"/>
          <w:sz w:val="30"/>
          <w:szCs w:val="30"/>
        </w:rPr>
        <w:t>Who they are for</w:t>
      </w:r>
    </w:p>
    <w:p w14:paraId="33AFE38B"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These procedures are intended to guide safeguarding practice for all those employed in the statutory, third (voluntary) and private sector in health, social care, education, police, justice and other services. They are applicable for all practitioners and managers working in Wales - whether employed by a devolved or non-devolved agency.</w:t>
      </w:r>
    </w:p>
    <w:p w14:paraId="7DB91346" w14:textId="77777777" w:rsidR="00FE4344" w:rsidRDefault="00FE4344" w:rsidP="00FE4344">
      <w:pPr>
        <w:pStyle w:val="Heading2"/>
        <w:spacing w:before="600" w:after="135" w:line="420" w:lineRule="atLeast"/>
        <w:rPr>
          <w:rFonts w:ascii="Helvetica" w:hAnsi="Helvetica" w:cs="Helvetica"/>
          <w:color w:val="37394B"/>
          <w:sz w:val="30"/>
          <w:szCs w:val="30"/>
        </w:rPr>
      </w:pPr>
      <w:r>
        <w:rPr>
          <w:rFonts w:ascii="Helvetica" w:hAnsi="Helvetica" w:cs="Helvetica"/>
          <w:color w:val="37394B"/>
          <w:sz w:val="30"/>
          <w:szCs w:val="30"/>
        </w:rPr>
        <w:t>Why we need them</w:t>
      </w:r>
    </w:p>
    <w:p w14:paraId="40256515"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The procedures are designed to standardise practice across all of Wales and between agencies. The development of the procedures was a seven-stage process. Every agency had the opportunity to be involved and contribute their practice experience and research expertise.</w:t>
      </w:r>
    </w:p>
    <w:p w14:paraId="75A3ABD2"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Over the last twenty years, however, there has been a growing awareness amongst practitioners, managers and policymakers of the common systems and processes required to protect both children and adults at risk of abuse and neglect.</w:t>
      </w:r>
    </w:p>
    <w:p w14:paraId="23038549"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This awareness is reflected in the </w:t>
      </w:r>
      <w:hyperlink r:id="rId10" w:tgtFrame="_blank" w:history="1">
        <w:r>
          <w:rPr>
            <w:rStyle w:val="Hyperlink"/>
            <w:rFonts w:ascii="Helvetica" w:hAnsi="Helvetica" w:cs="Helvetica"/>
            <w:color w:val="11846A"/>
            <w:sz w:val="27"/>
            <w:szCs w:val="27"/>
          </w:rPr>
          <w:t>Social Services and Wellbeing (Wales) Act 2014</w:t>
        </w:r>
      </w:hyperlink>
      <w:r>
        <w:rPr>
          <w:rFonts w:ascii="Helvetica" w:hAnsi="Helvetica" w:cs="Helvetica"/>
          <w:color w:val="37394B"/>
          <w:sz w:val="27"/>
          <w:szCs w:val="27"/>
        </w:rPr>
        <w:t> and accompanying safeguarding guidance </w:t>
      </w:r>
      <w:hyperlink r:id="rId11" w:tgtFrame="_blank" w:history="1">
        <w:r>
          <w:rPr>
            <w:rStyle w:val="Hyperlink"/>
            <w:rFonts w:ascii="Helvetica" w:hAnsi="Helvetica" w:cs="Helvetica"/>
            <w:color w:val="11846A"/>
            <w:sz w:val="27"/>
            <w:szCs w:val="27"/>
          </w:rPr>
          <w:t xml:space="preserve">Working Together to </w:t>
        </w:r>
        <w:r>
          <w:rPr>
            <w:rStyle w:val="Hyperlink"/>
            <w:rFonts w:ascii="Helvetica" w:hAnsi="Helvetica" w:cs="Helvetica"/>
            <w:color w:val="11846A"/>
            <w:sz w:val="27"/>
            <w:szCs w:val="27"/>
          </w:rPr>
          <w:lastRenderedPageBreak/>
          <w:t>Safeguard People</w:t>
        </w:r>
      </w:hyperlink>
      <w:r>
        <w:rPr>
          <w:rFonts w:ascii="Helvetica" w:hAnsi="Helvetica" w:cs="Helvetica"/>
          <w:color w:val="37394B"/>
          <w:sz w:val="27"/>
          <w:szCs w:val="27"/>
        </w:rPr>
        <w:t>. Whether safeguarding an adult at risk from abuse or neglect or protecting children from abuse, neglect and harm, the procedures are based on the same principles which reflect the principles underpinning the </w:t>
      </w:r>
      <w:hyperlink r:id="rId12" w:tgtFrame="_blank" w:history="1">
        <w:r>
          <w:rPr>
            <w:rStyle w:val="Hyperlink"/>
            <w:rFonts w:ascii="Helvetica" w:hAnsi="Helvetica" w:cs="Helvetica"/>
            <w:color w:val="11846A"/>
            <w:sz w:val="27"/>
            <w:szCs w:val="27"/>
          </w:rPr>
          <w:t>Social Services and Wellbeing (Wales) Act 2014</w:t>
        </w:r>
      </w:hyperlink>
      <w:r>
        <w:rPr>
          <w:rFonts w:ascii="Helvetica" w:hAnsi="Helvetica" w:cs="Helvetica"/>
          <w:color w:val="37394B"/>
          <w:sz w:val="27"/>
          <w:szCs w:val="27"/>
        </w:rPr>
        <w:t>.</w:t>
      </w:r>
    </w:p>
    <w:p w14:paraId="591D0DDF" w14:textId="4AAA015F"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The procedures are updated regularly in line with changes to legislation, guidance and practice developments.</w:t>
      </w:r>
    </w:p>
    <w:p w14:paraId="0083BAC4" w14:textId="77777777" w:rsidR="00FE4344" w:rsidRDefault="00FE4344" w:rsidP="00FE4344">
      <w:pPr>
        <w:pStyle w:val="Heading2"/>
        <w:spacing w:before="600" w:after="135" w:line="420" w:lineRule="atLeast"/>
        <w:rPr>
          <w:rFonts w:ascii="Helvetica" w:hAnsi="Helvetica" w:cs="Helvetica"/>
          <w:color w:val="37394B"/>
          <w:sz w:val="30"/>
          <w:szCs w:val="30"/>
        </w:rPr>
      </w:pPr>
      <w:r>
        <w:rPr>
          <w:rFonts w:ascii="Helvetica" w:hAnsi="Helvetica" w:cs="Helvetica"/>
          <w:color w:val="37394B"/>
          <w:sz w:val="30"/>
          <w:szCs w:val="30"/>
        </w:rPr>
        <w:t>How to use the procedures</w:t>
      </w:r>
    </w:p>
    <w:p w14:paraId="58A0AAF9"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Whilst recognising commonalities in processes between safeguarding children and protecting adults at risk from abuse and neglect, there are some differences in legislation. Therefore, the procedures are separated into those relating to </w:t>
      </w:r>
      <w:hyperlink r:id="rId13" w:history="1">
        <w:r>
          <w:rPr>
            <w:rStyle w:val="Strong"/>
            <w:rFonts w:ascii="Helvetica" w:hAnsi="Helvetica" w:cs="Helvetica"/>
            <w:color w:val="11846A"/>
            <w:sz w:val="27"/>
            <w:szCs w:val="27"/>
          </w:rPr>
          <w:t>safeguarding children</w:t>
        </w:r>
      </w:hyperlink>
      <w:r>
        <w:rPr>
          <w:rFonts w:ascii="Helvetica" w:hAnsi="Helvetica" w:cs="Helvetica"/>
          <w:color w:val="37394B"/>
          <w:sz w:val="27"/>
          <w:szCs w:val="27"/>
        </w:rPr>
        <w:t> and those for </w:t>
      </w:r>
      <w:hyperlink r:id="rId14" w:history="1">
        <w:r>
          <w:rPr>
            <w:rStyle w:val="Strong"/>
            <w:rFonts w:ascii="Helvetica" w:hAnsi="Helvetica" w:cs="Helvetica"/>
            <w:color w:val="11846A"/>
            <w:sz w:val="27"/>
            <w:szCs w:val="27"/>
          </w:rPr>
          <w:t>adults at risk of abuse and neglect</w:t>
        </w:r>
      </w:hyperlink>
      <w:r>
        <w:rPr>
          <w:rFonts w:ascii="Helvetica" w:hAnsi="Helvetica" w:cs="Helvetica"/>
          <w:color w:val="37394B"/>
          <w:sz w:val="27"/>
          <w:szCs w:val="27"/>
        </w:rPr>
        <w:t>.</w:t>
      </w:r>
    </w:p>
    <w:p w14:paraId="26CBEE06" w14:textId="77777777"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The procedures have been further divided into sections. Each section details the roles and responsibilities of practitioners relating to an aspect of the safeguarding process, as it relates to adults at risk of abuse and neglect or safeguarding children. Each section also includes relevant pointers for practice</w:t>
      </w:r>
    </w:p>
    <w:p w14:paraId="1D063BE0" w14:textId="77777777" w:rsidR="00FE4344" w:rsidRDefault="00FE4344" w:rsidP="00FE4344">
      <w:pPr>
        <w:pStyle w:val="Heading2"/>
        <w:spacing w:before="600" w:after="135" w:line="420" w:lineRule="atLeast"/>
        <w:rPr>
          <w:rFonts w:ascii="Helvetica" w:hAnsi="Helvetica" w:cs="Helvetica"/>
          <w:color w:val="37394B"/>
          <w:sz w:val="30"/>
          <w:szCs w:val="30"/>
        </w:rPr>
      </w:pPr>
      <w:r>
        <w:rPr>
          <w:rFonts w:ascii="Helvetica" w:hAnsi="Helvetica" w:cs="Helvetica"/>
          <w:color w:val="37394B"/>
          <w:sz w:val="30"/>
          <w:szCs w:val="30"/>
        </w:rPr>
        <w:t>The glossary</w:t>
      </w:r>
    </w:p>
    <w:p w14:paraId="1333C1B7" w14:textId="439B4BF1" w:rsidR="00FE4344" w:rsidRDefault="00FE4344" w:rsidP="00FE4344">
      <w:pPr>
        <w:pStyle w:val="NormalWeb"/>
        <w:rPr>
          <w:rFonts w:ascii="Helvetica" w:hAnsi="Helvetica" w:cs="Helvetica"/>
          <w:color w:val="37394B"/>
          <w:sz w:val="27"/>
          <w:szCs w:val="27"/>
        </w:rPr>
      </w:pPr>
      <w:r>
        <w:rPr>
          <w:rFonts w:ascii="Helvetica" w:hAnsi="Helvetica" w:cs="Helvetica"/>
          <w:color w:val="37394B"/>
          <w:sz w:val="27"/>
          <w:szCs w:val="27"/>
        </w:rPr>
        <w:t>Effective safeguarding practice requires a shared understanding of terms frequently used when identifying, assessing and intervening whether a child or adult is at risk of abuse or neglect. We’ve included a </w:t>
      </w:r>
      <w:hyperlink r:id="rId15" w:history="1">
        <w:r>
          <w:rPr>
            <w:rStyle w:val="Strong"/>
            <w:rFonts w:ascii="Helvetica" w:hAnsi="Helvetica" w:cs="Helvetica"/>
            <w:color w:val="11846A"/>
            <w:sz w:val="27"/>
            <w:szCs w:val="27"/>
          </w:rPr>
          <w:t>glossary</w:t>
        </w:r>
      </w:hyperlink>
      <w:r>
        <w:rPr>
          <w:rFonts w:ascii="Helvetica" w:hAnsi="Helvetica" w:cs="Helvetica"/>
          <w:color w:val="37394B"/>
          <w:sz w:val="27"/>
          <w:szCs w:val="27"/>
        </w:rPr>
        <w:t> to ensure that every practitioner is using the same term in the same way irrespective of discipline or agency. Each term used in the procedures has a quick link to a full explanation.</w:t>
      </w:r>
    </w:p>
    <w:p w14:paraId="37BD3AD0" w14:textId="7186045E" w:rsidR="00FE4344" w:rsidRDefault="00FE4344" w:rsidP="00FE4344">
      <w:pPr>
        <w:pStyle w:val="NormalWeb"/>
        <w:rPr>
          <w:rFonts w:ascii="Helvetica" w:hAnsi="Helvetica" w:cs="Helvetica"/>
          <w:color w:val="37394B"/>
          <w:sz w:val="27"/>
          <w:szCs w:val="27"/>
        </w:rPr>
      </w:pPr>
    </w:p>
    <w:p w14:paraId="3D20B55C" w14:textId="13A6ACF2" w:rsidR="001C4172" w:rsidRDefault="001C4172" w:rsidP="00FE4344">
      <w:pPr>
        <w:pStyle w:val="NormalWeb"/>
        <w:rPr>
          <w:rFonts w:ascii="Helvetica" w:hAnsi="Helvetica" w:cs="Helvetica"/>
          <w:color w:val="222222"/>
          <w:shd w:val="clear" w:color="auto" w:fill="FFFFFF"/>
        </w:rPr>
      </w:pPr>
    </w:p>
    <w:p w14:paraId="577C967C" w14:textId="14A18637" w:rsidR="001C4172" w:rsidRDefault="001C4172" w:rsidP="001C4172">
      <w:pPr>
        <w:pStyle w:val="NormalWeb"/>
        <w:jc w:val="both"/>
        <w:rPr>
          <w:rFonts w:ascii="Helvetica" w:hAnsi="Helvetica" w:cs="Helvetica"/>
          <w:color w:val="37394B"/>
          <w:sz w:val="27"/>
          <w:szCs w:val="27"/>
        </w:rPr>
      </w:pPr>
    </w:p>
    <w:p w14:paraId="77037FC9" w14:textId="77777777" w:rsidR="00FE4344" w:rsidRDefault="00FE4344" w:rsidP="00FE4344">
      <w:pPr>
        <w:pStyle w:val="NormalWeb"/>
        <w:rPr>
          <w:rFonts w:ascii="Helvetica" w:hAnsi="Helvetica" w:cs="Helvetica"/>
          <w:color w:val="37394B"/>
          <w:sz w:val="27"/>
          <w:szCs w:val="27"/>
        </w:rPr>
      </w:pPr>
    </w:p>
    <w:p w14:paraId="764E6981" w14:textId="77777777" w:rsidR="00FE4344" w:rsidRPr="00FE4344" w:rsidRDefault="00FE4344" w:rsidP="00FE4344">
      <w:pPr>
        <w:spacing w:before="100" w:beforeAutospacing="1" w:after="100" w:afterAutospacing="1" w:line="240" w:lineRule="auto"/>
        <w:rPr>
          <w:rFonts w:ascii="Helvetica" w:eastAsia="Times New Roman" w:hAnsi="Helvetica" w:cs="Helvetica"/>
          <w:color w:val="37394B"/>
          <w:sz w:val="27"/>
          <w:szCs w:val="27"/>
          <w:lang w:eastAsia="en-GB"/>
        </w:rPr>
      </w:pPr>
    </w:p>
    <w:p w14:paraId="45FBCE4C" w14:textId="7C4585E5" w:rsidR="00FE4344" w:rsidRDefault="00FE4344" w:rsidP="00FE4344"/>
    <w:sectPr w:rsidR="00FE43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F42398" w14:textId="77777777" w:rsidR="00C24BD0" w:rsidRDefault="00C24BD0" w:rsidP="00C24BD0">
      <w:pPr>
        <w:spacing w:after="0" w:line="240" w:lineRule="auto"/>
      </w:pPr>
      <w:r>
        <w:separator/>
      </w:r>
    </w:p>
  </w:endnote>
  <w:endnote w:type="continuationSeparator" w:id="0">
    <w:p w14:paraId="10B10DD5" w14:textId="77777777" w:rsidR="00C24BD0" w:rsidRDefault="00C24BD0" w:rsidP="00C24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C1F7B5" w14:textId="77777777" w:rsidR="00C24BD0" w:rsidRDefault="00C24BD0" w:rsidP="00C24BD0">
      <w:pPr>
        <w:spacing w:after="0" w:line="240" w:lineRule="auto"/>
      </w:pPr>
      <w:r>
        <w:separator/>
      </w:r>
    </w:p>
  </w:footnote>
  <w:footnote w:type="continuationSeparator" w:id="0">
    <w:p w14:paraId="3F88AD4F" w14:textId="77777777" w:rsidR="00C24BD0" w:rsidRDefault="00C24BD0" w:rsidP="00C24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4344"/>
    <w:rsid w:val="00063D3A"/>
    <w:rsid w:val="001C4172"/>
    <w:rsid w:val="004F5A41"/>
    <w:rsid w:val="0072119A"/>
    <w:rsid w:val="00B13ED9"/>
    <w:rsid w:val="00C24BD0"/>
    <w:rsid w:val="00FE4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2D5DFB"/>
  <w15:chartTrackingRefBased/>
  <w15:docId w15:val="{0DE53F10-E797-4066-9870-1BBECC93A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E434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E43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4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E4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E434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FE4344"/>
    <w:rPr>
      <w:color w:val="0000FF"/>
      <w:u w:val="single"/>
    </w:rPr>
  </w:style>
  <w:style w:type="character" w:styleId="Strong">
    <w:name w:val="Strong"/>
    <w:basedOn w:val="DefaultParagraphFont"/>
    <w:uiPriority w:val="22"/>
    <w:qFormat/>
    <w:rsid w:val="00FE4344"/>
    <w:rPr>
      <w:b/>
      <w:bCs/>
    </w:rPr>
  </w:style>
  <w:style w:type="character" w:styleId="Emphasis">
    <w:name w:val="Emphasis"/>
    <w:basedOn w:val="DefaultParagraphFont"/>
    <w:uiPriority w:val="20"/>
    <w:qFormat/>
    <w:rsid w:val="00FE43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5013157">
      <w:bodyDiv w:val="1"/>
      <w:marLeft w:val="0"/>
      <w:marRight w:val="0"/>
      <w:marTop w:val="0"/>
      <w:marBottom w:val="0"/>
      <w:divBdr>
        <w:top w:val="none" w:sz="0" w:space="0" w:color="auto"/>
        <w:left w:val="none" w:sz="0" w:space="0" w:color="auto"/>
        <w:bottom w:val="none" w:sz="0" w:space="0" w:color="auto"/>
        <w:right w:val="none" w:sz="0" w:space="0" w:color="auto"/>
      </w:divBdr>
    </w:div>
    <w:div w:id="1241907739">
      <w:bodyDiv w:val="1"/>
      <w:marLeft w:val="0"/>
      <w:marRight w:val="0"/>
      <w:marTop w:val="0"/>
      <w:marBottom w:val="0"/>
      <w:divBdr>
        <w:top w:val="none" w:sz="0" w:space="0" w:color="auto"/>
        <w:left w:val="none" w:sz="0" w:space="0" w:color="auto"/>
        <w:bottom w:val="none" w:sz="0" w:space="0" w:color="auto"/>
        <w:right w:val="none" w:sz="0" w:space="0" w:color="auto"/>
      </w:divBdr>
    </w:div>
    <w:div w:id="1782921680">
      <w:bodyDiv w:val="1"/>
      <w:marLeft w:val="0"/>
      <w:marRight w:val="0"/>
      <w:marTop w:val="0"/>
      <w:marBottom w:val="0"/>
      <w:divBdr>
        <w:top w:val="none" w:sz="0" w:space="0" w:color="auto"/>
        <w:left w:val="none" w:sz="0" w:space="0" w:color="auto"/>
        <w:bottom w:val="none" w:sz="0" w:space="0" w:color="auto"/>
        <w:right w:val="none" w:sz="0" w:space="0" w:color="auto"/>
      </w:divBdr>
    </w:div>
    <w:div w:id="1867987317">
      <w:bodyDiv w:val="1"/>
      <w:marLeft w:val="0"/>
      <w:marRight w:val="0"/>
      <w:marTop w:val="0"/>
      <w:marBottom w:val="0"/>
      <w:divBdr>
        <w:top w:val="none" w:sz="0" w:space="0" w:color="auto"/>
        <w:left w:val="none" w:sz="0" w:space="0" w:color="auto"/>
        <w:bottom w:val="none" w:sz="0" w:space="0" w:color="auto"/>
        <w:right w:val="none" w:sz="0" w:space="0" w:color="auto"/>
      </w:divBdr>
    </w:div>
    <w:div w:id="199656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4/4/contents" TargetMode="External"/><Relationship Id="rId13" Type="http://schemas.openxmlformats.org/officeDocument/2006/relationships/hyperlink" Target="https://safeguarding.wales/chi/index.html" TargetMode="Externa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www.legislation.gov.uk/anaw/2014/4/pdfs/anaw_20140004_en.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gov.wales/safeguarding-guidance" TargetMode="External"/><Relationship Id="rId5" Type="http://schemas.openxmlformats.org/officeDocument/2006/relationships/endnotes" Target="endnotes.xml"/><Relationship Id="rId15" Type="http://schemas.openxmlformats.org/officeDocument/2006/relationships/hyperlink" Target="https://safeguarding.wales/glossary.html" TargetMode="External"/><Relationship Id="rId10" Type="http://schemas.openxmlformats.org/officeDocument/2006/relationships/hyperlink" Target="https://www.legislation.gov.uk/anaw/2014/4/contents" TargetMode="External"/><Relationship Id="rId4" Type="http://schemas.openxmlformats.org/officeDocument/2006/relationships/footnotes" Target="footnotes.xml"/><Relationship Id="rId9" Type="http://schemas.openxmlformats.org/officeDocument/2006/relationships/hyperlink" Target="https://gov.wales/safeguarding-guidance" TargetMode="External"/><Relationship Id="rId14" Type="http://schemas.openxmlformats.org/officeDocument/2006/relationships/hyperlink" Target="https://safeguarding.wales/adu/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931</Words>
  <Characters>5311</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Morris,Catherine swp4930</dc:creator>
  <cp:keywords/>
  <dc:description/>
  <cp:lastModifiedBy>Neil,Sharon swp3514</cp:lastModifiedBy>
  <cp:revision>2</cp:revision>
  <dcterms:created xsi:type="dcterms:W3CDTF">2021-02-10T07:47:00Z</dcterms:created>
  <dcterms:modified xsi:type="dcterms:W3CDTF">2021-02-10T07:47:00Z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2021-01-18T11:13:18Z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b8c7612b-beab-44ed-985d-b29a0004d4bb</vt:lpwstr>
  </property>
  <property fmtid="{D5CDD505-2E9C-101B-9397-08002B2CF9AE}" pid="8" name="MSIP_Label_66cf8fe5-b7b7-4df7-b38d-1c61ac2f6639_ContentBits">
    <vt:lpwstr>0</vt:lpwstr>
  </property>
  <property fmtid="{D5CDD505-2E9C-101B-9397-08002B2CF9AE}" pid="9" name="TitusGUID">
    <vt:lpwstr>2dabbb9b-3399-4d37-b3df-065fee6d34a2</vt:lpwstr>
  </property>
  <property fmtid="{D5CDD505-2E9C-101B-9397-08002B2CF9AE}" pid="10" name="Classification">
    <vt:lpwstr>OFFICIAL</vt:lpwstr>
  </property>
  <property fmtid="{D5CDD505-2E9C-101B-9397-08002B2CF9AE}" pid="11" name="Visibility">
    <vt:lpwstr>NOT VISIBLE</vt:lpwstr>
  </property>
</Properties>
</file>