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F603E" w14:textId="2982D9FA" w:rsidR="005D2DCC" w:rsidRDefault="00000000">
      <w:pPr>
        <w:jc w:val="center"/>
      </w:pPr>
      <w:r>
        <w:rPr>
          <w:b/>
          <w:sz w:val="32"/>
        </w:rPr>
        <w:t xml:space="preserve">Land Law Ownership &amp; Co-Ownership Case Law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5D2DCC" w14:paraId="6857114D" w14:textId="77777777">
        <w:tc>
          <w:tcPr>
            <w:tcW w:w="4320" w:type="dxa"/>
          </w:tcPr>
          <w:p w14:paraId="3F1C2D33" w14:textId="77777777" w:rsidR="005D2DCC" w:rsidRDefault="00000000">
            <w:r>
              <w:t>Case</w:t>
            </w:r>
          </w:p>
        </w:tc>
        <w:tc>
          <w:tcPr>
            <w:tcW w:w="4320" w:type="dxa"/>
          </w:tcPr>
          <w:p w14:paraId="36FECEFA" w14:textId="77777777" w:rsidR="005D2DCC" w:rsidRDefault="00000000">
            <w:r>
              <w:t>Key Legal Principle</w:t>
            </w:r>
          </w:p>
        </w:tc>
      </w:tr>
      <w:tr w:rsidR="005D2DCC" w14:paraId="136ABB1E" w14:textId="77777777">
        <w:tc>
          <w:tcPr>
            <w:tcW w:w="4320" w:type="dxa"/>
          </w:tcPr>
          <w:p w14:paraId="6F3FB7EC" w14:textId="77777777" w:rsidR="005D2DCC" w:rsidRDefault="00000000">
            <w:r>
              <w:t>Stack v Dowden [2007] UKHL 17</w:t>
            </w:r>
          </w:p>
        </w:tc>
        <w:tc>
          <w:tcPr>
            <w:tcW w:w="4320" w:type="dxa"/>
          </w:tcPr>
          <w:p w14:paraId="7A7FC9B9" w14:textId="77777777" w:rsidR="005D2DCC" w:rsidRDefault="00000000">
            <w:r>
              <w:t>Presumption that beneficial ownership follows legal ownership in joint purchases unless evidence shows a different common intention.</w:t>
            </w:r>
          </w:p>
        </w:tc>
      </w:tr>
      <w:tr w:rsidR="005D2DCC" w14:paraId="55B89C9F" w14:textId="77777777">
        <w:tc>
          <w:tcPr>
            <w:tcW w:w="4320" w:type="dxa"/>
          </w:tcPr>
          <w:p w14:paraId="00991996" w14:textId="77777777" w:rsidR="005D2DCC" w:rsidRDefault="00000000">
            <w:r>
              <w:t>Bedson v Bedson [1965] 2 QB 666</w:t>
            </w:r>
          </w:p>
        </w:tc>
        <w:tc>
          <w:tcPr>
            <w:tcW w:w="4320" w:type="dxa"/>
          </w:tcPr>
          <w:p w14:paraId="0C773F00" w14:textId="77777777" w:rsidR="005D2DCC" w:rsidRDefault="00000000">
            <w:r>
              <w:t>Severing joint tenancy creates a tenancy in common share.</w:t>
            </w:r>
          </w:p>
        </w:tc>
      </w:tr>
      <w:tr w:rsidR="005D2DCC" w14:paraId="248E3AE5" w14:textId="77777777">
        <w:tc>
          <w:tcPr>
            <w:tcW w:w="4320" w:type="dxa"/>
          </w:tcPr>
          <w:p w14:paraId="265D58E4" w14:textId="77777777" w:rsidR="005D2DCC" w:rsidRDefault="00000000">
            <w:r>
              <w:t>Gould v Kemp (1834)</w:t>
            </w:r>
          </w:p>
        </w:tc>
        <w:tc>
          <w:tcPr>
            <w:tcW w:w="4320" w:type="dxa"/>
          </w:tcPr>
          <w:p w14:paraId="6627EBCE" w14:textId="77777777" w:rsidR="005D2DCC" w:rsidRDefault="00000000">
            <w:r>
              <w:t>A joint tenancy cannot be severed by will.</w:t>
            </w:r>
          </w:p>
        </w:tc>
      </w:tr>
      <w:tr w:rsidR="005D2DCC" w14:paraId="3D25195B" w14:textId="77777777">
        <w:tc>
          <w:tcPr>
            <w:tcW w:w="4320" w:type="dxa"/>
          </w:tcPr>
          <w:p w14:paraId="7F761CBC" w14:textId="77777777" w:rsidR="005D2DCC" w:rsidRDefault="00000000">
            <w:r>
              <w:t>Williams v Hensman (1861)</w:t>
            </w:r>
          </w:p>
        </w:tc>
        <w:tc>
          <w:tcPr>
            <w:tcW w:w="4320" w:type="dxa"/>
          </w:tcPr>
          <w:p w14:paraId="71394551" w14:textId="77777777" w:rsidR="005D2DCC" w:rsidRDefault="00000000">
            <w:r>
              <w:t>Established the three methods of severance: unilateral act, mutual agreement, and mutual course of conduct.</w:t>
            </w:r>
          </w:p>
        </w:tc>
      </w:tr>
      <w:tr w:rsidR="005D2DCC" w14:paraId="437C6AD4" w14:textId="77777777">
        <w:tc>
          <w:tcPr>
            <w:tcW w:w="4320" w:type="dxa"/>
          </w:tcPr>
          <w:p w14:paraId="534A854F" w14:textId="77777777" w:rsidR="005D2DCC" w:rsidRDefault="00000000">
            <w:r>
              <w:t>First National Security v Hegarty [1985]</w:t>
            </w:r>
          </w:p>
        </w:tc>
        <w:tc>
          <w:tcPr>
            <w:tcW w:w="4320" w:type="dxa"/>
          </w:tcPr>
          <w:p w14:paraId="6CE90BF3" w14:textId="77777777" w:rsidR="005D2DCC" w:rsidRDefault="00000000">
            <w:r>
              <w:t>Dealing with one’s own share may amount to severance.</w:t>
            </w:r>
          </w:p>
        </w:tc>
      </w:tr>
      <w:tr w:rsidR="005D2DCC" w14:paraId="3808708B" w14:textId="77777777">
        <w:tc>
          <w:tcPr>
            <w:tcW w:w="4320" w:type="dxa"/>
          </w:tcPr>
          <w:p w14:paraId="171B231B" w14:textId="77777777" w:rsidR="005D2DCC" w:rsidRDefault="00000000">
            <w:r>
              <w:t>Re Draper [1969]</w:t>
            </w:r>
          </w:p>
        </w:tc>
        <w:tc>
          <w:tcPr>
            <w:tcW w:w="4320" w:type="dxa"/>
          </w:tcPr>
          <w:p w14:paraId="071E7F5B" w14:textId="77777777" w:rsidR="005D2DCC" w:rsidRDefault="00000000">
            <w:r>
              <w:t>Court proceedings seeking sale/division may evidence severance.</w:t>
            </w:r>
          </w:p>
        </w:tc>
      </w:tr>
      <w:tr w:rsidR="005D2DCC" w14:paraId="19700AF2" w14:textId="77777777">
        <w:tc>
          <w:tcPr>
            <w:tcW w:w="4320" w:type="dxa"/>
          </w:tcPr>
          <w:p w14:paraId="36D25DF6" w14:textId="77777777" w:rsidR="005D2DCC" w:rsidRDefault="00000000">
            <w:r>
              <w:t>Re Pavlou [1993]</w:t>
            </w:r>
          </w:p>
        </w:tc>
        <w:tc>
          <w:tcPr>
            <w:tcW w:w="4320" w:type="dxa"/>
          </w:tcPr>
          <w:p w14:paraId="3F6B7B90" w14:textId="77777777" w:rsidR="005D2DCC" w:rsidRDefault="00000000">
            <w:r>
              <w:t>Bankruptcy can sever a beneficial joint tenancy.</w:t>
            </w:r>
          </w:p>
        </w:tc>
      </w:tr>
      <w:tr w:rsidR="005D2DCC" w14:paraId="25D9243E" w14:textId="77777777">
        <w:tc>
          <w:tcPr>
            <w:tcW w:w="4320" w:type="dxa"/>
          </w:tcPr>
          <w:p w14:paraId="7A60B243" w14:textId="77777777" w:rsidR="005D2DCC" w:rsidRDefault="00000000">
            <w:r>
              <w:t>Burgess v Rawnsley [1975]</w:t>
            </w:r>
          </w:p>
        </w:tc>
        <w:tc>
          <w:tcPr>
            <w:tcW w:w="4320" w:type="dxa"/>
          </w:tcPr>
          <w:p w14:paraId="6AA3B810" w14:textId="77777777" w:rsidR="005D2DCC" w:rsidRDefault="00000000">
            <w:r>
              <w:t>Mutual agreement can sever even if not legally enforceable.</w:t>
            </w:r>
          </w:p>
        </w:tc>
      </w:tr>
      <w:tr w:rsidR="005D2DCC" w14:paraId="2A9ECBEE" w14:textId="77777777">
        <w:tc>
          <w:tcPr>
            <w:tcW w:w="4320" w:type="dxa"/>
          </w:tcPr>
          <w:p w14:paraId="16501D9E" w14:textId="77777777" w:rsidR="005D2DCC" w:rsidRDefault="00000000">
            <w:r>
              <w:t>Gore &amp; Snell v Carpenter [1975]</w:t>
            </w:r>
          </w:p>
        </w:tc>
        <w:tc>
          <w:tcPr>
            <w:tcW w:w="4320" w:type="dxa"/>
          </w:tcPr>
          <w:p w14:paraId="1A8CE7A1" w14:textId="77777777" w:rsidR="005D2DCC" w:rsidRDefault="00000000">
            <w:r>
              <w:t>A mutual course of conduct can sever a joint tenancy.</w:t>
            </w:r>
          </w:p>
        </w:tc>
      </w:tr>
      <w:tr w:rsidR="005D2DCC" w14:paraId="649F2180" w14:textId="77777777">
        <w:tc>
          <w:tcPr>
            <w:tcW w:w="4320" w:type="dxa"/>
          </w:tcPr>
          <w:p w14:paraId="29022508" w14:textId="77777777" w:rsidR="005D2DCC" w:rsidRDefault="00000000">
            <w:r>
              <w:t>Re 88 Berkeley Road [1971]</w:t>
            </w:r>
          </w:p>
        </w:tc>
        <w:tc>
          <w:tcPr>
            <w:tcW w:w="4320" w:type="dxa"/>
          </w:tcPr>
          <w:p w14:paraId="525366E4" w14:textId="77777777" w:rsidR="005D2DCC" w:rsidRDefault="00000000">
            <w:r>
              <w:t>Notice of severance effective if properly served, even if not received.</w:t>
            </w:r>
          </w:p>
        </w:tc>
      </w:tr>
      <w:tr w:rsidR="005D2DCC" w14:paraId="07D53917" w14:textId="77777777">
        <w:tc>
          <w:tcPr>
            <w:tcW w:w="4320" w:type="dxa"/>
          </w:tcPr>
          <w:p w14:paraId="47D52230" w14:textId="77777777" w:rsidR="005D2DCC" w:rsidRDefault="00000000">
            <w:r>
              <w:t>Kinch v Bullard [1999]</w:t>
            </w:r>
          </w:p>
        </w:tc>
        <w:tc>
          <w:tcPr>
            <w:tcW w:w="4320" w:type="dxa"/>
          </w:tcPr>
          <w:p w14:paraId="568D5A7C" w14:textId="77777777" w:rsidR="005D2DCC" w:rsidRDefault="00000000">
            <w:r>
              <w:t>Notice takes effect when served even if unread.</w:t>
            </w:r>
          </w:p>
        </w:tc>
      </w:tr>
      <w:tr w:rsidR="005D2DCC" w14:paraId="676A6986" w14:textId="77777777">
        <w:tc>
          <w:tcPr>
            <w:tcW w:w="4320" w:type="dxa"/>
          </w:tcPr>
          <w:p w14:paraId="19FBEC5E" w14:textId="77777777" w:rsidR="005D2DCC" w:rsidRDefault="00000000">
            <w:r>
              <w:t>Re K [1985]</w:t>
            </w:r>
          </w:p>
        </w:tc>
        <w:tc>
          <w:tcPr>
            <w:tcW w:w="4320" w:type="dxa"/>
          </w:tcPr>
          <w:p w14:paraId="70A790C9" w14:textId="77777777" w:rsidR="005D2DCC" w:rsidRDefault="00000000">
            <w:r>
              <w:t>Court may modify forfeiture rule under Forfeiture Act 1982.</w:t>
            </w:r>
          </w:p>
        </w:tc>
      </w:tr>
      <w:tr w:rsidR="005D2DCC" w14:paraId="4DBF8A58" w14:textId="77777777">
        <w:tc>
          <w:tcPr>
            <w:tcW w:w="4320" w:type="dxa"/>
          </w:tcPr>
          <w:p w14:paraId="785F3948" w14:textId="77777777" w:rsidR="005D2DCC" w:rsidRDefault="00000000">
            <w:r>
              <w:t>Davis v Mason (1793)</w:t>
            </w:r>
          </w:p>
        </w:tc>
        <w:tc>
          <w:tcPr>
            <w:tcW w:w="4320" w:type="dxa"/>
          </w:tcPr>
          <w:p w14:paraId="782565CE" w14:textId="77777777" w:rsidR="005D2DCC" w:rsidRDefault="00000000">
            <w:r>
              <w:t>A deed is enforceable without consideration if formalities are met.</w:t>
            </w:r>
          </w:p>
        </w:tc>
      </w:tr>
      <w:tr w:rsidR="005D2DCC" w14:paraId="274F7647" w14:textId="77777777">
        <w:tc>
          <w:tcPr>
            <w:tcW w:w="4320" w:type="dxa"/>
          </w:tcPr>
          <w:p w14:paraId="482B2B35" w14:textId="77777777" w:rsidR="005D2DCC" w:rsidRDefault="00000000">
            <w:r>
              <w:t>Parker v Taswell (1858)</w:t>
            </w:r>
          </w:p>
        </w:tc>
        <w:tc>
          <w:tcPr>
            <w:tcW w:w="4320" w:type="dxa"/>
          </w:tcPr>
          <w:p w14:paraId="3B2576E8" w14:textId="77777777" w:rsidR="005D2DCC" w:rsidRDefault="00000000">
            <w:r>
              <w:t>Failed legal grant may be recognised in equity.</w:t>
            </w:r>
          </w:p>
        </w:tc>
      </w:tr>
      <w:tr w:rsidR="005D2DCC" w14:paraId="73FF7063" w14:textId="77777777">
        <w:tc>
          <w:tcPr>
            <w:tcW w:w="4320" w:type="dxa"/>
          </w:tcPr>
          <w:p w14:paraId="2E794D06" w14:textId="77777777" w:rsidR="005D2DCC" w:rsidRDefault="00000000">
            <w:r>
              <w:t>Walsh v Lonsdale (1882)</w:t>
            </w:r>
          </w:p>
        </w:tc>
        <w:tc>
          <w:tcPr>
            <w:tcW w:w="4320" w:type="dxa"/>
          </w:tcPr>
          <w:p w14:paraId="7E8CA0BD" w14:textId="77777777" w:rsidR="005D2DCC" w:rsidRDefault="00000000">
            <w:r>
              <w:t>Equity regards as done that which ought to be done.</w:t>
            </w:r>
          </w:p>
        </w:tc>
      </w:tr>
      <w:tr w:rsidR="005D2DCC" w14:paraId="23C77EE1" w14:textId="77777777">
        <w:tc>
          <w:tcPr>
            <w:tcW w:w="4320" w:type="dxa"/>
          </w:tcPr>
          <w:p w14:paraId="29877E60" w14:textId="77777777" w:rsidR="005D2DCC" w:rsidRDefault="00000000">
            <w:r>
              <w:t>Williams &amp; Glyns Bank v Boland [1981]</w:t>
            </w:r>
          </w:p>
        </w:tc>
        <w:tc>
          <w:tcPr>
            <w:tcW w:w="4320" w:type="dxa"/>
          </w:tcPr>
          <w:p w14:paraId="4E07FED1" w14:textId="77777777" w:rsidR="005D2DCC" w:rsidRDefault="00000000">
            <w:r>
              <w:t>Beneficial interest plus actual occupation can be an overriding interest.</w:t>
            </w:r>
          </w:p>
        </w:tc>
      </w:tr>
      <w:tr w:rsidR="005D2DCC" w14:paraId="0FAA67EA" w14:textId="77777777">
        <w:tc>
          <w:tcPr>
            <w:tcW w:w="4320" w:type="dxa"/>
          </w:tcPr>
          <w:p w14:paraId="375B473E" w14:textId="77777777" w:rsidR="005D2DCC" w:rsidRDefault="00000000">
            <w:r>
              <w:t>City of London Building Society v Flegg [1988]</w:t>
            </w:r>
          </w:p>
        </w:tc>
        <w:tc>
          <w:tcPr>
            <w:tcW w:w="4320" w:type="dxa"/>
          </w:tcPr>
          <w:p w14:paraId="43C8F6A1" w14:textId="77777777" w:rsidR="005D2DCC" w:rsidRDefault="00000000">
            <w:r>
              <w:t>Overreaching transfers beneficial interests into sale proceeds when statutory requirements are met.</w:t>
            </w:r>
          </w:p>
        </w:tc>
      </w:tr>
    </w:tbl>
    <w:p w14:paraId="1761454A" w14:textId="77777777" w:rsidR="00D96A1C" w:rsidRDefault="00D96A1C"/>
    <w:sectPr w:rsidR="00D96A1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2345564">
    <w:abstractNumId w:val="8"/>
  </w:num>
  <w:num w:numId="2" w16cid:durableId="262499773">
    <w:abstractNumId w:val="6"/>
  </w:num>
  <w:num w:numId="3" w16cid:durableId="960188554">
    <w:abstractNumId w:val="5"/>
  </w:num>
  <w:num w:numId="4" w16cid:durableId="1926306113">
    <w:abstractNumId w:val="4"/>
  </w:num>
  <w:num w:numId="5" w16cid:durableId="998383657">
    <w:abstractNumId w:val="7"/>
  </w:num>
  <w:num w:numId="6" w16cid:durableId="2050183958">
    <w:abstractNumId w:val="3"/>
  </w:num>
  <w:num w:numId="7" w16cid:durableId="2121878738">
    <w:abstractNumId w:val="2"/>
  </w:num>
  <w:num w:numId="8" w16cid:durableId="834688162">
    <w:abstractNumId w:val="1"/>
  </w:num>
  <w:num w:numId="9" w16cid:durableId="397945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D2DCC"/>
    <w:rsid w:val="00AA1D8D"/>
    <w:rsid w:val="00B47730"/>
    <w:rsid w:val="00CB0664"/>
    <w:rsid w:val="00D96A1C"/>
    <w:rsid w:val="00DB30CD"/>
    <w:rsid w:val="00DE69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ED980B"/>
  <w14:defaultImageDpi w14:val="300"/>
  <w15:docId w15:val="{8492C433-5F83-44A6-8E9D-C7F0BCB6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Kireene David</dc:creator>
  <cp:keywords/>
  <dc:description>generated by python-docx</dc:description>
  <cp:lastModifiedBy>Kireene David</cp:lastModifiedBy>
  <cp:revision>2</cp:revision>
  <dcterms:created xsi:type="dcterms:W3CDTF">2026-10-04T19:31:00Z</dcterms:created>
  <dcterms:modified xsi:type="dcterms:W3CDTF">2026-10-04T19:31:00Z</dcterms:modified>
  <cp:category/>
</cp:coreProperties>
</file>