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A486CB5" w14:textId="6F2D7E5E" w:rsidR="00786D4E" w:rsidRDefault="00293DFE" w:rsidP="00BB3A32">
      <w:pPr>
        <w:spacing w:line="360" w:lineRule="auto"/>
        <w:rPr>
          <w:rFonts w:ascii="Arial" w:hAnsi="Arial" w:cs="Arial"/>
          <w:b/>
          <w:bCs/>
          <w:sz w:val="22"/>
          <w:szCs w:val="22"/>
        </w:rPr>
      </w:pPr>
      <w:r>
        <w:rPr>
          <w:rFonts w:ascii="Times New Roman"/>
          <w:noProof/>
          <w:sz w:val="20"/>
        </w:rPr>
        <w:drawing>
          <wp:anchor distT="0" distB="0" distL="114300" distR="114300" simplePos="0" relativeHeight="251659264" behindDoc="0" locked="0" layoutInCell="1" allowOverlap="1" wp14:anchorId="3F55DD2D" wp14:editId="3E0D09E2">
            <wp:simplePos x="0" y="0"/>
            <wp:positionH relativeFrom="column">
              <wp:posOffset>4100426</wp:posOffset>
            </wp:positionH>
            <wp:positionV relativeFrom="paragraph">
              <wp:posOffset>-720379</wp:posOffset>
            </wp:positionV>
            <wp:extent cx="1971040" cy="747864"/>
            <wp:effectExtent l="0" t="0" r="0" b="0"/>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71040" cy="747864"/>
                    </a:xfrm>
                    <a:prstGeom prst="rect">
                      <a:avLst/>
                    </a:prstGeom>
                  </pic:spPr>
                </pic:pic>
              </a:graphicData>
            </a:graphic>
            <wp14:sizeRelH relativeFrom="margin">
              <wp14:pctWidth>0</wp14:pctWidth>
            </wp14:sizeRelH>
            <wp14:sizeRelV relativeFrom="margin">
              <wp14:pctHeight>0</wp14:pctHeight>
            </wp14:sizeRelV>
          </wp:anchor>
        </w:drawing>
      </w:r>
    </w:p>
    <w:p w14:paraId="0E914E64" w14:textId="1B952719" w:rsidR="00EA6977" w:rsidRPr="00A951CA" w:rsidRDefault="005C5144" w:rsidP="005C5144">
      <w:pPr>
        <w:rPr>
          <w:b/>
          <w:bCs/>
          <w:sz w:val="44"/>
          <w:szCs w:val="44"/>
        </w:rPr>
      </w:pPr>
      <w:r w:rsidRPr="00A951CA">
        <w:rPr>
          <w:b/>
          <w:bCs/>
          <w:sz w:val="44"/>
          <w:szCs w:val="44"/>
        </w:rPr>
        <w:t>Name</w:t>
      </w:r>
      <w:r w:rsidR="00F12D0A" w:rsidRPr="00A951CA">
        <w:rPr>
          <w:b/>
          <w:bCs/>
          <w:sz w:val="44"/>
          <w:szCs w:val="44"/>
        </w:rPr>
        <w:t>-</w:t>
      </w:r>
      <w:r w:rsidRPr="00A951CA">
        <w:rPr>
          <w:b/>
          <w:bCs/>
          <w:sz w:val="44"/>
          <w:szCs w:val="44"/>
        </w:rPr>
        <w:t xml:space="preserve"> Irene Quagraine </w:t>
      </w:r>
      <w:r w:rsidRPr="00A951CA">
        <w:rPr>
          <w:rFonts w:ascii="Arial" w:hAnsi="Arial" w:cs="Arial"/>
          <w:b/>
          <w:bCs/>
          <w:sz w:val="44"/>
          <w:szCs w:val="44"/>
        </w:rPr>
        <w:t>​</w:t>
      </w:r>
      <w:r w:rsidRPr="00A951CA">
        <w:rPr>
          <w:sz w:val="18"/>
          <w:szCs w:val="18"/>
        </w:rPr>
        <w:br/>
      </w:r>
      <w:r w:rsidRPr="00A951CA">
        <w:rPr>
          <w:b/>
          <w:bCs/>
          <w:sz w:val="44"/>
          <w:szCs w:val="44"/>
        </w:rPr>
        <w:t>Student number -2434408</w:t>
      </w:r>
      <w:r w:rsidRPr="00A951CA">
        <w:rPr>
          <w:rFonts w:ascii="Arial" w:hAnsi="Arial" w:cs="Arial"/>
          <w:b/>
          <w:bCs/>
          <w:sz w:val="44"/>
          <w:szCs w:val="44"/>
        </w:rPr>
        <w:t>​</w:t>
      </w:r>
      <w:r w:rsidRPr="00A951CA">
        <w:rPr>
          <w:sz w:val="18"/>
          <w:szCs w:val="18"/>
        </w:rPr>
        <w:br/>
      </w:r>
      <w:r w:rsidRPr="00A951CA">
        <w:rPr>
          <w:b/>
          <w:bCs/>
          <w:sz w:val="44"/>
          <w:szCs w:val="44"/>
        </w:rPr>
        <w:t>Module code -LCHS 400</w:t>
      </w:r>
      <w:r w:rsidR="00661F89" w:rsidRPr="00A951CA">
        <w:rPr>
          <w:b/>
          <w:bCs/>
          <w:sz w:val="44"/>
          <w:szCs w:val="44"/>
        </w:rPr>
        <w:t>3</w:t>
      </w:r>
      <w:r w:rsidRPr="00A951CA">
        <w:rPr>
          <w:sz w:val="18"/>
          <w:szCs w:val="18"/>
        </w:rPr>
        <w:br/>
      </w:r>
      <w:r w:rsidRPr="00A951CA">
        <w:rPr>
          <w:b/>
          <w:bCs/>
          <w:sz w:val="44"/>
          <w:szCs w:val="44"/>
        </w:rPr>
        <w:t xml:space="preserve"> Module Title- </w:t>
      </w:r>
      <w:r w:rsidRPr="00A951CA">
        <w:rPr>
          <w:b/>
          <w:bCs/>
          <w:sz w:val="40"/>
          <w:szCs w:val="40"/>
        </w:rPr>
        <w:t>Introduction</w:t>
      </w:r>
      <w:r w:rsidRPr="00A951CA">
        <w:rPr>
          <w:b/>
          <w:bCs/>
          <w:spacing w:val="-4"/>
          <w:sz w:val="40"/>
          <w:szCs w:val="40"/>
        </w:rPr>
        <w:t xml:space="preserve"> </w:t>
      </w:r>
      <w:r w:rsidR="00D9412C" w:rsidRPr="00A951CA">
        <w:rPr>
          <w:b/>
          <w:bCs/>
          <w:sz w:val="40"/>
          <w:szCs w:val="40"/>
        </w:rPr>
        <w:t>to</w:t>
      </w:r>
      <w:r w:rsidR="00873515" w:rsidRPr="00A951CA">
        <w:rPr>
          <w:b/>
          <w:bCs/>
          <w:sz w:val="40"/>
          <w:szCs w:val="40"/>
        </w:rPr>
        <w:t xml:space="preserve"> Heal</w:t>
      </w:r>
      <w:r w:rsidR="00D55050" w:rsidRPr="00A951CA">
        <w:rPr>
          <w:b/>
          <w:bCs/>
          <w:sz w:val="40"/>
          <w:szCs w:val="40"/>
        </w:rPr>
        <w:t>th and social car</w:t>
      </w:r>
      <w:r w:rsidR="008E595F" w:rsidRPr="00A951CA">
        <w:rPr>
          <w:b/>
          <w:bCs/>
          <w:sz w:val="40"/>
          <w:szCs w:val="40"/>
        </w:rPr>
        <w:t xml:space="preserve">e </w:t>
      </w:r>
    </w:p>
    <w:p w14:paraId="2E5E2C79" w14:textId="2F880304" w:rsidR="005C5144" w:rsidRPr="00A951CA" w:rsidRDefault="00EA6977" w:rsidP="005C5144">
      <w:pPr>
        <w:rPr>
          <w:b/>
          <w:bCs/>
          <w:spacing w:val="-2"/>
          <w:sz w:val="40"/>
          <w:szCs w:val="40"/>
        </w:rPr>
      </w:pPr>
      <w:r w:rsidRPr="00A951CA">
        <w:rPr>
          <w:b/>
          <w:bCs/>
          <w:sz w:val="44"/>
          <w:szCs w:val="44"/>
        </w:rPr>
        <w:t>Lectures Name</w:t>
      </w:r>
      <w:r w:rsidR="005C5144" w:rsidRPr="00A951CA">
        <w:rPr>
          <w:b/>
          <w:bCs/>
          <w:sz w:val="44"/>
          <w:szCs w:val="44"/>
        </w:rPr>
        <w:t xml:space="preserve"> </w:t>
      </w:r>
      <w:r w:rsidR="00546F81" w:rsidRPr="00A951CA">
        <w:rPr>
          <w:b/>
          <w:bCs/>
          <w:sz w:val="44"/>
          <w:szCs w:val="44"/>
        </w:rPr>
        <w:t>-</w:t>
      </w:r>
      <w:r w:rsidR="00592D46" w:rsidRPr="00A951CA">
        <w:rPr>
          <w:b/>
          <w:bCs/>
          <w:sz w:val="44"/>
          <w:szCs w:val="44"/>
        </w:rPr>
        <w:t>Azi</w:t>
      </w:r>
      <w:r w:rsidR="00752327" w:rsidRPr="00A951CA">
        <w:rPr>
          <w:b/>
          <w:bCs/>
          <w:sz w:val="44"/>
          <w:szCs w:val="44"/>
        </w:rPr>
        <w:t>da Za</w:t>
      </w:r>
      <w:r w:rsidR="002B378C" w:rsidRPr="00A951CA">
        <w:rPr>
          <w:b/>
          <w:bCs/>
          <w:sz w:val="44"/>
          <w:szCs w:val="44"/>
        </w:rPr>
        <w:t>i</w:t>
      </w:r>
      <w:r w:rsidR="00752327" w:rsidRPr="00A951CA">
        <w:rPr>
          <w:b/>
          <w:bCs/>
          <w:sz w:val="44"/>
          <w:szCs w:val="44"/>
        </w:rPr>
        <w:t>nol</w:t>
      </w:r>
      <w:r w:rsidR="005C5144" w:rsidRPr="00A951CA">
        <w:rPr>
          <w:sz w:val="18"/>
          <w:szCs w:val="18"/>
        </w:rPr>
        <w:br/>
      </w:r>
      <w:r w:rsidR="00595A33" w:rsidRPr="00A951CA">
        <w:rPr>
          <w:b/>
          <w:bCs/>
          <w:sz w:val="44"/>
          <w:szCs w:val="44"/>
        </w:rPr>
        <w:t xml:space="preserve">Assignment </w:t>
      </w:r>
      <w:r w:rsidR="005663C1" w:rsidRPr="00A951CA">
        <w:rPr>
          <w:b/>
          <w:bCs/>
          <w:sz w:val="44"/>
          <w:szCs w:val="44"/>
        </w:rPr>
        <w:t>Tittle</w:t>
      </w:r>
      <w:r w:rsidR="00595A33" w:rsidRPr="00A951CA">
        <w:rPr>
          <w:b/>
          <w:bCs/>
          <w:sz w:val="44"/>
          <w:szCs w:val="44"/>
        </w:rPr>
        <w:t>-</w:t>
      </w:r>
      <w:r w:rsidR="005C5144" w:rsidRPr="00A951CA">
        <w:rPr>
          <w:b/>
          <w:bCs/>
          <w:spacing w:val="-2"/>
          <w:sz w:val="22"/>
          <w:szCs w:val="22"/>
        </w:rPr>
        <w:t xml:space="preserve"> </w:t>
      </w:r>
      <w:r w:rsidR="00453479" w:rsidRPr="00A951CA">
        <w:rPr>
          <w:b/>
          <w:bCs/>
          <w:spacing w:val="-2"/>
          <w:sz w:val="40"/>
          <w:szCs w:val="40"/>
        </w:rPr>
        <w:t xml:space="preserve">component 2 </w:t>
      </w:r>
      <w:r w:rsidR="007A0C8F" w:rsidRPr="00A951CA">
        <w:rPr>
          <w:b/>
          <w:bCs/>
          <w:spacing w:val="-2"/>
          <w:sz w:val="40"/>
          <w:szCs w:val="40"/>
        </w:rPr>
        <w:t>written.</w:t>
      </w:r>
    </w:p>
    <w:p w14:paraId="66737A1D" w14:textId="3B847059" w:rsidR="00595A33" w:rsidRPr="00A951CA" w:rsidRDefault="00595A33" w:rsidP="005C5144">
      <w:pPr>
        <w:rPr>
          <w:b/>
          <w:bCs/>
          <w:spacing w:val="-2"/>
          <w:sz w:val="40"/>
          <w:szCs w:val="40"/>
        </w:rPr>
      </w:pPr>
      <w:r w:rsidRPr="00A951CA">
        <w:rPr>
          <w:b/>
          <w:bCs/>
          <w:spacing w:val="-2"/>
          <w:sz w:val="40"/>
          <w:szCs w:val="40"/>
        </w:rPr>
        <w:t>Ass</w:t>
      </w:r>
      <w:r w:rsidR="00712A63" w:rsidRPr="00A951CA">
        <w:rPr>
          <w:b/>
          <w:bCs/>
          <w:spacing w:val="-2"/>
          <w:sz w:val="40"/>
          <w:szCs w:val="40"/>
        </w:rPr>
        <w:t>ignment -</w:t>
      </w:r>
      <w:r w:rsidR="00453479" w:rsidRPr="00A951CA">
        <w:rPr>
          <w:b/>
          <w:bCs/>
          <w:spacing w:val="-2"/>
          <w:sz w:val="40"/>
          <w:szCs w:val="40"/>
        </w:rPr>
        <w:t xml:space="preserve"> Case Study: Mrs Mann.</w:t>
      </w:r>
      <w:r w:rsidR="009D7E8A" w:rsidRPr="00A951CA">
        <w:rPr>
          <w:b/>
          <w:bCs/>
          <w:spacing w:val="-2"/>
          <w:sz w:val="40"/>
          <w:szCs w:val="40"/>
        </w:rPr>
        <w:t xml:space="preserve"> </w:t>
      </w:r>
    </w:p>
    <w:p w14:paraId="7819242F" w14:textId="572CE6E1" w:rsidR="00A43AAF" w:rsidRPr="00A951CA" w:rsidRDefault="00BD0B69" w:rsidP="005C5144">
      <w:pPr>
        <w:rPr>
          <w:b/>
          <w:bCs/>
          <w:spacing w:val="-2"/>
          <w:sz w:val="40"/>
          <w:szCs w:val="40"/>
        </w:rPr>
      </w:pPr>
      <w:r w:rsidRPr="00A951CA">
        <w:rPr>
          <w:b/>
          <w:bCs/>
          <w:spacing w:val="-2"/>
          <w:sz w:val="40"/>
          <w:szCs w:val="40"/>
        </w:rPr>
        <w:t>Date of submission:</w:t>
      </w:r>
      <w:r w:rsidR="00000497" w:rsidRPr="00A951CA">
        <w:rPr>
          <w:b/>
          <w:bCs/>
          <w:spacing w:val="-2"/>
          <w:sz w:val="40"/>
          <w:szCs w:val="40"/>
        </w:rPr>
        <w:t>21 November 2025</w:t>
      </w:r>
    </w:p>
    <w:p w14:paraId="4E8B268E" w14:textId="77777777" w:rsidR="00595A33" w:rsidRPr="00A951CA" w:rsidRDefault="00595A33" w:rsidP="005C5144">
      <w:pPr>
        <w:rPr>
          <w:b/>
          <w:bCs/>
          <w:spacing w:val="-2"/>
          <w:sz w:val="40"/>
          <w:szCs w:val="40"/>
        </w:rPr>
      </w:pPr>
    </w:p>
    <w:p w14:paraId="341E3A58" w14:textId="77777777" w:rsidR="006717B2" w:rsidRPr="00A951CA" w:rsidRDefault="006717B2" w:rsidP="005C5144">
      <w:pPr>
        <w:rPr>
          <w:b/>
          <w:bCs/>
          <w:spacing w:val="-2"/>
          <w:sz w:val="40"/>
          <w:szCs w:val="40"/>
        </w:rPr>
      </w:pPr>
    </w:p>
    <w:p w14:paraId="6C21EEA3" w14:textId="77777777" w:rsidR="00332EAA" w:rsidRPr="00A951CA" w:rsidRDefault="00332EAA">
      <w:pPr>
        <w:rPr>
          <w:rFonts w:ascii="Arial" w:hAnsi="Arial" w:cs="Arial"/>
          <w:b/>
          <w:bCs/>
          <w:sz w:val="20"/>
          <w:szCs w:val="20"/>
        </w:rPr>
      </w:pPr>
    </w:p>
    <w:p w14:paraId="06A81DB8" w14:textId="77777777" w:rsidR="0036261B" w:rsidRDefault="0036261B">
      <w:pPr>
        <w:rPr>
          <w:rFonts w:ascii="Arial" w:hAnsi="Arial" w:cs="Arial"/>
          <w:b/>
          <w:bCs/>
          <w:sz w:val="22"/>
          <w:szCs w:val="22"/>
        </w:rPr>
      </w:pPr>
    </w:p>
    <w:p w14:paraId="4E5B3EBC" w14:textId="77777777" w:rsidR="00A05E33" w:rsidRDefault="00A05E33">
      <w:pPr>
        <w:rPr>
          <w:rFonts w:ascii="Arial" w:hAnsi="Arial" w:cs="Arial"/>
          <w:b/>
          <w:bCs/>
          <w:sz w:val="22"/>
          <w:szCs w:val="22"/>
        </w:rPr>
      </w:pPr>
    </w:p>
    <w:p w14:paraId="3269C1DB" w14:textId="77777777" w:rsidR="00A05E33" w:rsidRDefault="00A05E33">
      <w:pPr>
        <w:rPr>
          <w:rFonts w:ascii="Arial" w:hAnsi="Arial" w:cs="Arial"/>
          <w:b/>
          <w:bCs/>
          <w:sz w:val="22"/>
          <w:szCs w:val="22"/>
        </w:rPr>
      </w:pPr>
      <w:r>
        <w:rPr>
          <w:rFonts w:ascii="Arial" w:hAnsi="Arial" w:cs="Arial"/>
          <w:b/>
          <w:bCs/>
          <w:sz w:val="22"/>
          <w:szCs w:val="22"/>
        </w:rPr>
        <w:br w:type="page"/>
      </w:r>
    </w:p>
    <w:p w14:paraId="0437F789" w14:textId="4D719B66" w:rsidR="00AC348F" w:rsidRDefault="00AC348F" w:rsidP="00366BCB">
      <w:pPr>
        <w:pStyle w:val="TOCHeading"/>
        <w:rPr>
          <w:rFonts w:ascii="Arial" w:hAnsi="Arial" w:cs="Arial"/>
          <w:b/>
          <w:bCs/>
          <w:sz w:val="22"/>
          <w:szCs w:val="22"/>
        </w:rPr>
      </w:pPr>
    </w:p>
    <w:sdt>
      <w:sdtPr>
        <w:id w:val="54032833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676DD05" w14:textId="48737348" w:rsidR="00AB0D20" w:rsidRDefault="00AB0D20">
          <w:pPr>
            <w:pStyle w:val="TOCHeading"/>
          </w:pPr>
          <w:r>
            <w:t>Contents</w:t>
          </w:r>
        </w:p>
        <w:p w14:paraId="029E92E1" w14:textId="4CF02EF5" w:rsidR="00AB0D20" w:rsidRDefault="00AB0D20">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4540535" w:history="1">
            <w:r w:rsidRPr="00A652F9">
              <w:rPr>
                <w:rStyle w:val="Hyperlink"/>
                <w:noProof/>
              </w:rPr>
              <w:t>Introduction</w:t>
            </w:r>
            <w:r>
              <w:rPr>
                <w:noProof/>
                <w:webHidden/>
              </w:rPr>
              <w:tab/>
            </w:r>
            <w:r>
              <w:rPr>
                <w:noProof/>
                <w:webHidden/>
              </w:rPr>
              <w:fldChar w:fldCharType="begin"/>
            </w:r>
            <w:r>
              <w:rPr>
                <w:noProof/>
                <w:webHidden/>
              </w:rPr>
              <w:instrText xml:space="preserve"> PAGEREF _Toc214540535 \h </w:instrText>
            </w:r>
            <w:r>
              <w:rPr>
                <w:noProof/>
                <w:webHidden/>
              </w:rPr>
            </w:r>
            <w:r>
              <w:rPr>
                <w:noProof/>
                <w:webHidden/>
              </w:rPr>
              <w:fldChar w:fldCharType="separate"/>
            </w:r>
            <w:r>
              <w:rPr>
                <w:noProof/>
                <w:webHidden/>
              </w:rPr>
              <w:t>3</w:t>
            </w:r>
            <w:r>
              <w:rPr>
                <w:noProof/>
                <w:webHidden/>
              </w:rPr>
              <w:fldChar w:fldCharType="end"/>
            </w:r>
          </w:hyperlink>
        </w:p>
        <w:p w14:paraId="187562EF" w14:textId="64FBB3EC" w:rsidR="00AB0D20" w:rsidRDefault="00AB0D20">
          <w:pPr>
            <w:pStyle w:val="TOC1"/>
            <w:tabs>
              <w:tab w:val="right" w:leader="dot" w:pos="9016"/>
            </w:tabs>
            <w:rPr>
              <w:rFonts w:cstheme="minorBidi"/>
              <w:noProof/>
              <w:kern w:val="2"/>
              <w:sz w:val="24"/>
              <w:szCs w:val="24"/>
              <w14:ligatures w14:val="standardContextual"/>
            </w:rPr>
          </w:pPr>
          <w:hyperlink w:anchor="_Toc214540536" w:history="1">
            <w:r w:rsidRPr="00A652F9">
              <w:rPr>
                <w:rStyle w:val="Hyperlink"/>
                <w:rFonts w:ascii="Arial" w:hAnsi="Arial" w:cs="Arial"/>
                <w:noProof/>
              </w:rPr>
              <w:t>2. Importance of Effective Communication</w:t>
            </w:r>
            <w:r>
              <w:rPr>
                <w:noProof/>
                <w:webHidden/>
              </w:rPr>
              <w:tab/>
            </w:r>
            <w:r>
              <w:rPr>
                <w:noProof/>
                <w:webHidden/>
              </w:rPr>
              <w:fldChar w:fldCharType="begin"/>
            </w:r>
            <w:r>
              <w:rPr>
                <w:noProof/>
                <w:webHidden/>
              </w:rPr>
              <w:instrText xml:space="preserve"> PAGEREF _Toc214540536 \h </w:instrText>
            </w:r>
            <w:r>
              <w:rPr>
                <w:noProof/>
                <w:webHidden/>
              </w:rPr>
            </w:r>
            <w:r>
              <w:rPr>
                <w:noProof/>
                <w:webHidden/>
              </w:rPr>
              <w:fldChar w:fldCharType="separate"/>
            </w:r>
            <w:r>
              <w:rPr>
                <w:noProof/>
                <w:webHidden/>
              </w:rPr>
              <w:t>3</w:t>
            </w:r>
            <w:r>
              <w:rPr>
                <w:noProof/>
                <w:webHidden/>
              </w:rPr>
              <w:fldChar w:fldCharType="end"/>
            </w:r>
          </w:hyperlink>
        </w:p>
        <w:p w14:paraId="6A613035" w14:textId="507A1DD6" w:rsidR="00AB0D20" w:rsidRDefault="00AB0D20">
          <w:pPr>
            <w:pStyle w:val="TOC1"/>
            <w:tabs>
              <w:tab w:val="right" w:leader="dot" w:pos="9016"/>
            </w:tabs>
            <w:rPr>
              <w:rFonts w:cstheme="minorBidi"/>
              <w:noProof/>
              <w:kern w:val="2"/>
              <w:sz w:val="24"/>
              <w:szCs w:val="24"/>
              <w14:ligatures w14:val="standardContextual"/>
            </w:rPr>
          </w:pPr>
          <w:hyperlink w:anchor="_Toc214540537" w:history="1">
            <w:r w:rsidRPr="00A652F9">
              <w:rPr>
                <w:rStyle w:val="Hyperlink"/>
                <w:rFonts w:ascii="Arial" w:hAnsi="Arial" w:cs="Arial"/>
                <w:noProof/>
              </w:rPr>
              <w:t>3. Importance of Good Administrative Skills and Record Keeping</w:t>
            </w:r>
            <w:r>
              <w:rPr>
                <w:noProof/>
                <w:webHidden/>
              </w:rPr>
              <w:tab/>
            </w:r>
            <w:r>
              <w:rPr>
                <w:noProof/>
                <w:webHidden/>
              </w:rPr>
              <w:fldChar w:fldCharType="begin"/>
            </w:r>
            <w:r>
              <w:rPr>
                <w:noProof/>
                <w:webHidden/>
              </w:rPr>
              <w:instrText xml:space="preserve"> PAGEREF _Toc214540537 \h </w:instrText>
            </w:r>
            <w:r>
              <w:rPr>
                <w:noProof/>
                <w:webHidden/>
              </w:rPr>
            </w:r>
            <w:r>
              <w:rPr>
                <w:noProof/>
                <w:webHidden/>
              </w:rPr>
              <w:fldChar w:fldCharType="separate"/>
            </w:r>
            <w:r>
              <w:rPr>
                <w:noProof/>
                <w:webHidden/>
              </w:rPr>
              <w:t>4</w:t>
            </w:r>
            <w:r>
              <w:rPr>
                <w:noProof/>
                <w:webHidden/>
              </w:rPr>
              <w:fldChar w:fldCharType="end"/>
            </w:r>
          </w:hyperlink>
        </w:p>
        <w:p w14:paraId="2D8359BD" w14:textId="21D0D096" w:rsidR="00AB0D20" w:rsidRDefault="00AB0D20">
          <w:pPr>
            <w:pStyle w:val="TOC1"/>
            <w:tabs>
              <w:tab w:val="right" w:leader="dot" w:pos="9016"/>
            </w:tabs>
            <w:rPr>
              <w:rFonts w:cstheme="minorBidi"/>
              <w:noProof/>
              <w:kern w:val="2"/>
              <w:sz w:val="24"/>
              <w:szCs w:val="24"/>
              <w14:ligatures w14:val="standardContextual"/>
            </w:rPr>
          </w:pPr>
          <w:hyperlink w:anchor="_Toc214540538" w:history="1">
            <w:r w:rsidRPr="00A652F9">
              <w:rPr>
                <w:rStyle w:val="Hyperlink"/>
                <w:rFonts w:ascii="Arial" w:hAnsi="Arial" w:cs="Arial"/>
                <w:noProof/>
              </w:rPr>
              <w:t>4. Importance of Collaborative Working</w:t>
            </w:r>
            <w:r>
              <w:rPr>
                <w:noProof/>
                <w:webHidden/>
              </w:rPr>
              <w:tab/>
            </w:r>
            <w:r>
              <w:rPr>
                <w:noProof/>
                <w:webHidden/>
              </w:rPr>
              <w:fldChar w:fldCharType="begin"/>
            </w:r>
            <w:r>
              <w:rPr>
                <w:noProof/>
                <w:webHidden/>
              </w:rPr>
              <w:instrText xml:space="preserve"> PAGEREF _Toc214540538 \h </w:instrText>
            </w:r>
            <w:r>
              <w:rPr>
                <w:noProof/>
                <w:webHidden/>
              </w:rPr>
            </w:r>
            <w:r>
              <w:rPr>
                <w:noProof/>
                <w:webHidden/>
              </w:rPr>
              <w:fldChar w:fldCharType="separate"/>
            </w:r>
            <w:r>
              <w:rPr>
                <w:noProof/>
                <w:webHidden/>
              </w:rPr>
              <w:t>6</w:t>
            </w:r>
            <w:r>
              <w:rPr>
                <w:noProof/>
                <w:webHidden/>
              </w:rPr>
              <w:fldChar w:fldCharType="end"/>
            </w:r>
          </w:hyperlink>
        </w:p>
        <w:p w14:paraId="23168480" w14:textId="1669E1EC" w:rsidR="00AB0D20" w:rsidRDefault="00AB0D20">
          <w:pPr>
            <w:pStyle w:val="TOC1"/>
            <w:tabs>
              <w:tab w:val="right" w:leader="dot" w:pos="9016"/>
            </w:tabs>
            <w:rPr>
              <w:rFonts w:cstheme="minorBidi"/>
              <w:noProof/>
              <w:kern w:val="2"/>
              <w:sz w:val="24"/>
              <w:szCs w:val="24"/>
              <w14:ligatures w14:val="standardContextual"/>
            </w:rPr>
          </w:pPr>
          <w:hyperlink w:anchor="_Toc214540539" w:history="1">
            <w:r w:rsidRPr="00A652F9">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_Toc214540539 \h </w:instrText>
            </w:r>
            <w:r>
              <w:rPr>
                <w:noProof/>
                <w:webHidden/>
              </w:rPr>
            </w:r>
            <w:r>
              <w:rPr>
                <w:noProof/>
                <w:webHidden/>
              </w:rPr>
              <w:fldChar w:fldCharType="separate"/>
            </w:r>
            <w:r>
              <w:rPr>
                <w:noProof/>
                <w:webHidden/>
              </w:rPr>
              <w:t>6</w:t>
            </w:r>
            <w:r>
              <w:rPr>
                <w:noProof/>
                <w:webHidden/>
              </w:rPr>
              <w:fldChar w:fldCharType="end"/>
            </w:r>
          </w:hyperlink>
        </w:p>
        <w:p w14:paraId="31E5D800" w14:textId="44E795E8" w:rsidR="00AB0D20" w:rsidRDefault="00AB0D20">
          <w:pPr>
            <w:pStyle w:val="TOC1"/>
            <w:tabs>
              <w:tab w:val="right" w:leader="dot" w:pos="9016"/>
            </w:tabs>
            <w:rPr>
              <w:rFonts w:cstheme="minorBidi"/>
              <w:noProof/>
              <w:kern w:val="2"/>
              <w:sz w:val="24"/>
              <w:szCs w:val="24"/>
              <w14:ligatures w14:val="standardContextual"/>
            </w:rPr>
          </w:pPr>
          <w:hyperlink w:anchor="_Toc214540540" w:history="1">
            <w:r w:rsidRPr="00A652F9">
              <w:rPr>
                <w:rStyle w:val="Hyperlink"/>
                <w:rFonts w:ascii="Arial" w:hAnsi="Arial" w:cs="Arial"/>
                <w:noProof/>
              </w:rPr>
              <w:t>Reference</w:t>
            </w:r>
            <w:r>
              <w:rPr>
                <w:noProof/>
                <w:webHidden/>
              </w:rPr>
              <w:tab/>
            </w:r>
            <w:r>
              <w:rPr>
                <w:noProof/>
                <w:webHidden/>
              </w:rPr>
              <w:fldChar w:fldCharType="begin"/>
            </w:r>
            <w:r>
              <w:rPr>
                <w:noProof/>
                <w:webHidden/>
              </w:rPr>
              <w:instrText xml:space="preserve"> PAGEREF _Toc214540540 \h </w:instrText>
            </w:r>
            <w:r>
              <w:rPr>
                <w:noProof/>
                <w:webHidden/>
              </w:rPr>
            </w:r>
            <w:r>
              <w:rPr>
                <w:noProof/>
                <w:webHidden/>
              </w:rPr>
              <w:fldChar w:fldCharType="separate"/>
            </w:r>
            <w:r>
              <w:rPr>
                <w:noProof/>
                <w:webHidden/>
              </w:rPr>
              <w:t>8</w:t>
            </w:r>
            <w:r>
              <w:rPr>
                <w:noProof/>
                <w:webHidden/>
              </w:rPr>
              <w:fldChar w:fldCharType="end"/>
            </w:r>
          </w:hyperlink>
        </w:p>
        <w:p w14:paraId="1909B70D" w14:textId="036EB070" w:rsidR="00AB0D20" w:rsidRDefault="00AB0D20">
          <w:r>
            <w:rPr>
              <w:b/>
              <w:bCs/>
            </w:rPr>
            <w:fldChar w:fldCharType="end"/>
          </w:r>
        </w:p>
      </w:sdtContent>
    </w:sdt>
    <w:p w14:paraId="5A1F72B1" w14:textId="77A88F1E" w:rsidR="000F688A" w:rsidRDefault="000F688A" w:rsidP="009920EF">
      <w:pPr>
        <w:rPr>
          <w:rFonts w:ascii="Arial" w:hAnsi="Arial" w:cs="Arial"/>
          <w:b/>
          <w:bCs/>
          <w:sz w:val="22"/>
          <w:szCs w:val="22"/>
        </w:rPr>
      </w:pPr>
    </w:p>
    <w:p w14:paraId="4C3DE0C0" w14:textId="77777777" w:rsidR="009920EF" w:rsidRDefault="009920EF" w:rsidP="009920EF">
      <w:pPr>
        <w:rPr>
          <w:rFonts w:ascii="Arial" w:hAnsi="Arial" w:cs="Arial"/>
          <w:b/>
          <w:bCs/>
          <w:sz w:val="22"/>
          <w:szCs w:val="22"/>
        </w:rPr>
      </w:pPr>
    </w:p>
    <w:p w14:paraId="04E96F41" w14:textId="77777777" w:rsidR="009920EF" w:rsidRDefault="009920EF" w:rsidP="009920EF">
      <w:pPr>
        <w:rPr>
          <w:rFonts w:ascii="Arial" w:hAnsi="Arial" w:cs="Arial"/>
          <w:b/>
          <w:bCs/>
          <w:sz w:val="22"/>
          <w:szCs w:val="22"/>
        </w:rPr>
      </w:pPr>
    </w:p>
    <w:p w14:paraId="6E60C4A1" w14:textId="3DA410A6" w:rsidR="0036261B" w:rsidRDefault="0036261B">
      <w:pPr>
        <w:rPr>
          <w:rFonts w:ascii="Arial" w:hAnsi="Arial" w:cs="Arial"/>
          <w:b/>
          <w:bCs/>
          <w:sz w:val="22"/>
          <w:szCs w:val="22"/>
        </w:rPr>
      </w:pPr>
    </w:p>
    <w:p w14:paraId="7351B8A8" w14:textId="07C020EC" w:rsidR="000F52EB" w:rsidRDefault="000F52EB">
      <w:pPr>
        <w:rPr>
          <w:rFonts w:asciiTheme="majorHAnsi" w:eastAsiaTheme="majorEastAsia" w:hAnsiTheme="majorHAnsi" w:cstheme="majorBidi"/>
          <w:color w:val="0F4761" w:themeColor="accent1" w:themeShade="BF"/>
          <w:sz w:val="40"/>
          <w:szCs w:val="40"/>
        </w:rPr>
      </w:pPr>
      <w:r>
        <w:br w:type="page"/>
      </w:r>
    </w:p>
    <w:p w14:paraId="479ACA74" w14:textId="1A636CCD" w:rsidR="00BF5443" w:rsidRPr="00BB3A32" w:rsidRDefault="00BB3A32" w:rsidP="000D6F20">
      <w:pPr>
        <w:pStyle w:val="Heading1"/>
      </w:pPr>
      <w:bookmarkStart w:id="0" w:name="_Toc214540535"/>
      <w:r w:rsidRPr="00BB3A32">
        <w:lastRenderedPageBreak/>
        <w:t>Introduction</w:t>
      </w:r>
      <w:bookmarkEnd w:id="0"/>
      <w:r w:rsidRPr="00BB3A32">
        <w:t xml:space="preserve"> </w:t>
      </w:r>
      <w:r w:rsidR="00BF5443" w:rsidRPr="00154CDD">
        <w:t xml:space="preserve">     </w:t>
      </w:r>
    </w:p>
    <w:p w14:paraId="5F69536C" w14:textId="3DA498C6" w:rsidR="739321F6" w:rsidRPr="001E25C9" w:rsidRDefault="009D099C" w:rsidP="001E25C9">
      <w:pPr>
        <w:spacing w:line="360" w:lineRule="auto"/>
        <w:jc w:val="both"/>
        <w:rPr>
          <w:rFonts w:ascii="Arial" w:hAnsi="Arial" w:cs="Arial"/>
          <w:sz w:val="22"/>
          <w:szCs w:val="22"/>
        </w:rPr>
      </w:pPr>
      <w:r w:rsidRPr="001E25C9">
        <w:rPr>
          <w:rFonts w:ascii="Arial" w:eastAsia="Arial" w:hAnsi="Arial" w:cs="Arial"/>
          <w:sz w:val="22"/>
          <w:szCs w:val="22"/>
        </w:rPr>
        <w:t xml:space="preserve">Introduction Effective communication, accurate documentation, and collaborative working are the pillars of safe and person-centred care in modern health and social care practice. These elements ensure that service users receive consistent, high-quality support tailored to their individual needs. This report focuses on the case of Mrs Mann, a 72-year-old woman recently discharged from hospital following hip replacement surgery. Living alone, she depends on domiciliary care workers, her general practitioner (GP), and a community physiotherapist for ongoing support. Her circumstances highlight the complexity of care coordination and the importance of professional accountability. Mrs Mann’s limited English proficiency and reliance on her daughter for interpretation present significant communication challenges. While family members often provide emotional support, they may lack the professional skills required to convey medical information accurately. This increases the risk of misinterpretation, which can lead to medication errors or misunderstanding of rehabilitation instructions. Recent issues, including inconsistent record-keeping and a missed medication adjustment, underline the consequences of poor communication and fragmented documentation. These lapses not only compromise patient safety but also erode trust between service users and professionals. The purpose of this report is to examine three critical aspects of professional practice within this context: effective communication with service users and families, robust administrative and record-keeping practices, and multi-agency collaboration. These components are interdependent and collectively influence the quality of care delivered. The discussion will draw on the Shannon and Weaver Model of Communication to analyse how messages can be distorted by barriers such as language and cultural differences. It will also reference key legislation, including the Equality Act 2010, which mandates equal access to services, and the Data Protection Act 2018, which safeguards confidentiality and data integrity. By exploring these principles, the report aims to demonstrate best practice strategies that uphold dignity, equality, and safety in health and social </w:t>
      </w:r>
      <w:r w:rsidRPr="001E25C9">
        <w:rPr>
          <w:rFonts w:ascii="Arial" w:eastAsia="Arial" w:hAnsi="Arial" w:cs="Arial"/>
          <w:sz w:val="22"/>
          <w:szCs w:val="22"/>
        </w:rPr>
        <w:t>care.</w:t>
      </w:r>
    </w:p>
    <w:p w14:paraId="14BBC856" w14:textId="77777777" w:rsidR="00BB3A32" w:rsidRPr="001E25C9" w:rsidRDefault="00BB3A32" w:rsidP="001E25C9">
      <w:pPr>
        <w:spacing w:line="360" w:lineRule="auto"/>
        <w:rPr>
          <w:rFonts w:ascii="Arial" w:hAnsi="Arial" w:cs="Arial"/>
          <w:sz w:val="22"/>
          <w:szCs w:val="22"/>
        </w:rPr>
      </w:pPr>
    </w:p>
    <w:p w14:paraId="6A638FE8" w14:textId="704D4399" w:rsidR="00BB3A32" w:rsidRPr="001E25C9" w:rsidRDefault="00BB3A32" w:rsidP="001E25C9">
      <w:pPr>
        <w:pStyle w:val="Heading1"/>
        <w:spacing w:line="360" w:lineRule="auto"/>
        <w:rPr>
          <w:rFonts w:ascii="Arial" w:hAnsi="Arial" w:cs="Arial"/>
          <w:sz w:val="22"/>
          <w:szCs w:val="22"/>
        </w:rPr>
      </w:pPr>
      <w:bookmarkStart w:id="1" w:name="_Toc214540536"/>
      <w:r w:rsidRPr="001E25C9">
        <w:rPr>
          <w:rFonts w:ascii="Arial" w:hAnsi="Arial" w:cs="Arial"/>
          <w:sz w:val="22"/>
          <w:szCs w:val="22"/>
        </w:rPr>
        <w:t>2. Importance of Effective Communication</w:t>
      </w:r>
      <w:bookmarkEnd w:id="1"/>
      <w:r w:rsidRPr="001E25C9">
        <w:rPr>
          <w:rFonts w:ascii="Arial" w:hAnsi="Arial" w:cs="Arial"/>
          <w:sz w:val="22"/>
          <w:szCs w:val="22"/>
        </w:rPr>
        <w:t xml:space="preserve"> </w:t>
      </w:r>
    </w:p>
    <w:p w14:paraId="6C8639F6" w14:textId="27054884" w:rsidR="29CC1395" w:rsidRPr="001E25C9" w:rsidRDefault="29CC1395" w:rsidP="001E25C9">
      <w:pPr>
        <w:spacing w:before="240" w:after="240" w:line="360" w:lineRule="auto"/>
        <w:jc w:val="both"/>
        <w:rPr>
          <w:rFonts w:ascii="Arial" w:hAnsi="Arial" w:cs="Arial"/>
          <w:sz w:val="22"/>
          <w:szCs w:val="22"/>
        </w:rPr>
      </w:pPr>
      <w:r w:rsidRPr="001E25C9">
        <w:rPr>
          <w:rFonts w:ascii="Arial" w:eastAsia="Arial" w:hAnsi="Arial" w:cs="Arial"/>
          <w:sz w:val="22"/>
          <w:szCs w:val="22"/>
        </w:rPr>
        <w:t xml:space="preserve">Clear communication is fundamental to delivering safe, high-quality care and is central to all health and social care practices. For Mrs Mann, effective and inclusive communication is crucial to ensure she understands her treatment plan, rehabilitation exercises, and medication instructions after hip surgery. According to the Nursing and Midwifery Council (NMC, 2018), healthcare professionals must communicate clearly, respect cultural differences, and keep service users and families fully informed. However, Mrs Mann’s limited English creates a </w:t>
      </w:r>
      <w:r w:rsidRPr="001E25C9">
        <w:rPr>
          <w:rFonts w:ascii="Arial" w:eastAsia="Arial" w:hAnsi="Arial" w:cs="Arial"/>
          <w:sz w:val="22"/>
          <w:szCs w:val="22"/>
        </w:rPr>
        <w:lastRenderedPageBreak/>
        <w:t>significant barrier, as she depends heavily on her daughter for interpretation. While family support is valuable, professional interpreters are recommended to prevent errors, maintain confidentiality, and ensure accuracy (NHS England, 2022).</w:t>
      </w:r>
    </w:p>
    <w:p w14:paraId="2CB18CF7" w14:textId="0B0F0908" w:rsidR="29CC1395" w:rsidRPr="001E25C9" w:rsidRDefault="29CC1395" w:rsidP="001E25C9">
      <w:pPr>
        <w:spacing w:before="240" w:after="240" w:line="360" w:lineRule="auto"/>
        <w:jc w:val="both"/>
        <w:rPr>
          <w:rFonts w:ascii="Arial" w:hAnsi="Arial" w:cs="Arial"/>
          <w:sz w:val="22"/>
          <w:szCs w:val="22"/>
        </w:rPr>
      </w:pPr>
      <w:r w:rsidRPr="001E25C9">
        <w:rPr>
          <w:rFonts w:ascii="Arial" w:eastAsia="Arial" w:hAnsi="Arial" w:cs="Arial"/>
          <w:sz w:val="22"/>
          <w:szCs w:val="22"/>
        </w:rPr>
        <w:t xml:space="preserve">The Shannon and Weaver Communication Model (1949) </w:t>
      </w:r>
      <w:r w:rsidR="004F010E" w:rsidRPr="001E25C9">
        <w:rPr>
          <w:rFonts w:ascii="Arial" w:eastAsia="Arial" w:hAnsi="Arial" w:cs="Arial"/>
          <w:sz w:val="22"/>
          <w:szCs w:val="22"/>
        </w:rPr>
        <w:t>help</w:t>
      </w:r>
      <w:r w:rsidRPr="001E25C9">
        <w:rPr>
          <w:rFonts w:ascii="Arial" w:eastAsia="Arial" w:hAnsi="Arial" w:cs="Arial"/>
          <w:sz w:val="22"/>
          <w:szCs w:val="22"/>
        </w:rPr>
        <w:t xml:space="preserve"> explain how messages can be disrupted in healthcare. It identifies six elements: sender, encoder, channel, decoder, receiver, and noise. For example, the physiotherapist explaining exercises is the sender, and Mrs Mann is the receiver. The channel could be spoken English, translated Urdu, or written instructions. Language barriers, medical jargon, and cultural differences act as “noise,” increasing the risk of misunderstanding. To reduce this, feedback methods</w:t>
      </w:r>
      <w:r w:rsidR="00EA4EC6" w:rsidRPr="001E25C9">
        <w:rPr>
          <w:rFonts w:ascii="Arial" w:eastAsia="Arial" w:hAnsi="Arial" w:cs="Arial"/>
          <w:sz w:val="22"/>
          <w:szCs w:val="22"/>
        </w:rPr>
        <w:t xml:space="preserve"> </w:t>
      </w:r>
      <w:r w:rsidRPr="001E25C9">
        <w:rPr>
          <w:rFonts w:ascii="Arial" w:eastAsia="Arial" w:hAnsi="Arial" w:cs="Arial"/>
          <w:sz w:val="22"/>
          <w:szCs w:val="22"/>
        </w:rPr>
        <w:t>such as asking Mrs Mann to repeat instructions or demonstrate exercises</w:t>
      </w:r>
      <w:r w:rsidR="00EA4EC6" w:rsidRPr="001E25C9">
        <w:rPr>
          <w:rFonts w:ascii="Arial" w:eastAsia="Arial" w:hAnsi="Arial" w:cs="Arial"/>
          <w:sz w:val="22"/>
          <w:szCs w:val="22"/>
        </w:rPr>
        <w:t xml:space="preserve"> </w:t>
      </w:r>
      <w:r w:rsidRPr="001E25C9">
        <w:rPr>
          <w:rFonts w:ascii="Arial" w:eastAsia="Arial" w:hAnsi="Arial" w:cs="Arial"/>
          <w:sz w:val="22"/>
          <w:szCs w:val="22"/>
        </w:rPr>
        <w:t>are essential.</w:t>
      </w:r>
    </w:p>
    <w:p w14:paraId="7C7887E4" w14:textId="1BBBB049" w:rsidR="29CC1395" w:rsidRPr="001E25C9" w:rsidRDefault="29CC1395" w:rsidP="001E25C9">
      <w:pPr>
        <w:spacing w:before="240" w:after="240" w:line="360" w:lineRule="auto"/>
        <w:jc w:val="both"/>
        <w:rPr>
          <w:rFonts w:ascii="Arial" w:hAnsi="Arial" w:cs="Arial"/>
          <w:sz w:val="22"/>
          <w:szCs w:val="22"/>
        </w:rPr>
      </w:pPr>
      <w:r w:rsidRPr="001E25C9">
        <w:rPr>
          <w:rFonts w:ascii="Arial" w:eastAsia="Arial" w:hAnsi="Arial" w:cs="Arial"/>
          <w:sz w:val="22"/>
          <w:szCs w:val="22"/>
        </w:rPr>
        <w:t>Under the Equality Act 2010, providers must ensure equal access and avoid discrimination based on characteristics like language or ethnicity. For Mrs Mann, this means offering interpreters or translated materials so she can fully understand her care. These adjustments promote equality and person-centred care, empowering her to take part in decisions about her recovery.</w:t>
      </w:r>
    </w:p>
    <w:p w14:paraId="78FDBA91" w14:textId="0E704814" w:rsidR="00BB3A32" w:rsidRPr="001E25C9" w:rsidRDefault="29CC1395" w:rsidP="001E25C9">
      <w:pPr>
        <w:spacing w:before="240" w:after="240" w:line="360" w:lineRule="auto"/>
        <w:jc w:val="both"/>
        <w:rPr>
          <w:rFonts w:ascii="Arial" w:hAnsi="Arial" w:cs="Arial"/>
          <w:sz w:val="22"/>
          <w:szCs w:val="22"/>
        </w:rPr>
      </w:pPr>
      <w:r w:rsidRPr="001E25C9">
        <w:rPr>
          <w:rFonts w:ascii="Arial" w:eastAsia="Arial" w:hAnsi="Arial" w:cs="Arial"/>
          <w:sz w:val="22"/>
          <w:szCs w:val="22"/>
        </w:rPr>
        <w:t>Cultural awareness is equally important. Professionals should recognise how cultural norms influence communication preferences, gender considerations, and attitudes toward care. Training in cultural competence helps staff adapt communication styles appropriately. In Mrs Mann’s case, strategies such as using simple language, showing empathy, maintaining eye contact, and confirming understanding through translation are key to clear and respectful communication.</w:t>
      </w:r>
      <w:r w:rsidR="00000000" w:rsidRPr="001E25C9">
        <w:rPr>
          <w:rFonts w:ascii="Arial" w:hAnsi="Arial" w:cs="Arial"/>
          <w:sz w:val="22"/>
          <w:szCs w:val="22"/>
        </w:rPr>
        <w:pict w14:anchorId="2A85CCB6">
          <v:rect id="_x0000_i1025" style="width:0;height:1.5pt" o:hralign="center" o:hrstd="t" o:hr="t" fillcolor="#a0a0a0" stroked="f"/>
        </w:pict>
      </w:r>
    </w:p>
    <w:p w14:paraId="38EB417D" w14:textId="37FB655D" w:rsidR="00BB3A32" w:rsidRPr="001E25C9" w:rsidRDefault="00BB3A32" w:rsidP="001E25C9">
      <w:pPr>
        <w:pStyle w:val="Heading1"/>
        <w:spacing w:line="360" w:lineRule="auto"/>
        <w:rPr>
          <w:rFonts w:ascii="Arial" w:hAnsi="Arial" w:cs="Arial"/>
          <w:sz w:val="22"/>
          <w:szCs w:val="22"/>
        </w:rPr>
      </w:pPr>
      <w:bookmarkStart w:id="2" w:name="_Toc214540537"/>
      <w:r w:rsidRPr="001E25C9">
        <w:rPr>
          <w:rFonts w:ascii="Arial" w:hAnsi="Arial" w:cs="Arial"/>
          <w:sz w:val="22"/>
          <w:szCs w:val="22"/>
        </w:rPr>
        <w:t>3. Importance of Good Administrative Skills and Record Keeping</w:t>
      </w:r>
      <w:bookmarkEnd w:id="2"/>
      <w:r w:rsidRPr="001E25C9">
        <w:rPr>
          <w:rFonts w:ascii="Arial" w:hAnsi="Arial" w:cs="Arial"/>
          <w:sz w:val="22"/>
          <w:szCs w:val="22"/>
        </w:rPr>
        <w:t xml:space="preserve"> </w:t>
      </w:r>
    </w:p>
    <w:p w14:paraId="343C3925" w14:textId="6E67E005" w:rsidR="00BB3A32" w:rsidRPr="001E25C9" w:rsidRDefault="00BB3A32" w:rsidP="001E25C9">
      <w:pPr>
        <w:spacing w:line="360" w:lineRule="auto"/>
        <w:jc w:val="both"/>
        <w:rPr>
          <w:rFonts w:ascii="Arial" w:hAnsi="Arial" w:cs="Arial"/>
          <w:sz w:val="22"/>
          <w:szCs w:val="22"/>
        </w:rPr>
      </w:pPr>
      <w:r w:rsidRPr="001E25C9">
        <w:rPr>
          <w:rFonts w:ascii="Arial" w:hAnsi="Arial" w:cs="Arial"/>
          <w:sz w:val="22"/>
          <w:szCs w:val="22"/>
        </w:rPr>
        <w:t xml:space="preserve">Administrative competence and accurate record keeping are essential components of professional practice in health and social care. They ensure continuity, accountability, and safety for service users. In Mrs Mann’s case, inconsistent documentation and a missed communication that delayed her medication adjustment demonstrate how administrative shortcomings can have </w:t>
      </w:r>
      <w:r w:rsidR="00D3763D" w:rsidRPr="001E25C9">
        <w:rPr>
          <w:rFonts w:ascii="Arial" w:hAnsi="Arial" w:cs="Arial"/>
          <w:sz w:val="22"/>
          <w:szCs w:val="22"/>
        </w:rPr>
        <w:t>grave consequences</w:t>
      </w:r>
      <w:r w:rsidRPr="001E25C9">
        <w:rPr>
          <w:rFonts w:ascii="Arial" w:hAnsi="Arial" w:cs="Arial"/>
          <w:sz w:val="22"/>
          <w:szCs w:val="22"/>
        </w:rPr>
        <w:t xml:space="preserve"> for patient wellbeing. Good administrative practice supports effective communication among care professionals, allowing accurate transfer of information about care plans, medication, and rehabilitation progress. It also provides a legal and professional record of the care delivered, safeguarding both the service user and practitioners.</w:t>
      </w:r>
    </w:p>
    <w:p w14:paraId="05690707" w14:textId="061842CA" w:rsidR="00BB3A32" w:rsidRPr="001E25C9" w:rsidRDefault="00BB3A32" w:rsidP="001E25C9">
      <w:pPr>
        <w:spacing w:line="360" w:lineRule="auto"/>
        <w:jc w:val="both"/>
        <w:rPr>
          <w:rFonts w:ascii="Arial" w:hAnsi="Arial" w:cs="Arial"/>
          <w:sz w:val="22"/>
          <w:szCs w:val="22"/>
        </w:rPr>
      </w:pPr>
      <w:r w:rsidRPr="001E25C9">
        <w:rPr>
          <w:rFonts w:ascii="Arial" w:hAnsi="Arial" w:cs="Arial"/>
          <w:sz w:val="22"/>
          <w:szCs w:val="22"/>
        </w:rPr>
        <w:lastRenderedPageBreak/>
        <w:t>The Nursing and Midwifery Council (NMC, 2018</w:t>
      </w:r>
      <w:r w:rsidRPr="001E25C9">
        <w:rPr>
          <w:rFonts w:ascii="Arial" w:hAnsi="Arial" w:cs="Arial"/>
          <w:i/>
          <w:iCs/>
          <w:sz w:val="22"/>
          <w:szCs w:val="22"/>
        </w:rPr>
        <w:t>)</w:t>
      </w:r>
      <w:r w:rsidRPr="001E25C9">
        <w:rPr>
          <w:rFonts w:ascii="Arial" w:hAnsi="Arial" w:cs="Arial"/>
          <w:sz w:val="22"/>
          <w:szCs w:val="22"/>
        </w:rPr>
        <w:t xml:space="preserve"> emphasises that records must be factual, accurate, complete, and written promptly after care </w:t>
      </w:r>
      <w:r w:rsidR="007A73A7" w:rsidRPr="001E25C9">
        <w:rPr>
          <w:rFonts w:ascii="Arial" w:hAnsi="Arial" w:cs="Arial"/>
          <w:sz w:val="22"/>
          <w:szCs w:val="22"/>
        </w:rPr>
        <w:t>is provided</w:t>
      </w:r>
      <w:r w:rsidRPr="001E25C9">
        <w:rPr>
          <w:rFonts w:ascii="Arial" w:hAnsi="Arial" w:cs="Arial"/>
          <w:sz w:val="22"/>
          <w:szCs w:val="22"/>
        </w:rPr>
        <w:t>. Inconsistent or incomplete records, as observed in Mrs Mann’s care notes, can result in gaps in treatment, duplication of work, and even harm through medication errors. For example, the delayed adjustment of Mrs Mann’s medication could have been prevented through clear documentation of GP recommendations and timely communication with care staff. Therefore, administrative diligence is not a bureaucratic exercise but a fundamental aspect of safe, person-centred care.</w:t>
      </w:r>
    </w:p>
    <w:p w14:paraId="293F4F11" w14:textId="77777777" w:rsidR="00BB3A32" w:rsidRPr="001E25C9" w:rsidRDefault="00BB3A32" w:rsidP="001E25C9">
      <w:pPr>
        <w:spacing w:line="360" w:lineRule="auto"/>
        <w:jc w:val="both"/>
        <w:rPr>
          <w:rFonts w:ascii="Arial" w:hAnsi="Arial" w:cs="Arial"/>
          <w:sz w:val="22"/>
          <w:szCs w:val="22"/>
        </w:rPr>
      </w:pPr>
      <w:r w:rsidRPr="001E25C9">
        <w:rPr>
          <w:rFonts w:ascii="Arial" w:hAnsi="Arial" w:cs="Arial"/>
          <w:sz w:val="22"/>
          <w:szCs w:val="22"/>
        </w:rPr>
        <w:t>The Data Protection Act 2018 and the UK General Data Protection Regulation (GDPR) set out key principles for processing personal data in health and social care. These include lawfulness, fairness, transparency, accuracy, data minimisation, and integrity and confidentiality. Applying these principles ensures that Mrs Mann’s personal and medical information is stored securely, shared appropriately, and only accessed by authorised professionals involved in her care. For instance, if her physiotherapist or GP needs to update her care plan, they should use secure electronic systems that maintain data confidentiality. In addition, consent must be obtained where appropriate, ensuring that Mrs Mann and her daughter understand how her information is used and who has access to it.</w:t>
      </w:r>
    </w:p>
    <w:p w14:paraId="7CC90980" w14:textId="41C4337A" w:rsidR="00BB3A32" w:rsidRPr="001E25C9" w:rsidRDefault="00BB3A32" w:rsidP="001E25C9">
      <w:pPr>
        <w:spacing w:line="360" w:lineRule="auto"/>
        <w:jc w:val="both"/>
        <w:rPr>
          <w:rFonts w:ascii="Arial" w:hAnsi="Arial" w:cs="Arial"/>
          <w:sz w:val="22"/>
          <w:szCs w:val="22"/>
        </w:rPr>
      </w:pPr>
      <w:r w:rsidRPr="001E25C9">
        <w:rPr>
          <w:rFonts w:ascii="Arial" w:hAnsi="Arial" w:cs="Arial"/>
          <w:sz w:val="22"/>
          <w:szCs w:val="22"/>
        </w:rPr>
        <w:t xml:space="preserve">The Caldicott Principles (Department of Health, 2013) further guide how patient information should be </w:t>
      </w:r>
      <w:r w:rsidR="00FF0F72" w:rsidRPr="001E25C9">
        <w:rPr>
          <w:rFonts w:ascii="Arial" w:hAnsi="Arial" w:cs="Arial"/>
          <w:sz w:val="22"/>
          <w:szCs w:val="22"/>
        </w:rPr>
        <w:t>managed</w:t>
      </w:r>
      <w:r w:rsidRPr="001E25C9">
        <w:rPr>
          <w:rFonts w:ascii="Arial" w:hAnsi="Arial" w:cs="Arial"/>
          <w:sz w:val="22"/>
          <w:szCs w:val="22"/>
        </w:rPr>
        <w:t xml:space="preserve"> within the NHS and social care. They emphasise that information should only be shared on a “need-to-know” basis to support direct care and must always be protected from unauthorised disclosure. In Mrs Mann’s case, these principles would require that her care agency, GP, and physiotherapist share relevant updates securely and ensure that her records reflect the most current information regarding medication and rehabilitation.</w:t>
      </w:r>
    </w:p>
    <w:p w14:paraId="477E7AE5" w14:textId="4FD55A64" w:rsidR="00BB3A32" w:rsidRPr="001E25C9" w:rsidRDefault="00BB3A32" w:rsidP="001E25C9">
      <w:pPr>
        <w:spacing w:line="360" w:lineRule="auto"/>
        <w:jc w:val="both"/>
        <w:rPr>
          <w:rFonts w:ascii="Arial" w:hAnsi="Arial" w:cs="Arial"/>
          <w:sz w:val="22"/>
          <w:szCs w:val="22"/>
        </w:rPr>
      </w:pPr>
      <w:r w:rsidRPr="001E25C9">
        <w:rPr>
          <w:rFonts w:ascii="Arial" w:hAnsi="Arial" w:cs="Arial"/>
          <w:sz w:val="22"/>
          <w:szCs w:val="22"/>
        </w:rPr>
        <w:t>Strong administrative systems, supported by effective digital record-keeping platforms, can help avoid the errors that occurred in Mrs Mann’s case. Regular audits, staff training, and supervision can also ensure compliance with organisational policies and legislation. In health and social care, good administrative skills underpin trust and accountability, providing a verifiable record that care has been delivered in accordance with professional, legal, and ethical standards. By adhering to the Data Protection Act 2018, the Caldicott Principles, and professional codes of conduct, practitioners can protect sensitive information, uphold confidentiality, and maintain the integrity of care documentation</w:t>
      </w:r>
      <w:r w:rsidR="00CF3D65" w:rsidRPr="001E25C9">
        <w:rPr>
          <w:rFonts w:ascii="Arial" w:hAnsi="Arial" w:cs="Arial"/>
          <w:sz w:val="22"/>
          <w:szCs w:val="22"/>
        </w:rPr>
        <w:t xml:space="preserve"> </w:t>
      </w:r>
      <w:r w:rsidRPr="001E25C9">
        <w:rPr>
          <w:rFonts w:ascii="Arial" w:hAnsi="Arial" w:cs="Arial"/>
          <w:sz w:val="22"/>
          <w:szCs w:val="22"/>
        </w:rPr>
        <w:t>thereby safeguarding both service users and professionals.</w:t>
      </w:r>
    </w:p>
    <w:p w14:paraId="69153642" w14:textId="77777777" w:rsidR="00BB3A32" w:rsidRPr="001E25C9" w:rsidRDefault="00BB3A32" w:rsidP="001E25C9">
      <w:pPr>
        <w:spacing w:line="360" w:lineRule="auto"/>
        <w:jc w:val="both"/>
        <w:rPr>
          <w:rFonts w:ascii="Arial" w:hAnsi="Arial" w:cs="Arial"/>
          <w:sz w:val="22"/>
          <w:szCs w:val="22"/>
        </w:rPr>
      </w:pPr>
    </w:p>
    <w:p w14:paraId="09B101E3" w14:textId="71111910" w:rsidR="00BB3A32" w:rsidRPr="001E25C9" w:rsidRDefault="00BB3A32" w:rsidP="001E25C9">
      <w:pPr>
        <w:pStyle w:val="Heading1"/>
        <w:spacing w:line="360" w:lineRule="auto"/>
        <w:rPr>
          <w:rFonts w:ascii="Arial" w:hAnsi="Arial" w:cs="Arial"/>
          <w:sz w:val="22"/>
          <w:szCs w:val="22"/>
        </w:rPr>
      </w:pPr>
      <w:bookmarkStart w:id="3" w:name="_Toc214540538"/>
      <w:r w:rsidRPr="001E25C9">
        <w:rPr>
          <w:rFonts w:ascii="Arial" w:hAnsi="Arial" w:cs="Arial"/>
          <w:sz w:val="22"/>
          <w:szCs w:val="22"/>
        </w:rPr>
        <w:lastRenderedPageBreak/>
        <w:t>4. Importance of Collaborative Working</w:t>
      </w:r>
      <w:bookmarkEnd w:id="3"/>
      <w:r w:rsidRPr="001E25C9">
        <w:rPr>
          <w:rFonts w:ascii="Arial" w:hAnsi="Arial" w:cs="Arial"/>
          <w:sz w:val="22"/>
          <w:szCs w:val="22"/>
        </w:rPr>
        <w:t xml:space="preserve"> </w:t>
      </w:r>
    </w:p>
    <w:p w14:paraId="45919C3E" w14:textId="488A8A2A" w:rsidR="2ACAA171" w:rsidRPr="001E25C9" w:rsidRDefault="2ACAA171" w:rsidP="001E25C9">
      <w:pPr>
        <w:spacing w:before="240" w:after="240" w:line="360" w:lineRule="auto"/>
        <w:jc w:val="both"/>
        <w:rPr>
          <w:rFonts w:ascii="Arial" w:hAnsi="Arial" w:cs="Arial"/>
          <w:sz w:val="22"/>
          <w:szCs w:val="22"/>
        </w:rPr>
      </w:pPr>
      <w:r w:rsidRPr="001E25C9">
        <w:rPr>
          <w:rFonts w:ascii="Arial" w:eastAsia="Arial" w:hAnsi="Arial" w:cs="Arial"/>
          <w:sz w:val="22"/>
          <w:szCs w:val="22"/>
        </w:rPr>
        <w:t>Working collaboratively is essential in health and social care, especially for individuals with complex needs who depend on multiple professionals and agencies</w:t>
      </w:r>
      <w:r w:rsidR="00865516" w:rsidRPr="001E25C9">
        <w:rPr>
          <w:rFonts w:ascii="Arial" w:eastAsia="Arial" w:hAnsi="Arial" w:cs="Arial"/>
          <w:sz w:val="22"/>
          <w:szCs w:val="22"/>
        </w:rPr>
        <w:t>.</w:t>
      </w:r>
      <w:r w:rsidR="00737DD7" w:rsidRPr="001E25C9">
        <w:rPr>
          <w:rFonts w:ascii="Arial" w:hAnsi="Arial" w:cs="Arial"/>
          <w:sz w:val="22"/>
          <w:szCs w:val="22"/>
        </w:rPr>
        <w:t xml:space="preserve"> </w:t>
      </w:r>
      <w:r w:rsidR="00737DD7" w:rsidRPr="0043240F">
        <w:rPr>
          <w:rFonts w:ascii="Arial" w:hAnsi="Arial" w:cs="Arial"/>
          <w:sz w:val="22"/>
          <w:szCs w:val="22"/>
        </w:rPr>
        <w:t>Care Quality Commission (2022)</w:t>
      </w:r>
      <w:r w:rsidRPr="001E25C9">
        <w:rPr>
          <w:rFonts w:ascii="Arial" w:eastAsia="Arial" w:hAnsi="Arial" w:cs="Arial"/>
          <w:sz w:val="22"/>
          <w:szCs w:val="22"/>
        </w:rPr>
        <w:t>. Mrs Mann’s case illustrates the importance of effective teamwork between her GP, physiotherapist, domiciliary care workers, and family. After her hip replacement, she needs coordinated medical reviews, physiotherapy, and support with daily tasks. A recent lapse in communication</w:t>
      </w:r>
      <w:r w:rsidR="000E5E8F" w:rsidRPr="001E25C9">
        <w:rPr>
          <w:rFonts w:ascii="Arial" w:eastAsia="Arial" w:hAnsi="Arial" w:cs="Arial"/>
          <w:sz w:val="22"/>
          <w:szCs w:val="22"/>
        </w:rPr>
        <w:t xml:space="preserve"> </w:t>
      </w:r>
      <w:r w:rsidRPr="001E25C9">
        <w:rPr>
          <w:rFonts w:ascii="Arial" w:eastAsia="Arial" w:hAnsi="Arial" w:cs="Arial"/>
          <w:sz w:val="22"/>
          <w:szCs w:val="22"/>
        </w:rPr>
        <w:t>shown by inconsistent records and a delayed medication change</w:t>
      </w:r>
      <w:r w:rsidR="000E5E8F" w:rsidRPr="001E25C9">
        <w:rPr>
          <w:rFonts w:ascii="Arial" w:eastAsia="Arial" w:hAnsi="Arial" w:cs="Arial"/>
          <w:sz w:val="22"/>
          <w:szCs w:val="22"/>
        </w:rPr>
        <w:t xml:space="preserve"> </w:t>
      </w:r>
      <w:r w:rsidRPr="001E25C9">
        <w:rPr>
          <w:rFonts w:ascii="Arial" w:eastAsia="Arial" w:hAnsi="Arial" w:cs="Arial"/>
          <w:sz w:val="22"/>
          <w:szCs w:val="22"/>
        </w:rPr>
        <w:t>highlights the risks of fragmented care.</w:t>
      </w:r>
    </w:p>
    <w:p w14:paraId="3765BC6B" w14:textId="53CF8932" w:rsidR="2ACAA171" w:rsidRPr="001E25C9" w:rsidRDefault="2ACAA171" w:rsidP="001E25C9">
      <w:pPr>
        <w:spacing w:before="240" w:after="240" w:line="360" w:lineRule="auto"/>
        <w:jc w:val="both"/>
        <w:rPr>
          <w:rFonts w:ascii="Arial" w:hAnsi="Arial" w:cs="Arial"/>
          <w:sz w:val="22"/>
          <w:szCs w:val="22"/>
        </w:rPr>
      </w:pPr>
      <w:r w:rsidRPr="001E25C9">
        <w:rPr>
          <w:rFonts w:ascii="Arial" w:eastAsia="Arial" w:hAnsi="Arial" w:cs="Arial"/>
          <w:sz w:val="22"/>
          <w:szCs w:val="22"/>
        </w:rPr>
        <w:t xml:space="preserve">The Care </w:t>
      </w:r>
      <w:r w:rsidR="00E13592" w:rsidRPr="001E25C9">
        <w:rPr>
          <w:rFonts w:ascii="Arial" w:eastAsia="Arial" w:hAnsi="Arial" w:cs="Arial"/>
          <w:sz w:val="22"/>
          <w:szCs w:val="22"/>
        </w:rPr>
        <w:t xml:space="preserve">Act </w:t>
      </w:r>
      <w:r w:rsidR="009030A7" w:rsidRPr="001E25C9">
        <w:rPr>
          <w:rFonts w:ascii="Arial" w:eastAsia="Arial" w:hAnsi="Arial" w:cs="Arial"/>
          <w:sz w:val="22"/>
          <w:szCs w:val="22"/>
        </w:rPr>
        <w:t>(2014</w:t>
      </w:r>
      <w:r w:rsidR="00283748" w:rsidRPr="001E25C9">
        <w:rPr>
          <w:rFonts w:ascii="Arial" w:eastAsia="Arial" w:hAnsi="Arial" w:cs="Arial"/>
          <w:sz w:val="22"/>
          <w:szCs w:val="22"/>
        </w:rPr>
        <w:t>)</w:t>
      </w:r>
      <w:r w:rsidR="00E13592" w:rsidRPr="001E25C9">
        <w:rPr>
          <w:rFonts w:ascii="Arial" w:eastAsia="Arial" w:hAnsi="Arial" w:cs="Arial"/>
          <w:sz w:val="22"/>
          <w:szCs w:val="22"/>
        </w:rPr>
        <w:t>.</w:t>
      </w:r>
      <w:r w:rsidRPr="001E25C9">
        <w:rPr>
          <w:rFonts w:ascii="Arial" w:eastAsia="Arial" w:hAnsi="Arial" w:cs="Arial"/>
          <w:sz w:val="22"/>
          <w:szCs w:val="22"/>
        </w:rPr>
        <w:t xml:space="preserve"> places a legal duty on local authorities and care providers to integrate health and social care services, ensuring support is holistic and person-centred. Similarly, the NHS Long Term Plan (2019)</w:t>
      </w:r>
      <w:r w:rsidR="00DA3F4D" w:rsidRPr="001E25C9">
        <w:rPr>
          <w:rFonts w:ascii="Arial" w:eastAsia="Arial" w:hAnsi="Arial" w:cs="Arial"/>
          <w:sz w:val="22"/>
          <w:szCs w:val="22"/>
        </w:rPr>
        <w:t>.</w:t>
      </w:r>
      <w:r w:rsidRPr="001E25C9">
        <w:rPr>
          <w:rFonts w:ascii="Arial" w:eastAsia="Arial" w:hAnsi="Arial" w:cs="Arial"/>
          <w:sz w:val="22"/>
          <w:szCs w:val="22"/>
        </w:rPr>
        <w:t xml:space="preserve"> promotes joined-up community care through Integrated Care Systems (ICS), encouraging professionals to work together. For Mrs Mann, strategies such as regular multidisciplinary team (MDT) meetings or shared digital care records could improve coordination among her care providers.</w:t>
      </w:r>
    </w:p>
    <w:p w14:paraId="41C5720C" w14:textId="41E0F94B" w:rsidR="2ACAA171" w:rsidRPr="001E25C9" w:rsidRDefault="2ACAA171" w:rsidP="001E25C9">
      <w:pPr>
        <w:spacing w:before="240" w:after="240" w:line="360" w:lineRule="auto"/>
        <w:jc w:val="both"/>
        <w:rPr>
          <w:rFonts w:ascii="Arial" w:hAnsi="Arial" w:cs="Arial"/>
          <w:sz w:val="22"/>
          <w:szCs w:val="22"/>
        </w:rPr>
      </w:pPr>
      <w:r w:rsidRPr="001E25C9">
        <w:rPr>
          <w:rFonts w:ascii="Arial" w:eastAsia="Arial" w:hAnsi="Arial" w:cs="Arial"/>
          <w:sz w:val="22"/>
          <w:szCs w:val="22"/>
        </w:rPr>
        <w:t>Successful collaboration depends on shared goals, mutual respect, and clear role boundaries. Professionals should communicate regularly, share relevant information, and involve Mrs Mann and her family in decision-making. According to the Social Care Institute for Excellence (SCIE, 2020), collaborative practice improves continuity of care, reduces duplication, and leads to better outcomes.</w:t>
      </w:r>
    </w:p>
    <w:p w14:paraId="7A658166" w14:textId="0EE03FF9" w:rsidR="00BB3A32" w:rsidRPr="001E25C9" w:rsidRDefault="2ACAA171" w:rsidP="001E25C9">
      <w:pPr>
        <w:spacing w:before="240" w:after="240" w:line="360" w:lineRule="auto"/>
        <w:jc w:val="both"/>
        <w:rPr>
          <w:rFonts w:ascii="Arial" w:hAnsi="Arial" w:cs="Arial"/>
          <w:sz w:val="22"/>
          <w:szCs w:val="22"/>
        </w:rPr>
      </w:pPr>
      <w:r w:rsidRPr="001E25C9">
        <w:rPr>
          <w:rFonts w:ascii="Arial" w:eastAsia="Arial" w:hAnsi="Arial" w:cs="Arial"/>
          <w:sz w:val="22"/>
          <w:szCs w:val="22"/>
        </w:rPr>
        <w:t>Challenges like time pressures, cultural differences, and communication barriers can hinder teamwork. Solutions include clear communication protocols, appointing a lead coordinator, and interprofessional training to build trust and understanding. By fostering open communication and accountability, collaborative working ensures Mrs Mann receives safe, consistent, and tailored care.</w:t>
      </w:r>
    </w:p>
    <w:p w14:paraId="7237C1ED" w14:textId="23222C7A" w:rsidR="00BB3A32" w:rsidRPr="001E25C9" w:rsidRDefault="00BB3A32" w:rsidP="001E25C9">
      <w:pPr>
        <w:pStyle w:val="Heading1"/>
        <w:spacing w:line="360" w:lineRule="auto"/>
        <w:rPr>
          <w:rFonts w:ascii="Arial" w:hAnsi="Arial" w:cs="Arial"/>
          <w:sz w:val="22"/>
          <w:szCs w:val="22"/>
        </w:rPr>
      </w:pPr>
      <w:bookmarkStart w:id="4" w:name="_Toc214540539"/>
      <w:r w:rsidRPr="001E25C9">
        <w:rPr>
          <w:rFonts w:ascii="Arial" w:hAnsi="Arial" w:cs="Arial"/>
          <w:sz w:val="22"/>
          <w:szCs w:val="22"/>
        </w:rPr>
        <w:t>5. Conclusion</w:t>
      </w:r>
      <w:bookmarkEnd w:id="4"/>
      <w:r w:rsidRPr="001E25C9">
        <w:rPr>
          <w:rFonts w:ascii="Arial" w:hAnsi="Arial" w:cs="Arial"/>
          <w:sz w:val="22"/>
          <w:szCs w:val="22"/>
        </w:rPr>
        <w:t xml:space="preserve"> </w:t>
      </w:r>
    </w:p>
    <w:p w14:paraId="246F798B" w14:textId="6FD9F0D8" w:rsidR="053B6D07" w:rsidRPr="001E25C9" w:rsidRDefault="053B6D07" w:rsidP="001E25C9">
      <w:pPr>
        <w:spacing w:line="360" w:lineRule="auto"/>
        <w:jc w:val="both"/>
        <w:rPr>
          <w:rFonts w:ascii="Arial" w:hAnsi="Arial" w:cs="Arial"/>
          <w:sz w:val="22"/>
          <w:szCs w:val="22"/>
        </w:rPr>
      </w:pPr>
      <w:r w:rsidRPr="001E25C9">
        <w:rPr>
          <w:rFonts w:ascii="Arial" w:eastAsia="Arial" w:hAnsi="Arial" w:cs="Arial"/>
          <w:sz w:val="22"/>
          <w:szCs w:val="22"/>
        </w:rPr>
        <w:t xml:space="preserve">Mrs Mann’s case highlights how effective communication, accurate record-keeping, and collaborative working are interconnected in delivering high-quality, person-centred care. The Shannon and Weaver Communication Model </w:t>
      </w:r>
      <w:r w:rsidR="0042693A" w:rsidRPr="001E25C9">
        <w:rPr>
          <w:rFonts w:ascii="Arial" w:eastAsia="Arial" w:hAnsi="Arial" w:cs="Arial"/>
          <w:sz w:val="22"/>
          <w:szCs w:val="22"/>
        </w:rPr>
        <w:t>show</w:t>
      </w:r>
      <w:r w:rsidRPr="001E25C9">
        <w:rPr>
          <w:rFonts w:ascii="Arial" w:eastAsia="Arial" w:hAnsi="Arial" w:cs="Arial"/>
          <w:sz w:val="22"/>
          <w:szCs w:val="22"/>
        </w:rPr>
        <w:t xml:space="preserve"> how language barriers can distort messages, reinforcing the need for interpreters and culturally sensitive communication under the Equality Act 2010. Likewise, strong administrative practices and compliance with the Data Protection Act 2018 and Caldicott Principles safeguard confidentiality and patient safety. Collaborative working, supported by the Care Act 2014 and NHS Long Term Plan (2019), is vital for coordinating services and ensuring continuity of care. </w:t>
      </w:r>
      <w:r w:rsidR="00D23E3B" w:rsidRPr="001E25C9">
        <w:rPr>
          <w:rFonts w:ascii="Arial" w:eastAsia="Arial" w:hAnsi="Arial" w:cs="Arial"/>
          <w:sz w:val="22"/>
          <w:szCs w:val="22"/>
        </w:rPr>
        <w:t>Reliable</w:t>
      </w:r>
      <w:r w:rsidR="00ED49A2" w:rsidRPr="001E25C9">
        <w:rPr>
          <w:rFonts w:ascii="Arial" w:eastAsia="Arial" w:hAnsi="Arial" w:cs="Arial"/>
          <w:sz w:val="22"/>
          <w:szCs w:val="22"/>
        </w:rPr>
        <w:t xml:space="preserve"> professional</w:t>
      </w:r>
      <w:r w:rsidRPr="001E25C9">
        <w:rPr>
          <w:rFonts w:ascii="Arial" w:eastAsia="Arial" w:hAnsi="Arial" w:cs="Arial"/>
          <w:sz w:val="22"/>
          <w:szCs w:val="22"/>
        </w:rPr>
        <w:t xml:space="preserve"> practice </w:t>
      </w:r>
      <w:r w:rsidRPr="001E25C9">
        <w:rPr>
          <w:rFonts w:ascii="Arial" w:eastAsia="Arial" w:hAnsi="Arial" w:cs="Arial"/>
          <w:sz w:val="22"/>
          <w:szCs w:val="22"/>
        </w:rPr>
        <w:lastRenderedPageBreak/>
        <w:t>relies on clear communication, meticulous documentation, and teamwork</w:t>
      </w:r>
      <w:r w:rsidR="0042693A" w:rsidRPr="001E25C9">
        <w:rPr>
          <w:rFonts w:ascii="Arial" w:eastAsia="Arial" w:hAnsi="Arial" w:cs="Arial"/>
          <w:sz w:val="22"/>
          <w:szCs w:val="22"/>
        </w:rPr>
        <w:t xml:space="preserve"> </w:t>
      </w:r>
      <w:r w:rsidRPr="001E25C9">
        <w:rPr>
          <w:rFonts w:ascii="Arial" w:eastAsia="Arial" w:hAnsi="Arial" w:cs="Arial"/>
          <w:sz w:val="22"/>
          <w:szCs w:val="22"/>
        </w:rPr>
        <w:t>upholding dignity, equality, and safety in modern health and social care.</w:t>
      </w:r>
    </w:p>
    <w:p w14:paraId="350ACF98" w14:textId="77777777" w:rsidR="00785965" w:rsidRPr="001E25C9" w:rsidRDefault="00785965" w:rsidP="001E25C9">
      <w:pPr>
        <w:spacing w:line="360" w:lineRule="auto"/>
        <w:rPr>
          <w:rFonts w:ascii="Arial" w:hAnsi="Arial" w:cs="Arial"/>
          <w:sz w:val="22"/>
          <w:szCs w:val="22"/>
        </w:rPr>
      </w:pPr>
    </w:p>
    <w:p w14:paraId="597349D5" w14:textId="40C0A9C9" w:rsidR="001242CE" w:rsidRPr="001E25C9" w:rsidRDefault="001242CE" w:rsidP="001E25C9">
      <w:pPr>
        <w:pStyle w:val="Heading1"/>
        <w:spacing w:line="360" w:lineRule="auto"/>
        <w:rPr>
          <w:rFonts w:ascii="Arial" w:hAnsi="Arial" w:cs="Arial"/>
          <w:sz w:val="22"/>
          <w:szCs w:val="22"/>
        </w:rPr>
      </w:pPr>
      <w:r w:rsidRPr="001E25C9">
        <w:rPr>
          <w:rFonts w:ascii="Arial" w:hAnsi="Arial" w:cs="Arial"/>
          <w:sz w:val="22"/>
          <w:szCs w:val="22"/>
        </w:rPr>
        <w:br w:type="page"/>
      </w:r>
      <w:bookmarkStart w:id="5" w:name="_Toc214540540"/>
      <w:r w:rsidR="00E55370" w:rsidRPr="001E25C9">
        <w:rPr>
          <w:rFonts w:ascii="Arial" w:hAnsi="Arial" w:cs="Arial"/>
          <w:sz w:val="22"/>
          <w:szCs w:val="22"/>
        </w:rPr>
        <w:lastRenderedPageBreak/>
        <w:t>Reference</w:t>
      </w:r>
      <w:bookmarkEnd w:id="5"/>
    </w:p>
    <w:p w14:paraId="773F8A9E" w14:textId="77777777" w:rsidR="0043240F" w:rsidRPr="0043240F" w:rsidRDefault="0043240F" w:rsidP="001E25C9">
      <w:pPr>
        <w:spacing w:line="360" w:lineRule="auto"/>
        <w:rPr>
          <w:rFonts w:ascii="Arial" w:hAnsi="Arial" w:cs="Arial"/>
          <w:b/>
          <w:bCs/>
          <w:sz w:val="22"/>
          <w:szCs w:val="22"/>
        </w:rPr>
      </w:pPr>
      <w:r w:rsidRPr="0043240F">
        <w:rPr>
          <w:rFonts w:ascii="Arial" w:hAnsi="Arial" w:cs="Arial"/>
          <w:b/>
          <w:bCs/>
          <w:sz w:val="22"/>
          <w:szCs w:val="22"/>
        </w:rPr>
        <w:t>Reference list</w:t>
      </w:r>
    </w:p>
    <w:p w14:paraId="5BB5CF00" w14:textId="2433F438" w:rsidR="0043240F" w:rsidRPr="001E25C9" w:rsidRDefault="0043240F" w:rsidP="001E25C9">
      <w:pPr>
        <w:spacing w:line="360" w:lineRule="auto"/>
        <w:rPr>
          <w:rFonts w:ascii="Arial" w:hAnsi="Arial" w:cs="Arial"/>
          <w:sz w:val="22"/>
          <w:szCs w:val="22"/>
        </w:rPr>
      </w:pPr>
      <w:r w:rsidRPr="0043240F">
        <w:rPr>
          <w:rFonts w:ascii="Arial" w:hAnsi="Arial" w:cs="Arial"/>
          <w:sz w:val="22"/>
          <w:szCs w:val="22"/>
        </w:rPr>
        <w:t xml:space="preserve">Care Quality Commission (2022). </w:t>
      </w:r>
      <w:r w:rsidRPr="0043240F">
        <w:rPr>
          <w:rFonts w:ascii="Arial" w:hAnsi="Arial" w:cs="Arial"/>
          <w:i/>
          <w:iCs/>
          <w:sz w:val="22"/>
          <w:szCs w:val="22"/>
        </w:rPr>
        <w:t>Care Quality Commission</w:t>
      </w:r>
      <w:r w:rsidRPr="0043240F">
        <w:rPr>
          <w:rFonts w:ascii="Arial" w:hAnsi="Arial" w:cs="Arial"/>
          <w:sz w:val="22"/>
          <w:szCs w:val="22"/>
        </w:rPr>
        <w:t xml:space="preserve">. [online] https://www.cqc.org.uk/. Available at: </w:t>
      </w:r>
      <w:hyperlink r:id="rId8" w:history="1">
        <w:r w:rsidR="005A2C75" w:rsidRPr="0043240F">
          <w:rPr>
            <w:rStyle w:val="Hyperlink"/>
            <w:rFonts w:ascii="Arial" w:hAnsi="Arial" w:cs="Arial"/>
            <w:sz w:val="22"/>
            <w:szCs w:val="22"/>
          </w:rPr>
          <w:t>https://www.cqc.org.uk/</w:t>
        </w:r>
      </w:hyperlink>
      <w:r w:rsidRPr="0043240F">
        <w:rPr>
          <w:rFonts w:ascii="Arial" w:hAnsi="Arial" w:cs="Arial"/>
          <w:sz w:val="22"/>
          <w:szCs w:val="22"/>
        </w:rPr>
        <w:t>.</w:t>
      </w:r>
    </w:p>
    <w:p w14:paraId="44262912" w14:textId="77777777" w:rsidR="0040689E" w:rsidRPr="00352D7F" w:rsidRDefault="0040689E" w:rsidP="001E25C9">
      <w:pPr>
        <w:spacing w:line="360" w:lineRule="auto"/>
        <w:rPr>
          <w:rFonts w:ascii="Arial" w:hAnsi="Arial" w:cs="Arial"/>
          <w:sz w:val="22"/>
          <w:szCs w:val="22"/>
        </w:rPr>
      </w:pPr>
      <w:r w:rsidRPr="00352D7F">
        <w:rPr>
          <w:rFonts w:ascii="Arial" w:hAnsi="Arial" w:cs="Arial"/>
          <w:sz w:val="22"/>
          <w:szCs w:val="22"/>
        </w:rPr>
        <w:t xml:space="preserve">Data Protection Act 2018 (2018). </w:t>
      </w:r>
      <w:r w:rsidRPr="00352D7F">
        <w:rPr>
          <w:rFonts w:ascii="Arial" w:hAnsi="Arial" w:cs="Arial"/>
          <w:i/>
          <w:iCs/>
          <w:sz w:val="22"/>
          <w:szCs w:val="22"/>
        </w:rPr>
        <w:t>Data Protection Act 2018</w:t>
      </w:r>
      <w:r w:rsidRPr="00352D7F">
        <w:rPr>
          <w:rFonts w:ascii="Arial" w:hAnsi="Arial" w:cs="Arial"/>
          <w:sz w:val="22"/>
          <w:szCs w:val="22"/>
        </w:rPr>
        <w:t>. [online] legislation.gov.uk. Available at: https://www.legislation.gov.uk/ukpga/2018/12/contents/enacted [Accessed 20 Nov. 2025].</w:t>
      </w:r>
    </w:p>
    <w:p w14:paraId="68D319B9" w14:textId="47ED7E07" w:rsidR="0043240F" w:rsidRPr="001E25C9" w:rsidRDefault="0043240F" w:rsidP="001E25C9">
      <w:pPr>
        <w:spacing w:line="360" w:lineRule="auto"/>
        <w:rPr>
          <w:rFonts w:ascii="Arial" w:hAnsi="Arial" w:cs="Arial"/>
          <w:sz w:val="22"/>
          <w:szCs w:val="22"/>
        </w:rPr>
      </w:pPr>
      <w:r w:rsidRPr="0043240F">
        <w:rPr>
          <w:rFonts w:ascii="Arial" w:hAnsi="Arial" w:cs="Arial"/>
          <w:sz w:val="22"/>
          <w:szCs w:val="22"/>
        </w:rPr>
        <w:t xml:space="preserve">GOV.UK (2010). </w:t>
      </w:r>
      <w:r w:rsidRPr="0043240F">
        <w:rPr>
          <w:rFonts w:ascii="Arial" w:hAnsi="Arial" w:cs="Arial"/>
          <w:i/>
          <w:iCs/>
          <w:sz w:val="22"/>
          <w:szCs w:val="22"/>
        </w:rPr>
        <w:t>Equality Act 2010</w:t>
      </w:r>
      <w:r w:rsidRPr="0043240F">
        <w:rPr>
          <w:rFonts w:ascii="Arial" w:hAnsi="Arial" w:cs="Arial"/>
          <w:sz w:val="22"/>
          <w:szCs w:val="22"/>
        </w:rPr>
        <w:t xml:space="preserve">. [online] Legislation.gov.uk. Available at: </w:t>
      </w:r>
      <w:hyperlink r:id="rId9" w:history="1">
        <w:r w:rsidR="00127EBD" w:rsidRPr="0043240F">
          <w:rPr>
            <w:rStyle w:val="Hyperlink"/>
            <w:rFonts w:ascii="Arial" w:hAnsi="Arial" w:cs="Arial"/>
            <w:sz w:val="22"/>
            <w:szCs w:val="22"/>
          </w:rPr>
          <w:t>https://www.legislation.gov.uk/ukpga/2010/15/contents</w:t>
        </w:r>
      </w:hyperlink>
      <w:r w:rsidRPr="0043240F">
        <w:rPr>
          <w:rFonts w:ascii="Arial" w:hAnsi="Arial" w:cs="Arial"/>
          <w:sz w:val="22"/>
          <w:szCs w:val="22"/>
        </w:rPr>
        <w:t>.</w:t>
      </w:r>
    </w:p>
    <w:p w14:paraId="33FDD9F6" w14:textId="77777777" w:rsidR="00127EBD" w:rsidRPr="00127EBD" w:rsidRDefault="00127EBD" w:rsidP="001E25C9">
      <w:pPr>
        <w:spacing w:line="360" w:lineRule="auto"/>
        <w:rPr>
          <w:rFonts w:ascii="Arial" w:hAnsi="Arial" w:cs="Arial"/>
          <w:sz w:val="22"/>
          <w:szCs w:val="22"/>
        </w:rPr>
      </w:pPr>
      <w:r w:rsidRPr="00127EBD">
        <w:rPr>
          <w:rFonts w:ascii="Arial" w:hAnsi="Arial" w:cs="Arial"/>
          <w:sz w:val="22"/>
          <w:szCs w:val="22"/>
        </w:rPr>
        <w:t xml:space="preserve">Legislation.gov.uk (2014). </w:t>
      </w:r>
      <w:r w:rsidRPr="00127EBD">
        <w:rPr>
          <w:rFonts w:ascii="Arial" w:hAnsi="Arial" w:cs="Arial"/>
          <w:i/>
          <w:iCs/>
          <w:sz w:val="22"/>
          <w:szCs w:val="22"/>
        </w:rPr>
        <w:t>Care Act 2014</w:t>
      </w:r>
      <w:r w:rsidRPr="00127EBD">
        <w:rPr>
          <w:rFonts w:ascii="Arial" w:hAnsi="Arial" w:cs="Arial"/>
          <w:sz w:val="22"/>
          <w:szCs w:val="22"/>
        </w:rPr>
        <w:t>. [online] Legislation.gov.uk. Available at: https://www.legislation.gov.uk/ukpga/2014/23/contents/enacted [Accessed 20 Nov. 2025].</w:t>
      </w:r>
    </w:p>
    <w:p w14:paraId="78A58EE3" w14:textId="77777777" w:rsidR="00D16027" w:rsidRPr="001E25C9" w:rsidRDefault="0043240F" w:rsidP="001E25C9">
      <w:pPr>
        <w:spacing w:line="360" w:lineRule="auto"/>
        <w:rPr>
          <w:rFonts w:ascii="Arial" w:hAnsi="Arial" w:cs="Arial"/>
          <w:sz w:val="22"/>
          <w:szCs w:val="22"/>
        </w:rPr>
      </w:pPr>
      <w:r w:rsidRPr="0043240F">
        <w:rPr>
          <w:rFonts w:ascii="Arial" w:hAnsi="Arial" w:cs="Arial"/>
          <w:sz w:val="22"/>
          <w:szCs w:val="22"/>
        </w:rPr>
        <w:t xml:space="preserve">National Data Guardian (2013). </w:t>
      </w:r>
      <w:r w:rsidRPr="0043240F">
        <w:rPr>
          <w:rFonts w:ascii="Arial" w:hAnsi="Arial" w:cs="Arial"/>
          <w:i/>
          <w:iCs/>
          <w:sz w:val="22"/>
          <w:szCs w:val="22"/>
        </w:rPr>
        <w:t>Caldicott review: Information Governance in the Health and Care System</w:t>
      </w:r>
      <w:r w:rsidRPr="0043240F">
        <w:rPr>
          <w:rFonts w:ascii="Arial" w:hAnsi="Arial" w:cs="Arial"/>
          <w:sz w:val="22"/>
          <w:szCs w:val="22"/>
        </w:rPr>
        <w:t xml:space="preserve">. [online] GOV.UK. Available at: </w:t>
      </w:r>
      <w:r w:rsidR="00D16027" w:rsidRPr="001E25C9">
        <w:rPr>
          <w:rFonts w:ascii="Arial" w:hAnsi="Arial" w:cs="Arial"/>
          <w:sz w:val="22"/>
          <w:szCs w:val="22"/>
        </w:rPr>
        <w:t xml:space="preserve"> </w:t>
      </w:r>
      <w:r w:rsidRPr="0043240F">
        <w:rPr>
          <w:rFonts w:ascii="Arial" w:hAnsi="Arial" w:cs="Arial"/>
          <w:sz w:val="22"/>
          <w:szCs w:val="22"/>
        </w:rPr>
        <w:t>https://www.gov.uk/government/publications/the-information-governance-review.</w:t>
      </w:r>
      <w:r w:rsidR="005C036D" w:rsidRPr="001E25C9">
        <w:rPr>
          <w:rFonts w:ascii="Arial" w:hAnsi="Arial" w:cs="Arial"/>
          <w:sz w:val="22"/>
          <w:szCs w:val="22"/>
        </w:rPr>
        <w:t xml:space="preserve"> </w:t>
      </w:r>
      <w:r w:rsidR="005C036D" w:rsidRPr="00352D7F">
        <w:rPr>
          <w:rFonts w:ascii="Arial" w:hAnsi="Arial" w:cs="Arial"/>
          <w:sz w:val="22"/>
          <w:szCs w:val="22"/>
        </w:rPr>
        <w:t xml:space="preserve">Data </w:t>
      </w:r>
    </w:p>
    <w:p w14:paraId="69B9EEDB" w14:textId="77777777" w:rsidR="00D80D61" w:rsidRPr="0043240F" w:rsidRDefault="00D80D61" w:rsidP="001E25C9">
      <w:pPr>
        <w:spacing w:line="360" w:lineRule="auto"/>
        <w:rPr>
          <w:rFonts w:ascii="Arial" w:hAnsi="Arial" w:cs="Arial"/>
          <w:sz w:val="22"/>
          <w:szCs w:val="22"/>
        </w:rPr>
      </w:pPr>
      <w:r w:rsidRPr="0043240F">
        <w:rPr>
          <w:rFonts w:ascii="Arial" w:hAnsi="Arial" w:cs="Arial"/>
          <w:sz w:val="22"/>
          <w:szCs w:val="22"/>
        </w:rPr>
        <w:t xml:space="preserve">NHS England (2019). </w:t>
      </w:r>
      <w:r w:rsidRPr="0043240F">
        <w:rPr>
          <w:rFonts w:ascii="Arial" w:hAnsi="Arial" w:cs="Arial"/>
          <w:i/>
          <w:iCs/>
          <w:sz w:val="22"/>
          <w:szCs w:val="22"/>
        </w:rPr>
        <w:t>NHS Long Term Plan</w:t>
      </w:r>
      <w:r w:rsidRPr="0043240F">
        <w:rPr>
          <w:rFonts w:ascii="Arial" w:hAnsi="Arial" w:cs="Arial"/>
          <w:sz w:val="22"/>
          <w:szCs w:val="22"/>
        </w:rPr>
        <w:t>. [online] NHS England. Available at: https://www.longtermplan.nhs.uk/.</w:t>
      </w:r>
    </w:p>
    <w:p w14:paraId="5E613907" w14:textId="74338C98" w:rsidR="005C036D" w:rsidRPr="00352D7F" w:rsidRDefault="005C036D" w:rsidP="001E25C9">
      <w:pPr>
        <w:spacing w:line="360" w:lineRule="auto"/>
        <w:rPr>
          <w:rFonts w:ascii="Arial" w:hAnsi="Arial" w:cs="Arial"/>
          <w:sz w:val="22"/>
          <w:szCs w:val="22"/>
        </w:rPr>
      </w:pPr>
      <w:r w:rsidRPr="00352D7F">
        <w:rPr>
          <w:rFonts w:ascii="Arial" w:hAnsi="Arial" w:cs="Arial"/>
          <w:sz w:val="22"/>
          <w:szCs w:val="22"/>
        </w:rPr>
        <w:t xml:space="preserve">Protection Act 2018 (2018). </w:t>
      </w:r>
      <w:r w:rsidRPr="00352D7F">
        <w:rPr>
          <w:rFonts w:ascii="Arial" w:hAnsi="Arial" w:cs="Arial"/>
          <w:i/>
          <w:iCs/>
          <w:sz w:val="22"/>
          <w:szCs w:val="22"/>
        </w:rPr>
        <w:t>Data Protection Act 2018</w:t>
      </w:r>
      <w:r w:rsidRPr="00352D7F">
        <w:rPr>
          <w:rFonts w:ascii="Arial" w:hAnsi="Arial" w:cs="Arial"/>
          <w:sz w:val="22"/>
          <w:szCs w:val="22"/>
        </w:rPr>
        <w:t>. [online] legislation.gov.uk. Available at: https://www.legislation.gov.uk/ukpga/2018/12/contents/enacted [Accessed 20 Nov. 2025].</w:t>
      </w:r>
    </w:p>
    <w:p w14:paraId="24CF56AD" w14:textId="77777777" w:rsidR="0043240F" w:rsidRPr="0043240F" w:rsidRDefault="0043240F" w:rsidP="001E25C9">
      <w:pPr>
        <w:spacing w:line="360" w:lineRule="auto"/>
        <w:rPr>
          <w:rFonts w:ascii="Arial" w:hAnsi="Arial" w:cs="Arial"/>
          <w:sz w:val="22"/>
          <w:szCs w:val="22"/>
        </w:rPr>
      </w:pPr>
      <w:r w:rsidRPr="0043240F">
        <w:rPr>
          <w:rFonts w:ascii="Arial" w:hAnsi="Arial" w:cs="Arial"/>
          <w:sz w:val="22"/>
          <w:szCs w:val="22"/>
        </w:rPr>
        <w:t xml:space="preserve">NHS England (2025). </w:t>
      </w:r>
      <w:r w:rsidRPr="0043240F">
        <w:rPr>
          <w:rFonts w:ascii="Arial" w:hAnsi="Arial" w:cs="Arial"/>
          <w:i/>
          <w:iCs/>
          <w:sz w:val="22"/>
          <w:szCs w:val="22"/>
        </w:rPr>
        <w:t>NHS England» Accessible Information Standard</w:t>
      </w:r>
      <w:r w:rsidRPr="0043240F">
        <w:rPr>
          <w:rFonts w:ascii="Arial" w:hAnsi="Arial" w:cs="Arial"/>
          <w:sz w:val="22"/>
          <w:szCs w:val="22"/>
        </w:rPr>
        <w:t>. [online] England.nhs.uk. Available at: https://www.england.nhs.uk/accessible-information-standard/.</w:t>
      </w:r>
    </w:p>
    <w:p w14:paraId="413CFEB1" w14:textId="77777777" w:rsidR="0043240F" w:rsidRPr="0043240F" w:rsidRDefault="0043240F" w:rsidP="001E25C9">
      <w:pPr>
        <w:spacing w:line="360" w:lineRule="auto"/>
        <w:rPr>
          <w:rFonts w:ascii="Arial" w:hAnsi="Arial" w:cs="Arial"/>
          <w:sz w:val="22"/>
          <w:szCs w:val="22"/>
        </w:rPr>
      </w:pPr>
      <w:r w:rsidRPr="0043240F">
        <w:rPr>
          <w:rFonts w:ascii="Arial" w:hAnsi="Arial" w:cs="Arial"/>
          <w:sz w:val="22"/>
          <w:szCs w:val="22"/>
        </w:rPr>
        <w:t xml:space="preserve">Nursing and Midwifery Council (2018). </w:t>
      </w:r>
      <w:r w:rsidRPr="0043240F">
        <w:rPr>
          <w:rFonts w:ascii="Arial" w:hAnsi="Arial" w:cs="Arial"/>
          <w:i/>
          <w:iCs/>
          <w:sz w:val="22"/>
          <w:szCs w:val="22"/>
        </w:rPr>
        <w:t>The Code: Professional Standards of Practice and Behaviour for nurses, Midwives and Nursing Associates</w:t>
      </w:r>
      <w:r w:rsidRPr="0043240F">
        <w:rPr>
          <w:rFonts w:ascii="Arial" w:hAnsi="Arial" w:cs="Arial"/>
          <w:sz w:val="22"/>
          <w:szCs w:val="22"/>
        </w:rPr>
        <w:t>. [online] Nursing and Midwifery council. Available at: https://www.nmc.org.uk/standards/code/.</w:t>
      </w:r>
    </w:p>
    <w:p w14:paraId="5C03AFF4" w14:textId="77777777" w:rsidR="0043240F" w:rsidRPr="001E25C9" w:rsidRDefault="0043240F" w:rsidP="001E25C9">
      <w:pPr>
        <w:spacing w:line="360" w:lineRule="auto"/>
        <w:rPr>
          <w:rFonts w:ascii="Arial" w:hAnsi="Arial" w:cs="Arial"/>
          <w:sz w:val="22"/>
          <w:szCs w:val="22"/>
        </w:rPr>
      </w:pPr>
      <w:r w:rsidRPr="0043240F">
        <w:rPr>
          <w:rFonts w:ascii="Arial" w:hAnsi="Arial" w:cs="Arial"/>
          <w:sz w:val="22"/>
          <w:szCs w:val="22"/>
        </w:rPr>
        <w:t xml:space="preserve">Shannon, C.E. and Weaver, W. (1949). The Mathematical Theory of Communication. </w:t>
      </w:r>
      <w:r w:rsidRPr="0043240F">
        <w:rPr>
          <w:rFonts w:ascii="Arial" w:hAnsi="Arial" w:cs="Arial"/>
          <w:i/>
          <w:iCs/>
          <w:sz w:val="22"/>
          <w:szCs w:val="22"/>
        </w:rPr>
        <w:t>The Mathematical Gazette</w:t>
      </w:r>
      <w:r w:rsidRPr="0043240F">
        <w:rPr>
          <w:rFonts w:ascii="Arial" w:hAnsi="Arial" w:cs="Arial"/>
          <w:sz w:val="22"/>
          <w:szCs w:val="22"/>
        </w:rPr>
        <w:t>, 34(310), p.312. doi:https://doi.org/10.2307/3611062.</w:t>
      </w:r>
    </w:p>
    <w:p w14:paraId="632DEBA0" w14:textId="77777777" w:rsidR="00C1051D" w:rsidRPr="00C1051D" w:rsidRDefault="00C1051D" w:rsidP="001E25C9">
      <w:pPr>
        <w:spacing w:line="360" w:lineRule="auto"/>
        <w:rPr>
          <w:rFonts w:ascii="Arial" w:hAnsi="Arial" w:cs="Arial"/>
          <w:sz w:val="22"/>
          <w:szCs w:val="22"/>
        </w:rPr>
      </w:pPr>
      <w:r w:rsidRPr="00C1051D">
        <w:rPr>
          <w:rFonts w:ascii="Arial" w:hAnsi="Arial" w:cs="Arial"/>
          <w:sz w:val="22"/>
          <w:szCs w:val="22"/>
        </w:rPr>
        <w:t xml:space="preserve">SCIE (2015). </w:t>
      </w:r>
      <w:r w:rsidRPr="00C1051D">
        <w:rPr>
          <w:rFonts w:ascii="Arial" w:hAnsi="Arial" w:cs="Arial"/>
          <w:i/>
          <w:iCs/>
          <w:sz w:val="22"/>
          <w:szCs w:val="22"/>
        </w:rPr>
        <w:t>SCIE</w:t>
      </w:r>
      <w:r w:rsidRPr="00C1051D">
        <w:rPr>
          <w:rFonts w:ascii="Arial" w:hAnsi="Arial" w:cs="Arial"/>
          <w:sz w:val="22"/>
          <w:szCs w:val="22"/>
        </w:rPr>
        <w:t>. [online] Social Care Institute for Excellence (SCIE). Available at: https://www.scie.org.uk/ [Accessed 20 Nov. 2025].</w:t>
      </w:r>
    </w:p>
    <w:p w14:paraId="4486B2CA" w14:textId="77777777" w:rsidR="009906BF" w:rsidRPr="0043240F" w:rsidRDefault="009906BF" w:rsidP="001E25C9">
      <w:pPr>
        <w:spacing w:line="360" w:lineRule="auto"/>
        <w:rPr>
          <w:rFonts w:ascii="Arial" w:hAnsi="Arial" w:cs="Arial"/>
          <w:sz w:val="22"/>
          <w:szCs w:val="22"/>
        </w:rPr>
      </w:pPr>
    </w:p>
    <w:sectPr w:rsidR="009906BF" w:rsidRPr="0043240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95FA6" w14:textId="77777777" w:rsidR="00A6653F" w:rsidRDefault="00A6653F" w:rsidP="00B10E8C">
      <w:pPr>
        <w:spacing w:after="0" w:line="240" w:lineRule="auto"/>
      </w:pPr>
      <w:r>
        <w:separator/>
      </w:r>
    </w:p>
  </w:endnote>
  <w:endnote w:type="continuationSeparator" w:id="0">
    <w:p w14:paraId="6DF66E34" w14:textId="77777777" w:rsidR="00A6653F" w:rsidRDefault="00A6653F" w:rsidP="00B10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8943501"/>
      <w:docPartObj>
        <w:docPartGallery w:val="Page Numbers (Bottom of Page)"/>
        <w:docPartUnique/>
      </w:docPartObj>
    </w:sdtPr>
    <w:sdtContent>
      <w:p w14:paraId="539CCC27" w14:textId="5799A1C2" w:rsidR="008960AF" w:rsidRDefault="008960AF">
        <w:pPr>
          <w:pStyle w:val="Footer"/>
          <w:jc w:val="right"/>
        </w:pPr>
        <w:r>
          <w:fldChar w:fldCharType="begin"/>
        </w:r>
        <w:r>
          <w:instrText>PAGE   \* MERGEFORMAT</w:instrText>
        </w:r>
        <w:r>
          <w:fldChar w:fldCharType="separate"/>
        </w:r>
        <w:r>
          <w:t>2</w:t>
        </w:r>
        <w:r>
          <w:fldChar w:fldCharType="end"/>
        </w:r>
      </w:p>
    </w:sdtContent>
  </w:sdt>
  <w:p w14:paraId="28E1F050" w14:textId="77777777" w:rsidR="00B10E8C" w:rsidRDefault="00B10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45F98" w14:textId="77777777" w:rsidR="00A6653F" w:rsidRDefault="00A6653F" w:rsidP="00B10E8C">
      <w:pPr>
        <w:spacing w:after="0" w:line="240" w:lineRule="auto"/>
      </w:pPr>
      <w:r>
        <w:separator/>
      </w:r>
    </w:p>
  </w:footnote>
  <w:footnote w:type="continuationSeparator" w:id="0">
    <w:p w14:paraId="1247F38A" w14:textId="77777777" w:rsidR="00A6653F" w:rsidRDefault="00A6653F" w:rsidP="00B10E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A32"/>
    <w:rsid w:val="00000497"/>
    <w:rsid w:val="00012E53"/>
    <w:rsid w:val="000234FF"/>
    <w:rsid w:val="00037B9B"/>
    <w:rsid w:val="000525B9"/>
    <w:rsid w:val="000620A2"/>
    <w:rsid w:val="0006641A"/>
    <w:rsid w:val="00082D9B"/>
    <w:rsid w:val="000C48DF"/>
    <w:rsid w:val="000D2802"/>
    <w:rsid w:val="000D2AF0"/>
    <w:rsid w:val="000D6F20"/>
    <w:rsid w:val="000E5E8F"/>
    <w:rsid w:val="000F52EB"/>
    <w:rsid w:val="000F688A"/>
    <w:rsid w:val="001242CE"/>
    <w:rsid w:val="00126AAD"/>
    <w:rsid w:val="00127EBD"/>
    <w:rsid w:val="00141A42"/>
    <w:rsid w:val="00152F92"/>
    <w:rsid w:val="00154CDD"/>
    <w:rsid w:val="00195D37"/>
    <w:rsid w:val="001A3437"/>
    <w:rsid w:val="001B5131"/>
    <w:rsid w:val="001E25C9"/>
    <w:rsid w:val="001E2D27"/>
    <w:rsid w:val="0022356F"/>
    <w:rsid w:val="002340FA"/>
    <w:rsid w:val="00252946"/>
    <w:rsid w:val="0026206C"/>
    <w:rsid w:val="00282240"/>
    <w:rsid w:val="00283748"/>
    <w:rsid w:val="00292C76"/>
    <w:rsid w:val="00293DFE"/>
    <w:rsid w:val="002B378C"/>
    <w:rsid w:val="002D35E7"/>
    <w:rsid w:val="002E79D8"/>
    <w:rsid w:val="00315097"/>
    <w:rsid w:val="00332EAA"/>
    <w:rsid w:val="00342453"/>
    <w:rsid w:val="00352D7F"/>
    <w:rsid w:val="0036261B"/>
    <w:rsid w:val="00366BCB"/>
    <w:rsid w:val="00367BCD"/>
    <w:rsid w:val="00375957"/>
    <w:rsid w:val="00377FB2"/>
    <w:rsid w:val="00392237"/>
    <w:rsid w:val="003A2752"/>
    <w:rsid w:val="003C2914"/>
    <w:rsid w:val="003D428A"/>
    <w:rsid w:val="003F5027"/>
    <w:rsid w:val="004056AF"/>
    <w:rsid w:val="0040689E"/>
    <w:rsid w:val="0042693A"/>
    <w:rsid w:val="0043240F"/>
    <w:rsid w:val="0043263F"/>
    <w:rsid w:val="0043369D"/>
    <w:rsid w:val="0045162D"/>
    <w:rsid w:val="00453479"/>
    <w:rsid w:val="00476155"/>
    <w:rsid w:val="004A3311"/>
    <w:rsid w:val="004E5E99"/>
    <w:rsid w:val="004F010E"/>
    <w:rsid w:val="00511F78"/>
    <w:rsid w:val="005128DD"/>
    <w:rsid w:val="005334DE"/>
    <w:rsid w:val="00541DFC"/>
    <w:rsid w:val="00546F81"/>
    <w:rsid w:val="005663C1"/>
    <w:rsid w:val="00572D5C"/>
    <w:rsid w:val="00592D46"/>
    <w:rsid w:val="00595A33"/>
    <w:rsid w:val="00596D77"/>
    <w:rsid w:val="005A2C75"/>
    <w:rsid w:val="005A530A"/>
    <w:rsid w:val="005B0F6A"/>
    <w:rsid w:val="005C036D"/>
    <w:rsid w:val="005C5144"/>
    <w:rsid w:val="005F7F91"/>
    <w:rsid w:val="00603C7A"/>
    <w:rsid w:val="00631C0B"/>
    <w:rsid w:val="00654ABD"/>
    <w:rsid w:val="00661F89"/>
    <w:rsid w:val="006717B2"/>
    <w:rsid w:val="006804FB"/>
    <w:rsid w:val="00696958"/>
    <w:rsid w:val="006C79E1"/>
    <w:rsid w:val="006F6DEB"/>
    <w:rsid w:val="007032FC"/>
    <w:rsid w:val="00712A63"/>
    <w:rsid w:val="00720377"/>
    <w:rsid w:val="007213E0"/>
    <w:rsid w:val="00732201"/>
    <w:rsid w:val="00737DD7"/>
    <w:rsid w:val="00741664"/>
    <w:rsid w:val="00752327"/>
    <w:rsid w:val="00754B12"/>
    <w:rsid w:val="007845D1"/>
    <w:rsid w:val="00785965"/>
    <w:rsid w:val="00786D4E"/>
    <w:rsid w:val="007A0C8F"/>
    <w:rsid w:val="007A73A7"/>
    <w:rsid w:val="007B2FB5"/>
    <w:rsid w:val="007F0200"/>
    <w:rsid w:val="00837784"/>
    <w:rsid w:val="00865516"/>
    <w:rsid w:val="00873515"/>
    <w:rsid w:val="00884698"/>
    <w:rsid w:val="00892EF9"/>
    <w:rsid w:val="008960AF"/>
    <w:rsid w:val="008B5095"/>
    <w:rsid w:val="008B5F68"/>
    <w:rsid w:val="008E4595"/>
    <w:rsid w:val="008E595F"/>
    <w:rsid w:val="008E6AAC"/>
    <w:rsid w:val="008F0D28"/>
    <w:rsid w:val="009030A7"/>
    <w:rsid w:val="00904A91"/>
    <w:rsid w:val="00924F13"/>
    <w:rsid w:val="00941F36"/>
    <w:rsid w:val="00952554"/>
    <w:rsid w:val="00954852"/>
    <w:rsid w:val="0097707B"/>
    <w:rsid w:val="009870DE"/>
    <w:rsid w:val="009906BF"/>
    <w:rsid w:val="009920EF"/>
    <w:rsid w:val="009C19E6"/>
    <w:rsid w:val="009D099C"/>
    <w:rsid w:val="009D4515"/>
    <w:rsid w:val="009D7E8A"/>
    <w:rsid w:val="009F2CCD"/>
    <w:rsid w:val="009F5491"/>
    <w:rsid w:val="00A05E33"/>
    <w:rsid w:val="00A3690F"/>
    <w:rsid w:val="00A43AAF"/>
    <w:rsid w:val="00A6653F"/>
    <w:rsid w:val="00A71C81"/>
    <w:rsid w:val="00A947C5"/>
    <w:rsid w:val="00A951CA"/>
    <w:rsid w:val="00AB0D20"/>
    <w:rsid w:val="00AB4B0C"/>
    <w:rsid w:val="00AB5180"/>
    <w:rsid w:val="00AC348F"/>
    <w:rsid w:val="00AD1663"/>
    <w:rsid w:val="00AD409A"/>
    <w:rsid w:val="00AD684F"/>
    <w:rsid w:val="00AF4CC2"/>
    <w:rsid w:val="00B10E8C"/>
    <w:rsid w:val="00B16214"/>
    <w:rsid w:val="00B418F6"/>
    <w:rsid w:val="00B64825"/>
    <w:rsid w:val="00B95233"/>
    <w:rsid w:val="00BB335B"/>
    <w:rsid w:val="00BB3A32"/>
    <w:rsid w:val="00BC41B7"/>
    <w:rsid w:val="00BD0B69"/>
    <w:rsid w:val="00BF0ED6"/>
    <w:rsid w:val="00BF5443"/>
    <w:rsid w:val="00C1051D"/>
    <w:rsid w:val="00C15CBE"/>
    <w:rsid w:val="00C17F6D"/>
    <w:rsid w:val="00C334C1"/>
    <w:rsid w:val="00C64CFF"/>
    <w:rsid w:val="00C8175C"/>
    <w:rsid w:val="00CB4D42"/>
    <w:rsid w:val="00CC12ED"/>
    <w:rsid w:val="00CE308A"/>
    <w:rsid w:val="00CE6E22"/>
    <w:rsid w:val="00CE7522"/>
    <w:rsid w:val="00CF3D65"/>
    <w:rsid w:val="00D16027"/>
    <w:rsid w:val="00D23E3B"/>
    <w:rsid w:val="00D3763D"/>
    <w:rsid w:val="00D420C8"/>
    <w:rsid w:val="00D421EF"/>
    <w:rsid w:val="00D46582"/>
    <w:rsid w:val="00D55050"/>
    <w:rsid w:val="00D62190"/>
    <w:rsid w:val="00D80D61"/>
    <w:rsid w:val="00D9412C"/>
    <w:rsid w:val="00DA3F4D"/>
    <w:rsid w:val="00DD5C06"/>
    <w:rsid w:val="00DD6252"/>
    <w:rsid w:val="00DD6647"/>
    <w:rsid w:val="00DE305A"/>
    <w:rsid w:val="00E01D8F"/>
    <w:rsid w:val="00E13592"/>
    <w:rsid w:val="00E4608A"/>
    <w:rsid w:val="00E47E28"/>
    <w:rsid w:val="00E55370"/>
    <w:rsid w:val="00E55A08"/>
    <w:rsid w:val="00E563C4"/>
    <w:rsid w:val="00E77CD9"/>
    <w:rsid w:val="00E805C6"/>
    <w:rsid w:val="00EA4919"/>
    <w:rsid w:val="00EA4EC6"/>
    <w:rsid w:val="00EA6977"/>
    <w:rsid w:val="00ED49A2"/>
    <w:rsid w:val="00EF18C6"/>
    <w:rsid w:val="00F00C32"/>
    <w:rsid w:val="00F02647"/>
    <w:rsid w:val="00F11B0A"/>
    <w:rsid w:val="00F12D0A"/>
    <w:rsid w:val="00F151F3"/>
    <w:rsid w:val="00F62408"/>
    <w:rsid w:val="00F7208A"/>
    <w:rsid w:val="00F940E6"/>
    <w:rsid w:val="00F97468"/>
    <w:rsid w:val="00FA23EB"/>
    <w:rsid w:val="00FA4106"/>
    <w:rsid w:val="00FB6232"/>
    <w:rsid w:val="00FE2BDA"/>
    <w:rsid w:val="00FE6AFE"/>
    <w:rsid w:val="00FF0F72"/>
    <w:rsid w:val="053B6D07"/>
    <w:rsid w:val="0A53A607"/>
    <w:rsid w:val="27D071BB"/>
    <w:rsid w:val="29CC1395"/>
    <w:rsid w:val="2ACAA171"/>
    <w:rsid w:val="32FBCC9D"/>
    <w:rsid w:val="3EF1A546"/>
    <w:rsid w:val="4962627F"/>
    <w:rsid w:val="4AE0EC18"/>
    <w:rsid w:val="5DDFD951"/>
    <w:rsid w:val="6BE7B24C"/>
    <w:rsid w:val="73932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C7D0B"/>
  <w15:chartTrackingRefBased/>
  <w15:docId w15:val="{E52079E0-D7CB-4C9A-B147-AD4021EAD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75C"/>
  </w:style>
  <w:style w:type="paragraph" w:styleId="Heading1">
    <w:name w:val="heading 1"/>
    <w:basedOn w:val="Normal"/>
    <w:next w:val="Normal"/>
    <w:link w:val="Heading1Char"/>
    <w:uiPriority w:val="9"/>
    <w:qFormat/>
    <w:rsid w:val="00C81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75C"/>
    <w:rPr>
      <w:rFonts w:eastAsiaTheme="majorEastAsia" w:cstheme="majorBidi"/>
      <w:color w:val="272727" w:themeColor="text1" w:themeTint="D8"/>
    </w:rPr>
  </w:style>
  <w:style w:type="paragraph" w:styleId="Title">
    <w:name w:val="Title"/>
    <w:basedOn w:val="Normal"/>
    <w:next w:val="Normal"/>
    <w:link w:val="TitleChar"/>
    <w:uiPriority w:val="10"/>
    <w:qFormat/>
    <w:rsid w:val="00C81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75C"/>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8175C"/>
    <w:pPr>
      <w:ind w:left="720"/>
      <w:contextualSpacing/>
    </w:pPr>
  </w:style>
  <w:style w:type="paragraph" w:styleId="Quote">
    <w:name w:val="Quote"/>
    <w:basedOn w:val="Normal"/>
    <w:next w:val="Normal"/>
    <w:link w:val="QuoteChar"/>
    <w:uiPriority w:val="29"/>
    <w:qFormat/>
    <w:rsid w:val="00C8175C"/>
    <w:pPr>
      <w:spacing w:before="160"/>
      <w:jc w:val="center"/>
    </w:pPr>
    <w:rPr>
      <w:i/>
      <w:iCs/>
      <w:color w:val="404040" w:themeColor="text1" w:themeTint="BF"/>
    </w:rPr>
  </w:style>
  <w:style w:type="character" w:customStyle="1" w:styleId="QuoteChar">
    <w:name w:val="Quote Char"/>
    <w:basedOn w:val="DefaultParagraphFont"/>
    <w:link w:val="Quote"/>
    <w:uiPriority w:val="29"/>
    <w:rsid w:val="00C8175C"/>
    <w:rPr>
      <w:i/>
      <w:iCs/>
      <w:color w:val="404040" w:themeColor="text1" w:themeTint="BF"/>
    </w:rPr>
  </w:style>
  <w:style w:type="paragraph" w:styleId="IntenseQuote">
    <w:name w:val="Intense Quote"/>
    <w:basedOn w:val="Normal"/>
    <w:next w:val="Normal"/>
    <w:link w:val="IntenseQuoteChar"/>
    <w:uiPriority w:val="30"/>
    <w:qFormat/>
    <w:rsid w:val="00C81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75C"/>
    <w:rPr>
      <w:i/>
      <w:iCs/>
      <w:color w:val="0F4761" w:themeColor="accent1" w:themeShade="BF"/>
    </w:rPr>
  </w:style>
  <w:style w:type="character" w:styleId="IntenseEmphasis">
    <w:name w:val="Intense Emphasis"/>
    <w:basedOn w:val="DefaultParagraphFont"/>
    <w:uiPriority w:val="21"/>
    <w:qFormat/>
    <w:rsid w:val="00C8175C"/>
    <w:rPr>
      <w:i/>
      <w:iCs/>
      <w:color w:val="0F4761" w:themeColor="accent1" w:themeShade="BF"/>
    </w:rPr>
  </w:style>
  <w:style w:type="character" w:styleId="IntenseReference">
    <w:name w:val="Intense Reference"/>
    <w:basedOn w:val="DefaultParagraphFont"/>
    <w:uiPriority w:val="32"/>
    <w:qFormat/>
    <w:rsid w:val="00C8175C"/>
    <w:rPr>
      <w:b/>
      <w:bCs/>
      <w:smallCaps/>
      <w:color w:val="0F4761" w:themeColor="accent1" w:themeShade="BF"/>
      <w:spacing w:val="5"/>
    </w:rPr>
  </w:style>
  <w:style w:type="paragraph" w:styleId="TOCHeading">
    <w:name w:val="TOC Heading"/>
    <w:basedOn w:val="Heading1"/>
    <w:next w:val="Normal"/>
    <w:uiPriority w:val="39"/>
    <w:unhideWhenUsed/>
    <w:qFormat/>
    <w:rsid w:val="0072037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A71C81"/>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A71C81"/>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A71C81"/>
    <w:pPr>
      <w:spacing w:after="100" w:line="259" w:lineRule="auto"/>
      <w:ind w:left="440"/>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B10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E8C"/>
  </w:style>
  <w:style w:type="paragraph" w:styleId="Footer">
    <w:name w:val="footer"/>
    <w:basedOn w:val="Normal"/>
    <w:link w:val="FooterChar"/>
    <w:uiPriority w:val="99"/>
    <w:unhideWhenUsed/>
    <w:rsid w:val="00B10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E8C"/>
  </w:style>
  <w:style w:type="character" w:styleId="Hyperlink">
    <w:name w:val="Hyperlink"/>
    <w:basedOn w:val="DefaultParagraphFont"/>
    <w:uiPriority w:val="99"/>
    <w:unhideWhenUsed/>
    <w:rsid w:val="00FE6AFE"/>
    <w:rPr>
      <w:color w:val="467886" w:themeColor="hyperlink"/>
      <w:u w:val="single"/>
    </w:rPr>
  </w:style>
  <w:style w:type="character" w:styleId="UnresolvedMention">
    <w:name w:val="Unresolved Mention"/>
    <w:basedOn w:val="DefaultParagraphFont"/>
    <w:uiPriority w:val="99"/>
    <w:semiHidden/>
    <w:unhideWhenUsed/>
    <w:rsid w:val="005A2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C16FF-88BC-47E4-94B5-12CE0F9DA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2548</TotalTime>
  <Pages>8</Pages>
  <Words>2040</Words>
  <Characters>11633</Characters>
  <Application>Microsoft Office Word</Application>
  <DocSecurity>0</DocSecurity>
  <Lines>96</Lines>
  <Paragraphs>27</Paragraphs>
  <ScaleCrop>false</ScaleCrop>
  <Company/>
  <LinksUpToDate>false</LinksUpToDate>
  <CharactersWithSpaces>13646</CharactersWithSpaces>
  <SharedDoc>false</SharedDoc>
  <HLinks>
    <vt:vector size="30" baseType="variant">
      <vt:variant>
        <vt:i4>1376306</vt:i4>
      </vt:variant>
      <vt:variant>
        <vt:i4>26</vt:i4>
      </vt:variant>
      <vt:variant>
        <vt:i4>0</vt:i4>
      </vt:variant>
      <vt:variant>
        <vt:i4>5</vt:i4>
      </vt:variant>
      <vt:variant>
        <vt:lpwstr/>
      </vt:variant>
      <vt:variant>
        <vt:lpwstr>_Toc213410270</vt:lpwstr>
      </vt:variant>
      <vt:variant>
        <vt:i4>1310770</vt:i4>
      </vt:variant>
      <vt:variant>
        <vt:i4>20</vt:i4>
      </vt:variant>
      <vt:variant>
        <vt:i4>0</vt:i4>
      </vt:variant>
      <vt:variant>
        <vt:i4>5</vt:i4>
      </vt:variant>
      <vt:variant>
        <vt:lpwstr/>
      </vt:variant>
      <vt:variant>
        <vt:lpwstr>_Toc213410269</vt:lpwstr>
      </vt:variant>
      <vt:variant>
        <vt:i4>1310770</vt:i4>
      </vt:variant>
      <vt:variant>
        <vt:i4>14</vt:i4>
      </vt:variant>
      <vt:variant>
        <vt:i4>0</vt:i4>
      </vt:variant>
      <vt:variant>
        <vt:i4>5</vt:i4>
      </vt:variant>
      <vt:variant>
        <vt:lpwstr/>
      </vt:variant>
      <vt:variant>
        <vt:lpwstr>_Toc213410268</vt:lpwstr>
      </vt:variant>
      <vt:variant>
        <vt:i4>1310770</vt:i4>
      </vt:variant>
      <vt:variant>
        <vt:i4>8</vt:i4>
      </vt:variant>
      <vt:variant>
        <vt:i4>0</vt:i4>
      </vt:variant>
      <vt:variant>
        <vt:i4>5</vt:i4>
      </vt:variant>
      <vt:variant>
        <vt:lpwstr/>
      </vt:variant>
      <vt:variant>
        <vt:lpwstr>_Toc213410267</vt:lpwstr>
      </vt:variant>
      <vt:variant>
        <vt:i4>1310770</vt:i4>
      </vt:variant>
      <vt:variant>
        <vt:i4>2</vt:i4>
      </vt:variant>
      <vt:variant>
        <vt:i4>0</vt:i4>
      </vt:variant>
      <vt:variant>
        <vt:i4>5</vt:i4>
      </vt:variant>
      <vt:variant>
        <vt:lpwstr/>
      </vt:variant>
      <vt:variant>
        <vt:lpwstr>_Toc213410266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Baaba Quagraine (2434408)</dc:creator>
  <cp:keywords/>
  <dc:description/>
  <cp:lastModifiedBy>Irene Baaba Quagraine (2434408)</cp:lastModifiedBy>
  <cp:revision>173</cp:revision>
  <dcterms:created xsi:type="dcterms:W3CDTF">2025-11-05T11:27:00Z</dcterms:created>
  <dcterms:modified xsi:type="dcterms:W3CDTF">2025-11-20T14:15:00Z</dcterms:modified>
</cp:coreProperties>
</file>