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35836BB6" w:rsidR="00E611D9" w:rsidRDefault="0071087B" w:rsidP="0071087B">
      <w:pPr>
        <w:pStyle w:val="AssignBody"/>
        <w:tabs>
          <w:tab w:val="left" w:pos="8050"/>
        </w:tabs>
      </w:pPr>
      <w:r>
        <w:tab/>
      </w:r>
    </w:p>
    <w:tbl>
      <w:tblPr>
        <w:tblStyle w:val="TableGrid"/>
        <w:tblW w:w="0" w:type="auto"/>
        <w:tblLook w:val="04A0" w:firstRow="1" w:lastRow="0" w:firstColumn="1" w:lastColumn="0" w:noHBand="0" w:noVBand="1"/>
      </w:tblPr>
      <w:tblGrid>
        <w:gridCol w:w="1838"/>
        <w:gridCol w:w="7178"/>
      </w:tblGrid>
      <w:tr w:rsidR="002229F0" w14:paraId="4072E411" w14:textId="77777777" w:rsidTr="00AE1A4C">
        <w:tc>
          <w:tcPr>
            <w:tcW w:w="1838" w:type="dxa"/>
          </w:tcPr>
          <w:p w14:paraId="3BDD7132" w14:textId="77777777" w:rsidR="002229F0" w:rsidRDefault="002229F0" w:rsidP="00AE1A4C">
            <w:pPr>
              <w:pStyle w:val="AssignBody"/>
            </w:pPr>
            <w:proofErr w:type="spellStart"/>
            <w:r>
              <w:t>T</w:t>
            </w:r>
            <w:bookmarkStart w:id="0" w:name="cysill"/>
            <w:bookmarkEnd w:id="0"/>
            <w:r>
              <w:t>arged</w:t>
            </w:r>
            <w:proofErr w:type="spellEnd"/>
            <w:r>
              <w:t>/Target 1</w:t>
            </w:r>
          </w:p>
        </w:tc>
        <w:tc>
          <w:tcPr>
            <w:tcW w:w="7178" w:type="dxa"/>
          </w:tcPr>
          <w:p w14:paraId="394C5558" w14:textId="5AB1AF16" w:rsidR="002229F0" w:rsidRDefault="008D7555" w:rsidP="00AE1A4C">
            <w:pPr>
              <w:pStyle w:val="AssignBody"/>
            </w:pPr>
            <w:r>
              <w:t xml:space="preserve">Improve </w:t>
            </w:r>
            <w:r w:rsidR="007F5187">
              <w:t>r</w:t>
            </w:r>
            <w:r>
              <w:t xml:space="preserve">eferencing </w:t>
            </w:r>
            <w:r w:rsidR="007F5187">
              <w:t>page</w:t>
            </w:r>
          </w:p>
        </w:tc>
      </w:tr>
      <w:tr w:rsidR="002229F0" w14:paraId="73A65764" w14:textId="77777777" w:rsidTr="00AE1A4C">
        <w:tc>
          <w:tcPr>
            <w:tcW w:w="1838" w:type="dxa"/>
          </w:tcPr>
          <w:p w14:paraId="12A42483" w14:textId="77777777" w:rsidR="002229F0" w:rsidRDefault="002229F0" w:rsidP="00AE1A4C">
            <w:pPr>
              <w:pStyle w:val="AssignBody"/>
            </w:pPr>
            <w:proofErr w:type="spellStart"/>
            <w:r>
              <w:t>Targed</w:t>
            </w:r>
            <w:proofErr w:type="spellEnd"/>
            <w:r>
              <w:t>/Target 2</w:t>
            </w:r>
          </w:p>
        </w:tc>
        <w:tc>
          <w:tcPr>
            <w:tcW w:w="7178" w:type="dxa"/>
          </w:tcPr>
          <w:p w14:paraId="3E19823E" w14:textId="55420248" w:rsidR="002229F0" w:rsidRDefault="008D7555" w:rsidP="00AE1A4C">
            <w:pPr>
              <w:pStyle w:val="AssignBody"/>
            </w:pPr>
            <w:r>
              <w:t>Use more reliable sources</w:t>
            </w:r>
          </w:p>
        </w:tc>
      </w:tr>
      <w:tr w:rsidR="002229F0" w14:paraId="0216786F" w14:textId="77777777" w:rsidTr="00AE1A4C">
        <w:tc>
          <w:tcPr>
            <w:tcW w:w="1838" w:type="dxa"/>
          </w:tcPr>
          <w:p w14:paraId="4F73937C" w14:textId="77777777" w:rsidR="002229F0" w:rsidRDefault="002229F0" w:rsidP="00AE1A4C">
            <w:pPr>
              <w:pStyle w:val="AssignBody"/>
            </w:pPr>
            <w:proofErr w:type="spellStart"/>
            <w:r>
              <w:t>Targed</w:t>
            </w:r>
            <w:proofErr w:type="spellEnd"/>
            <w:r>
              <w:t>/Target 3</w:t>
            </w:r>
          </w:p>
        </w:tc>
        <w:tc>
          <w:tcPr>
            <w:tcW w:w="7178" w:type="dxa"/>
          </w:tcPr>
          <w:p w14:paraId="1FEDD524" w14:textId="543D89EB" w:rsidR="002229F0" w:rsidRDefault="008D7555" w:rsidP="00AE1A4C">
            <w:pPr>
              <w:pStyle w:val="AssignBody"/>
            </w:pPr>
            <w:r>
              <w:t>Proofread work</w:t>
            </w:r>
          </w:p>
        </w:tc>
      </w:tr>
    </w:tbl>
    <w:p w14:paraId="45E34BBD" w14:textId="77777777" w:rsidR="002229F0" w:rsidRDefault="002229F0" w:rsidP="00E611D9">
      <w:pPr>
        <w:pStyle w:val="AssignBody"/>
      </w:pPr>
    </w:p>
    <w:p w14:paraId="5D6732C5" w14:textId="7AEE9345" w:rsidR="008D7555" w:rsidRDefault="008D7555" w:rsidP="008D7555">
      <w:pPr>
        <w:pStyle w:val="AssignSubHeader"/>
        <w:jc w:val="center"/>
        <w:rPr>
          <w:sz w:val="36"/>
          <w:szCs w:val="28"/>
          <w:u w:val="single"/>
        </w:rPr>
      </w:pPr>
      <w:r w:rsidRPr="008D7555">
        <w:rPr>
          <w:sz w:val="36"/>
          <w:szCs w:val="28"/>
          <w:u w:val="single"/>
        </w:rPr>
        <w:t>Critically reflect on your pedagogical progress demonstrated through required elements of the Professional Learning Passport, identifying a specific area for professional development, and justifying next steps for improvement.</w:t>
      </w:r>
    </w:p>
    <w:p w14:paraId="47CFCF0B" w14:textId="77777777" w:rsidR="00BA4AF8" w:rsidRDefault="00BA4AF8" w:rsidP="00BA4AF8">
      <w:pPr>
        <w:pStyle w:val="AssignBody"/>
        <w:rPr>
          <w:b/>
          <w:bCs/>
          <w:sz w:val="28"/>
          <w:szCs w:val="28"/>
        </w:rPr>
      </w:pPr>
    </w:p>
    <w:p w14:paraId="2BF3BD60" w14:textId="247F6EF1" w:rsidR="00BA4AF8" w:rsidRPr="00BA4AF8" w:rsidRDefault="00BA4AF8" w:rsidP="00BA4AF8">
      <w:pPr>
        <w:pStyle w:val="AssignBody"/>
        <w:rPr>
          <w:b/>
          <w:bCs/>
          <w:sz w:val="28"/>
          <w:szCs w:val="28"/>
        </w:rPr>
      </w:pPr>
      <w:r w:rsidRPr="00BA4AF8">
        <w:rPr>
          <w:b/>
          <w:bCs/>
          <w:sz w:val="28"/>
          <w:szCs w:val="28"/>
        </w:rPr>
        <w:t>Professional Learning Passport Link:</w:t>
      </w:r>
    </w:p>
    <w:p w14:paraId="2D94C790" w14:textId="7543251D" w:rsidR="00BA4AF8" w:rsidRPr="00BA4AF8" w:rsidRDefault="00BA4AF8" w:rsidP="00BA4AF8">
      <w:pPr>
        <w:pStyle w:val="AssignBody"/>
      </w:pPr>
      <w:r w:rsidRPr="00BA4AF8">
        <w:t>https://v3.pebblepad.co.uk/spa/#/public/kwhG4ZmfGhHpGf5RZpRnHwzZhZ</w:t>
      </w:r>
    </w:p>
    <w:p w14:paraId="0D2F6EA6" w14:textId="2EE34889" w:rsidR="00E611D9" w:rsidRDefault="00E611D9" w:rsidP="00542E1B">
      <w:pPr>
        <w:pStyle w:val="AssignBody"/>
      </w:pPr>
    </w:p>
    <w:p w14:paraId="3A2D9BC2" w14:textId="77777777" w:rsidR="008D7555" w:rsidRPr="00D4192A" w:rsidRDefault="008D7555" w:rsidP="008D7555">
      <w:pPr>
        <w:spacing w:line="360" w:lineRule="auto"/>
        <w:rPr>
          <w:rFonts w:ascii="Arial" w:hAnsi="Arial" w:cs="Arial"/>
          <w:b/>
          <w:bCs/>
          <w:sz w:val="28"/>
          <w:szCs w:val="28"/>
          <w:u w:val="single"/>
        </w:rPr>
      </w:pPr>
      <w:r w:rsidRPr="00D4192A">
        <w:rPr>
          <w:rFonts w:ascii="Arial" w:hAnsi="Arial" w:cs="Arial"/>
          <w:b/>
          <w:bCs/>
          <w:sz w:val="28"/>
          <w:szCs w:val="28"/>
          <w:u w:val="single"/>
        </w:rPr>
        <w:t>Part One</w:t>
      </w:r>
    </w:p>
    <w:p w14:paraId="02BD37B9" w14:textId="77777777" w:rsidR="008D7555" w:rsidRPr="00D4192A" w:rsidRDefault="008D7555" w:rsidP="008D7555">
      <w:pPr>
        <w:spacing w:line="360" w:lineRule="auto"/>
        <w:rPr>
          <w:rFonts w:ascii="Arial" w:hAnsi="Arial" w:cs="Arial"/>
          <w:b/>
          <w:bCs/>
          <w:sz w:val="28"/>
          <w:szCs w:val="28"/>
          <w:u w:val="single"/>
        </w:rPr>
      </w:pPr>
      <w:r w:rsidRPr="00D4192A">
        <w:rPr>
          <w:rFonts w:ascii="Arial" w:hAnsi="Arial" w:cs="Arial"/>
          <w:b/>
          <w:bCs/>
          <w:sz w:val="28"/>
          <w:szCs w:val="28"/>
          <w:u w:val="single"/>
        </w:rPr>
        <w:t>Reflection on Subject Knowledge Development</w:t>
      </w:r>
    </w:p>
    <w:p w14:paraId="300F6A4E" w14:textId="77777777" w:rsidR="008D7555" w:rsidRPr="00D4192A" w:rsidRDefault="008D7555" w:rsidP="008D7555">
      <w:pPr>
        <w:spacing w:line="360" w:lineRule="auto"/>
        <w:rPr>
          <w:rFonts w:ascii="Arial" w:hAnsi="Arial" w:cs="Arial"/>
        </w:rPr>
      </w:pPr>
      <w:r w:rsidRPr="00D4192A">
        <w:rPr>
          <w:rFonts w:ascii="Arial" w:hAnsi="Arial" w:cs="Arial"/>
          <w:u w:val="single"/>
        </w:rPr>
        <w:t>Literacy Development- De Bono’s Six Thinking Hats</w:t>
      </w:r>
      <w:r w:rsidRPr="00D4192A">
        <w:rPr>
          <w:rFonts w:ascii="Arial" w:hAnsi="Arial" w:cs="Arial"/>
        </w:rPr>
        <w:br/>
        <w:t>I was first introduced to ‘De Bono’s Six Thinking Hats’ in a University lecture. This method is often used to amplify creative discussions. I felt that this would be a good concept to adapt into a classroom environment. I revisited the ‘Thinking Hats’ and researched how they could be used during a lesson. I decided that I would create a lesson based on the red hat. This hat represented emotions and instinct. During an introduction for the theme ‘fairy tales’. I used the red hat to encourage learners to empathise with the characters in the story e.g. One child became the wolf, and three other children became the ‘three little pigs’. The rest of the class had to ask them questions in the perspective of each character. Learners enjoyed the prospect of asking and answering questions. I had never used this technique before however, it was an engaging but simple activity which I will use in future practice.</w:t>
      </w:r>
    </w:p>
    <w:p w14:paraId="5A6E11B9" w14:textId="77777777" w:rsidR="008D7555" w:rsidRPr="00D4192A" w:rsidRDefault="008D7555" w:rsidP="008D7555">
      <w:pPr>
        <w:spacing w:line="360" w:lineRule="auto"/>
        <w:rPr>
          <w:rFonts w:ascii="Arial" w:hAnsi="Arial" w:cs="Arial"/>
        </w:rPr>
      </w:pPr>
      <w:r w:rsidRPr="00D4192A">
        <w:rPr>
          <w:rFonts w:ascii="Arial" w:hAnsi="Arial" w:cs="Arial"/>
          <w:u w:val="single"/>
        </w:rPr>
        <w:t>Digital Competency Development- Using Class Dojo</w:t>
      </w:r>
    </w:p>
    <w:p w14:paraId="4BAAB974" w14:textId="77777777" w:rsidR="008D7555" w:rsidRPr="00D4192A" w:rsidRDefault="008D7555" w:rsidP="008D7555">
      <w:pPr>
        <w:spacing w:line="360" w:lineRule="auto"/>
        <w:rPr>
          <w:rFonts w:ascii="Arial" w:hAnsi="Arial" w:cs="Arial"/>
        </w:rPr>
      </w:pPr>
      <w:r w:rsidRPr="00D4192A">
        <w:rPr>
          <w:rFonts w:ascii="Arial" w:hAnsi="Arial" w:cs="Arial"/>
        </w:rPr>
        <w:t xml:space="preserve">Due to the current COVID-19 pandemic teaching during PTE3 was primarily online. Learners were expected to upload their work using 'Class Dojo'. I had already used 'Class Dojo' during previous placements but only to reward children with Dojo Points. This online experience </w:t>
      </w:r>
      <w:r w:rsidRPr="00D4192A">
        <w:rPr>
          <w:rFonts w:ascii="Arial" w:hAnsi="Arial" w:cs="Arial"/>
        </w:rPr>
        <w:lastRenderedPageBreak/>
        <w:t>has allowed me to explore this communication method in more depth and become efficient whilst using it.  One way in which I developed the use of this app was by uploading work, videos, and posting updates so that the children (and parents) could receive their work and the support that assisted them with their tasks. I met with my class mentor via a Microsoft Teams meeting where she explained how to upload work for each learner. As some tasks were differentiated, I had to ensure I uploaded the work to the correct pupil profile. I encountered a mishap when I uploaded my first video onto the Class Page. I was not aware that the video could be no longer than 9 minutes. Therefore, I had to re-edit the video in order for it to upload successfully. Consequently, I uploaded the video with ease. This experience was beneficial for my future practice as I could use this technique to upload homework for learners to complete at home.</w:t>
      </w:r>
    </w:p>
    <w:p w14:paraId="6F996969" w14:textId="77777777" w:rsidR="008D7555" w:rsidRPr="00D4192A" w:rsidRDefault="008D7555" w:rsidP="008D7555">
      <w:pPr>
        <w:spacing w:line="360" w:lineRule="auto"/>
        <w:rPr>
          <w:rFonts w:ascii="Arial" w:hAnsi="Arial" w:cs="Arial"/>
        </w:rPr>
      </w:pPr>
      <w:r w:rsidRPr="00D4192A">
        <w:rPr>
          <w:rFonts w:ascii="Arial" w:hAnsi="Arial" w:cs="Arial"/>
        </w:rPr>
        <w:t>Moreover, using ‘Class Dojo’ allowed me to form connections with the learners and their parents/guardians. As I had not yet met them face-to-face, I felt it was important to develop and maintain effective communication. Some parents used the app to communicate with me if they did not understand the task that I had set for their child. I was able to provide them with additional support so that they could assist their child in completing the task at home. When we were back in school, I continued to communicate with parents/guardians to update them on their children’s progress. I will continue to use this software throughout my teaching practice to communicate with parents/ guardians. This will promote healthy parent-teacher relationships which will provide the best possible learning environment for the learners and foster physical, emotional, and intellectual well-being as a result.</w:t>
      </w:r>
    </w:p>
    <w:p w14:paraId="6B6DCBEA" w14:textId="77777777" w:rsidR="008D7555" w:rsidRPr="00D4192A" w:rsidRDefault="008D7555" w:rsidP="008D7555">
      <w:pPr>
        <w:spacing w:line="360" w:lineRule="auto"/>
        <w:rPr>
          <w:rFonts w:ascii="Arial" w:hAnsi="Arial" w:cs="Arial"/>
        </w:rPr>
      </w:pPr>
    </w:p>
    <w:p w14:paraId="6E34CA10" w14:textId="77777777" w:rsidR="008D7555" w:rsidRPr="00D4192A" w:rsidRDefault="008D7555" w:rsidP="008D7555">
      <w:pPr>
        <w:spacing w:line="360" w:lineRule="auto"/>
        <w:rPr>
          <w:rFonts w:ascii="Arial" w:hAnsi="Arial" w:cs="Arial"/>
          <w:u w:val="single"/>
        </w:rPr>
      </w:pPr>
      <w:r w:rsidRPr="00D4192A">
        <w:rPr>
          <w:rFonts w:ascii="Arial" w:hAnsi="Arial" w:cs="Arial"/>
          <w:u w:val="single"/>
        </w:rPr>
        <w:t>Developing Subject Knowledge within Humanities- Chinese New Year</w:t>
      </w:r>
    </w:p>
    <w:p w14:paraId="7A38C3F7" w14:textId="77777777" w:rsidR="008D7555" w:rsidRPr="00D4192A" w:rsidRDefault="008D7555" w:rsidP="008D7555">
      <w:pPr>
        <w:spacing w:line="360" w:lineRule="auto"/>
        <w:rPr>
          <w:rFonts w:ascii="Arial" w:hAnsi="Arial" w:cs="Arial"/>
        </w:rPr>
      </w:pPr>
      <w:r w:rsidRPr="00D4192A">
        <w:rPr>
          <w:rFonts w:ascii="Arial" w:hAnsi="Arial" w:cs="Arial"/>
        </w:rPr>
        <w:t>I had to teach an array of 'Chinese New Year' themed lessons to a Reception/Year 1 class again, due to the pandemic this was online. Although, the lessons I created were a mixture of asynchronous and live teaching learning experiences. I did not know much about Chinese New Year, so I had to research it first in order to educate the children correctly. I used videos and websites to broaden my knowledge on the subject. One lesson included a compare and contrast activity where the children had to compare their New Year’s celebrations with a traditional Chinese New Year celebration. In order to complete this task, I had to provide them with relevant information that they could use to compare. I demonstrated how this activity could be completed via an asynchronous video where I explained the main events that occur during Chinese New Year. As well as this, I provided the learners with a link to the child friendly video that I used to educate myself. I found it extremely interesting learning about an alternative culture.</w:t>
      </w:r>
    </w:p>
    <w:p w14:paraId="6EC2DA2E" w14:textId="77777777" w:rsidR="008D7555" w:rsidRPr="00D4192A" w:rsidRDefault="008D7555" w:rsidP="008D7555">
      <w:pPr>
        <w:spacing w:line="360" w:lineRule="auto"/>
        <w:rPr>
          <w:rFonts w:ascii="Arial" w:hAnsi="Arial" w:cs="Arial"/>
        </w:rPr>
      </w:pPr>
      <w:r w:rsidRPr="00D4192A">
        <w:rPr>
          <w:rFonts w:ascii="Arial" w:hAnsi="Arial" w:cs="Arial"/>
        </w:rPr>
        <w:lastRenderedPageBreak/>
        <w:t>Another lesson that I taught was about Chinese lanterns. This lesson was taught live, so I had to ensure I knew how to create the lantern before showing the learners how to make it themselves. I used a crafts blog to follow step by step instructions so that I could memorise the making process. I practiced making the lanterns beforehand to avoid any misconceptions from occurring. Although, I found that during the live lessons it would have been easier to create the lanterns landscape instead of portrait. As a result, if I were to teach this lesson again, I would ensure I changed this instruction. Due to the learning being at home for the majority of learners I had to guarantee that the lesson was accessible in regard to resources. I simplified the instructions that I had found on the craft blog to ensure all learners were able to complete the task. As a result, all learners felt included.</w:t>
      </w:r>
    </w:p>
    <w:p w14:paraId="443915DD" w14:textId="77777777" w:rsidR="008D7555" w:rsidRPr="00D4192A" w:rsidRDefault="008D7555" w:rsidP="008D7555">
      <w:pPr>
        <w:spacing w:line="360" w:lineRule="auto"/>
        <w:rPr>
          <w:rFonts w:ascii="Arial" w:hAnsi="Arial" w:cs="Arial"/>
          <w:b/>
          <w:bCs/>
          <w:sz w:val="28"/>
          <w:szCs w:val="28"/>
        </w:rPr>
      </w:pPr>
    </w:p>
    <w:p w14:paraId="5D08A290" w14:textId="77777777" w:rsidR="008D7555" w:rsidRPr="00D4192A" w:rsidRDefault="008D7555" w:rsidP="008D7555">
      <w:pPr>
        <w:spacing w:line="360" w:lineRule="auto"/>
        <w:rPr>
          <w:rFonts w:ascii="Arial" w:hAnsi="Arial" w:cs="Arial"/>
          <w:b/>
          <w:bCs/>
          <w:sz w:val="28"/>
          <w:szCs w:val="28"/>
          <w:u w:val="single"/>
        </w:rPr>
      </w:pPr>
      <w:r w:rsidRPr="00D4192A">
        <w:rPr>
          <w:rFonts w:ascii="Arial" w:hAnsi="Arial" w:cs="Arial"/>
          <w:b/>
          <w:bCs/>
          <w:sz w:val="28"/>
          <w:szCs w:val="28"/>
          <w:u w:val="single"/>
        </w:rPr>
        <w:t xml:space="preserve">Reflection on Planning for Progression </w:t>
      </w:r>
    </w:p>
    <w:p w14:paraId="2F516201" w14:textId="77777777" w:rsidR="008D7555" w:rsidRPr="00D4192A" w:rsidRDefault="008D7555" w:rsidP="008D7555">
      <w:pPr>
        <w:spacing w:line="360" w:lineRule="auto"/>
        <w:rPr>
          <w:rFonts w:ascii="Arial" w:hAnsi="Arial" w:cs="Arial"/>
          <w:u w:val="single"/>
        </w:rPr>
      </w:pPr>
      <w:r w:rsidRPr="00D4192A">
        <w:rPr>
          <w:rFonts w:ascii="Arial" w:hAnsi="Arial" w:cs="Arial"/>
          <w:u w:val="single"/>
        </w:rPr>
        <w:t>Expressive Arts- Developing fine and gross motor skills.</w:t>
      </w:r>
    </w:p>
    <w:p w14:paraId="60298539" w14:textId="77777777" w:rsidR="008D7555" w:rsidRPr="00D4192A" w:rsidRDefault="008D7555" w:rsidP="008D7555">
      <w:pPr>
        <w:spacing w:line="360" w:lineRule="auto"/>
        <w:rPr>
          <w:rFonts w:ascii="Arial" w:hAnsi="Arial" w:cs="Arial"/>
        </w:rPr>
      </w:pPr>
      <w:r w:rsidRPr="00D4192A">
        <w:rPr>
          <w:rFonts w:ascii="Arial" w:hAnsi="Arial" w:cs="Arial"/>
        </w:rPr>
        <w:t xml:space="preserve">To conclude the term theme of ‘The Circus’. I organised a Circus themed immersive experience. Which ended with a class ‘Circus Show’. The lessons in which I planned prior to this themed day developed the learners understanding of the Circus. Furthermore, Learners had opportunities to practice a multitude of skills including balancing skills, ball skills, gymnastics, and dance. We split the class into four groups. Myself, my class teacher and both TA’s were assigned a group each where we specialised in one of the skills. This carousel activity took place over the course of 4 days. I chose to specialise in gymnastics as I have had experience in this area as I used to attend gymnastic classes. With my knowledge of body shapes and gymnastic movements I was confident that I could upskill the learners coordination, flexibility, and determination. Some learners were unable to do a forward role prior to this experience until they practiced upskilling their coordination and flexibility to successfully complete a forward role. I ensured that I provided learners with a safe environment so that they felt comfortable to make mistakes and try new things. Coe et al (2020) agrees that it is important that practitioners create safe environments where they encourage learner motivation through feelings of readiness and competency. Moreover, it is essential that practitioners create a trusting atmosphere where learners are not afraid to make mistakes and ‘have a go’ (p. 6). Creating a safe space encouraged the pupils to try new things and progress their skills. </w:t>
      </w:r>
    </w:p>
    <w:p w14:paraId="33E8B2C6" w14:textId="346A6E97" w:rsidR="008D7555" w:rsidRPr="00D4192A" w:rsidRDefault="008D7555" w:rsidP="008D7555">
      <w:pPr>
        <w:spacing w:line="360" w:lineRule="auto"/>
        <w:rPr>
          <w:rFonts w:ascii="Arial" w:hAnsi="Arial" w:cs="Arial"/>
        </w:rPr>
      </w:pPr>
      <w:r w:rsidRPr="00D4192A">
        <w:rPr>
          <w:rFonts w:ascii="Arial" w:hAnsi="Arial" w:cs="Arial"/>
        </w:rPr>
        <w:t xml:space="preserve">As well as the carousel activity learners had further opportunities to practice their chosen skill in preparation for the show. All learners took part in the practice sessions where they developed skills such as, juggling, balancing, gymnastics, and hula hooping. This gave them </w:t>
      </w:r>
      <w:r w:rsidRPr="00D4192A">
        <w:rPr>
          <w:rFonts w:ascii="Arial" w:hAnsi="Arial" w:cs="Arial"/>
        </w:rPr>
        <w:lastRenderedPageBreak/>
        <w:t>a chance to progress their fine and gross motor skills as well as their confidence. I purposely timetabled practice sessions so that learners would feel ready when it was time to perform. The more they practiced their chosen skill the better they became. This indicated that they had developed competency to perform that skill, and this was apparent during the show as they were confident enough to perform it in front of an audience. Giving learners an end goal (to perform in the show) motivated them to practice as they had something to work towards. Locke and Latham (1990) support goal setting in education as it creates student motivation and helps maintain self-regulation, goals help empower children and hold them accountable for learning.</w:t>
      </w:r>
    </w:p>
    <w:p w14:paraId="011F3252" w14:textId="77777777" w:rsidR="008D7555" w:rsidRPr="00D4192A" w:rsidRDefault="008D7555" w:rsidP="008D7555">
      <w:pPr>
        <w:spacing w:line="360" w:lineRule="auto"/>
        <w:rPr>
          <w:rFonts w:ascii="Arial" w:hAnsi="Arial" w:cs="Arial"/>
          <w:u w:val="single"/>
        </w:rPr>
      </w:pPr>
    </w:p>
    <w:p w14:paraId="24DA25D8" w14:textId="77777777" w:rsidR="008D7555" w:rsidRPr="00D4192A" w:rsidRDefault="008D7555" w:rsidP="008D7555">
      <w:pPr>
        <w:spacing w:line="360" w:lineRule="auto"/>
        <w:rPr>
          <w:rFonts w:ascii="Arial" w:hAnsi="Arial" w:cs="Arial"/>
          <w:u w:val="single"/>
        </w:rPr>
      </w:pPr>
      <w:r w:rsidRPr="00D4192A">
        <w:rPr>
          <w:rFonts w:ascii="Arial" w:hAnsi="Arial" w:cs="Arial"/>
          <w:u w:val="single"/>
        </w:rPr>
        <w:t>Languages, Literacy and Communication- Progression of the Welsh Language</w:t>
      </w:r>
    </w:p>
    <w:p w14:paraId="5FEA8FD5" w14:textId="77777777" w:rsidR="008D7555" w:rsidRPr="00D4192A" w:rsidRDefault="008D7555" w:rsidP="008D7555">
      <w:pPr>
        <w:spacing w:line="360" w:lineRule="auto"/>
        <w:rPr>
          <w:rFonts w:ascii="Arial" w:hAnsi="Arial" w:cs="Arial"/>
          <w:u w:val="single"/>
        </w:rPr>
      </w:pPr>
      <w:r w:rsidRPr="00D4192A">
        <w:rPr>
          <w:rFonts w:ascii="Arial" w:hAnsi="Arial" w:cs="Arial"/>
          <w:u w:val="single"/>
        </w:rPr>
        <w:t>Week 1</w:t>
      </w:r>
    </w:p>
    <w:p w14:paraId="449CC4D8" w14:textId="77777777" w:rsidR="008D7555" w:rsidRPr="00D4192A" w:rsidRDefault="008D7555" w:rsidP="008D7555">
      <w:pPr>
        <w:spacing w:line="360" w:lineRule="auto"/>
        <w:rPr>
          <w:rFonts w:ascii="Arial" w:hAnsi="Arial" w:cs="Arial"/>
        </w:rPr>
      </w:pPr>
      <w:r w:rsidRPr="00D4192A">
        <w:rPr>
          <w:rFonts w:ascii="Arial" w:hAnsi="Arial" w:cs="Arial"/>
        </w:rPr>
        <w:t>I demonstrated my knowledge of Welsh colours by introducing/refreshing the learners with the meaning and pronunciation of them including, coch, melyn, glas and gwyrdd.  I accompanied each slide with a voice note and a picture the colour so that the learners could match them up. Additionally, I discussed the colour in English. This was intentional so that learners could make the connection between the colour in Welsh and English which would deepen their understanding.</w:t>
      </w:r>
    </w:p>
    <w:p w14:paraId="4D386830" w14:textId="77777777" w:rsidR="008D7555" w:rsidRPr="00D4192A" w:rsidRDefault="008D7555" w:rsidP="008D7555">
      <w:pPr>
        <w:spacing w:line="360" w:lineRule="auto"/>
        <w:rPr>
          <w:rFonts w:ascii="Arial" w:hAnsi="Arial" w:cs="Arial"/>
        </w:rPr>
      </w:pPr>
      <w:r w:rsidRPr="00D4192A">
        <w:rPr>
          <w:rFonts w:ascii="Arial" w:hAnsi="Arial" w:cs="Arial"/>
        </w:rPr>
        <w:t>Following in from this I introduced the sentence 'Pa liw ydy hwn?'. This was a sentence that I had learnt in my University Welsh Lectures. I explained what it meant in English so that the learners understood what it meant in Welsh. Then, I created some practice slides where I asked the learners 'Pa liw ydy hwn?' and they had to try and answer the question using the word for the Welsh colour. Although, to differentiate the lesson I stated that if they were unable to pronounce the Welsh word for the colour they could answer in English. This would solidify that they understood what the question meant in Welsh even if they were unable to answer it in the same language.</w:t>
      </w:r>
    </w:p>
    <w:p w14:paraId="0801CB7D" w14:textId="77777777" w:rsidR="008D7555" w:rsidRPr="00D4192A" w:rsidRDefault="008D7555" w:rsidP="008D7555">
      <w:pPr>
        <w:spacing w:line="360" w:lineRule="auto"/>
        <w:rPr>
          <w:rFonts w:ascii="Arial" w:hAnsi="Arial" w:cs="Arial"/>
        </w:rPr>
      </w:pPr>
    </w:p>
    <w:p w14:paraId="47E829EA" w14:textId="77777777" w:rsidR="008D7555" w:rsidRPr="00D4192A" w:rsidRDefault="008D7555" w:rsidP="008D7555">
      <w:pPr>
        <w:spacing w:line="360" w:lineRule="auto"/>
        <w:rPr>
          <w:rFonts w:ascii="Arial" w:hAnsi="Arial" w:cs="Arial"/>
          <w:u w:val="single"/>
        </w:rPr>
      </w:pPr>
      <w:r w:rsidRPr="00D4192A">
        <w:rPr>
          <w:rFonts w:ascii="Arial" w:hAnsi="Arial" w:cs="Arial"/>
          <w:u w:val="single"/>
        </w:rPr>
        <w:t>Week 2</w:t>
      </w:r>
    </w:p>
    <w:p w14:paraId="309CD5FE" w14:textId="77777777" w:rsidR="008D7555" w:rsidRPr="00D4192A" w:rsidRDefault="008D7555" w:rsidP="008D7555">
      <w:pPr>
        <w:spacing w:line="360" w:lineRule="auto"/>
        <w:rPr>
          <w:rFonts w:ascii="Arial" w:hAnsi="Arial" w:cs="Arial"/>
        </w:rPr>
      </w:pPr>
      <w:r w:rsidRPr="00D4192A">
        <w:rPr>
          <w:rFonts w:ascii="Arial" w:hAnsi="Arial" w:cs="Arial"/>
        </w:rPr>
        <w:t xml:space="preserve">The second asynchronous lesson that I devised intended to progress the learners understanding of colours (lliwiau) in Welsh. To begin I re-capped the question we used in the previous lesson which was 'pa liw ydy hwn?'. Activating prior knowledge is important as it allows learners to make connections between what they know and what they are learning. Then I introduced a similar question which was 'Pa liw ydy rhain?'. I explained the slight </w:t>
      </w:r>
      <w:r w:rsidRPr="00D4192A">
        <w:rPr>
          <w:rFonts w:ascii="Arial" w:hAnsi="Arial" w:cs="Arial"/>
        </w:rPr>
        <w:lastRenderedPageBreak/>
        <w:t>difference of the question to the learners in English. Then, practiced asking it over the next few slides. I did this to expand their vocabulary and understanding of slight changes in sentences.</w:t>
      </w:r>
    </w:p>
    <w:p w14:paraId="0BCA3EE7" w14:textId="77777777" w:rsidR="008D7555" w:rsidRPr="00D4192A" w:rsidRDefault="008D7555" w:rsidP="008D7555">
      <w:pPr>
        <w:spacing w:line="360" w:lineRule="auto"/>
        <w:rPr>
          <w:rFonts w:ascii="Arial" w:hAnsi="Arial" w:cs="Arial"/>
        </w:rPr>
      </w:pPr>
      <w:r w:rsidRPr="00D4192A">
        <w:rPr>
          <w:rFonts w:ascii="Arial" w:hAnsi="Arial" w:cs="Arial"/>
        </w:rPr>
        <w:t>After that, I proceeded to ask a brand-new question. I chose to use the question ‘Beth ydy dy hoff liw?’ which means 'What is your favourite colour?'. I felt that this was appropriate considering that had practiced colours in the previous lesson and throughout their weekly challenges. This allowed learners to use what they had learnt to answer a different question.  Following this, I demonstrated how they would answer the question in Welsh: ‘Fy hoff liw ydy…’. Then, I got them to practice on the next few slides. When introducing a new word or sentence I would repeat it at least 3 times so that the learners would hear the correct pronunciation. I encouraged learners to practice repeating the words/phrases at home to a member of their household. Some parents uploaded videos to Dojo of their children practising their Welsh.</w:t>
      </w:r>
    </w:p>
    <w:p w14:paraId="68DBDE49" w14:textId="77777777" w:rsidR="008D7555" w:rsidRPr="00D4192A" w:rsidRDefault="008D7555" w:rsidP="008D7555">
      <w:pPr>
        <w:spacing w:line="360" w:lineRule="auto"/>
        <w:rPr>
          <w:rFonts w:ascii="Arial" w:hAnsi="Arial" w:cs="Arial"/>
        </w:rPr>
      </w:pPr>
      <w:r w:rsidRPr="00D4192A">
        <w:rPr>
          <w:rFonts w:ascii="Arial" w:hAnsi="Arial" w:cs="Arial"/>
        </w:rPr>
        <w:t>I planned for progression by gradually drip-feeding learners with new knowledge which was built on over a period of time. This allowed them to digest what they had learnt in order for them to expand on it. To ensure learners were engaged with the online lessons I used pictures, videos, and praise to captivate them. This was important as it enticed learners to participate through repetition and pronunciation. This contributed to enriching their vocabulary and practising their Welsh Language skills. I found it difficult to plan for learners who I had never met before as I only knew them from our live sessions. I understood that the class contained learners of all abilities including EAL and MAT learners. I had to ensure it was accessible for each individual learner in order for them to progress. If something is too difficult learners will be unable to achieve it and therefore give up. On the other hand, if a child is not being challenged enough, they might lose motivation to pay attention or put motivation into their work. I differentiated by suggesting that learners can answer in English if they were unable to remember the Welsh. This would still highlight that learners understood the meaning of the question asked in Welsh. I also including additional tasks for learners who wanted to practice their Welsh.</w:t>
      </w:r>
    </w:p>
    <w:p w14:paraId="55EB8377" w14:textId="77777777" w:rsidR="008D7555" w:rsidRPr="00D4192A" w:rsidRDefault="008D7555" w:rsidP="008D7555">
      <w:pPr>
        <w:spacing w:line="360" w:lineRule="auto"/>
        <w:rPr>
          <w:rFonts w:ascii="Arial" w:hAnsi="Arial" w:cs="Arial"/>
        </w:rPr>
      </w:pPr>
    </w:p>
    <w:p w14:paraId="471F4A1E" w14:textId="77777777" w:rsidR="008D7555" w:rsidRPr="00D4192A" w:rsidRDefault="008D7555" w:rsidP="008D7555">
      <w:pPr>
        <w:spacing w:line="360" w:lineRule="auto"/>
        <w:rPr>
          <w:rFonts w:ascii="Arial" w:hAnsi="Arial" w:cs="Arial"/>
          <w:b/>
          <w:bCs/>
          <w:sz w:val="28"/>
          <w:szCs w:val="28"/>
          <w:u w:val="single"/>
        </w:rPr>
      </w:pPr>
      <w:r w:rsidRPr="00D4192A">
        <w:rPr>
          <w:rFonts w:ascii="Arial" w:hAnsi="Arial" w:cs="Arial"/>
          <w:b/>
          <w:bCs/>
          <w:sz w:val="28"/>
          <w:szCs w:val="28"/>
          <w:u w:val="single"/>
        </w:rPr>
        <w:t>Reflection on Planning for the Four Purposes</w:t>
      </w:r>
    </w:p>
    <w:p w14:paraId="166B2B3B" w14:textId="77777777" w:rsidR="008D7555" w:rsidRPr="00D4192A" w:rsidRDefault="008D7555" w:rsidP="008D7555">
      <w:pPr>
        <w:spacing w:line="360" w:lineRule="auto"/>
        <w:rPr>
          <w:rFonts w:ascii="Arial" w:hAnsi="Arial" w:cs="Arial"/>
          <w:u w:val="single"/>
        </w:rPr>
      </w:pPr>
      <w:r w:rsidRPr="00D4192A">
        <w:rPr>
          <w:rFonts w:ascii="Arial" w:hAnsi="Arial" w:cs="Arial"/>
          <w:u w:val="single"/>
        </w:rPr>
        <w:t xml:space="preserve">A series of Health and Wellbeing Lessons- Healthy Confident Individuals </w:t>
      </w:r>
    </w:p>
    <w:p w14:paraId="2866311B" w14:textId="77777777" w:rsidR="008D7555" w:rsidRPr="00D4192A" w:rsidRDefault="008D7555" w:rsidP="008D7555">
      <w:pPr>
        <w:spacing w:line="360" w:lineRule="auto"/>
        <w:rPr>
          <w:rFonts w:ascii="Arial" w:hAnsi="Arial" w:cs="Arial"/>
        </w:rPr>
      </w:pPr>
      <w:r w:rsidRPr="00D4192A">
        <w:rPr>
          <w:rFonts w:ascii="Arial" w:hAnsi="Arial" w:cs="Arial"/>
        </w:rPr>
        <w:t xml:space="preserve">Throughout this placement I have planned and taught a series of health and wellbeing lessons both online and in the classroom. From research I discovered it was ‘Children’s Mental Health Week’. The theme of this year’s Mental Health Week was ‘Express Yourself’. </w:t>
      </w:r>
      <w:r w:rsidRPr="00D4192A">
        <w:rPr>
          <w:rFonts w:ascii="Arial" w:hAnsi="Arial" w:cs="Arial"/>
        </w:rPr>
        <w:lastRenderedPageBreak/>
        <w:t>So, I came up with the idea to base a lesson on this premise. Pastoral care has been one of my strengths throughout my teaching experiences therefore, health and well-being and awareness in this subject is something I am keen to promote. I used the relevance of this week to devise a lesson plan where the children could learn that it is normal to feel worried and scared sometimes and that there are lots of things that they can do to make them feel better when these emotions arise. For the hook to captivate the learners, I read the story of the ‘Worrysaurus’. This story expressed feelings of stress and worry comparing it to ‘butterflies in the tummy’. The task I set the learners to complete asynchronously was to think about all of the things that they do to make themselves feel better if they feel upset or worried. This allowed them to begin to self-regulate their emotions which links to the purpose healthy, confident individuals as they were demonstrating their ability to build their mental and emotional well-being by developing confidence, resilience and empathy which contributes to their capacity to live fulfilling lives as valued members of society.</w:t>
      </w:r>
    </w:p>
    <w:p w14:paraId="737694E6" w14:textId="02349A69" w:rsidR="008D7555" w:rsidRPr="00D4192A" w:rsidRDefault="008D7555" w:rsidP="008D7555">
      <w:pPr>
        <w:spacing w:line="360" w:lineRule="auto"/>
        <w:rPr>
          <w:rFonts w:ascii="Arial" w:hAnsi="Arial" w:cs="Arial"/>
        </w:rPr>
      </w:pPr>
      <w:r w:rsidRPr="00D4192A">
        <w:rPr>
          <w:rFonts w:ascii="Arial" w:hAnsi="Arial" w:cs="Arial"/>
        </w:rPr>
        <w:t xml:space="preserve">It is vital that children are exposed to real life contexts and experiences throughout their duration in primary school to prepare them for the future.  The Welsh Government (2020) state </w:t>
      </w:r>
      <w:r w:rsidR="00A80B15">
        <w:rPr>
          <w:rFonts w:ascii="Arial" w:hAnsi="Arial" w:cs="Arial"/>
        </w:rPr>
        <w:t>“</w:t>
      </w:r>
      <w:r w:rsidRPr="00D4192A">
        <w:rPr>
          <w:rFonts w:ascii="Arial" w:hAnsi="Arial" w:cs="Arial"/>
        </w:rPr>
        <w:t>Nothing is so essential as universal access to, and acquisition of, the experiences, knowledge and skills and that our young people need for employment, lifelong learning and active citizenship</w:t>
      </w:r>
      <w:r w:rsidR="00A80B15">
        <w:rPr>
          <w:rFonts w:ascii="Arial" w:hAnsi="Arial" w:cs="Arial"/>
        </w:rPr>
        <w:t>”</w:t>
      </w:r>
      <w:r w:rsidRPr="00D4192A">
        <w:rPr>
          <w:rFonts w:ascii="Arial" w:hAnsi="Arial" w:cs="Arial"/>
        </w:rPr>
        <w:t>. This activity was designed to encourage learners to manage negative emotions which will contribute to their lifelong learning. Maslow (1943) believed in the hierarchy of needs where each person has to progress through each stage to reach self-actualisation. This activity supports the needs of ' safety, love/belonging and self-esteem'. If children are aware of where and who they can turn to if they feel worried, scared, or sad it attributes to their progress in order to reach 'self-actualisation'.</w:t>
      </w:r>
    </w:p>
    <w:p w14:paraId="273B2F52" w14:textId="77777777" w:rsidR="008D7555" w:rsidRPr="00D4192A" w:rsidRDefault="008D7555" w:rsidP="008D7555">
      <w:pPr>
        <w:tabs>
          <w:tab w:val="left" w:pos="8100"/>
        </w:tabs>
        <w:spacing w:line="360" w:lineRule="auto"/>
        <w:rPr>
          <w:rFonts w:ascii="Arial" w:hAnsi="Arial" w:cs="Arial"/>
        </w:rPr>
      </w:pPr>
      <w:r w:rsidRPr="00D4192A">
        <w:rPr>
          <w:rFonts w:ascii="Arial" w:hAnsi="Arial" w:cs="Arial"/>
        </w:rPr>
        <w:t>As a sequel to the ‘Worrysaurus’ lesson I planned another asynchronous lesson where learners had to create their very own worry monster. To make it accessible for all of the learners I explained that they could use whatever they had at home to create their ‘monster’. Learners had to draw pictures of things that made them worried. As the pupils were due to transition back into school following an extended period of time at home due to the COVID-19 Pandemic I felt that this lesson was appropriate to identify any concerns learners might have. I modelled a video within the asynchronous lesson which highlighted common worries that children might have e.g., leaving their parents, making friends, and spreading germs. The intention of this was so that they could see that everyone has fears, and it is normal to feel worried sometimes. It was important that they understood that they were not the only ones feeling this way. This allowed them to ‘face and overcome challenges’ (Welsh Government,2020) in preparation for their return to school.</w:t>
      </w:r>
    </w:p>
    <w:p w14:paraId="249328B2" w14:textId="77777777" w:rsidR="008D7555" w:rsidRPr="00D4192A" w:rsidRDefault="008D7555" w:rsidP="008D7555">
      <w:pPr>
        <w:spacing w:line="360" w:lineRule="auto"/>
        <w:rPr>
          <w:rFonts w:ascii="Arial" w:hAnsi="Arial" w:cs="Arial"/>
          <w:u w:val="single"/>
        </w:rPr>
      </w:pPr>
    </w:p>
    <w:p w14:paraId="3C8CE837" w14:textId="77777777" w:rsidR="008D7555" w:rsidRPr="00D4192A" w:rsidRDefault="008D7555" w:rsidP="008D7555">
      <w:pPr>
        <w:spacing w:line="360" w:lineRule="auto"/>
        <w:rPr>
          <w:rFonts w:ascii="Arial" w:hAnsi="Arial" w:cs="Arial"/>
          <w:u w:val="single"/>
        </w:rPr>
      </w:pPr>
      <w:r w:rsidRPr="00D4192A">
        <w:rPr>
          <w:rFonts w:ascii="Arial" w:hAnsi="Arial" w:cs="Arial"/>
          <w:u w:val="single"/>
        </w:rPr>
        <w:t xml:space="preserve">St David’s Day Tuff Tray- Ethical, Informed Citizens of Wales </w:t>
      </w:r>
    </w:p>
    <w:p w14:paraId="04B55EA0" w14:textId="77777777" w:rsidR="008D7555" w:rsidRPr="00D4192A" w:rsidRDefault="008D7555" w:rsidP="008D7555">
      <w:pPr>
        <w:spacing w:line="360" w:lineRule="auto"/>
        <w:rPr>
          <w:rFonts w:ascii="Arial" w:hAnsi="Arial" w:cs="Arial"/>
        </w:rPr>
      </w:pPr>
      <w:r w:rsidRPr="00D4192A">
        <w:rPr>
          <w:rFonts w:ascii="Arial" w:hAnsi="Arial" w:cs="Arial"/>
        </w:rPr>
        <w:t>I ensured that I planned an experience that would encompass elements of the 'four purposes' specifically, 'ethical, informed citizens of Wales and the world'. The 'small world' (tuff tray) included iconic Welsh items such as, a castle, dragons, sheep, and welsh puppets. There was also a word mat provided to help children with their understanding of each object. This area was relevant as it was St David’s day week in school. As well as linking it to the four purposes I wanted to create a sensory experience. I did this by using shredded paper for the grass, blue rice for the sea and sand for the path. I had fun making it and the children enjoyed using it!</w:t>
      </w:r>
    </w:p>
    <w:p w14:paraId="3CFBCF08" w14:textId="77777777" w:rsidR="008D7555" w:rsidRPr="00D4192A" w:rsidRDefault="008D7555" w:rsidP="008D7555">
      <w:pPr>
        <w:spacing w:line="360" w:lineRule="auto"/>
        <w:rPr>
          <w:rFonts w:ascii="Arial" w:hAnsi="Arial" w:cs="Arial"/>
        </w:rPr>
      </w:pPr>
      <w:r w:rsidRPr="00D4192A">
        <w:rPr>
          <w:rFonts w:ascii="Arial" w:hAnsi="Arial" w:cs="Arial"/>
        </w:rPr>
        <w:t>I have discovered the importance of relevant planning in continuous provision. Although the 'small world' was something the children could use to play with it gave them an educational experience too. I sat with some of the children whilst they used this area and asked questions to activate their prior knowledge e.g. ‘Why do you think I have put a dragon in this area?’.  Learners were able to make the connection between the items and the Welsh culture, which indicated they were aware of the Welsh heritage. Bryce-</w:t>
      </w:r>
      <w:r w:rsidRPr="00D4192A">
        <w:rPr>
          <w:rFonts w:ascii="Arial" w:hAnsi="Arial" w:cs="Arial"/>
          <w:color w:val="000000" w:themeColor="text1"/>
        </w:rPr>
        <w:t xml:space="preserve">Clegg (2015) </w:t>
      </w:r>
      <w:r w:rsidRPr="00D4192A">
        <w:rPr>
          <w:rFonts w:ascii="Arial" w:hAnsi="Arial" w:cs="Arial"/>
        </w:rPr>
        <w:t xml:space="preserve">encourages adult-led provision which occurs when adults initiate an activity or play experience to identify a teaching opportunity for the children. He believes it is a 'powerful opportunity' for teaching during continuous provision when children are highly engaged and motivated by their play experience. This was beneficial as they could learn off one another as well as from myself. </w:t>
      </w:r>
    </w:p>
    <w:p w14:paraId="23423482" w14:textId="4E8395DD" w:rsidR="008D7555" w:rsidRDefault="008D7555" w:rsidP="008D7555">
      <w:pPr>
        <w:spacing w:line="360" w:lineRule="auto"/>
        <w:rPr>
          <w:rFonts w:ascii="Arial" w:hAnsi="Arial" w:cs="Arial"/>
        </w:rPr>
      </w:pPr>
      <w:r w:rsidRPr="00D4192A">
        <w:rPr>
          <w:rFonts w:ascii="Arial" w:hAnsi="Arial" w:cs="Arial"/>
        </w:rPr>
        <w:t xml:space="preserve">Creating a 'small world' that was linked to St David's day developed the learners towards the indented four purposes underpinned by the Welsh Government.  Through exploration of the Welsh culture, they were able to demonstrate that they were progressing towards the end goal of becoming </w:t>
      </w:r>
      <w:r w:rsidR="00BF1E74">
        <w:rPr>
          <w:rFonts w:ascii="Arial" w:hAnsi="Arial" w:cs="Arial"/>
        </w:rPr>
        <w:t>“</w:t>
      </w:r>
      <w:r w:rsidRPr="00D4192A">
        <w:rPr>
          <w:rFonts w:ascii="Arial" w:hAnsi="Arial" w:cs="Arial"/>
        </w:rPr>
        <w:t>ethical, informed citizens who are knowledgeable about their culture, community, society, and the world, now and in the past and are ready to be citizens of Wales and the world</w:t>
      </w:r>
      <w:r w:rsidR="00BF1E74">
        <w:rPr>
          <w:rFonts w:ascii="Arial" w:hAnsi="Arial" w:cs="Arial"/>
        </w:rPr>
        <w:t xml:space="preserve">” </w:t>
      </w:r>
      <w:r w:rsidRPr="00D4192A">
        <w:rPr>
          <w:rFonts w:ascii="Arial" w:hAnsi="Arial" w:cs="Arial"/>
        </w:rPr>
        <w:t xml:space="preserve">(Welsh Government, 2020). </w:t>
      </w:r>
    </w:p>
    <w:p w14:paraId="78642384" w14:textId="5037A9D0" w:rsidR="00BA4AF8" w:rsidRPr="00D4192A" w:rsidRDefault="00BA4AF8" w:rsidP="008D7555">
      <w:pPr>
        <w:spacing w:line="360" w:lineRule="auto"/>
        <w:rPr>
          <w:rFonts w:ascii="Arial" w:hAnsi="Arial" w:cs="Arial"/>
        </w:rPr>
      </w:pPr>
      <w:r>
        <w:rPr>
          <w:rFonts w:ascii="Arial" w:hAnsi="Arial" w:cs="Arial"/>
        </w:rPr>
        <w:t xml:space="preserve">Word </w:t>
      </w:r>
      <w:r w:rsidR="00A81E99">
        <w:rPr>
          <w:rFonts w:ascii="Arial" w:hAnsi="Arial" w:cs="Arial"/>
        </w:rPr>
        <w:t>c</w:t>
      </w:r>
      <w:r>
        <w:rPr>
          <w:rFonts w:ascii="Arial" w:hAnsi="Arial" w:cs="Arial"/>
        </w:rPr>
        <w:t>ount: 2901</w:t>
      </w:r>
    </w:p>
    <w:p w14:paraId="3DE52775" w14:textId="77777777" w:rsidR="008D7555" w:rsidRPr="00285BB2" w:rsidRDefault="008D7555" w:rsidP="008D7555">
      <w:pPr>
        <w:spacing w:line="360" w:lineRule="auto"/>
      </w:pPr>
    </w:p>
    <w:p w14:paraId="60626C03" w14:textId="53B48F85" w:rsidR="008D7555" w:rsidRPr="008D7555" w:rsidRDefault="008D7555" w:rsidP="008D7555">
      <w:pPr>
        <w:pStyle w:val="AssignBody"/>
        <w:rPr>
          <w:rFonts w:cs="Arial"/>
          <w:b/>
          <w:bCs/>
          <w:color w:val="000000" w:themeColor="text1"/>
          <w:sz w:val="28"/>
          <w:szCs w:val="28"/>
          <w:u w:val="single"/>
        </w:rPr>
      </w:pPr>
      <w:r w:rsidRPr="008D7555">
        <w:rPr>
          <w:rFonts w:cs="Arial"/>
          <w:b/>
          <w:bCs/>
          <w:color w:val="000000" w:themeColor="text1"/>
          <w:sz w:val="28"/>
          <w:szCs w:val="28"/>
          <w:u w:val="single"/>
        </w:rPr>
        <w:t>Part Two</w:t>
      </w:r>
    </w:p>
    <w:p w14:paraId="1C8DB78B" w14:textId="77777777" w:rsidR="008D7555" w:rsidRPr="008D7555" w:rsidRDefault="008D7555" w:rsidP="008D7555">
      <w:pPr>
        <w:spacing w:line="360" w:lineRule="auto"/>
        <w:rPr>
          <w:rFonts w:ascii="Arial" w:hAnsi="Arial" w:cs="Arial"/>
        </w:rPr>
      </w:pPr>
      <w:r w:rsidRPr="008D7555">
        <w:rPr>
          <w:rFonts w:ascii="Arial" w:hAnsi="Arial" w:cs="Arial"/>
        </w:rPr>
        <w:t xml:space="preserve">I have chosen to discuss the ‘Health and Wellbeing’ Area of Learning and Experience (AoLE). I actively narrowed down the focus within this AoLE so that I could create an in-depth discussion on how pupil progression can be enforced through supportive classroom </w:t>
      </w:r>
      <w:r w:rsidRPr="008D7555">
        <w:rPr>
          <w:rFonts w:ascii="Arial" w:hAnsi="Arial" w:cs="Arial"/>
        </w:rPr>
        <w:lastRenderedPageBreak/>
        <w:t xml:space="preserve">environments. “Creating supportive environments and promoting interactions and relationships with all students that are based on mutual respect, care, empathy, and warmth is a key element of being a ‘great teacher” </w:t>
      </w:r>
      <w:r w:rsidRPr="008D7555">
        <w:rPr>
          <w:rFonts w:ascii="Arial" w:hAnsi="Arial" w:cs="Arial"/>
          <w:color w:val="000000" w:themeColor="text1"/>
        </w:rPr>
        <w:t xml:space="preserve">(Coe et al., 2020, p. 6). </w:t>
      </w:r>
      <w:r w:rsidRPr="008D7555">
        <w:rPr>
          <w:rFonts w:ascii="Arial" w:hAnsi="Arial" w:cs="Arial"/>
        </w:rPr>
        <w:t>One of the Welsh Government (2010) strategies explains that it is the practitioner’s commitment to ensuring the school setting is a healthy and happy environment where learners are supported by a holistic approach to health and well-being (Donaldson, 2015, p. 27). Throughout this piece of academic writing, I will explore how effective classroom environments implemented by the class teacher can benefit pupil development.</w:t>
      </w:r>
    </w:p>
    <w:p w14:paraId="03C71BED" w14:textId="77777777" w:rsidR="008D7555" w:rsidRPr="008D7555" w:rsidRDefault="008D7555" w:rsidP="008D7555">
      <w:pPr>
        <w:spacing w:line="360" w:lineRule="auto"/>
        <w:rPr>
          <w:rFonts w:ascii="Arial" w:hAnsi="Arial" w:cs="Arial"/>
        </w:rPr>
      </w:pPr>
      <w:r w:rsidRPr="008D7555">
        <w:rPr>
          <w:rFonts w:ascii="Arial" w:hAnsi="Arial" w:cs="Arial"/>
        </w:rPr>
        <w:t>All humans have primary need to feel safe and connected in order to learn and progress (Anderson and Bowen, 2020, p. 33). It is a practitioner’s responsibility to ensure that all of the basic needs of each individual student have been met. “Without adequate sleep, food, affection, or medical treatment the chance of having psychological difficulties increases” (Anderson and Bowen,2020, p. 72).  Maslow’s (1962) ‘hierarchy of needs’ supports this</w:t>
      </w:r>
      <w:r w:rsidRPr="008D7555">
        <w:rPr>
          <w:rFonts w:ascii="Arial" w:hAnsi="Arial" w:cs="Arial"/>
          <w:color w:val="00B0F0"/>
        </w:rPr>
        <w:t xml:space="preserve"> </w:t>
      </w:r>
      <w:r w:rsidRPr="008D7555">
        <w:rPr>
          <w:rFonts w:ascii="Arial" w:hAnsi="Arial" w:cs="Arial"/>
          <w:color w:val="000000" w:themeColor="text1"/>
        </w:rPr>
        <w:t xml:space="preserve">concept </w:t>
      </w:r>
      <w:r w:rsidRPr="008D7555">
        <w:rPr>
          <w:rFonts w:ascii="Arial" w:hAnsi="Arial" w:cs="Arial"/>
        </w:rPr>
        <w:t xml:space="preserve">as his theory suggests that humans require the basic necessities in order to progress throughout life and ultimately reach self-actualisation. Creating a supportive classroom environment encompasses the “physiological, safety and love and belongingness needs” which Maslow (1962) insisted are imperative to aid pupil progression. One way in which practitioners can </w:t>
      </w:r>
      <w:r w:rsidRPr="008D7555">
        <w:rPr>
          <w:rFonts w:ascii="Arial" w:hAnsi="Arial" w:cs="Arial"/>
          <w:color w:val="000000" w:themeColor="text1"/>
        </w:rPr>
        <w:t xml:space="preserve">nurture the wellbeing of their learners is through creating a designated safe space within the classroom. The safe space should be comfortable and out of sight lines of peers. For younger learners, a soft area with bean bags is suitable. Alternatively, for older learners a chair or desk at the back of the room might work better. This can support learners who get into fight, flight, or freeze states to escape as an alternative to running out of the classroom (Anderson and Bowen, 2020, p. 83). Furthermore, Meek, Phillips, and Jordan (2020) </w:t>
      </w:r>
      <w:r w:rsidRPr="008D7555">
        <w:rPr>
          <w:rFonts w:ascii="Arial" w:hAnsi="Arial" w:cs="Arial"/>
        </w:rPr>
        <w:t xml:space="preserve">support utilising classroom space to create a connected environment. They suggest that having a book corner can be a purposeful hub for learners to relax in a cosy and welcoming space (p. 77). The purpose of a safe space is to provide learners with an area where they feel comfortable enough to express their views, explore their knowledge and take risks (Holley and Steiner, 2005). Contrastingly, Boostrom (1997) raised the concern that 'safe classrooms' might result in a non-academic environment that stifles student learning (p18). Children might become distracted within the ‘safe space’ which will have a negative impact on their development.  However, allowing learners to access this safe space and use it correctly contributes to their fulfilment of becoming “healthy confident individuals who take measured decisions about lifestyle and manage risk and are ready to lead fulfilling lives as valued members of society” (Welsh Government, 2020).  This coincides with the experience discussed in part 1. </w:t>
      </w:r>
    </w:p>
    <w:p w14:paraId="08871111" w14:textId="77777777" w:rsidR="008D7555" w:rsidRPr="008D7555" w:rsidRDefault="008D7555" w:rsidP="008D7555">
      <w:pPr>
        <w:spacing w:line="360" w:lineRule="auto"/>
        <w:rPr>
          <w:rFonts w:ascii="Arial" w:hAnsi="Arial" w:cs="Arial"/>
        </w:rPr>
      </w:pPr>
      <w:r w:rsidRPr="008D7555">
        <w:rPr>
          <w:rFonts w:ascii="Arial" w:hAnsi="Arial" w:cs="Arial"/>
        </w:rPr>
        <w:lastRenderedPageBreak/>
        <w:t>On the other hand, Herzberg (1959) constructed a paradigm of factors affecting individuals’ attitude to work. His findings propose that factors such as hygiene and working conditions can create dissatisfaction within the workplace. Taking this theory into a classroom context suggests that environmental factors can have an impact on attitudes to learning.  Similarly, Anderson and Bowen (2020, p. 33) insist that intentional classroom setup, proactive classroom practices and relevant reactive methods are integral for creating a safe and dependable environment. To plan for progression that is accessible for all learners within the classroom, it needs to be an inclusive space. After the handover from the previous practitioner, it is wise that teachers consider how they can adapt the classroom to meet the needs of all of their learners, particularly whom have additional learning needs (</w:t>
      </w:r>
      <w:r w:rsidRPr="008D7555">
        <w:rPr>
          <w:rFonts w:ascii="Arial" w:hAnsi="Arial" w:cs="Arial"/>
          <w:color w:val="000000" w:themeColor="text1"/>
        </w:rPr>
        <w:t>Meek, Phillips, and Jordan, 2020</w:t>
      </w:r>
      <w:r w:rsidRPr="008D7555">
        <w:rPr>
          <w:rFonts w:ascii="Arial" w:hAnsi="Arial" w:cs="Arial"/>
        </w:rPr>
        <w:t xml:space="preserve">, p. 78). It </w:t>
      </w:r>
      <w:r w:rsidRPr="008D7555">
        <w:rPr>
          <w:rFonts w:ascii="Arial" w:hAnsi="Arial" w:cs="Arial"/>
          <w:color w:val="000000" w:themeColor="text1"/>
        </w:rPr>
        <w:t xml:space="preserve">could </w:t>
      </w:r>
      <w:r w:rsidRPr="008D7555">
        <w:rPr>
          <w:rFonts w:ascii="Arial" w:hAnsi="Arial" w:cs="Arial"/>
        </w:rPr>
        <w:t xml:space="preserve">be argued that creating a safe space can be difficult, particularly in a multicultural classroom. "There are cultural differences in appropriateness of speaking up in a group, sharing personal information and... public versus private demonstration of learning”. (Diaz,1986 cited in Holley and Steiner, 2005 p. 52). </w:t>
      </w:r>
      <w:r w:rsidRPr="008D7555">
        <w:rPr>
          <w:rFonts w:ascii="Arial" w:hAnsi="Arial" w:cs="Arial"/>
          <w:color w:val="000000" w:themeColor="text1"/>
        </w:rPr>
        <w:t xml:space="preserve">Hoover and Patton (2004, pp. 74-78) </w:t>
      </w:r>
      <w:r w:rsidRPr="008D7555">
        <w:rPr>
          <w:rFonts w:ascii="Arial" w:hAnsi="Arial" w:cs="Arial"/>
        </w:rPr>
        <w:t>state that teachers must consider learners who have diverse needs whilst being creative to plan impactful learning experiences. Unfortunately, teachers might not have the time or expertise to adapt for the needs of all learners (</w:t>
      </w:r>
      <w:proofErr w:type="spellStart"/>
      <w:r w:rsidRPr="008D7555">
        <w:rPr>
          <w:rFonts w:ascii="Arial" w:hAnsi="Arial" w:cs="Arial"/>
        </w:rPr>
        <w:t>Pisha</w:t>
      </w:r>
      <w:proofErr w:type="spellEnd"/>
      <w:r w:rsidRPr="008D7555">
        <w:rPr>
          <w:rFonts w:ascii="Arial" w:hAnsi="Arial" w:cs="Arial"/>
        </w:rPr>
        <w:t xml:space="preserve"> and Stahl, 2005. P.67). However,</w:t>
      </w:r>
      <w:r w:rsidRPr="008D7555">
        <w:rPr>
          <w:rFonts w:ascii="Arial" w:hAnsi="Arial" w:cs="Arial"/>
          <w:color w:val="FF0000"/>
        </w:rPr>
        <w:t xml:space="preserve"> </w:t>
      </w:r>
      <w:r w:rsidRPr="008D7555">
        <w:rPr>
          <w:rFonts w:ascii="Arial" w:hAnsi="Arial" w:cs="Arial"/>
          <w:color w:val="000000" w:themeColor="text1"/>
        </w:rPr>
        <w:t>an excellent teacher is one that shows respect towards individual need and cultural beliefs (</w:t>
      </w:r>
      <w:bookmarkStart w:id="1" w:name="_Hlk70673197"/>
      <w:r w:rsidRPr="008D7555">
        <w:rPr>
          <w:rFonts w:ascii="Arial" w:hAnsi="Arial" w:cs="Arial"/>
          <w:color w:val="000000" w:themeColor="text1"/>
        </w:rPr>
        <w:t>Coe et.al, 2020, p. 23</w:t>
      </w:r>
      <w:bookmarkEnd w:id="1"/>
      <w:r w:rsidRPr="008D7555">
        <w:rPr>
          <w:rFonts w:ascii="Arial" w:hAnsi="Arial" w:cs="Arial"/>
          <w:color w:val="000000" w:themeColor="text1"/>
        </w:rPr>
        <w:t>). To upskill practitioners on their ability to foster inclusive environments appropriate training is essential. This was demonstrated in a community school in Wales where all of the staff received training in sign language to support a deaf pupil in the nursery. This meant that all of the staff in the school could communicate with this pupil at basic conversational level to meet their basic needs (Estyn, 2019, p. 34). Furthermore, Booth, Ainscow and Kingston (2006) suggest ways in which practitioners can develop an inclusive learning environment, in the index for inclusion. This includes differentiation on different levels, setting clear instructions, the ability to challenge students, using multisensory aids and allowing learners to learn from one another in a collaborative approach.</w:t>
      </w:r>
    </w:p>
    <w:p w14:paraId="40A674F8" w14:textId="77777777" w:rsidR="008D7555" w:rsidRPr="008D7555" w:rsidRDefault="008D7555" w:rsidP="008D7555">
      <w:pPr>
        <w:spacing w:line="360" w:lineRule="auto"/>
        <w:rPr>
          <w:rFonts w:ascii="Arial" w:hAnsi="Arial" w:cs="Arial"/>
        </w:rPr>
      </w:pPr>
      <w:r w:rsidRPr="008D7555">
        <w:rPr>
          <w:rFonts w:ascii="Arial" w:hAnsi="Arial" w:cs="Arial"/>
          <w:color w:val="000000" w:themeColor="text1"/>
        </w:rPr>
        <w:t>Anderson and Bowen (2020) propose that individual greetings are imperative when sustaining a safe and secure learning environment. This could be simply by saying ‘hello’ in the morning. Some teachers have developed secret handshakes with their learners or systems where a child can decide how they want to be greeted e.g., high five or a hug (p. 107).</w:t>
      </w:r>
      <w:r w:rsidRPr="008D7555">
        <w:rPr>
          <w:rFonts w:ascii="Arial" w:hAnsi="Arial" w:cs="Arial"/>
        </w:rPr>
        <w:t xml:space="preserve"> Research taken by </w:t>
      </w:r>
      <w:proofErr w:type="spellStart"/>
      <w:r w:rsidRPr="008D7555">
        <w:rPr>
          <w:rFonts w:ascii="Arial" w:hAnsi="Arial" w:cs="Arial"/>
        </w:rPr>
        <w:t>Allday</w:t>
      </w:r>
      <w:proofErr w:type="spellEnd"/>
      <w:r w:rsidRPr="008D7555">
        <w:rPr>
          <w:rFonts w:ascii="Arial" w:hAnsi="Arial" w:cs="Arial"/>
        </w:rPr>
        <w:t xml:space="preserve"> and </w:t>
      </w:r>
      <w:proofErr w:type="spellStart"/>
      <w:r w:rsidRPr="008D7555">
        <w:rPr>
          <w:rFonts w:ascii="Arial" w:hAnsi="Arial" w:cs="Arial"/>
        </w:rPr>
        <w:t>Pakurar</w:t>
      </w:r>
      <w:proofErr w:type="spellEnd"/>
      <w:r w:rsidRPr="008D7555">
        <w:rPr>
          <w:rFonts w:ascii="Arial" w:hAnsi="Arial" w:cs="Arial"/>
        </w:rPr>
        <w:t xml:space="preserve"> (2007) concluded that teacher greetings were associated with an increase in on-task behaviour for all participants. This is further supported by evidence taken from a Primary School in Washington where there is an emphasis on the use of morning greetings. The Class teacher explained that this method is impactful as it </w:t>
      </w:r>
      <w:r w:rsidRPr="008D7555">
        <w:rPr>
          <w:rFonts w:ascii="Arial" w:hAnsi="Arial" w:cs="Arial"/>
        </w:rPr>
        <w:lastRenderedPageBreak/>
        <w:t>creates</w:t>
      </w:r>
      <w:r w:rsidRPr="008D7555">
        <w:rPr>
          <w:rFonts w:ascii="Arial" w:hAnsi="Arial" w:cs="Arial"/>
          <w:color w:val="00B0F0"/>
        </w:rPr>
        <w:t xml:space="preserve"> </w:t>
      </w:r>
      <w:r w:rsidRPr="008D7555">
        <w:rPr>
          <w:rFonts w:ascii="Arial" w:hAnsi="Arial" w:cs="Arial"/>
          <w:color w:val="000000" w:themeColor="text1"/>
        </w:rPr>
        <w:t>deeper</w:t>
      </w:r>
      <w:r w:rsidRPr="008D7555">
        <w:rPr>
          <w:rFonts w:ascii="Arial" w:hAnsi="Arial" w:cs="Arial"/>
          <w:color w:val="00B0F0"/>
        </w:rPr>
        <w:t xml:space="preserve"> </w:t>
      </w:r>
      <w:r w:rsidRPr="008D7555">
        <w:rPr>
          <w:rFonts w:ascii="Arial" w:hAnsi="Arial" w:cs="Arial"/>
        </w:rPr>
        <w:t>relationships between the practitioner and the learners. It is a ‘pulse check’, it allows practitioners to check in with their learners to identify any triggers or concerns that they might have (Turner, 2019). When learners walk through the door and are met and acknowledged by the teacher, they feel valued, empowered, and cared for. The driver for learning is social connection. By activating their social connection skills first, cognitive ability is stimulated as result (Cantor, 2019). Ms Keates,</w:t>
      </w:r>
      <w:r w:rsidRPr="008D7555">
        <w:rPr>
          <w:rFonts w:ascii="Arial" w:hAnsi="Arial" w:cs="Arial"/>
          <w:color w:val="222222"/>
          <w:spacing w:val="3"/>
          <w:shd w:val="clear" w:color="auto" w:fill="FFFFFF"/>
        </w:rPr>
        <w:t xml:space="preserve"> </w:t>
      </w:r>
      <w:r w:rsidRPr="008D7555">
        <w:rPr>
          <w:rFonts w:ascii="Arial" w:hAnsi="Arial" w:cs="Arial"/>
          <w:spacing w:val="3"/>
          <w:shd w:val="clear" w:color="auto" w:fill="FFFFFF"/>
        </w:rPr>
        <w:t>teaching union general secretary</w:t>
      </w:r>
      <w:r w:rsidRPr="008D7555">
        <w:rPr>
          <w:rFonts w:ascii="Arial" w:hAnsi="Arial" w:cs="Arial"/>
        </w:rPr>
        <w:t xml:space="preserve"> (n.d, cited in Hepburn, 2019) challenges the effectiveness of this communication method. She expresses that some children might not want physical contact </w:t>
      </w:r>
      <w:r w:rsidRPr="008D7555">
        <w:rPr>
          <w:rFonts w:ascii="Arial" w:hAnsi="Arial" w:cs="Arial"/>
          <w:color w:val="000000" w:themeColor="text1"/>
        </w:rPr>
        <w:t xml:space="preserve">and thus </w:t>
      </w:r>
      <w:r w:rsidRPr="008D7555">
        <w:rPr>
          <w:rFonts w:ascii="Arial" w:hAnsi="Arial" w:cs="Arial"/>
        </w:rPr>
        <w:t>safeguarding issues may arise. Furthermore, it is time consuming</w:t>
      </w:r>
      <w:r w:rsidRPr="008D7555">
        <w:rPr>
          <w:rFonts w:ascii="Arial" w:hAnsi="Arial" w:cs="Arial"/>
          <w:color w:val="00B0F0"/>
        </w:rPr>
        <w:t xml:space="preserve">.  </w:t>
      </w:r>
      <w:r w:rsidRPr="008D7555">
        <w:rPr>
          <w:rFonts w:ascii="Arial" w:hAnsi="Arial" w:cs="Arial"/>
          <w:color w:val="000000" w:themeColor="text1"/>
        </w:rPr>
        <w:t xml:space="preserve">A teacher from school X reported that they had to cut their break time in order to accommodate the greeting session (Hepburn, 2019). </w:t>
      </w:r>
      <w:r w:rsidRPr="008D7555">
        <w:rPr>
          <w:rFonts w:ascii="Arial" w:hAnsi="Arial" w:cs="Arial"/>
        </w:rPr>
        <w:t>Although, during a study where researchers conducted an experimental investigation of the Positive Greetings at the Door (PGD), “results revealed that the PGD strategy produced significant improvements in academic engaged time and reductions in disruptive behaviour” (Cook, et al., 2018). It could be argued although it is time consuming, it has significant benefits on pupil development and readiness to learn (Anderson and Bowen, 2020).</w:t>
      </w:r>
    </w:p>
    <w:p w14:paraId="4CE225FC" w14:textId="77777777" w:rsidR="008D7555" w:rsidRPr="008D7555" w:rsidRDefault="008D7555" w:rsidP="008D7555">
      <w:pPr>
        <w:spacing w:line="360" w:lineRule="auto"/>
        <w:rPr>
          <w:rFonts w:ascii="Arial" w:hAnsi="Arial" w:cs="Arial"/>
        </w:rPr>
      </w:pPr>
      <w:r w:rsidRPr="008D7555">
        <w:rPr>
          <w:rFonts w:ascii="Arial" w:hAnsi="Arial" w:cs="Arial"/>
        </w:rPr>
        <w:t>Professor Cozolino (2013) believed that when we tap into our pupils’ primitive social instincts powerful wellbeing and motivation transpires. A tribal classroom is one that exemplifies qualities such as leadership, cooperation, equality, trust, and strong personal relationships.  (Bethune, 2018, p. 11</w:t>
      </w:r>
      <w:r w:rsidRPr="008D7555">
        <w:rPr>
          <w:rFonts w:ascii="Arial" w:hAnsi="Arial" w:cs="Arial"/>
          <w:color w:val="000000" w:themeColor="text1"/>
        </w:rPr>
        <w:t>). Moreover</w:t>
      </w:r>
      <w:r w:rsidRPr="008D7555">
        <w:rPr>
          <w:rFonts w:ascii="Arial" w:hAnsi="Arial" w:cs="Arial"/>
        </w:rPr>
        <w:t xml:space="preserve">, Cozolino (2013) states that “Tribal teachers become loving and protective parents to their pupils, who in turn become caring and supportive siblings to one another” (p. 245). </w:t>
      </w:r>
      <w:r w:rsidRPr="008D7555">
        <w:rPr>
          <w:rFonts w:ascii="Arial" w:hAnsi="Arial" w:cs="Arial"/>
          <w:color w:val="00B0F0"/>
        </w:rPr>
        <w:t xml:space="preserve"> </w:t>
      </w:r>
      <w:r w:rsidRPr="008D7555">
        <w:rPr>
          <w:rFonts w:ascii="Arial" w:hAnsi="Arial" w:cs="Arial"/>
          <w:color w:val="000000" w:themeColor="text1"/>
        </w:rPr>
        <w:t xml:space="preserve">This is echoed in </w:t>
      </w:r>
      <w:r w:rsidRPr="008D7555">
        <w:rPr>
          <w:rFonts w:ascii="Arial" w:hAnsi="Arial" w:cs="Arial"/>
        </w:rPr>
        <w:t xml:space="preserve">Steiner’s (1861 – 1925) approach to education which encompasses the value of the whole child, including their emotional, social, spiritual, and cognitive development. Steiner schools implement integrated, non-subject-based learning experiences which encourages learners to develop strong relationships with peers and practitioner e.g., children will have meals together around a dining table. Here, they are encouraged to have conversations and to talk about their day. Some learners might not have this opportunity at home so it essential for their social and emotional develop to access this at school. This integration cultivates love of language and develops speech as well as providing belonginess and a heightened sense of well-being (Steinerwaldorf.org, 2009, p.5). However, it can be argued that this type of education does not address social and emotional issues, such as bullying (Chen, 2012). This conflicts with the 'anti-bullying guidance' that was launched by the education minister (Kirsty Williams). One of the Welsh Governments expectations for schools was to "have an anti-bulling policy linking to school policies including behaviour and safeguarding" (Welsh Government, 2019). The aim of this guidance was to ensure that schools were challenging bullying to implement a safe and happy environment (Welsh Government, 2019). </w:t>
      </w:r>
    </w:p>
    <w:p w14:paraId="1AD810DC" w14:textId="77777777" w:rsidR="008D7555" w:rsidRPr="008D7555" w:rsidRDefault="008D7555" w:rsidP="008D7555">
      <w:pPr>
        <w:spacing w:line="360" w:lineRule="auto"/>
        <w:rPr>
          <w:rFonts w:ascii="Arial" w:hAnsi="Arial" w:cs="Arial"/>
          <w:color w:val="FF0000"/>
        </w:rPr>
      </w:pPr>
      <w:r w:rsidRPr="008D7555">
        <w:rPr>
          <w:rFonts w:ascii="Arial" w:hAnsi="Arial" w:cs="Arial"/>
        </w:rPr>
        <w:lastRenderedPageBreak/>
        <w:t>It is important that practitioners develop strong relationships with their learners so that they feel valued. One way in which this can be achieved is by discussing interests with them. For example, ask the learners about their favourite tv programme or game. By showing a genuine interest into the learners life, it begins to foster safety and connection through the relationship (Anderson and Bowen, 2020, p. 105). Teacher attitudes can have a significant impact on learner development (Bethune, 2018, pp. 159-175). Dweck (2007) delineated the contrast between growth mindset and fixed mindset. If a practitioner has a fixed mindset, they will believe that there is little room for change and perceives themselves/students with a ‘can’t do’ attitude. A growth mindset allows practitioners and learners to reframe from the presumptuous attitude. Consequently, they are able to articulate that themselves and their learners can learn new skills and make personal changes and improvements (Anderson and Bowen, 2020, p. 69). Oppositely, Didau (2016) believes that the 'growth mindset' attitude is naive. "Hard work and growth mindset are not enough", instead he insists that a growth mindset follows from experiencing success. Similarly, to Herzberg (1959), Didau's (2016) argument recommends that in order for learners to develop healthy beliefs we need to help them improve conditions of practice. One way in which this could be accomplished is through modelling good behaviour/ wellbeing (Didau, 2016). “Teachers who are stressed, or demoralised, make poor role models for young people” (Foresight Mental Capital and Wellbeing Project, 2008). Bethune (2018) develops this by signifying that in order to be a role model for wellbeing practitioners should demonstrate that they care for themselves, just as much they care for their students (p. 161).</w:t>
      </w:r>
      <w:r w:rsidRPr="008D7555">
        <w:rPr>
          <w:rFonts w:ascii="Arial" w:hAnsi="Arial" w:cs="Arial"/>
          <w:color w:val="FF0000"/>
        </w:rPr>
        <w:t xml:space="preserve"> </w:t>
      </w:r>
      <w:r w:rsidRPr="008D7555">
        <w:rPr>
          <w:rFonts w:ascii="Arial" w:hAnsi="Arial" w:cs="Arial"/>
          <w:color w:val="000000" w:themeColor="text1"/>
        </w:rPr>
        <w:t>In a Primary School in the UK 'wellbeing of learners and staff' has been placed as a high priority. Staff have received a high standard of training to promote positive emotional wellbeing whilst looking after their own. As a result of the training programmes staff feel supported in their work and are able to reflect on the approaches that they use with the children. This has given them a better understanding of how practitioners can support pupil development. One way in which this school has shared their good practice is through facilitating workshops and giving presentations to schools, youth workers and the Welsh Independent School Council (Estyn, 2020).</w:t>
      </w:r>
    </w:p>
    <w:p w14:paraId="6E0B995E" w14:textId="16886123" w:rsidR="008D7555" w:rsidRDefault="008D7555" w:rsidP="008D7555">
      <w:pPr>
        <w:spacing w:line="360" w:lineRule="auto"/>
        <w:rPr>
          <w:rFonts w:ascii="Arial" w:hAnsi="Arial" w:cs="Arial"/>
        </w:rPr>
      </w:pPr>
      <w:r w:rsidRPr="008D7555">
        <w:rPr>
          <w:rFonts w:ascii="Arial" w:hAnsi="Arial" w:cs="Arial"/>
        </w:rPr>
        <w:t xml:space="preserve">Throughout this discussion I have identified techniques that I could use to foster an enabling environment within my future practice. In the Health and well-being AoLE learners may demonstrate progression through increasing competence in, and taking greater responsibility for, organising themselves, and through greater depth of knowledge and understanding about factors affecting their well-being and that of others (Donaldson, 2015, p.57). In order to nurture pupil progression, I aim to implement the PGD strategy every morning. This will allow learners to feel acknowledged and ready to learn as a result (Anderson and Bowen, 2020, p. 107). Furthermore, it will allow me to identify any concerns which might have an impact on </w:t>
      </w:r>
      <w:r w:rsidRPr="008D7555">
        <w:rPr>
          <w:rFonts w:ascii="Arial" w:hAnsi="Arial" w:cs="Arial"/>
          <w:color w:val="000000" w:themeColor="text1"/>
        </w:rPr>
        <w:lastRenderedPageBreak/>
        <w:t>pupils’</w:t>
      </w:r>
      <w:r w:rsidRPr="008D7555">
        <w:rPr>
          <w:rFonts w:ascii="Arial" w:hAnsi="Arial" w:cs="Arial"/>
          <w:color w:val="FF0000"/>
        </w:rPr>
        <w:t xml:space="preserve"> </w:t>
      </w:r>
      <w:r w:rsidRPr="008D7555">
        <w:rPr>
          <w:rFonts w:ascii="Arial" w:hAnsi="Arial" w:cs="Arial"/>
        </w:rPr>
        <w:t>attitudes to learning and emotional state. In addition, I plan to upskill my abilities to implement a safe and inclusive environment by attending training courses such as, ‘Embedding Mental Health in The Curriculum’ (future learn, 2020). This will help me to learn different approaches and develop my non-verbal communication skills so that I am able to effectively communicate with all learners. Moreover, I will model good behaviour/wellbeing. I plan to implement ‘class rules’ which will encompass ‘the rights of the child’ (UNICEF, n.d). This will make learners aware of their rights and develop their knowledge and understanding of how to treat one another and themselves. Creating the rules collaboratively will give learners a sense of pride and ownership. Therefore, they will be more likely to comply and adhere to them (Welsh Government, 2012, p. 8). In order to share my practice with other practitioners I will share my resources in school and online and discuss strategies regarding health and wellbeing development within staff meetings. Furthermore, I plan to observe similar strategies being used in other classrooms/ schools to broaden my apprehension within the wellbeing area of learning. Ultimately, it is a practitioner’s</w:t>
      </w:r>
      <w:r w:rsidRPr="008D7555">
        <w:rPr>
          <w:rFonts w:ascii="Arial" w:hAnsi="Arial" w:cs="Arial"/>
          <w:color w:val="FF0000"/>
        </w:rPr>
        <w:t xml:space="preserve"> </w:t>
      </w:r>
      <w:r w:rsidRPr="008D7555">
        <w:rPr>
          <w:rFonts w:ascii="Arial" w:hAnsi="Arial" w:cs="Arial"/>
        </w:rPr>
        <w:t>duty to ensure all learners are safe, and their basic needs are met:</w:t>
      </w:r>
      <w:r w:rsidRPr="008D7555">
        <w:rPr>
          <w:rFonts w:ascii="Arial" w:hAnsi="Arial" w:cs="Arial"/>
          <w:color w:val="FF0000"/>
        </w:rPr>
        <w:t xml:space="preserve"> </w:t>
      </w:r>
      <w:r w:rsidRPr="008D7555">
        <w:rPr>
          <w:rFonts w:ascii="Arial" w:hAnsi="Arial" w:cs="Arial"/>
        </w:rPr>
        <w:t>“The best way to make children good is to make them happy” (Wilde, n.d quoted in education.com, 2020).</w:t>
      </w:r>
    </w:p>
    <w:p w14:paraId="09034C7E" w14:textId="69FFF706" w:rsidR="008D7555" w:rsidRDefault="008D7555" w:rsidP="008D7555">
      <w:pPr>
        <w:spacing w:line="360" w:lineRule="auto"/>
        <w:rPr>
          <w:rFonts w:ascii="Arial" w:hAnsi="Arial" w:cs="Arial"/>
        </w:rPr>
      </w:pPr>
      <w:r>
        <w:rPr>
          <w:rFonts w:ascii="Arial" w:hAnsi="Arial" w:cs="Arial"/>
        </w:rPr>
        <w:t>Word count: 2</w:t>
      </w:r>
      <w:r w:rsidR="00BA4AF8">
        <w:rPr>
          <w:rFonts w:ascii="Arial" w:hAnsi="Arial" w:cs="Arial"/>
        </w:rPr>
        <w:t>199</w:t>
      </w:r>
    </w:p>
    <w:p w14:paraId="05ECC4F2" w14:textId="1CC83945" w:rsidR="008D7555" w:rsidRPr="008D7555" w:rsidRDefault="008D7555" w:rsidP="008D7555">
      <w:pPr>
        <w:spacing w:line="360" w:lineRule="auto"/>
        <w:rPr>
          <w:rFonts w:ascii="Arial" w:hAnsi="Arial" w:cs="Arial"/>
        </w:rPr>
      </w:pPr>
      <w:r>
        <w:rPr>
          <w:rFonts w:ascii="Arial" w:hAnsi="Arial" w:cs="Arial"/>
        </w:rPr>
        <w:t xml:space="preserve">Overall </w:t>
      </w:r>
      <w:r w:rsidR="00A81E99">
        <w:rPr>
          <w:rFonts w:ascii="Arial" w:hAnsi="Arial" w:cs="Arial"/>
        </w:rPr>
        <w:t>w</w:t>
      </w:r>
      <w:r>
        <w:rPr>
          <w:rFonts w:ascii="Arial" w:hAnsi="Arial" w:cs="Arial"/>
        </w:rPr>
        <w:t xml:space="preserve">ord </w:t>
      </w:r>
      <w:r w:rsidR="00A81E99">
        <w:rPr>
          <w:rFonts w:ascii="Arial" w:hAnsi="Arial" w:cs="Arial"/>
        </w:rPr>
        <w:t>c</w:t>
      </w:r>
      <w:r>
        <w:rPr>
          <w:rFonts w:ascii="Arial" w:hAnsi="Arial" w:cs="Arial"/>
        </w:rPr>
        <w:t>ount:</w:t>
      </w:r>
      <w:r w:rsidR="00BA4AF8">
        <w:rPr>
          <w:rFonts w:ascii="Arial" w:hAnsi="Arial" w:cs="Arial"/>
        </w:rPr>
        <w:t xml:space="preserve"> 5100</w:t>
      </w:r>
    </w:p>
    <w:p w14:paraId="50F2B922" w14:textId="2D7007CC" w:rsidR="003F040B" w:rsidRDefault="003F040B" w:rsidP="00542E1B">
      <w:pPr>
        <w:pStyle w:val="AssignBody"/>
        <w:rPr>
          <w:b/>
          <w:bCs/>
          <w:color w:val="000000" w:themeColor="text1"/>
          <w:sz w:val="28"/>
          <w:szCs w:val="28"/>
          <w:u w:val="single"/>
        </w:rPr>
      </w:pPr>
    </w:p>
    <w:p w14:paraId="3DE7D947" w14:textId="77777777" w:rsidR="003F040B" w:rsidRDefault="003F040B">
      <w:pPr>
        <w:rPr>
          <w:rFonts w:ascii="Arial" w:hAnsi="Arial"/>
          <w:b/>
          <w:bCs/>
          <w:color w:val="000000" w:themeColor="text1"/>
          <w:sz w:val="28"/>
          <w:szCs w:val="28"/>
          <w:u w:val="single"/>
        </w:rPr>
      </w:pPr>
      <w:r>
        <w:rPr>
          <w:b/>
          <w:bCs/>
          <w:color w:val="000000" w:themeColor="text1"/>
          <w:sz w:val="28"/>
          <w:szCs w:val="28"/>
          <w:u w:val="single"/>
        </w:rPr>
        <w:br w:type="page"/>
      </w:r>
    </w:p>
    <w:p w14:paraId="49F5A101" w14:textId="77777777" w:rsidR="003F040B" w:rsidRPr="003F040B" w:rsidRDefault="003F040B" w:rsidP="003F040B">
      <w:pPr>
        <w:spacing w:line="360" w:lineRule="auto"/>
        <w:jc w:val="center"/>
        <w:rPr>
          <w:rFonts w:ascii="Arial" w:hAnsi="Arial" w:cs="Arial"/>
          <w:color w:val="000000" w:themeColor="text1"/>
          <w:u w:val="single"/>
        </w:rPr>
      </w:pPr>
      <w:r w:rsidRPr="003F040B">
        <w:rPr>
          <w:rFonts w:ascii="Arial" w:hAnsi="Arial" w:cs="Arial"/>
          <w:color w:val="000000" w:themeColor="text1"/>
          <w:u w:val="single"/>
        </w:rPr>
        <w:lastRenderedPageBreak/>
        <w:t>References</w:t>
      </w:r>
    </w:p>
    <w:p w14:paraId="6F2E7A34" w14:textId="77777777" w:rsidR="003F040B" w:rsidRPr="003F040B" w:rsidRDefault="003F040B" w:rsidP="003F040B">
      <w:pPr>
        <w:spacing w:line="360" w:lineRule="auto"/>
        <w:rPr>
          <w:rFonts w:ascii="Arial" w:hAnsi="Arial" w:cs="Arial"/>
          <w:color w:val="000000" w:themeColor="text1"/>
        </w:rPr>
      </w:pPr>
      <w:r w:rsidRPr="003F040B">
        <w:rPr>
          <w:rFonts w:ascii="Arial" w:hAnsi="Arial" w:cs="Arial"/>
          <w:color w:val="000000" w:themeColor="text1"/>
        </w:rPr>
        <w:t>Anderson, L. and Bowen, J. (2020) The SUPPORTIVE CLASSROOM. United States: Ulysses Press.</w:t>
      </w:r>
    </w:p>
    <w:p w14:paraId="65130ABC" w14:textId="77777777" w:rsidR="003F040B" w:rsidRPr="003F040B" w:rsidRDefault="003F040B" w:rsidP="003F040B">
      <w:pPr>
        <w:spacing w:line="360" w:lineRule="auto"/>
        <w:rPr>
          <w:rFonts w:ascii="Arial" w:hAnsi="Arial" w:cs="Arial"/>
          <w:color w:val="000000" w:themeColor="text1"/>
        </w:rPr>
      </w:pPr>
      <w:r w:rsidRPr="003F040B">
        <w:rPr>
          <w:rFonts w:ascii="Arial" w:hAnsi="Arial" w:cs="Arial"/>
          <w:color w:val="000000" w:themeColor="text1"/>
        </w:rPr>
        <w:t>Bethune, A. (2018). Wellbeing in the Primary Classroom. Great Britain: Bloomsbury Publishing Plc.</w:t>
      </w:r>
    </w:p>
    <w:p w14:paraId="268FB33A" w14:textId="77777777" w:rsidR="003F040B" w:rsidRPr="003F040B" w:rsidRDefault="003F040B" w:rsidP="003F040B">
      <w:pPr>
        <w:spacing w:line="360" w:lineRule="auto"/>
        <w:rPr>
          <w:rFonts w:ascii="Arial" w:hAnsi="Arial" w:cs="Arial"/>
          <w:color w:val="000000" w:themeColor="text1"/>
        </w:rPr>
      </w:pPr>
      <w:r w:rsidRPr="003F040B">
        <w:rPr>
          <w:rFonts w:ascii="Arial" w:hAnsi="Arial" w:cs="Arial"/>
          <w:color w:val="000000" w:themeColor="text1"/>
        </w:rPr>
        <w:t xml:space="preserve">Boostrom, R. (1997, March). Unsafe spaces: </w:t>
      </w:r>
      <w:proofErr w:type="spellStart"/>
      <w:r w:rsidRPr="003F040B">
        <w:rPr>
          <w:rFonts w:ascii="Arial" w:hAnsi="Arial" w:cs="Arial"/>
          <w:color w:val="000000" w:themeColor="text1"/>
        </w:rPr>
        <w:t>Reflec</w:t>
      </w:r>
      <w:proofErr w:type="spellEnd"/>
      <w:r w:rsidRPr="003F040B">
        <w:rPr>
          <w:rFonts w:ascii="Arial" w:hAnsi="Arial" w:cs="Arial"/>
          <w:color w:val="000000" w:themeColor="text1"/>
        </w:rPr>
        <w:t xml:space="preserve">- </w:t>
      </w:r>
      <w:proofErr w:type="spellStart"/>
      <w:r w:rsidRPr="003F040B">
        <w:rPr>
          <w:rFonts w:ascii="Arial" w:hAnsi="Arial" w:cs="Arial"/>
          <w:color w:val="000000" w:themeColor="text1"/>
        </w:rPr>
        <w:t>tions</w:t>
      </w:r>
      <w:proofErr w:type="spellEnd"/>
      <w:r w:rsidRPr="003F040B">
        <w:rPr>
          <w:rFonts w:ascii="Arial" w:hAnsi="Arial" w:cs="Arial"/>
          <w:color w:val="000000" w:themeColor="text1"/>
        </w:rPr>
        <w:t xml:space="preserve"> on a specimen of educational jargon. Paper presented at the Annual Meeting of the American Educational Research </w:t>
      </w:r>
      <w:proofErr w:type="spellStart"/>
      <w:r w:rsidRPr="003F040B">
        <w:rPr>
          <w:rFonts w:ascii="Arial" w:hAnsi="Arial" w:cs="Arial"/>
          <w:color w:val="000000" w:themeColor="text1"/>
        </w:rPr>
        <w:t>Associa</w:t>
      </w:r>
      <w:proofErr w:type="spellEnd"/>
      <w:r w:rsidRPr="003F040B">
        <w:rPr>
          <w:rFonts w:ascii="Arial" w:hAnsi="Arial" w:cs="Arial"/>
          <w:color w:val="000000" w:themeColor="text1"/>
        </w:rPr>
        <w:t xml:space="preserve">- </w:t>
      </w:r>
      <w:proofErr w:type="spellStart"/>
      <w:r w:rsidRPr="003F040B">
        <w:rPr>
          <w:rFonts w:ascii="Arial" w:hAnsi="Arial" w:cs="Arial"/>
          <w:color w:val="000000" w:themeColor="text1"/>
        </w:rPr>
        <w:t>tion</w:t>
      </w:r>
      <w:proofErr w:type="spellEnd"/>
      <w:r w:rsidRPr="003F040B">
        <w:rPr>
          <w:rFonts w:ascii="Arial" w:hAnsi="Arial" w:cs="Arial"/>
          <w:color w:val="000000" w:themeColor="text1"/>
        </w:rPr>
        <w:t>, Chicago.</w:t>
      </w:r>
    </w:p>
    <w:p w14:paraId="71DB853E" w14:textId="77777777" w:rsidR="003F040B" w:rsidRPr="003F040B" w:rsidRDefault="003F040B" w:rsidP="003F040B">
      <w:pPr>
        <w:spacing w:line="360" w:lineRule="auto"/>
        <w:rPr>
          <w:rFonts w:ascii="Arial" w:hAnsi="Arial" w:cs="Arial"/>
          <w:color w:val="000000" w:themeColor="text1"/>
        </w:rPr>
      </w:pPr>
      <w:r w:rsidRPr="003F040B">
        <w:rPr>
          <w:rFonts w:ascii="Arial" w:hAnsi="Arial" w:cs="Arial"/>
          <w:color w:val="000000" w:themeColor="text1"/>
        </w:rPr>
        <w:t>Booth, T., Ainscow, M. &amp; Kingston, D. (2006). Index for Inclusion: developing play, learning and participation in early years and childcare. Bristol: CSIE.</w:t>
      </w:r>
    </w:p>
    <w:p w14:paraId="0D939F2D" w14:textId="77777777" w:rsidR="003F040B" w:rsidRPr="003F040B" w:rsidRDefault="003F040B" w:rsidP="003F040B">
      <w:pPr>
        <w:spacing w:line="360" w:lineRule="auto"/>
        <w:rPr>
          <w:rFonts w:ascii="Arial" w:hAnsi="Arial" w:cs="Arial"/>
          <w:color w:val="000000" w:themeColor="text1"/>
        </w:rPr>
      </w:pPr>
      <w:r w:rsidRPr="003F040B">
        <w:rPr>
          <w:rFonts w:ascii="Arial" w:hAnsi="Arial" w:cs="Arial"/>
          <w:color w:val="000000" w:themeColor="text1"/>
        </w:rPr>
        <w:t>Bryce-Clegg, A. (2015) CONTINUOUS PROVISION THE SKILLS. United Kingdom: Featherstone.</w:t>
      </w:r>
    </w:p>
    <w:p w14:paraId="734E3A5E" w14:textId="77777777" w:rsidR="003F040B" w:rsidRPr="003F040B" w:rsidRDefault="003F040B" w:rsidP="003F040B">
      <w:pPr>
        <w:spacing w:line="360" w:lineRule="auto"/>
        <w:rPr>
          <w:rFonts w:ascii="Arial" w:hAnsi="Arial" w:cs="Arial"/>
          <w:color w:val="000000" w:themeColor="text1"/>
        </w:rPr>
      </w:pPr>
      <w:r w:rsidRPr="003F040B">
        <w:rPr>
          <w:rFonts w:ascii="Arial" w:hAnsi="Arial" w:cs="Arial"/>
          <w:color w:val="000000" w:themeColor="text1"/>
        </w:rPr>
        <w:t xml:space="preserve">Cantor, P and </w:t>
      </w:r>
      <w:proofErr w:type="spellStart"/>
      <w:r w:rsidRPr="003F040B">
        <w:rPr>
          <w:rFonts w:ascii="Arial" w:hAnsi="Arial" w:cs="Arial"/>
          <w:color w:val="000000" w:themeColor="text1"/>
        </w:rPr>
        <w:t>Falon</w:t>
      </w:r>
      <w:proofErr w:type="spellEnd"/>
      <w:r w:rsidRPr="003F040B">
        <w:rPr>
          <w:rFonts w:ascii="Arial" w:hAnsi="Arial" w:cs="Arial"/>
          <w:color w:val="000000" w:themeColor="text1"/>
        </w:rPr>
        <w:t>, T. (2019) ‘Making Connections with Greetings at the Door’. How Learning Happens. [online video] Available at: https://www.edutopia.org/video/making-connections-greetings-door (Accessed: 27 April 2021).</w:t>
      </w:r>
    </w:p>
    <w:p w14:paraId="1B220AC2" w14:textId="77777777" w:rsidR="003F040B" w:rsidRPr="003F040B" w:rsidRDefault="003F040B" w:rsidP="003F040B">
      <w:pPr>
        <w:spacing w:line="360" w:lineRule="auto"/>
        <w:rPr>
          <w:rFonts w:ascii="Arial" w:hAnsi="Arial" w:cs="Arial"/>
          <w:color w:val="000000" w:themeColor="text1"/>
        </w:rPr>
      </w:pPr>
      <w:r w:rsidRPr="003F040B">
        <w:rPr>
          <w:rFonts w:ascii="Arial" w:hAnsi="Arial" w:cs="Arial"/>
          <w:color w:val="000000" w:themeColor="text1"/>
        </w:rPr>
        <w:t xml:space="preserve">Chen, G. (2012) </w:t>
      </w:r>
      <w:r w:rsidRPr="003F040B">
        <w:rPr>
          <w:rFonts w:ascii="Arial" w:hAnsi="Arial" w:cs="Arial"/>
          <w:i/>
          <w:iCs/>
          <w:color w:val="000000" w:themeColor="text1"/>
        </w:rPr>
        <w:t>Waldorf Education: Four Successes and Four Failures</w:t>
      </w:r>
      <w:r w:rsidRPr="003F040B">
        <w:rPr>
          <w:rFonts w:ascii="Arial" w:hAnsi="Arial" w:cs="Arial"/>
          <w:color w:val="000000" w:themeColor="text1"/>
        </w:rPr>
        <w:t>. Available at: https://www.education.com/magazine/article/waldorf-education-successes-failures/ (Accessed 28th April 2021).</w:t>
      </w:r>
    </w:p>
    <w:p w14:paraId="04036974" w14:textId="77777777" w:rsidR="003F040B" w:rsidRPr="003F040B" w:rsidRDefault="003F040B" w:rsidP="003F040B">
      <w:pPr>
        <w:spacing w:line="360" w:lineRule="auto"/>
        <w:rPr>
          <w:rFonts w:ascii="Arial" w:hAnsi="Arial" w:cs="Arial"/>
          <w:color w:val="000000" w:themeColor="text1"/>
        </w:rPr>
      </w:pPr>
      <w:r w:rsidRPr="003F040B">
        <w:rPr>
          <w:rFonts w:ascii="Arial" w:hAnsi="Arial" w:cs="Arial"/>
          <w:color w:val="000000" w:themeColor="text1"/>
        </w:rPr>
        <w:t xml:space="preserve">Coe, R., Rauch, C.J., </w:t>
      </w:r>
      <w:proofErr w:type="spellStart"/>
      <w:r w:rsidRPr="003F040B">
        <w:rPr>
          <w:rFonts w:ascii="Arial" w:hAnsi="Arial" w:cs="Arial"/>
          <w:color w:val="000000" w:themeColor="text1"/>
        </w:rPr>
        <w:t>Kime</w:t>
      </w:r>
      <w:proofErr w:type="spellEnd"/>
      <w:r w:rsidRPr="003F040B">
        <w:rPr>
          <w:rFonts w:ascii="Arial" w:hAnsi="Arial" w:cs="Arial"/>
          <w:color w:val="000000" w:themeColor="text1"/>
        </w:rPr>
        <w:t>, S. and Singleton, D. Great Teaching Toolkit Evidence Review. Cambridge:  Evidence Based Education in partnership with Cambridge Assessment International Education.</w:t>
      </w:r>
    </w:p>
    <w:p w14:paraId="11F14ABB" w14:textId="77777777" w:rsidR="003F040B" w:rsidRPr="003F040B" w:rsidRDefault="003F040B" w:rsidP="003F040B">
      <w:pPr>
        <w:spacing w:line="360" w:lineRule="auto"/>
        <w:rPr>
          <w:rFonts w:ascii="Arial" w:hAnsi="Arial" w:cs="Arial"/>
          <w:color w:val="000000" w:themeColor="text1"/>
        </w:rPr>
      </w:pPr>
      <w:r w:rsidRPr="003F040B">
        <w:rPr>
          <w:rFonts w:ascii="Arial" w:hAnsi="Arial" w:cs="Arial"/>
          <w:color w:val="000000" w:themeColor="text1"/>
        </w:rPr>
        <w:t xml:space="preserve">Cook, C, et al., (2018). </w:t>
      </w:r>
      <w:r w:rsidRPr="00A81E99">
        <w:rPr>
          <w:rFonts w:ascii="Arial" w:hAnsi="Arial" w:cs="Arial"/>
          <w:i/>
          <w:iCs/>
          <w:color w:val="000000" w:themeColor="text1"/>
        </w:rPr>
        <w:t>Positive Greetings at the Door: Evaluation of a Low-Cost, High-Yield Proactive Classroom Management Strategy</w:t>
      </w:r>
      <w:r w:rsidRPr="003F040B">
        <w:rPr>
          <w:rFonts w:ascii="Arial" w:hAnsi="Arial" w:cs="Arial"/>
          <w:color w:val="000000" w:themeColor="text1"/>
        </w:rPr>
        <w:t>. Available: https://www.researchgate.net/publication/323271184_Positive_Greetings_at_the_Door_Evaluation_of_a_Low-Cost_High-Yield_Proactive_Classroom_Management_Strategy.  (Accessed 28th April 2021).</w:t>
      </w:r>
    </w:p>
    <w:p w14:paraId="70CC9543" w14:textId="77777777" w:rsidR="003F040B" w:rsidRPr="003F040B" w:rsidRDefault="003F040B" w:rsidP="003F040B">
      <w:pPr>
        <w:spacing w:line="360" w:lineRule="auto"/>
        <w:rPr>
          <w:rFonts w:ascii="Arial" w:hAnsi="Arial" w:cs="Arial"/>
          <w:color w:val="000000" w:themeColor="text1"/>
        </w:rPr>
      </w:pPr>
      <w:proofErr w:type="spellStart"/>
      <w:r w:rsidRPr="003F040B">
        <w:rPr>
          <w:rFonts w:ascii="Arial" w:hAnsi="Arial" w:cs="Arial"/>
          <w:color w:val="000000" w:themeColor="text1"/>
        </w:rPr>
        <w:t>Cozlino</w:t>
      </w:r>
      <w:proofErr w:type="spellEnd"/>
      <w:r w:rsidRPr="003F040B">
        <w:rPr>
          <w:rFonts w:ascii="Arial" w:hAnsi="Arial" w:cs="Arial"/>
          <w:color w:val="000000" w:themeColor="text1"/>
        </w:rPr>
        <w:t>, L. (2013), The Social Neuroscience of Education: Optimising Attachment and Learning in the Classroom. New York, NY: W.W. Norton &amp; Company.</w:t>
      </w:r>
    </w:p>
    <w:p w14:paraId="7387276B" w14:textId="77777777" w:rsidR="003F040B" w:rsidRPr="003F040B" w:rsidRDefault="003F040B" w:rsidP="003F040B">
      <w:pPr>
        <w:spacing w:line="360" w:lineRule="auto"/>
        <w:rPr>
          <w:rFonts w:ascii="Arial" w:hAnsi="Arial" w:cs="Arial"/>
          <w:color w:val="000000" w:themeColor="text1"/>
        </w:rPr>
      </w:pPr>
      <w:r w:rsidRPr="003F040B">
        <w:rPr>
          <w:rFonts w:ascii="Arial" w:hAnsi="Arial" w:cs="Arial"/>
          <w:color w:val="000000" w:themeColor="text1"/>
        </w:rPr>
        <w:t>Diaz, C. (1986). Multicultural education for the 21st century. Washington, DC: National Education Association.</w:t>
      </w:r>
    </w:p>
    <w:p w14:paraId="23002C48" w14:textId="77777777" w:rsidR="003F040B" w:rsidRPr="003F040B" w:rsidRDefault="003F040B" w:rsidP="003F040B">
      <w:pPr>
        <w:spacing w:line="360" w:lineRule="auto"/>
        <w:rPr>
          <w:rFonts w:ascii="Arial" w:hAnsi="Arial" w:cs="Arial"/>
          <w:color w:val="000000" w:themeColor="text1"/>
        </w:rPr>
      </w:pPr>
      <w:r w:rsidRPr="003F040B">
        <w:rPr>
          <w:rFonts w:ascii="Arial" w:hAnsi="Arial" w:cs="Arial"/>
          <w:color w:val="000000" w:themeColor="text1"/>
        </w:rPr>
        <w:t xml:space="preserve">Didau, D. (2016) </w:t>
      </w:r>
      <w:r w:rsidRPr="003F040B">
        <w:rPr>
          <w:rFonts w:ascii="Arial" w:hAnsi="Arial" w:cs="Arial"/>
          <w:i/>
          <w:iCs/>
          <w:color w:val="000000" w:themeColor="text1"/>
        </w:rPr>
        <w:t>The limits of growth mindsets</w:t>
      </w:r>
      <w:r w:rsidRPr="003F040B">
        <w:rPr>
          <w:rFonts w:ascii="Arial" w:hAnsi="Arial" w:cs="Arial"/>
          <w:color w:val="000000" w:themeColor="text1"/>
        </w:rPr>
        <w:t>. Available at: https://learningspy.co.uk/psychology/limits-growth-mindset/ (Accessed: 30 April 2021).</w:t>
      </w:r>
    </w:p>
    <w:p w14:paraId="58AF9C19" w14:textId="77777777" w:rsidR="003F040B" w:rsidRPr="003F040B" w:rsidRDefault="003F040B" w:rsidP="003F040B">
      <w:pPr>
        <w:spacing w:line="360" w:lineRule="auto"/>
        <w:rPr>
          <w:rFonts w:ascii="Arial" w:hAnsi="Arial" w:cs="Arial"/>
          <w:color w:val="000000" w:themeColor="text1"/>
        </w:rPr>
      </w:pPr>
      <w:r w:rsidRPr="003F040B">
        <w:rPr>
          <w:rFonts w:ascii="Arial" w:hAnsi="Arial" w:cs="Arial"/>
          <w:color w:val="000000" w:themeColor="text1"/>
        </w:rPr>
        <w:lastRenderedPageBreak/>
        <w:t>Donaldson, G (2015) Successful Futures: Independent Review of Curriculum and Assessment Arrangements in Wales: Welsh Government.</w:t>
      </w:r>
    </w:p>
    <w:p w14:paraId="64045208" w14:textId="77777777" w:rsidR="003F040B" w:rsidRPr="003F040B" w:rsidRDefault="003F040B" w:rsidP="003F040B">
      <w:pPr>
        <w:spacing w:line="360" w:lineRule="auto"/>
        <w:rPr>
          <w:rFonts w:ascii="Arial" w:hAnsi="Arial" w:cs="Arial"/>
          <w:color w:val="000000" w:themeColor="text1"/>
        </w:rPr>
      </w:pPr>
      <w:r w:rsidRPr="003F040B">
        <w:rPr>
          <w:rFonts w:ascii="Arial" w:hAnsi="Arial" w:cs="Arial"/>
          <w:color w:val="000000" w:themeColor="text1"/>
        </w:rPr>
        <w:t xml:space="preserve">Dorman, J. (2002). Classroom environment research: Progress and possibilities. Queensland Journal of Educational Research, 18(2), 112-140. </w:t>
      </w:r>
      <w:hyperlink r:id="rId9" w:history="1">
        <w:r w:rsidRPr="003F040B">
          <w:rPr>
            <w:rStyle w:val="Hyperlink"/>
            <w:rFonts w:ascii="Arial" w:hAnsi="Arial" w:cs="Arial"/>
            <w:color w:val="000000" w:themeColor="text1"/>
          </w:rPr>
          <w:t>http://www.iier.org.au/qjer/qjer18/dorman.html</w:t>
        </w:r>
      </w:hyperlink>
      <w:r w:rsidRPr="003F040B">
        <w:rPr>
          <w:rFonts w:ascii="Arial" w:hAnsi="Arial" w:cs="Arial"/>
          <w:color w:val="000000" w:themeColor="text1"/>
        </w:rPr>
        <w:t>.</w:t>
      </w:r>
    </w:p>
    <w:p w14:paraId="14CBECC7" w14:textId="77777777" w:rsidR="003F040B" w:rsidRPr="003F040B" w:rsidRDefault="003F040B" w:rsidP="003F040B">
      <w:pPr>
        <w:spacing w:line="360" w:lineRule="auto"/>
        <w:rPr>
          <w:rFonts w:ascii="Arial" w:hAnsi="Arial" w:cs="Arial"/>
          <w:color w:val="000000" w:themeColor="text1"/>
        </w:rPr>
      </w:pPr>
      <w:r w:rsidRPr="003F040B">
        <w:rPr>
          <w:rFonts w:ascii="Arial" w:hAnsi="Arial" w:cs="Arial"/>
          <w:color w:val="000000" w:themeColor="text1"/>
        </w:rPr>
        <w:t>Dweck, C. S. (2007) Mindset: The New Psychology of Success. New York: Ballantine Books.</w:t>
      </w:r>
    </w:p>
    <w:p w14:paraId="6E474909" w14:textId="77777777" w:rsidR="003F040B" w:rsidRPr="003F040B" w:rsidRDefault="003F040B" w:rsidP="003F040B">
      <w:pPr>
        <w:spacing w:line="360" w:lineRule="auto"/>
        <w:rPr>
          <w:rFonts w:ascii="Arial" w:hAnsi="Arial" w:cs="Arial"/>
          <w:color w:val="000000" w:themeColor="text1"/>
        </w:rPr>
      </w:pPr>
      <w:r w:rsidRPr="003F040B">
        <w:rPr>
          <w:rFonts w:ascii="Arial" w:hAnsi="Arial" w:cs="Arial"/>
          <w:color w:val="000000" w:themeColor="text1"/>
        </w:rPr>
        <w:t xml:space="preserve">Education.com (2020) </w:t>
      </w:r>
      <w:r w:rsidRPr="003F040B">
        <w:rPr>
          <w:rFonts w:ascii="Arial" w:hAnsi="Arial" w:cs="Arial"/>
          <w:i/>
          <w:iCs/>
          <w:color w:val="000000" w:themeColor="text1"/>
        </w:rPr>
        <w:t>10 Famous Parenting Quotes</w:t>
      </w:r>
      <w:r w:rsidRPr="003F040B">
        <w:rPr>
          <w:rFonts w:ascii="Arial" w:hAnsi="Arial" w:cs="Arial"/>
          <w:color w:val="000000" w:themeColor="text1"/>
        </w:rPr>
        <w:t>. Available at https://www.education.com/magazine/article/10-famous-parenting-quotes/ (Accessed 29th of May 2021).</w:t>
      </w:r>
    </w:p>
    <w:p w14:paraId="3FC9C7B2" w14:textId="77777777" w:rsidR="003F040B" w:rsidRPr="003F040B" w:rsidRDefault="003F040B" w:rsidP="003F040B">
      <w:pPr>
        <w:spacing w:line="360" w:lineRule="auto"/>
        <w:rPr>
          <w:rFonts w:ascii="Arial" w:hAnsi="Arial" w:cs="Arial"/>
          <w:color w:val="000000" w:themeColor="text1"/>
        </w:rPr>
      </w:pPr>
      <w:r w:rsidRPr="003F040B">
        <w:rPr>
          <w:rFonts w:ascii="Arial" w:hAnsi="Arial" w:cs="Arial"/>
          <w:color w:val="000000" w:themeColor="text1"/>
        </w:rPr>
        <w:t xml:space="preserve">Estyn (2019) School impact on pupils’ health and wellbeing. Available at: </w:t>
      </w:r>
      <w:hyperlink r:id="rId10" w:history="1">
        <w:r w:rsidRPr="003F040B">
          <w:rPr>
            <w:rStyle w:val="Hyperlink"/>
            <w:rFonts w:ascii="Arial" w:hAnsi="Arial" w:cs="Arial"/>
            <w:color w:val="000000" w:themeColor="text1"/>
          </w:rPr>
          <w:t>Healthy%20and%20Happy%20report%20En_0.pdf (</w:t>
        </w:r>
        <w:proofErr w:type="spellStart"/>
        <w:proofErr w:type="gramStart"/>
        <w:r w:rsidRPr="003F040B">
          <w:rPr>
            <w:rStyle w:val="Hyperlink"/>
            <w:rFonts w:ascii="Arial" w:hAnsi="Arial" w:cs="Arial"/>
            <w:color w:val="000000" w:themeColor="text1"/>
          </w:rPr>
          <w:t>gov.wales</w:t>
        </w:r>
        <w:proofErr w:type="spellEnd"/>
        <w:proofErr w:type="gramEnd"/>
        <w:r w:rsidRPr="003F040B">
          <w:rPr>
            <w:rStyle w:val="Hyperlink"/>
            <w:rFonts w:ascii="Arial" w:hAnsi="Arial" w:cs="Arial"/>
            <w:color w:val="000000" w:themeColor="text1"/>
          </w:rPr>
          <w:t>)</w:t>
        </w:r>
      </w:hyperlink>
      <w:r w:rsidRPr="003F040B">
        <w:rPr>
          <w:rFonts w:ascii="Arial" w:hAnsi="Arial" w:cs="Arial"/>
          <w:color w:val="000000" w:themeColor="text1"/>
        </w:rPr>
        <w:t xml:space="preserve"> (Accessed: 28 April 2021).</w:t>
      </w:r>
    </w:p>
    <w:p w14:paraId="3AFEC105" w14:textId="77777777" w:rsidR="003F040B" w:rsidRPr="003F040B" w:rsidRDefault="003F040B" w:rsidP="003F040B">
      <w:pPr>
        <w:spacing w:line="360" w:lineRule="auto"/>
        <w:rPr>
          <w:rFonts w:ascii="Arial" w:hAnsi="Arial" w:cs="Arial"/>
          <w:color w:val="000000" w:themeColor="text1"/>
        </w:rPr>
      </w:pPr>
      <w:r w:rsidRPr="003F040B">
        <w:rPr>
          <w:rFonts w:ascii="Arial" w:hAnsi="Arial" w:cs="Arial"/>
          <w:color w:val="000000" w:themeColor="text1"/>
        </w:rPr>
        <w:t xml:space="preserve">Foresight Mental Capital and Wellbeing Project (2008), ‘Final project report- Executive summary’. London: The Government Office for Science, Crown Copyright. Available at: </w:t>
      </w:r>
      <w:hyperlink r:id="rId11" w:history="1">
        <w:r w:rsidRPr="003F040B">
          <w:rPr>
            <w:rStyle w:val="Hyperlink"/>
            <w:rFonts w:ascii="Arial" w:hAnsi="Arial" w:cs="Arial"/>
            <w:color w:val="000000" w:themeColor="text1"/>
          </w:rPr>
          <w:t>www.gov.uk/government/uploads/system/uploads/attachment_data/file/292453/mental-capital-wellbeing-summary.pdf</w:t>
        </w:r>
      </w:hyperlink>
      <w:r w:rsidRPr="003F040B">
        <w:rPr>
          <w:rFonts w:ascii="Arial" w:hAnsi="Arial" w:cs="Arial"/>
          <w:color w:val="000000" w:themeColor="text1"/>
        </w:rPr>
        <w:t xml:space="preserve"> (Accessed: 28 April 2021).</w:t>
      </w:r>
    </w:p>
    <w:p w14:paraId="5A3FAFFC" w14:textId="77777777" w:rsidR="003F040B" w:rsidRPr="003F040B" w:rsidRDefault="003F040B" w:rsidP="003F040B">
      <w:pPr>
        <w:spacing w:line="360" w:lineRule="auto"/>
        <w:rPr>
          <w:rFonts w:ascii="Arial" w:hAnsi="Arial" w:cs="Arial"/>
          <w:color w:val="000000" w:themeColor="text1"/>
        </w:rPr>
      </w:pPr>
      <w:r w:rsidRPr="003F040B">
        <w:rPr>
          <w:rFonts w:ascii="Arial" w:hAnsi="Arial" w:cs="Arial"/>
          <w:color w:val="000000" w:themeColor="text1"/>
        </w:rPr>
        <w:t xml:space="preserve">Future Learn (2020), </w:t>
      </w:r>
      <w:r w:rsidRPr="003F040B">
        <w:rPr>
          <w:rFonts w:ascii="Arial" w:hAnsi="Arial" w:cs="Arial"/>
          <w:i/>
          <w:iCs/>
          <w:color w:val="000000" w:themeColor="text1"/>
        </w:rPr>
        <w:t>Teacher Development: Embedding Mental Health in the Curriculum.</w:t>
      </w:r>
      <w:r w:rsidRPr="003F040B">
        <w:rPr>
          <w:rFonts w:ascii="Arial" w:hAnsi="Arial" w:cs="Arial"/>
          <w:color w:val="000000" w:themeColor="text1"/>
        </w:rPr>
        <w:t xml:space="preserve"> The open University. Available at: https://www.futurelearn.com/microcredentials/teacher-training-embedding-mental-health-in-the-curriculum (Accessed 29th April 2021).</w:t>
      </w:r>
    </w:p>
    <w:p w14:paraId="584F4836" w14:textId="77777777" w:rsidR="003F040B" w:rsidRPr="003F040B" w:rsidRDefault="003F040B" w:rsidP="003F040B">
      <w:pPr>
        <w:spacing w:line="360" w:lineRule="auto"/>
        <w:rPr>
          <w:rFonts w:ascii="Arial" w:hAnsi="Arial" w:cs="Arial"/>
          <w:color w:val="000000" w:themeColor="text1"/>
        </w:rPr>
      </w:pPr>
      <w:proofErr w:type="spellStart"/>
      <w:r w:rsidRPr="003F040B">
        <w:rPr>
          <w:rFonts w:ascii="Arial" w:hAnsi="Arial" w:cs="Arial"/>
          <w:color w:val="000000" w:themeColor="text1"/>
        </w:rPr>
        <w:t>Gawel</w:t>
      </w:r>
      <w:proofErr w:type="spellEnd"/>
      <w:r w:rsidRPr="003F040B">
        <w:rPr>
          <w:rFonts w:ascii="Arial" w:hAnsi="Arial" w:cs="Arial"/>
          <w:color w:val="000000" w:themeColor="text1"/>
        </w:rPr>
        <w:t>, Joseph E. (1996) "Herzberg's Theory of Motivation and Maslow's Hierarchy of Needs," Practical Assessment, Research, and Evaluation: Vol. 5, Article 11.</w:t>
      </w:r>
    </w:p>
    <w:p w14:paraId="74922E82" w14:textId="77777777" w:rsidR="003F040B" w:rsidRPr="003F040B" w:rsidRDefault="003F040B" w:rsidP="003F040B">
      <w:pPr>
        <w:spacing w:line="360" w:lineRule="auto"/>
        <w:rPr>
          <w:rFonts w:ascii="Arial" w:hAnsi="Arial" w:cs="Arial"/>
          <w:color w:val="000000" w:themeColor="text1"/>
        </w:rPr>
      </w:pPr>
      <w:r w:rsidRPr="003F040B">
        <w:rPr>
          <w:rFonts w:ascii="Arial" w:hAnsi="Arial" w:cs="Arial"/>
          <w:color w:val="000000" w:themeColor="text1"/>
        </w:rPr>
        <w:t>Hepburn, H. (2019) Individual greetings for pupils open up ‘potential for assault’ on teachers. Available at: https://www.tes.com/news/individual-greetings-pupils-open-potential-assault-teachers (Accessed: 28 April 2021).</w:t>
      </w:r>
    </w:p>
    <w:p w14:paraId="270F2AD6" w14:textId="77777777" w:rsidR="003F040B" w:rsidRPr="003F040B" w:rsidRDefault="003F040B" w:rsidP="003F040B">
      <w:pPr>
        <w:spacing w:line="360" w:lineRule="auto"/>
        <w:rPr>
          <w:rFonts w:ascii="Arial" w:hAnsi="Arial" w:cs="Arial"/>
          <w:color w:val="000000" w:themeColor="text1"/>
        </w:rPr>
      </w:pPr>
      <w:r w:rsidRPr="003F040B">
        <w:rPr>
          <w:rFonts w:ascii="Arial" w:hAnsi="Arial" w:cs="Arial"/>
          <w:color w:val="000000" w:themeColor="text1"/>
        </w:rPr>
        <w:t xml:space="preserve">Herzberg, F., </w:t>
      </w:r>
      <w:proofErr w:type="spellStart"/>
      <w:r w:rsidRPr="003F040B">
        <w:rPr>
          <w:rFonts w:ascii="Arial" w:hAnsi="Arial" w:cs="Arial"/>
          <w:color w:val="000000" w:themeColor="text1"/>
        </w:rPr>
        <w:t>Mausner</w:t>
      </w:r>
      <w:proofErr w:type="spellEnd"/>
      <w:r w:rsidRPr="003F040B">
        <w:rPr>
          <w:rFonts w:ascii="Arial" w:hAnsi="Arial" w:cs="Arial"/>
          <w:color w:val="000000" w:themeColor="text1"/>
        </w:rPr>
        <w:t>, B., &amp; Snyderman, B. B. (1959). The Motivation to Work (2nd ed.). New York: John Wiley &amp; Sons.</w:t>
      </w:r>
    </w:p>
    <w:p w14:paraId="0BEB2618" w14:textId="77777777" w:rsidR="003F040B" w:rsidRPr="003F040B" w:rsidRDefault="003F040B" w:rsidP="003F040B">
      <w:pPr>
        <w:spacing w:line="360" w:lineRule="auto"/>
        <w:rPr>
          <w:rFonts w:ascii="Arial" w:hAnsi="Arial" w:cs="Arial"/>
          <w:color w:val="000000" w:themeColor="text1"/>
        </w:rPr>
      </w:pPr>
      <w:r w:rsidRPr="003F040B">
        <w:rPr>
          <w:rFonts w:ascii="Arial" w:hAnsi="Arial" w:cs="Arial"/>
          <w:color w:val="000000" w:themeColor="text1"/>
        </w:rPr>
        <w:t xml:space="preserve">Holley, L., Steiner, S. 2005. </w:t>
      </w:r>
      <w:r w:rsidRPr="00A81E99">
        <w:rPr>
          <w:rFonts w:ascii="Arial" w:hAnsi="Arial" w:cs="Arial"/>
          <w:i/>
          <w:iCs/>
          <w:color w:val="000000" w:themeColor="text1"/>
        </w:rPr>
        <w:t>Safe space: Student perspectives on classroom environment. Journal of Social Work Education</w:t>
      </w:r>
      <w:r w:rsidRPr="003F040B">
        <w:rPr>
          <w:rFonts w:ascii="Arial" w:hAnsi="Arial" w:cs="Arial"/>
          <w:color w:val="000000" w:themeColor="text1"/>
        </w:rPr>
        <w:t>, 41 (1), 49-64.</w:t>
      </w:r>
    </w:p>
    <w:p w14:paraId="57210BBB" w14:textId="77777777" w:rsidR="003F040B" w:rsidRPr="003F040B" w:rsidRDefault="003F040B" w:rsidP="003F040B">
      <w:pPr>
        <w:spacing w:line="360" w:lineRule="auto"/>
        <w:rPr>
          <w:rFonts w:ascii="Arial" w:hAnsi="Arial" w:cs="Arial"/>
          <w:color w:val="000000" w:themeColor="text1"/>
        </w:rPr>
      </w:pPr>
      <w:r w:rsidRPr="003F040B">
        <w:rPr>
          <w:rFonts w:ascii="Arial" w:hAnsi="Arial" w:cs="Arial"/>
          <w:color w:val="000000" w:themeColor="text1"/>
        </w:rPr>
        <w:t xml:space="preserve">Hoover, J, and Patton, J. (2004). </w:t>
      </w:r>
      <w:r w:rsidRPr="00A81E99">
        <w:rPr>
          <w:rFonts w:ascii="Arial" w:hAnsi="Arial" w:cs="Arial"/>
          <w:i/>
          <w:iCs/>
          <w:color w:val="000000" w:themeColor="text1"/>
        </w:rPr>
        <w:t>Differentiating standards-based education for students with diverse needs</w:t>
      </w:r>
      <w:r w:rsidRPr="003F040B">
        <w:rPr>
          <w:rFonts w:ascii="Arial" w:hAnsi="Arial" w:cs="Arial"/>
          <w:color w:val="000000" w:themeColor="text1"/>
        </w:rPr>
        <w:t>. Remedial and Special Education, 25 (3), 74-78.</w:t>
      </w:r>
    </w:p>
    <w:p w14:paraId="29CBFACC" w14:textId="77777777" w:rsidR="003F040B" w:rsidRPr="003F040B" w:rsidRDefault="003F040B" w:rsidP="003F040B">
      <w:pPr>
        <w:spacing w:line="360" w:lineRule="auto"/>
        <w:rPr>
          <w:rFonts w:ascii="Arial" w:hAnsi="Arial" w:cs="Arial"/>
          <w:color w:val="000000" w:themeColor="text1"/>
        </w:rPr>
      </w:pPr>
      <w:r w:rsidRPr="003F040B">
        <w:rPr>
          <w:rFonts w:ascii="Arial" w:hAnsi="Arial" w:cs="Arial"/>
          <w:color w:val="000000" w:themeColor="text1"/>
        </w:rPr>
        <w:t xml:space="preserve">Locke, E., &amp; Latham, G. (1990). </w:t>
      </w:r>
      <w:r w:rsidRPr="00A81E99">
        <w:rPr>
          <w:rFonts w:ascii="Arial" w:hAnsi="Arial" w:cs="Arial"/>
          <w:i/>
          <w:iCs/>
          <w:color w:val="000000" w:themeColor="text1"/>
        </w:rPr>
        <w:t>A theory of goal setting and task performance</w:t>
      </w:r>
      <w:r w:rsidRPr="003F040B">
        <w:rPr>
          <w:rFonts w:ascii="Arial" w:hAnsi="Arial" w:cs="Arial"/>
          <w:color w:val="000000" w:themeColor="text1"/>
        </w:rPr>
        <w:t>. Englewood Cliffs, NJ: Prentice-Hall.</w:t>
      </w:r>
    </w:p>
    <w:p w14:paraId="1161333D" w14:textId="77777777" w:rsidR="003F040B" w:rsidRPr="003F040B" w:rsidRDefault="003F040B" w:rsidP="003F040B">
      <w:pPr>
        <w:spacing w:line="360" w:lineRule="auto"/>
        <w:rPr>
          <w:rFonts w:ascii="Arial" w:hAnsi="Arial" w:cs="Arial"/>
          <w:color w:val="000000" w:themeColor="text1"/>
        </w:rPr>
      </w:pPr>
      <w:r w:rsidRPr="003F040B">
        <w:rPr>
          <w:rFonts w:ascii="Arial" w:hAnsi="Arial" w:cs="Arial"/>
          <w:color w:val="000000" w:themeColor="text1"/>
        </w:rPr>
        <w:lastRenderedPageBreak/>
        <w:t>Maslow, A. H. (1962). </w:t>
      </w:r>
      <w:r w:rsidRPr="003F040B">
        <w:rPr>
          <w:rFonts w:ascii="Arial" w:hAnsi="Arial" w:cs="Arial"/>
          <w:i/>
          <w:iCs/>
          <w:color w:val="000000" w:themeColor="text1"/>
        </w:rPr>
        <w:t>Toward a psychology of being</w:t>
      </w:r>
      <w:r w:rsidRPr="003F040B">
        <w:rPr>
          <w:rFonts w:ascii="Arial" w:hAnsi="Arial" w:cs="Arial"/>
          <w:color w:val="000000" w:themeColor="text1"/>
        </w:rPr>
        <w:t>. Princeton: D. Van Nostrand Company.</w:t>
      </w:r>
    </w:p>
    <w:p w14:paraId="58F75771" w14:textId="77777777" w:rsidR="003F040B" w:rsidRPr="003F040B" w:rsidRDefault="003F040B" w:rsidP="003F040B">
      <w:pPr>
        <w:spacing w:line="360" w:lineRule="auto"/>
        <w:rPr>
          <w:rFonts w:ascii="Arial" w:hAnsi="Arial" w:cs="Arial"/>
          <w:color w:val="000000" w:themeColor="text1"/>
        </w:rPr>
      </w:pPr>
      <w:r w:rsidRPr="003F040B">
        <w:rPr>
          <w:rFonts w:ascii="Arial" w:hAnsi="Arial" w:cs="Arial"/>
          <w:color w:val="000000" w:themeColor="text1"/>
        </w:rPr>
        <w:t>McLeod, S. A. (2020, March 20). </w:t>
      </w:r>
      <w:r w:rsidRPr="003F040B">
        <w:rPr>
          <w:rFonts w:ascii="Arial" w:hAnsi="Arial" w:cs="Arial"/>
          <w:i/>
          <w:iCs/>
          <w:color w:val="000000" w:themeColor="text1"/>
        </w:rPr>
        <w:t>Maslow's hierarchy of needs</w:t>
      </w:r>
      <w:r w:rsidRPr="003F040B">
        <w:rPr>
          <w:rFonts w:ascii="Arial" w:hAnsi="Arial" w:cs="Arial"/>
          <w:color w:val="000000" w:themeColor="text1"/>
        </w:rPr>
        <w:t xml:space="preserve">. Simply Psychology. </w:t>
      </w:r>
      <w:hyperlink r:id="rId12" w:history="1">
        <w:r w:rsidRPr="003F040B">
          <w:rPr>
            <w:rStyle w:val="Hyperlink"/>
            <w:rFonts w:ascii="Arial" w:hAnsi="Arial" w:cs="Arial"/>
            <w:color w:val="000000" w:themeColor="text1"/>
          </w:rPr>
          <w:t>https://www.simplypsychology.org/maslow.html</w:t>
        </w:r>
      </w:hyperlink>
      <w:r w:rsidRPr="003F040B">
        <w:rPr>
          <w:rFonts w:ascii="Arial" w:hAnsi="Arial" w:cs="Arial"/>
          <w:color w:val="000000" w:themeColor="text1"/>
        </w:rPr>
        <w:t xml:space="preserve"> (Accessed: 26 April 2021).</w:t>
      </w:r>
    </w:p>
    <w:p w14:paraId="23E2714E" w14:textId="77777777" w:rsidR="003F040B" w:rsidRPr="003F040B" w:rsidRDefault="003F040B" w:rsidP="003F040B">
      <w:pPr>
        <w:spacing w:line="360" w:lineRule="auto"/>
        <w:rPr>
          <w:rFonts w:ascii="Arial" w:hAnsi="Arial" w:cs="Arial"/>
          <w:color w:val="000000" w:themeColor="text1"/>
        </w:rPr>
      </w:pPr>
      <w:r w:rsidRPr="003F040B">
        <w:rPr>
          <w:rFonts w:ascii="Arial" w:hAnsi="Arial" w:cs="Arial"/>
          <w:color w:val="000000" w:themeColor="text1"/>
        </w:rPr>
        <w:t xml:space="preserve">Meek, L., Phillips, J. and Jordan, S. (2020) </w:t>
      </w:r>
      <w:r w:rsidRPr="00A81E99">
        <w:rPr>
          <w:rFonts w:ascii="Arial" w:hAnsi="Arial" w:cs="Arial"/>
          <w:i/>
          <w:iCs/>
          <w:color w:val="000000" w:themeColor="text1"/>
        </w:rPr>
        <w:t xml:space="preserve">Mental Health and Wellbeing in Primary Education. </w:t>
      </w:r>
      <w:r w:rsidRPr="003F040B">
        <w:rPr>
          <w:rFonts w:ascii="Arial" w:hAnsi="Arial" w:cs="Arial"/>
          <w:color w:val="000000" w:themeColor="text1"/>
        </w:rPr>
        <w:t>West Sussex: Pavilion Publishing and Media Ltd.</w:t>
      </w:r>
    </w:p>
    <w:p w14:paraId="41217C5A" w14:textId="77777777" w:rsidR="003F040B" w:rsidRPr="003F040B" w:rsidRDefault="003F040B" w:rsidP="003F040B">
      <w:pPr>
        <w:spacing w:line="360" w:lineRule="auto"/>
        <w:rPr>
          <w:rFonts w:ascii="Arial" w:hAnsi="Arial" w:cs="Arial"/>
          <w:color w:val="000000" w:themeColor="text1"/>
        </w:rPr>
      </w:pPr>
      <w:r w:rsidRPr="003F040B">
        <w:rPr>
          <w:rFonts w:ascii="Arial" w:hAnsi="Arial" w:cs="Arial"/>
          <w:color w:val="000000" w:themeColor="text1"/>
        </w:rPr>
        <w:t xml:space="preserve">OECD (2013) </w:t>
      </w:r>
      <w:r w:rsidRPr="00A81E99">
        <w:rPr>
          <w:rFonts w:ascii="Arial" w:hAnsi="Arial" w:cs="Arial"/>
          <w:i/>
          <w:iCs/>
          <w:color w:val="000000" w:themeColor="text1"/>
        </w:rPr>
        <w:t>Innovative Learning Environments Educational Research and Innovation</w:t>
      </w:r>
      <w:r w:rsidRPr="003F040B">
        <w:rPr>
          <w:rFonts w:ascii="Arial" w:hAnsi="Arial" w:cs="Arial"/>
          <w:color w:val="000000" w:themeColor="text1"/>
        </w:rPr>
        <w:t>, OECD Publishing.</w:t>
      </w:r>
    </w:p>
    <w:p w14:paraId="3CAC5952" w14:textId="77777777" w:rsidR="003F040B" w:rsidRPr="003F040B" w:rsidRDefault="003F040B" w:rsidP="003F040B">
      <w:pPr>
        <w:spacing w:line="360" w:lineRule="auto"/>
        <w:rPr>
          <w:rFonts w:ascii="Arial" w:hAnsi="Arial" w:cs="Arial"/>
          <w:color w:val="000000" w:themeColor="text1"/>
        </w:rPr>
      </w:pPr>
      <w:proofErr w:type="spellStart"/>
      <w:r w:rsidRPr="003F040B">
        <w:rPr>
          <w:rFonts w:ascii="Arial" w:hAnsi="Arial" w:cs="Arial"/>
          <w:color w:val="000000" w:themeColor="text1"/>
        </w:rPr>
        <w:t>Pisha</w:t>
      </w:r>
      <w:proofErr w:type="spellEnd"/>
      <w:r w:rsidRPr="003F040B">
        <w:rPr>
          <w:rFonts w:ascii="Arial" w:hAnsi="Arial" w:cs="Arial"/>
          <w:color w:val="000000" w:themeColor="text1"/>
        </w:rPr>
        <w:t xml:space="preserve">, B. and Stahl, S. (2005). </w:t>
      </w:r>
      <w:r w:rsidRPr="00A81E99">
        <w:rPr>
          <w:rFonts w:ascii="Arial" w:hAnsi="Arial" w:cs="Arial"/>
          <w:i/>
          <w:iCs/>
          <w:color w:val="000000" w:themeColor="text1"/>
        </w:rPr>
        <w:t>The Promise of New Learning Environments for Students with Disabilities</w:t>
      </w:r>
      <w:r w:rsidRPr="003F040B">
        <w:rPr>
          <w:rFonts w:ascii="Arial" w:hAnsi="Arial" w:cs="Arial"/>
          <w:color w:val="000000" w:themeColor="text1"/>
        </w:rPr>
        <w:t>. Intervention in School and Clinic, 41, p 67.</w:t>
      </w:r>
    </w:p>
    <w:p w14:paraId="3AEB6359" w14:textId="77777777" w:rsidR="003F040B" w:rsidRPr="003F040B" w:rsidRDefault="003F040B" w:rsidP="003F040B">
      <w:pPr>
        <w:spacing w:line="360" w:lineRule="auto"/>
        <w:rPr>
          <w:rFonts w:ascii="Arial" w:hAnsi="Arial" w:cs="Arial"/>
          <w:color w:val="000000" w:themeColor="text1"/>
        </w:rPr>
      </w:pPr>
      <w:r w:rsidRPr="003F040B">
        <w:rPr>
          <w:rFonts w:ascii="Arial" w:hAnsi="Arial" w:cs="Arial"/>
          <w:color w:val="000000" w:themeColor="text1"/>
        </w:rPr>
        <w:t>Steinerwaldorf.org. (2009).</w:t>
      </w:r>
      <w:r w:rsidRPr="003F040B">
        <w:rPr>
          <w:rFonts w:ascii="Arial" w:hAnsi="Arial" w:cs="Arial"/>
          <w:i/>
          <w:iCs/>
          <w:color w:val="000000" w:themeColor="text1"/>
        </w:rPr>
        <w:t xml:space="preserve"> Guide to the Early Years Foundation Stage in Steiner Waldorf Early Childhood Settings. </w:t>
      </w:r>
      <w:r w:rsidRPr="003F040B">
        <w:rPr>
          <w:rFonts w:ascii="Arial" w:hAnsi="Arial" w:cs="Arial"/>
          <w:color w:val="000000" w:themeColor="text1"/>
        </w:rPr>
        <w:t>England: WHITE HORSE PRESS.</w:t>
      </w:r>
    </w:p>
    <w:p w14:paraId="734F2EE3" w14:textId="77777777" w:rsidR="003F040B" w:rsidRPr="003F040B" w:rsidRDefault="003F040B" w:rsidP="003F040B">
      <w:pPr>
        <w:spacing w:line="360" w:lineRule="auto"/>
        <w:rPr>
          <w:rFonts w:ascii="Arial" w:hAnsi="Arial" w:cs="Arial"/>
          <w:color w:val="000000" w:themeColor="text1"/>
        </w:rPr>
      </w:pPr>
      <w:r w:rsidRPr="003F040B">
        <w:rPr>
          <w:rFonts w:ascii="Arial" w:hAnsi="Arial" w:cs="Arial"/>
          <w:color w:val="000000" w:themeColor="text1"/>
        </w:rPr>
        <w:t xml:space="preserve">UNICEF (n.d) </w:t>
      </w:r>
      <w:r w:rsidRPr="00A81E99">
        <w:rPr>
          <w:rFonts w:ascii="Arial" w:hAnsi="Arial" w:cs="Arial"/>
          <w:i/>
          <w:iCs/>
          <w:color w:val="000000" w:themeColor="text1"/>
        </w:rPr>
        <w:t>A SUMMARY OF THE UN CONVENTION ON THE RIGHTS OF THE CHILD</w:t>
      </w:r>
      <w:r w:rsidRPr="003F040B">
        <w:rPr>
          <w:rFonts w:ascii="Arial" w:hAnsi="Arial" w:cs="Arial"/>
          <w:color w:val="000000" w:themeColor="text1"/>
        </w:rPr>
        <w:t>. United Kingdom. Available at: https://www.unicef.org.uk/what-we-do/un-convention-child-rights/ (Accessed: 29th May 2021).</w:t>
      </w:r>
    </w:p>
    <w:p w14:paraId="3FC6A756" w14:textId="77777777" w:rsidR="003F040B" w:rsidRPr="003F040B" w:rsidRDefault="003F040B" w:rsidP="003F040B">
      <w:pPr>
        <w:spacing w:line="360" w:lineRule="auto"/>
        <w:rPr>
          <w:rFonts w:ascii="Arial" w:hAnsi="Arial" w:cs="Arial"/>
          <w:color w:val="000000" w:themeColor="text1"/>
        </w:rPr>
      </w:pPr>
      <w:r w:rsidRPr="003F040B">
        <w:rPr>
          <w:rFonts w:ascii="Arial" w:hAnsi="Arial" w:cs="Arial"/>
          <w:color w:val="000000" w:themeColor="text1"/>
        </w:rPr>
        <w:t xml:space="preserve">Welsh Government (2010) </w:t>
      </w:r>
      <w:r w:rsidRPr="00A81E99">
        <w:rPr>
          <w:rFonts w:ascii="Arial" w:hAnsi="Arial" w:cs="Arial"/>
          <w:i/>
          <w:iCs/>
          <w:color w:val="000000" w:themeColor="text1"/>
        </w:rPr>
        <w:t>Economic Renewal:</w:t>
      </w:r>
      <w:r w:rsidRPr="003F040B">
        <w:rPr>
          <w:rFonts w:ascii="Arial" w:hAnsi="Arial" w:cs="Arial"/>
          <w:color w:val="000000" w:themeColor="text1"/>
        </w:rPr>
        <w:t xml:space="preserve"> a new direction Welsh Government</w:t>
      </w:r>
    </w:p>
    <w:p w14:paraId="430E653C" w14:textId="77777777" w:rsidR="003F040B" w:rsidRPr="003F040B" w:rsidRDefault="003F040B" w:rsidP="003F040B">
      <w:pPr>
        <w:spacing w:line="360" w:lineRule="auto"/>
        <w:rPr>
          <w:rFonts w:ascii="Arial" w:hAnsi="Arial" w:cs="Arial"/>
          <w:color w:val="000000" w:themeColor="text1"/>
        </w:rPr>
      </w:pPr>
      <w:r w:rsidRPr="003F040B">
        <w:rPr>
          <w:rFonts w:ascii="Arial" w:hAnsi="Arial" w:cs="Arial"/>
          <w:color w:val="000000" w:themeColor="text1"/>
        </w:rPr>
        <w:t xml:space="preserve">Welsh Government, (2012) </w:t>
      </w:r>
      <w:r w:rsidRPr="003F040B">
        <w:rPr>
          <w:rFonts w:ascii="Arial" w:hAnsi="Arial" w:cs="Arial"/>
          <w:i/>
          <w:iCs/>
          <w:color w:val="000000" w:themeColor="text1"/>
        </w:rPr>
        <w:t>Practical approaches to behaviour management in the classroom</w:t>
      </w:r>
      <w:r w:rsidRPr="003F040B">
        <w:rPr>
          <w:rFonts w:ascii="Arial" w:hAnsi="Arial" w:cs="Arial"/>
          <w:color w:val="000000" w:themeColor="text1"/>
        </w:rPr>
        <w:t>. Cardiff: Crown. Available at: https://gov.wales/sites/default/files/publications/2018-12/practical-approaches-to-behaviour-management-in-the-classroom-a-handbook-for-classroom-teachers-in-primary-schools.pdf (Accessed: 29th April 2021).</w:t>
      </w:r>
    </w:p>
    <w:p w14:paraId="1A4E8438" w14:textId="77777777" w:rsidR="003F040B" w:rsidRPr="003F040B" w:rsidRDefault="003F040B" w:rsidP="003F040B">
      <w:pPr>
        <w:spacing w:line="360" w:lineRule="auto"/>
        <w:rPr>
          <w:rFonts w:ascii="Arial" w:hAnsi="Arial" w:cs="Arial"/>
          <w:color w:val="000000" w:themeColor="text1"/>
        </w:rPr>
      </w:pPr>
      <w:r w:rsidRPr="003F040B">
        <w:rPr>
          <w:rFonts w:ascii="Arial" w:hAnsi="Arial" w:cs="Arial"/>
          <w:color w:val="000000" w:themeColor="text1"/>
        </w:rPr>
        <w:t xml:space="preserve">Welsh Government (2019) </w:t>
      </w:r>
      <w:r w:rsidRPr="003F040B">
        <w:rPr>
          <w:rFonts w:ascii="Arial" w:hAnsi="Arial" w:cs="Arial"/>
          <w:i/>
          <w:iCs/>
          <w:color w:val="000000" w:themeColor="text1"/>
        </w:rPr>
        <w:t>New guidance will challenge bullying in Welsh schools</w:t>
      </w:r>
      <w:r w:rsidRPr="003F040B">
        <w:rPr>
          <w:rFonts w:ascii="Arial" w:hAnsi="Arial" w:cs="Arial"/>
          <w:color w:val="000000" w:themeColor="text1"/>
        </w:rPr>
        <w:t>. Available at: https://gov.wales/new-guidance-will-challenge-bullying-welsh-schools (Accessed 29th April 2021).</w:t>
      </w:r>
    </w:p>
    <w:p w14:paraId="51330E84" w14:textId="77777777" w:rsidR="003F040B" w:rsidRPr="003F040B" w:rsidRDefault="003F040B" w:rsidP="003F040B">
      <w:pPr>
        <w:spacing w:line="360" w:lineRule="auto"/>
        <w:rPr>
          <w:rFonts w:ascii="Arial" w:hAnsi="Arial" w:cs="Arial"/>
          <w:color w:val="000000" w:themeColor="text1"/>
        </w:rPr>
      </w:pPr>
      <w:r w:rsidRPr="003F040B">
        <w:rPr>
          <w:rFonts w:ascii="Arial" w:hAnsi="Arial" w:cs="Arial"/>
          <w:color w:val="000000" w:themeColor="text1"/>
        </w:rPr>
        <w:t>Welsh Government (2020) ‘</w:t>
      </w:r>
      <w:r w:rsidRPr="003F040B">
        <w:rPr>
          <w:rFonts w:ascii="Arial" w:hAnsi="Arial" w:cs="Arial"/>
          <w:i/>
          <w:iCs/>
          <w:color w:val="000000" w:themeColor="text1"/>
        </w:rPr>
        <w:t>Developing a vision for curriculum design’.</w:t>
      </w:r>
      <w:r w:rsidRPr="003F040B">
        <w:rPr>
          <w:rFonts w:ascii="Arial" w:hAnsi="Arial" w:cs="Arial"/>
          <w:color w:val="000000" w:themeColor="text1"/>
        </w:rPr>
        <w:t xml:space="preserve"> Available at: </w:t>
      </w:r>
      <w:hyperlink r:id="rId13" w:anchor="curriculum-design-and-the-four-purposes" w:history="1">
        <w:r w:rsidRPr="003F040B">
          <w:rPr>
            <w:rFonts w:ascii="Arial" w:hAnsi="Arial" w:cs="Arial"/>
            <w:color w:val="000000" w:themeColor="text1"/>
            <w:u w:val="single"/>
          </w:rPr>
          <w:t>Developing a vision for curriculum design - Hwb (</w:t>
        </w:r>
        <w:proofErr w:type="spellStart"/>
        <w:r w:rsidRPr="003F040B">
          <w:rPr>
            <w:rFonts w:ascii="Arial" w:hAnsi="Arial" w:cs="Arial"/>
            <w:color w:val="000000" w:themeColor="text1"/>
            <w:u w:val="single"/>
          </w:rPr>
          <w:t>gov.wales</w:t>
        </w:r>
        <w:proofErr w:type="spellEnd"/>
        <w:r w:rsidRPr="003F040B">
          <w:rPr>
            <w:rFonts w:ascii="Arial" w:hAnsi="Arial" w:cs="Arial"/>
            <w:color w:val="000000" w:themeColor="text1"/>
            <w:u w:val="single"/>
          </w:rPr>
          <w:t>)</w:t>
        </w:r>
      </w:hyperlink>
      <w:r w:rsidRPr="003F040B">
        <w:rPr>
          <w:rFonts w:ascii="Arial" w:hAnsi="Arial" w:cs="Arial"/>
          <w:color w:val="000000" w:themeColor="text1"/>
        </w:rPr>
        <w:t xml:space="preserve"> (Accessed: 26 April 2020).</w:t>
      </w:r>
    </w:p>
    <w:p w14:paraId="1EE7608F" w14:textId="77777777" w:rsidR="008D7555" w:rsidRPr="008D7555" w:rsidRDefault="008D7555" w:rsidP="00542E1B">
      <w:pPr>
        <w:pStyle w:val="AssignBody"/>
        <w:rPr>
          <w:b/>
          <w:bCs/>
          <w:color w:val="000000" w:themeColor="text1"/>
          <w:sz w:val="28"/>
          <w:szCs w:val="28"/>
          <w:u w:val="single"/>
        </w:rPr>
      </w:pPr>
    </w:p>
    <w:sectPr w:rsidR="008D7555" w:rsidRPr="008D7555">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D9B54D" w14:textId="77777777" w:rsidR="00030BF5" w:rsidRDefault="00030BF5" w:rsidP="00E611D9">
      <w:pPr>
        <w:spacing w:after="0" w:line="240" w:lineRule="auto"/>
      </w:pPr>
      <w:r>
        <w:separator/>
      </w:r>
    </w:p>
  </w:endnote>
  <w:endnote w:type="continuationSeparator" w:id="0">
    <w:p w14:paraId="53ECE4F4" w14:textId="77777777" w:rsidR="00030BF5" w:rsidRDefault="00030BF5"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42323B4B"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87672C">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566488" w14:textId="77777777" w:rsidR="00030BF5" w:rsidRDefault="00030BF5" w:rsidP="00E611D9">
      <w:pPr>
        <w:spacing w:after="0" w:line="240" w:lineRule="auto"/>
      </w:pPr>
      <w:r>
        <w:separator/>
      </w:r>
    </w:p>
  </w:footnote>
  <w:footnote w:type="continuationSeparator" w:id="0">
    <w:p w14:paraId="59E0D211" w14:textId="77777777" w:rsidR="00030BF5" w:rsidRDefault="00030BF5"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76590B2B"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87672C">
            <w:rPr>
              <w:rFonts w:ascii="Arial" w:hAnsi="Arial" w:cs="Arial"/>
            </w:rPr>
            <w:t>60</w:t>
          </w:r>
          <w:r w:rsidR="00522BB3">
            <w:rPr>
              <w:rFonts w:ascii="Arial" w:hAnsi="Arial" w:cs="Arial"/>
            </w:rPr>
            <w:t>08</w:t>
          </w:r>
        </w:p>
      </w:tc>
      <w:tc>
        <w:tcPr>
          <w:tcW w:w="4508" w:type="dxa"/>
        </w:tcPr>
        <w:p w14:paraId="51D506A0" w14:textId="3EC94ECB" w:rsidR="00E611D9" w:rsidRPr="00E611D9" w:rsidRDefault="00E611D9" w:rsidP="00E611D9">
          <w:pPr>
            <w:pStyle w:val="Header"/>
            <w:jc w:val="right"/>
            <w:rPr>
              <w:rFonts w:ascii="Arial" w:hAnsi="Arial" w:cs="Arial"/>
            </w:rPr>
          </w:pPr>
          <w:r>
            <w:rPr>
              <w:rFonts w:ascii="Arial" w:hAnsi="Arial" w:cs="Arial"/>
            </w:rPr>
            <w:t xml:space="preserve"> </w:t>
          </w:r>
          <w:r w:rsidR="00522BB3">
            <w:rPr>
              <w:rFonts w:ascii="Arial" w:hAnsi="Arial" w:cs="Arial"/>
            </w:rPr>
            <w:t>1802730</w:t>
          </w:r>
        </w:p>
      </w:tc>
    </w:tr>
  </w:tbl>
  <w:p w14:paraId="31028CA5" w14:textId="60CD5227"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355C"/>
    <w:rsid w:val="00030BF5"/>
    <w:rsid w:val="002229F0"/>
    <w:rsid w:val="003F040B"/>
    <w:rsid w:val="004D3B4A"/>
    <w:rsid w:val="004F11A8"/>
    <w:rsid w:val="00522BB3"/>
    <w:rsid w:val="00542E1B"/>
    <w:rsid w:val="006419C3"/>
    <w:rsid w:val="00691A46"/>
    <w:rsid w:val="006B5861"/>
    <w:rsid w:val="0071087B"/>
    <w:rsid w:val="007F5187"/>
    <w:rsid w:val="00817F7A"/>
    <w:rsid w:val="0087672C"/>
    <w:rsid w:val="008D7555"/>
    <w:rsid w:val="00972AD8"/>
    <w:rsid w:val="00A80B15"/>
    <w:rsid w:val="00A81E99"/>
    <w:rsid w:val="00BA4AF8"/>
    <w:rsid w:val="00BC651E"/>
    <w:rsid w:val="00BF1E74"/>
    <w:rsid w:val="00C75412"/>
    <w:rsid w:val="00CD1240"/>
    <w:rsid w:val="00DF6E9A"/>
    <w:rsid w:val="00E611D9"/>
    <w:rsid w:val="00E959BA"/>
    <w:rsid w:val="00FE18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755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F040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hwb.gov.wales/curriculum-for-wales/designing-your-curriculum/developing-a-vision-for-curriculum-design/" TargetMode="Externa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www.simplypsychology.org/maslow.html"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gov.uk/government/uploads/system/uploads/attachment_data/file/292453/mental-capital-wellbeing-summary.pdf"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hyperlink" Target="https://www.estyn.gov.wales/system/files/2020-07/Healthy%2520and%2520Happy%2520report%2520En_0.pdf" TargetMode="External"/><Relationship Id="rId4" Type="http://schemas.openxmlformats.org/officeDocument/2006/relationships/styles" Target="styles.xml"/><Relationship Id="rId9" Type="http://schemas.openxmlformats.org/officeDocument/2006/relationships/hyperlink" Target="http://www.iier.org.au/qjer/qjer18/dorman.html"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15</Pages>
  <Words>5797</Words>
  <Characters>33047</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Alisha</cp:lastModifiedBy>
  <cp:revision>8</cp:revision>
  <dcterms:created xsi:type="dcterms:W3CDTF">2021-05-02T14:26:00Z</dcterms:created>
  <dcterms:modified xsi:type="dcterms:W3CDTF">2021-05-02T14:54:00Z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