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F84D9" w14:textId="77777777" w:rsidR="00972F58" w:rsidRDefault="00000000">
      <w:pPr>
        <w:jc w:val="center"/>
      </w:pPr>
      <w:r>
        <w:rPr>
          <w:b/>
          <w:sz w:val="36"/>
        </w:rPr>
        <w:t>DESIGN AND DEVELOPMENT OF A CLOUD-BASED PROTOTYPE</w:t>
      </w:r>
      <w:r>
        <w:rPr>
          <w:b/>
          <w:sz w:val="36"/>
        </w:rPr>
        <w:br/>
        <w:t>FOR MANAGING XIQUILÁ ROTATING SAVINGS GROUPS</w:t>
      </w:r>
    </w:p>
    <w:p w14:paraId="199842A4" w14:textId="77777777" w:rsidR="00972F58" w:rsidRDefault="00000000">
      <w:pPr>
        <w:jc w:val="center"/>
      </w:pPr>
      <w:r>
        <w:rPr>
          <w:b/>
          <w:sz w:val="28"/>
        </w:rPr>
        <w:t>Research Proposal</w:t>
      </w:r>
    </w:p>
    <w:p w14:paraId="01413DD6" w14:textId="77777777" w:rsidR="00972F58" w:rsidRDefault="00972F58"/>
    <w:tbl>
      <w:tblPr>
        <w:tblStyle w:val="TableGrid"/>
        <w:tblW w:w="0" w:type="auto"/>
        <w:jc w:val="center"/>
        <w:tblLook w:val="04A0" w:firstRow="1" w:lastRow="0" w:firstColumn="1" w:lastColumn="0" w:noHBand="0" w:noVBand="1"/>
      </w:tblPr>
      <w:tblGrid>
        <w:gridCol w:w="4896"/>
        <w:gridCol w:w="4896"/>
      </w:tblGrid>
      <w:tr w:rsidR="00972F58" w14:paraId="0FFF039F" w14:textId="77777777">
        <w:trPr>
          <w:jc w:val="center"/>
        </w:trPr>
        <w:tc>
          <w:tcPr>
            <w:tcW w:w="4896" w:type="dxa"/>
            <w:shd w:val="clear" w:color="auto" w:fill="D9EAF7"/>
            <w:vAlign w:val="center"/>
          </w:tcPr>
          <w:p w14:paraId="3EEDED52" w14:textId="77777777" w:rsidR="00972F58" w:rsidRDefault="00000000">
            <w:r>
              <w:rPr>
                <w:b/>
                <w:sz w:val="20"/>
              </w:rPr>
              <w:t>Student</w:t>
            </w:r>
          </w:p>
        </w:tc>
        <w:tc>
          <w:tcPr>
            <w:tcW w:w="4896" w:type="dxa"/>
            <w:vAlign w:val="center"/>
          </w:tcPr>
          <w:p w14:paraId="48B62D92" w14:textId="77777777" w:rsidR="00972F58" w:rsidRDefault="00000000">
            <w:r>
              <w:rPr>
                <w:sz w:val="20"/>
              </w:rPr>
              <w:t>Uri Neto</w:t>
            </w:r>
          </w:p>
        </w:tc>
      </w:tr>
      <w:tr w:rsidR="00972F58" w14:paraId="10736AFF" w14:textId="77777777">
        <w:trPr>
          <w:jc w:val="center"/>
        </w:trPr>
        <w:tc>
          <w:tcPr>
            <w:tcW w:w="4896" w:type="dxa"/>
            <w:shd w:val="clear" w:color="auto" w:fill="D9EAF7"/>
            <w:vAlign w:val="center"/>
          </w:tcPr>
          <w:p w14:paraId="453AAC79" w14:textId="77777777" w:rsidR="00972F58" w:rsidRDefault="00000000">
            <w:r>
              <w:rPr>
                <w:b/>
                <w:sz w:val="20"/>
              </w:rPr>
              <w:t>Student ID</w:t>
            </w:r>
          </w:p>
        </w:tc>
        <w:tc>
          <w:tcPr>
            <w:tcW w:w="4896" w:type="dxa"/>
            <w:vAlign w:val="center"/>
          </w:tcPr>
          <w:p w14:paraId="76F78342" w14:textId="77777777" w:rsidR="00972F58" w:rsidRDefault="00000000">
            <w:r>
              <w:rPr>
                <w:sz w:val="20"/>
              </w:rPr>
              <w:t>2327255</w:t>
            </w:r>
          </w:p>
        </w:tc>
      </w:tr>
      <w:tr w:rsidR="00972F58" w14:paraId="35775198" w14:textId="77777777">
        <w:trPr>
          <w:jc w:val="center"/>
        </w:trPr>
        <w:tc>
          <w:tcPr>
            <w:tcW w:w="4896" w:type="dxa"/>
            <w:shd w:val="clear" w:color="auto" w:fill="D9EAF7"/>
            <w:vAlign w:val="center"/>
          </w:tcPr>
          <w:p w14:paraId="36DC8165" w14:textId="77777777" w:rsidR="00972F58" w:rsidRDefault="00000000">
            <w:r>
              <w:rPr>
                <w:b/>
                <w:sz w:val="20"/>
              </w:rPr>
              <w:t>Programme</w:t>
            </w:r>
          </w:p>
        </w:tc>
        <w:tc>
          <w:tcPr>
            <w:tcW w:w="4896" w:type="dxa"/>
            <w:vAlign w:val="center"/>
          </w:tcPr>
          <w:p w14:paraId="445CC17A" w14:textId="77777777" w:rsidR="00972F58" w:rsidRDefault="00000000">
            <w:r>
              <w:rPr>
                <w:sz w:val="20"/>
              </w:rPr>
              <w:t>BSc Cloud Computing</w:t>
            </w:r>
          </w:p>
        </w:tc>
      </w:tr>
      <w:tr w:rsidR="00972F58" w14:paraId="30F99148" w14:textId="77777777">
        <w:trPr>
          <w:jc w:val="center"/>
        </w:trPr>
        <w:tc>
          <w:tcPr>
            <w:tcW w:w="4896" w:type="dxa"/>
            <w:shd w:val="clear" w:color="auto" w:fill="D9EAF7"/>
            <w:vAlign w:val="center"/>
          </w:tcPr>
          <w:p w14:paraId="3D81F9C1" w14:textId="77777777" w:rsidR="00972F58" w:rsidRDefault="00000000">
            <w:r>
              <w:rPr>
                <w:b/>
                <w:sz w:val="20"/>
              </w:rPr>
              <w:t>Module</w:t>
            </w:r>
          </w:p>
        </w:tc>
        <w:tc>
          <w:tcPr>
            <w:tcW w:w="4896" w:type="dxa"/>
            <w:vAlign w:val="center"/>
          </w:tcPr>
          <w:p w14:paraId="3E572A2B" w14:textId="77777777" w:rsidR="00972F58" w:rsidRDefault="00000000">
            <w:r>
              <w:rPr>
                <w:sz w:val="20"/>
              </w:rPr>
              <w:t>ACCA6020 Independent Project</w:t>
            </w:r>
          </w:p>
        </w:tc>
      </w:tr>
      <w:tr w:rsidR="00972F58" w14:paraId="0A072940" w14:textId="77777777">
        <w:trPr>
          <w:jc w:val="center"/>
        </w:trPr>
        <w:tc>
          <w:tcPr>
            <w:tcW w:w="4896" w:type="dxa"/>
            <w:shd w:val="clear" w:color="auto" w:fill="D9EAF7"/>
            <w:vAlign w:val="center"/>
          </w:tcPr>
          <w:p w14:paraId="714752F1" w14:textId="77777777" w:rsidR="00972F58" w:rsidRDefault="00000000">
            <w:r>
              <w:rPr>
                <w:b/>
                <w:sz w:val="20"/>
              </w:rPr>
              <w:t>Supervisor</w:t>
            </w:r>
          </w:p>
        </w:tc>
        <w:tc>
          <w:tcPr>
            <w:tcW w:w="4896" w:type="dxa"/>
            <w:vAlign w:val="center"/>
          </w:tcPr>
          <w:p w14:paraId="5845D4F2" w14:textId="77777777" w:rsidR="00972F58" w:rsidRDefault="00000000">
            <w:r>
              <w:rPr>
                <w:sz w:val="20"/>
              </w:rPr>
              <w:t>Koushik Modak</w:t>
            </w:r>
          </w:p>
        </w:tc>
      </w:tr>
      <w:tr w:rsidR="00972F58" w14:paraId="429200A5" w14:textId="77777777">
        <w:trPr>
          <w:jc w:val="center"/>
        </w:trPr>
        <w:tc>
          <w:tcPr>
            <w:tcW w:w="4896" w:type="dxa"/>
            <w:shd w:val="clear" w:color="auto" w:fill="D9EAF7"/>
            <w:vAlign w:val="center"/>
          </w:tcPr>
          <w:p w14:paraId="4FC62DDA" w14:textId="77777777" w:rsidR="00972F58" w:rsidRDefault="00000000">
            <w:r>
              <w:rPr>
                <w:b/>
                <w:sz w:val="20"/>
              </w:rPr>
              <w:t>Institution</w:t>
            </w:r>
          </w:p>
        </w:tc>
        <w:tc>
          <w:tcPr>
            <w:tcW w:w="4896" w:type="dxa"/>
            <w:vAlign w:val="center"/>
          </w:tcPr>
          <w:p w14:paraId="00D9E77B" w14:textId="77777777" w:rsidR="00972F58" w:rsidRDefault="00000000">
            <w:r>
              <w:rPr>
                <w:sz w:val="20"/>
              </w:rPr>
              <w:t>University of Wales Trinity Saint David</w:t>
            </w:r>
          </w:p>
        </w:tc>
      </w:tr>
    </w:tbl>
    <w:p w14:paraId="762FA529" w14:textId="77777777" w:rsidR="00972F58" w:rsidRDefault="00972F58"/>
    <w:p w14:paraId="1CE01ECA" w14:textId="492AAC5D" w:rsidR="00972F58" w:rsidRDefault="00972F58">
      <w:pPr>
        <w:jc w:val="center"/>
      </w:pPr>
    </w:p>
    <w:p w14:paraId="5D09FFD3" w14:textId="77777777" w:rsidR="00972F58" w:rsidRDefault="00000000">
      <w:r>
        <w:br w:type="page"/>
      </w:r>
    </w:p>
    <w:p w14:paraId="63A836B0" w14:textId="77777777" w:rsidR="00972F58" w:rsidRDefault="00000000">
      <w:pPr>
        <w:pStyle w:val="Heading1"/>
      </w:pPr>
      <w:r>
        <w:lastRenderedPageBreak/>
        <w:t>1. Introduction and background</w:t>
      </w:r>
    </w:p>
    <w:p w14:paraId="4746F380" w14:textId="77777777" w:rsidR="00972F58" w:rsidRDefault="00000000">
      <w:r>
        <w:t xml:space="preserve">Xiquilá is a community-based rotating savings practice in which members contribute an agreed amount at regular intervals and the pooled contribution is allocated to one member in a predetermined sequence. This structure corresponds to a rotating savings and credit association (ROSCA), a long-established form of informal finance documented across different cultural and economic settings </w:t>
      </w:r>
      <w:r>
        <w:fldChar w:fldCharType="begin"/>
      </w:r>
      <w:r>
        <w:instrText>CITATION Ardener1964 \\l 2057</w:instrText>
      </w:r>
      <w:r>
        <w:fldChar w:fldCharType="separate"/>
      </w:r>
      <w:r>
        <w:t>[1]</w:t>
      </w:r>
      <w:r>
        <w:fldChar w:fldCharType="end"/>
      </w:r>
      <w:r>
        <w:fldChar w:fldCharType="begin"/>
      </w:r>
      <w:r>
        <w:instrText>CITATION Geertz1962 \\l 2057</w:instrText>
      </w:r>
      <w:r>
        <w:fldChar w:fldCharType="separate"/>
      </w:r>
      <w:r>
        <w:t>[2]</w:t>
      </w:r>
      <w:r>
        <w:fldChar w:fldCharType="end"/>
      </w:r>
      <w:r>
        <w:t xml:space="preserve">. ROSCAs provide disciplined saving, access to a useful lump sum and social accountability without requiring conventional credit assessment. Economic studies show that their value arises from commitment, timing of access to funds and relationships of trust among members </w:t>
      </w:r>
      <w:r>
        <w:fldChar w:fldCharType="begin"/>
      </w:r>
      <w:r>
        <w:instrText>CITATION Besley1993 \\l 2057</w:instrText>
      </w:r>
      <w:r>
        <w:fldChar w:fldCharType="separate"/>
      </w:r>
      <w:r>
        <w:t>[3]</w:t>
      </w:r>
      <w:r>
        <w:fldChar w:fldCharType="end"/>
      </w:r>
      <w:r>
        <w:fldChar w:fldCharType="begin"/>
      </w:r>
      <w:r>
        <w:instrText>CITATION Anderson2002 \\l 2057</w:instrText>
      </w:r>
      <w:r>
        <w:fldChar w:fldCharType="separate"/>
      </w:r>
      <w:r>
        <w:t>[4]</w:t>
      </w:r>
      <w:r>
        <w:fldChar w:fldCharType="end"/>
      </w:r>
      <w:r>
        <w:fldChar w:fldCharType="begin"/>
      </w:r>
      <w:r>
        <w:instrText>CITATION Gugerty2007 \\l 2057</w:instrText>
      </w:r>
      <w:r>
        <w:fldChar w:fldCharType="separate"/>
      </w:r>
      <w:r>
        <w:t>[5]</w:t>
      </w:r>
      <w:r>
        <w:fldChar w:fldCharType="end"/>
      </w:r>
      <w:r>
        <w:t>.</w:t>
      </w:r>
    </w:p>
    <w:p w14:paraId="07F84F1E" w14:textId="77777777" w:rsidR="00972F58" w:rsidRDefault="00000000">
      <w:r>
        <w:t>In the current Xiquilá process considered by this project, every participant must manually transfer money to the member whose turn it is to receive the pooled amount. The recipient or group organiser may also need to send reminders, verify individual payments and maintain informal records. This creates avoidable administrative effort and may lead to delayed contributions, uncertainty about payment status and disputes caused by incomplete records. The proposed project addresses this operational problem through a cloud-based management prototype. The system will support group creation, membership, contribution schedules, recipient rotation, reminders, simulated credit transfers and an auditable transaction history.</w:t>
      </w:r>
    </w:p>
    <w:p w14:paraId="5BFFEEAA" w14:textId="77777777" w:rsidR="00972F58" w:rsidRDefault="00000000">
      <w:r>
        <w:t xml:space="preserve">Digital financial services can reduce transaction friction and extend access, but their design must account for usability, trust, consumer protection and unequal digital access </w:t>
      </w:r>
      <w:r>
        <w:fldChar w:fldCharType="begin"/>
      </w:r>
      <w:r>
        <w:instrText>CITATION WorldBankDFS2020 \\l 2057</w:instrText>
      </w:r>
      <w:r>
        <w:fldChar w:fldCharType="separate"/>
      </w:r>
      <w:r>
        <w:t>[7]</w:t>
      </w:r>
      <w:r>
        <w:fldChar w:fldCharType="end"/>
      </w:r>
      <w:r>
        <w:fldChar w:fldCharType="begin"/>
      </w:r>
      <w:r>
        <w:instrText>CITATION WorldBankFindex2022 \\l 2057</w:instrText>
      </w:r>
      <w:r>
        <w:fldChar w:fldCharType="separate"/>
      </w:r>
      <w:r>
        <w:t>[6]</w:t>
      </w:r>
      <w:r>
        <w:fldChar w:fldCharType="end"/>
      </w:r>
      <w:r>
        <w:t xml:space="preserve">. Research on links between savings groups and digital services identifies possible benefits such as improved record-keeping, convenience and connections to formal services, while also warning that unsuitable technology can weaken familiar group practices or exclude less digitally confident members </w:t>
      </w:r>
      <w:r>
        <w:fldChar w:fldCharType="begin"/>
      </w:r>
      <w:r>
        <w:instrText>CITATION CGAP2014 \\l 2057</w:instrText>
      </w:r>
      <w:r>
        <w:fldChar w:fldCharType="separate"/>
      </w:r>
      <w:r>
        <w:t>[8]</w:t>
      </w:r>
      <w:r>
        <w:fldChar w:fldCharType="end"/>
      </w:r>
      <w:r>
        <w:fldChar w:fldCharType="begin"/>
      </w:r>
      <w:r>
        <w:instrText>CITATION Osabutey2024 \\l 2057</w:instrText>
      </w:r>
      <w:r>
        <w:fldChar w:fldCharType="separate"/>
      </w:r>
      <w:r>
        <w:t>[9]</w:t>
      </w:r>
      <w:r>
        <w:fldChar w:fldCharType="end"/>
      </w:r>
      <w:r>
        <w:t>. Accordingly, this project will not attempt to replace the social structure of Xiquilá. It will examine how technology can support its administration while preserving user control and transparency.</w:t>
      </w:r>
    </w:p>
    <w:p w14:paraId="0473D584" w14:textId="77777777" w:rsidR="00972F58" w:rsidRDefault="00000000">
      <w:r>
        <w:t xml:space="preserve">The prototype will use simulated credits only. It will not accept deposits, hold customer funds, process bank transfers or provide financial advice. This boundary is important because a system that issues transferable value after receiving money may engage payment-services or electronic-money regulation </w:t>
      </w:r>
      <w:r>
        <w:fldChar w:fldCharType="begin"/>
      </w:r>
      <w:r>
        <w:instrText>CITATION FCAEMoney \\l 2057</w:instrText>
      </w:r>
      <w:r>
        <w:fldChar w:fldCharType="separate"/>
      </w:r>
      <w:r>
        <w:t>[17]</w:t>
      </w:r>
      <w:r>
        <w:fldChar w:fldCharType="end"/>
      </w:r>
      <w:r>
        <w:t>. The research contribution will therefore be a safe, research-led evaluation of a culturally specific cloud application rather than a production financial service. It will add evidence about the requirements, usability and perceived usefulness of a digital management tool designed specifically for Xiquilá.</w:t>
      </w:r>
    </w:p>
    <w:p w14:paraId="6AD2CFB0" w14:textId="77777777" w:rsidR="00972F58" w:rsidRDefault="00000000">
      <w:pPr>
        <w:pStyle w:val="Heading1"/>
      </w:pPr>
      <w:r>
        <w:t>2. Research question, aim and objectives</w:t>
      </w:r>
    </w:p>
    <w:p w14:paraId="34768F9F" w14:textId="77777777" w:rsidR="00972F58" w:rsidRDefault="00000000">
      <w:r>
        <w:rPr>
          <w:b/>
        </w:rPr>
        <w:t xml:space="preserve">Research question: </w:t>
      </w:r>
      <w:r>
        <w:t>How can a cloud-based prototype improve the management, transparency and usability of Xiquilá rotating savings groups?</w:t>
      </w:r>
    </w:p>
    <w:p w14:paraId="437083D4" w14:textId="77777777" w:rsidR="00972F58" w:rsidRDefault="00000000">
      <w:r>
        <w:rPr>
          <w:b/>
        </w:rPr>
        <w:t xml:space="preserve">Aim: </w:t>
      </w:r>
      <w:r>
        <w:t>To design, develop and evaluate a cloud-based prototype that improves the coordination and record-keeping of Xiquilá rotating savings groups through simulated credit transfers.</w:t>
      </w:r>
    </w:p>
    <w:p w14:paraId="4E7E3747" w14:textId="77777777" w:rsidR="00972F58" w:rsidRDefault="00000000">
      <w:r>
        <w:rPr>
          <w:b/>
        </w:rPr>
        <w:t>Objectives:</w:t>
      </w:r>
    </w:p>
    <w:p w14:paraId="5B1B81C6" w14:textId="77777777" w:rsidR="00972F58" w:rsidRDefault="00000000">
      <w:pPr>
        <w:pStyle w:val="ListNumber"/>
      </w:pPr>
      <w:r>
        <w:t>Analyse the current Xiquilá process, its operational limitations and the functional requirements of prospective users.</w:t>
      </w:r>
    </w:p>
    <w:p w14:paraId="494E60BF" w14:textId="77777777" w:rsidR="00972F58" w:rsidRDefault="00000000">
      <w:pPr>
        <w:pStyle w:val="ListNumber"/>
      </w:pPr>
      <w:r>
        <w:t>Critically evaluate literature and existing approaches concerning ROSCAs, digital financial inclusion, cloud security and usability.</w:t>
      </w:r>
    </w:p>
    <w:p w14:paraId="5EE254BA" w14:textId="77777777" w:rsidR="00972F58" w:rsidRDefault="00000000">
      <w:pPr>
        <w:pStyle w:val="ListNumber"/>
      </w:pPr>
      <w:r>
        <w:t>Design and develop a secure cloud-based prototype supporting group creation, schedules, recipient rotation, simulated credit transfers, notifications and transaction records.</w:t>
      </w:r>
    </w:p>
    <w:p w14:paraId="2BD95F81" w14:textId="77777777" w:rsidR="00972F58" w:rsidRDefault="00000000">
      <w:pPr>
        <w:pStyle w:val="ListNumber"/>
      </w:pPr>
      <w:r>
        <w:t>Evaluate the prototype’s functionality, usability and perceived usefulness through structured testing and participant feedback.</w:t>
      </w:r>
    </w:p>
    <w:p w14:paraId="4D319BF9" w14:textId="77777777" w:rsidR="00972F58" w:rsidRDefault="00000000">
      <w:pPr>
        <w:pStyle w:val="Heading1"/>
      </w:pPr>
      <w:r>
        <w:t>3. Project design and methodology</w:t>
      </w:r>
    </w:p>
    <w:p w14:paraId="03397D92" w14:textId="77777777" w:rsidR="00972F58" w:rsidRDefault="00000000">
      <w:r>
        <w:t xml:space="preserve">The study will use a design-and-development methodology supported by an iterative software lifecycle. First, secondary research will establish the characteristics of ROSCAs, the opportunities and risks </w:t>
      </w:r>
      <w:r>
        <w:lastRenderedPageBreak/>
        <w:t>associated with digitisation, and relevant quality and security requirements. Requirements will then be translated into user stories, interface designs, a database model and a cloud architecture. Development will proceed in short iterations so that core functions can be implemented and tested before less essential features are added.</w:t>
      </w:r>
    </w:p>
    <w:p w14:paraId="4F9302E9" w14:textId="77777777" w:rsidR="00972F58" w:rsidRDefault="00000000">
      <w:r>
        <w:t xml:space="preserve">The expected deliverable is a working prototype rather than a commercial product. Its minimum viable functions will include account authentication, private group creation, member administration, contribution amount and frequency settings, recipient order, simulated credit balances, transfer confirmation, payment-status tracking, notifications and a group history. Security will be designed using least-privilege access, secure authentication, validation, controlled database permissions and protection of data in transit and at rest. These controls are consistent with public-cloud security guidance, digital identity guidance and application-security verification practices </w:t>
      </w:r>
      <w:r>
        <w:fldChar w:fldCharType="begin"/>
      </w:r>
      <w:r>
        <w:instrText>CITATION NIST800144 \\l 2057</w:instrText>
      </w:r>
      <w:r>
        <w:fldChar w:fldCharType="separate"/>
      </w:r>
      <w:r>
        <w:t>[10]</w:t>
      </w:r>
      <w:r>
        <w:fldChar w:fldCharType="end"/>
      </w:r>
      <w:r>
        <w:fldChar w:fldCharType="begin"/>
      </w:r>
      <w:r>
        <w:instrText>CITATION NIST80063B \\l 2057</w:instrText>
      </w:r>
      <w:r>
        <w:fldChar w:fldCharType="separate"/>
      </w:r>
      <w:r>
        <w:t>[11]</w:t>
      </w:r>
      <w:r>
        <w:fldChar w:fldCharType="end"/>
      </w:r>
      <w:r>
        <w:fldChar w:fldCharType="begin"/>
      </w:r>
      <w:r>
        <w:instrText>CITATION OWASP2021 \\l 2057</w:instrText>
      </w:r>
      <w:r>
        <w:fldChar w:fldCharType="separate"/>
      </w:r>
      <w:r>
        <w:t>[12]</w:t>
      </w:r>
      <w:r>
        <w:fldChar w:fldCharType="end"/>
      </w:r>
      <w:r>
        <w:t>.</w:t>
      </w:r>
    </w:p>
    <w:p w14:paraId="55E37951" w14:textId="77777777" w:rsidR="00972F58" w:rsidRDefault="00000000">
      <w:r>
        <w:t xml:space="preserve">Functional testing will verify that each requirement produces the expected result, including correct rotation order, prevention of invalid transfers and accurate transaction records. Usability evaluation will be guided by recognised software-quality characteristics and established acceptance measures </w:t>
      </w:r>
      <w:r>
        <w:fldChar w:fldCharType="begin"/>
      </w:r>
      <w:r>
        <w:instrText>CITATION ISO25010 \\l 2057</w:instrText>
      </w:r>
      <w:r>
        <w:fldChar w:fldCharType="separate"/>
      </w:r>
      <w:r>
        <w:t>[13]</w:t>
      </w:r>
      <w:r>
        <w:fldChar w:fldCharType="end"/>
      </w:r>
      <w:r>
        <w:fldChar w:fldCharType="begin"/>
      </w:r>
      <w:r>
        <w:instrText>CITATION Davis1989 \\l 2057</w:instrText>
      </w:r>
      <w:r>
        <w:fldChar w:fldCharType="separate"/>
      </w:r>
      <w:r>
        <w:t>[15]</w:t>
      </w:r>
      <w:r>
        <w:fldChar w:fldCharType="end"/>
      </w:r>
      <w:r>
        <w:t xml:space="preserve">. A short System Usability Scale questionnaire may be used because it provides a concise and widely applied measure of perceived usability </w:t>
      </w:r>
      <w:r>
        <w:fldChar w:fldCharType="begin"/>
      </w:r>
      <w:r>
        <w:instrText>CITATION Brooke1996 \\l 2057</w:instrText>
      </w:r>
      <w:r>
        <w:fldChar w:fldCharType="separate"/>
      </w:r>
      <w:r>
        <w:t>[14]</w:t>
      </w:r>
      <w:r>
        <w:fldChar w:fldCharType="end"/>
      </w:r>
      <w:r>
        <w:t>.</w:t>
      </w:r>
    </w:p>
    <w:p w14:paraId="12B1ECA6" w14:textId="77777777" w:rsidR="00972F58" w:rsidRDefault="00000000">
      <w:pPr>
        <w:pStyle w:val="Heading1"/>
      </w:pPr>
      <w:r>
        <w:t>4. Data collection and analysis</w:t>
      </w:r>
    </w:p>
    <w:p w14:paraId="4ED05613" w14:textId="77777777" w:rsidR="00972F58" w:rsidRDefault="00000000">
      <w:r>
        <w:t>Secondary data will be collected from peer-reviewed journal articles, academic books, official reports, standards and reputable industry guidance. Primary research will involve approximately 8–15 adults aged 18 or over who are familiar with Xiquilá or comparable rotating savings arrangements. Participants will be recruited through voluntary invitations and will receive an information sheet before providing consent. They will test the prototype using fictional profiles and simulated credits, complete a small set of representative tasks and answer a questionnaire. No bank details, card information, real contribution records or real financial transactions will be requested.</w:t>
      </w:r>
    </w:p>
    <w:p w14:paraId="2982F277" w14:textId="77777777" w:rsidR="00972F58" w:rsidRDefault="00000000">
      <w:r>
        <w:t>Quantitative results will be summarised using task-completion rates, error counts, frequencies, percentages and mean or median questionnaire scores. Open-ended comments will be grouped into themes such as navigation, clarity, usefulness, trust and missing functionality. Triangulating functional results, task performance and participant feedback will strengthen validity. Reliability will be supported through consistent task instructions and a common questionnaire. However, the small purposive sample and prototype context will limit generalisability; findings will indicate feasibility and user perceptions rather than prove suitability for all Xiquilá communities.</w:t>
      </w:r>
    </w:p>
    <w:p w14:paraId="1F9C97B9" w14:textId="77777777" w:rsidR="00972F58" w:rsidRDefault="00000000">
      <w:pPr>
        <w:pStyle w:val="Heading1"/>
      </w:pPr>
      <w:r>
        <w:t>5. Ethical, legal and security considerations</w:t>
      </w:r>
    </w:p>
    <w:p w14:paraId="55755B8A" w14:textId="77777777" w:rsidR="00972F58" w:rsidRDefault="00000000">
      <w:r>
        <w:t xml:space="preserve">Ethical approval will be obtained before any participant recruitment or data collection. Participation will be voluntary, participants may omit questionnaire items, and they may withdraw before anonymisation without penalty. Only data necessary to answer the research question will be collected. Responses will be pseudonymised during analysis and reported anonymously. Files will be stored in password-protected University-approved cloud storage, with access restricted to the researcher and, where required for academic oversight, the supervisor. These measures follow the University’s ethics and research-data policies and the principles of data protection by design, purpose limitation and data minimisation </w:t>
      </w:r>
      <w:r>
        <w:fldChar w:fldCharType="begin"/>
      </w:r>
      <w:r>
        <w:instrText>CITATION UWTSDethics2022 \\l 2057</w:instrText>
      </w:r>
      <w:r>
        <w:fldChar w:fldCharType="separate"/>
      </w:r>
      <w:r>
        <w:t>[18]</w:t>
      </w:r>
      <w:r>
        <w:fldChar w:fldCharType="end"/>
      </w:r>
      <w:r>
        <w:fldChar w:fldCharType="begin"/>
      </w:r>
      <w:r>
        <w:instrText>CITATION UWTSDdata2022 \\l 2057</w:instrText>
      </w:r>
      <w:r>
        <w:fldChar w:fldCharType="separate"/>
      </w:r>
      <w:r>
        <w:t>[19]</w:t>
      </w:r>
      <w:r>
        <w:fldChar w:fldCharType="end"/>
      </w:r>
      <w:r>
        <w:fldChar w:fldCharType="begin"/>
      </w:r>
      <w:r>
        <w:instrText>CITATION ICODesign \\l 2057</w:instrText>
      </w:r>
      <w:r>
        <w:fldChar w:fldCharType="separate"/>
      </w:r>
      <w:r>
        <w:t>[16]</w:t>
      </w:r>
      <w:r>
        <w:fldChar w:fldCharType="end"/>
      </w:r>
      <w:r>
        <w:t>.</w:t>
      </w:r>
    </w:p>
    <w:p w14:paraId="124593FA" w14:textId="77777777" w:rsidR="00972F58" w:rsidRDefault="00000000">
      <w:r>
        <w:t>Foreseeable risks are low but include discomfort when discussing financial-group experiences, accidental disclosure of contact details, researcher bias and misunderstanding of the prototype as a real financial service. Mitigation will include avoiding questions about personal income or debt, permitting skipped questions, separating contact information from responses, using neutral instructions and displaying a clear notice that all credits and transactions are simulated. Environmental impact will be limited by using existing computing equipment, cloud resources proportionate to prototype demand and digital documentation.</w:t>
      </w:r>
    </w:p>
    <w:p w14:paraId="124AA54E" w14:textId="77777777" w:rsidR="00972F58" w:rsidRDefault="00000000">
      <w:pPr>
        <w:pStyle w:val="Heading1"/>
      </w:pPr>
      <w:r>
        <w:lastRenderedPageBreak/>
        <w:t>6. Resources and project plan</w:t>
      </w:r>
    </w:p>
    <w:p w14:paraId="54B45FC0" w14:textId="77777777" w:rsidR="00972F58" w:rsidRDefault="00000000">
      <w:r>
        <w:t>The project will require a development computer, internet access, Git-based version control, a cloud platform, a managed database, an authentication service, interface-design software and access to academic databases. The final technology stack will be selected according to feasibility and existing competence; a likely implementation is a React front end, a Node.js or Python back end, PostgreSQL or a managed cloud database, and deployment on AWS, Azure or Google Cloud. Success will be demonstrated by a deployable prototype, traceable requirements, functional test evidence, usability findings and recommendations for future work, including the regulatory and technical work required before any real-money implementation.</w:t>
      </w:r>
    </w:p>
    <w:p w14:paraId="26CA2E5B" w14:textId="77777777" w:rsidR="00972F58" w:rsidRDefault="00000000">
      <w:pPr>
        <w:pStyle w:val="Heading1"/>
      </w:pPr>
      <w:r>
        <w:t>7. Feasibility, validity and success criteria</w:t>
      </w:r>
    </w:p>
    <w:p w14:paraId="35611839" w14:textId="77777777" w:rsidR="00972F58" w:rsidRDefault="00000000">
      <w:r>
        <w:t>The scope has been deliberately constrained to remain achievable within an undergraduate independent project. The prototype will model one complete Xiquilá cycle and prioritise reliable core workflows over commercial breadth. Features such as direct bank integration, identity verification, foreign-exchange support, credit scoring and automated regulatory reporting are outside scope. This separation reduces technical and legal complexity and allows the investigation to focus on whether cloud-based coordination improves the user experience of an established savings practice. A modular architecture will nevertheless be used so that future integrations can be discussed without being implemented.</w:t>
      </w:r>
    </w:p>
    <w:p w14:paraId="68EB2144" w14:textId="77777777" w:rsidR="00972F58" w:rsidRDefault="00000000">
      <w:r>
        <w:t>Internal validity may be affected if participants already know the researcher or feel encouraged to give positive feedback. This will be mitigated through neutral task instructions, anonymous questionnaire responses and a clear statement that critical feedback is valuable. Construct validity will be strengthened by mapping each questionnaire item to a defined evaluation criterion, including ease of learning, clarity of payment status, confidence in the rotation process and overall perceived usefulness. A pilot test with one or two adults will be used to identify ambiguous instructions before the main evaluation, provided that this activity is covered by the approved ethics application.</w:t>
      </w:r>
    </w:p>
    <w:p w14:paraId="1F681063" w14:textId="77777777" w:rsidR="00972F58" w:rsidRDefault="00000000">
      <w:r>
        <w:t>The project will be considered successful if the deployed prototype allows an authorised user to create a group, define a contribution schedule, establish the recipient order, complete simulated contributions and review an accurate history without exposing one group’s information to another. Functional tests should demonstrate predictable behaviour for valid and invalid actions. The usability evaluation should identify whether participants can complete the principal tasks and whether they regard the concept as understandable and useful. Success does not require universally positive feedback; documented limitations, failed assumptions and evidence-based recommendations will also constitute valuable research outcomes.</w:t>
      </w:r>
    </w:p>
    <w:p w14:paraId="764961E8" w14:textId="77777777" w:rsidR="00972F58" w:rsidRDefault="00000000">
      <w:pPr>
        <w:pStyle w:val="Heading2"/>
      </w:pPr>
      <w:r>
        <w:t>Project planning overview</w:t>
      </w:r>
    </w:p>
    <w:tbl>
      <w:tblPr>
        <w:tblStyle w:val="TableGrid"/>
        <w:tblW w:w="0" w:type="auto"/>
        <w:jc w:val="center"/>
        <w:tblLook w:val="04A0" w:firstRow="1" w:lastRow="0" w:firstColumn="1" w:lastColumn="0" w:noHBand="0" w:noVBand="1"/>
      </w:tblPr>
      <w:tblGrid>
        <w:gridCol w:w="1230"/>
        <w:gridCol w:w="1224"/>
        <w:gridCol w:w="1224"/>
        <w:gridCol w:w="1224"/>
        <w:gridCol w:w="1224"/>
        <w:gridCol w:w="1224"/>
        <w:gridCol w:w="1224"/>
        <w:gridCol w:w="1224"/>
      </w:tblGrid>
      <w:tr w:rsidR="00972F58" w14:paraId="7BD5E1EC" w14:textId="77777777">
        <w:trPr>
          <w:jc w:val="center"/>
        </w:trPr>
        <w:tc>
          <w:tcPr>
            <w:tcW w:w="1224" w:type="dxa"/>
            <w:shd w:val="clear" w:color="auto" w:fill="B4C6E7"/>
            <w:vAlign w:val="center"/>
          </w:tcPr>
          <w:p w14:paraId="783DE71B" w14:textId="77777777" w:rsidR="00972F58" w:rsidRDefault="00000000">
            <w:r>
              <w:rPr>
                <w:b/>
                <w:sz w:val="16"/>
              </w:rPr>
              <w:t>Activity</w:t>
            </w:r>
          </w:p>
        </w:tc>
        <w:tc>
          <w:tcPr>
            <w:tcW w:w="1224" w:type="dxa"/>
            <w:shd w:val="clear" w:color="auto" w:fill="B4C6E7"/>
            <w:vAlign w:val="center"/>
          </w:tcPr>
          <w:p w14:paraId="79D7F150" w14:textId="77777777" w:rsidR="00972F58" w:rsidRDefault="00000000">
            <w:r>
              <w:rPr>
                <w:b/>
                <w:sz w:val="16"/>
              </w:rPr>
              <w:t>1–4</w:t>
            </w:r>
          </w:p>
        </w:tc>
        <w:tc>
          <w:tcPr>
            <w:tcW w:w="1224" w:type="dxa"/>
            <w:shd w:val="clear" w:color="auto" w:fill="B4C6E7"/>
            <w:vAlign w:val="center"/>
          </w:tcPr>
          <w:p w14:paraId="6C5189AA" w14:textId="77777777" w:rsidR="00972F58" w:rsidRDefault="00000000">
            <w:r>
              <w:rPr>
                <w:b/>
                <w:sz w:val="16"/>
              </w:rPr>
              <w:t>5–8</w:t>
            </w:r>
          </w:p>
        </w:tc>
        <w:tc>
          <w:tcPr>
            <w:tcW w:w="1224" w:type="dxa"/>
            <w:shd w:val="clear" w:color="auto" w:fill="B4C6E7"/>
            <w:vAlign w:val="center"/>
          </w:tcPr>
          <w:p w14:paraId="0F1B257D" w14:textId="77777777" w:rsidR="00972F58" w:rsidRDefault="00000000">
            <w:r>
              <w:rPr>
                <w:b/>
                <w:sz w:val="16"/>
              </w:rPr>
              <w:t>9–12</w:t>
            </w:r>
          </w:p>
        </w:tc>
        <w:tc>
          <w:tcPr>
            <w:tcW w:w="1224" w:type="dxa"/>
            <w:shd w:val="clear" w:color="auto" w:fill="B4C6E7"/>
            <w:vAlign w:val="center"/>
          </w:tcPr>
          <w:p w14:paraId="1F79E116" w14:textId="77777777" w:rsidR="00972F58" w:rsidRDefault="00000000">
            <w:r>
              <w:rPr>
                <w:b/>
                <w:sz w:val="16"/>
              </w:rPr>
              <w:t>13–16</w:t>
            </w:r>
          </w:p>
        </w:tc>
        <w:tc>
          <w:tcPr>
            <w:tcW w:w="1224" w:type="dxa"/>
            <w:shd w:val="clear" w:color="auto" w:fill="B4C6E7"/>
            <w:vAlign w:val="center"/>
          </w:tcPr>
          <w:p w14:paraId="21BCD712" w14:textId="77777777" w:rsidR="00972F58" w:rsidRDefault="00000000">
            <w:r>
              <w:rPr>
                <w:b/>
                <w:sz w:val="16"/>
              </w:rPr>
              <w:t>17–20</w:t>
            </w:r>
          </w:p>
        </w:tc>
        <w:tc>
          <w:tcPr>
            <w:tcW w:w="1224" w:type="dxa"/>
            <w:shd w:val="clear" w:color="auto" w:fill="B4C6E7"/>
            <w:vAlign w:val="center"/>
          </w:tcPr>
          <w:p w14:paraId="64938B5A" w14:textId="77777777" w:rsidR="00972F58" w:rsidRDefault="00000000">
            <w:r>
              <w:rPr>
                <w:b/>
                <w:sz w:val="16"/>
              </w:rPr>
              <w:t>21–24</w:t>
            </w:r>
          </w:p>
        </w:tc>
        <w:tc>
          <w:tcPr>
            <w:tcW w:w="1224" w:type="dxa"/>
            <w:shd w:val="clear" w:color="auto" w:fill="B4C6E7"/>
            <w:vAlign w:val="center"/>
          </w:tcPr>
          <w:p w14:paraId="0B55F648" w14:textId="77777777" w:rsidR="00972F58" w:rsidRDefault="00000000">
            <w:r>
              <w:rPr>
                <w:b/>
                <w:sz w:val="16"/>
              </w:rPr>
              <w:t>25–28</w:t>
            </w:r>
          </w:p>
        </w:tc>
      </w:tr>
      <w:tr w:rsidR="00972F58" w14:paraId="35A734A2" w14:textId="77777777">
        <w:trPr>
          <w:jc w:val="center"/>
        </w:trPr>
        <w:tc>
          <w:tcPr>
            <w:tcW w:w="1224" w:type="dxa"/>
            <w:vAlign w:val="center"/>
          </w:tcPr>
          <w:p w14:paraId="57491CA9" w14:textId="77777777" w:rsidR="00972F58" w:rsidRDefault="00000000">
            <w:r>
              <w:rPr>
                <w:sz w:val="16"/>
              </w:rPr>
              <w:t>Literature review and requirements</w:t>
            </w:r>
          </w:p>
        </w:tc>
        <w:tc>
          <w:tcPr>
            <w:tcW w:w="1224" w:type="dxa"/>
            <w:shd w:val="clear" w:color="auto" w:fill="D9EAD3"/>
            <w:vAlign w:val="center"/>
          </w:tcPr>
          <w:p w14:paraId="2ADD5809" w14:textId="77777777" w:rsidR="00972F58" w:rsidRDefault="00000000">
            <w:r>
              <w:rPr>
                <w:sz w:val="18"/>
              </w:rPr>
              <w:t>●</w:t>
            </w:r>
          </w:p>
        </w:tc>
        <w:tc>
          <w:tcPr>
            <w:tcW w:w="1224" w:type="dxa"/>
            <w:shd w:val="clear" w:color="auto" w:fill="D9EAD3"/>
            <w:vAlign w:val="center"/>
          </w:tcPr>
          <w:p w14:paraId="0887268B" w14:textId="77777777" w:rsidR="00972F58" w:rsidRDefault="00000000">
            <w:r>
              <w:rPr>
                <w:sz w:val="18"/>
              </w:rPr>
              <w:t>●</w:t>
            </w:r>
          </w:p>
        </w:tc>
        <w:tc>
          <w:tcPr>
            <w:tcW w:w="1224" w:type="dxa"/>
            <w:vAlign w:val="center"/>
          </w:tcPr>
          <w:p w14:paraId="43DE4ABC" w14:textId="77777777" w:rsidR="00972F58" w:rsidRDefault="00972F58"/>
        </w:tc>
        <w:tc>
          <w:tcPr>
            <w:tcW w:w="1224" w:type="dxa"/>
            <w:vAlign w:val="center"/>
          </w:tcPr>
          <w:p w14:paraId="41E5D687" w14:textId="77777777" w:rsidR="00972F58" w:rsidRDefault="00972F58"/>
        </w:tc>
        <w:tc>
          <w:tcPr>
            <w:tcW w:w="1224" w:type="dxa"/>
            <w:vAlign w:val="center"/>
          </w:tcPr>
          <w:p w14:paraId="2963D6C8" w14:textId="77777777" w:rsidR="00972F58" w:rsidRDefault="00972F58"/>
        </w:tc>
        <w:tc>
          <w:tcPr>
            <w:tcW w:w="1224" w:type="dxa"/>
            <w:vAlign w:val="center"/>
          </w:tcPr>
          <w:p w14:paraId="7633730C" w14:textId="77777777" w:rsidR="00972F58" w:rsidRDefault="00972F58"/>
        </w:tc>
        <w:tc>
          <w:tcPr>
            <w:tcW w:w="1224" w:type="dxa"/>
            <w:vAlign w:val="center"/>
          </w:tcPr>
          <w:p w14:paraId="2ED17CA3" w14:textId="77777777" w:rsidR="00972F58" w:rsidRDefault="00972F58"/>
        </w:tc>
      </w:tr>
      <w:tr w:rsidR="00972F58" w14:paraId="5F931111" w14:textId="77777777">
        <w:trPr>
          <w:jc w:val="center"/>
        </w:trPr>
        <w:tc>
          <w:tcPr>
            <w:tcW w:w="1224" w:type="dxa"/>
            <w:vAlign w:val="center"/>
          </w:tcPr>
          <w:p w14:paraId="6A9B0643" w14:textId="77777777" w:rsidR="00972F58" w:rsidRDefault="00000000">
            <w:r>
              <w:rPr>
                <w:sz w:val="16"/>
              </w:rPr>
              <w:t>Ethics approval and research instruments</w:t>
            </w:r>
          </w:p>
        </w:tc>
        <w:tc>
          <w:tcPr>
            <w:tcW w:w="1224" w:type="dxa"/>
            <w:shd w:val="clear" w:color="auto" w:fill="D9EAD3"/>
            <w:vAlign w:val="center"/>
          </w:tcPr>
          <w:p w14:paraId="584C2941" w14:textId="77777777" w:rsidR="00972F58" w:rsidRDefault="00000000">
            <w:r>
              <w:rPr>
                <w:sz w:val="18"/>
              </w:rPr>
              <w:t>●</w:t>
            </w:r>
          </w:p>
        </w:tc>
        <w:tc>
          <w:tcPr>
            <w:tcW w:w="1224" w:type="dxa"/>
            <w:vAlign w:val="center"/>
          </w:tcPr>
          <w:p w14:paraId="7CD7988C" w14:textId="77777777" w:rsidR="00972F58" w:rsidRDefault="00972F58"/>
        </w:tc>
        <w:tc>
          <w:tcPr>
            <w:tcW w:w="1224" w:type="dxa"/>
            <w:vAlign w:val="center"/>
          </w:tcPr>
          <w:p w14:paraId="76042F50" w14:textId="77777777" w:rsidR="00972F58" w:rsidRDefault="00972F58"/>
        </w:tc>
        <w:tc>
          <w:tcPr>
            <w:tcW w:w="1224" w:type="dxa"/>
            <w:vAlign w:val="center"/>
          </w:tcPr>
          <w:p w14:paraId="19980507" w14:textId="77777777" w:rsidR="00972F58" w:rsidRDefault="00972F58"/>
        </w:tc>
        <w:tc>
          <w:tcPr>
            <w:tcW w:w="1224" w:type="dxa"/>
            <w:vAlign w:val="center"/>
          </w:tcPr>
          <w:p w14:paraId="7805A5D8" w14:textId="77777777" w:rsidR="00972F58" w:rsidRDefault="00972F58"/>
        </w:tc>
        <w:tc>
          <w:tcPr>
            <w:tcW w:w="1224" w:type="dxa"/>
            <w:vAlign w:val="center"/>
          </w:tcPr>
          <w:p w14:paraId="0BB85A8A" w14:textId="77777777" w:rsidR="00972F58" w:rsidRDefault="00972F58"/>
        </w:tc>
        <w:tc>
          <w:tcPr>
            <w:tcW w:w="1224" w:type="dxa"/>
            <w:vAlign w:val="center"/>
          </w:tcPr>
          <w:p w14:paraId="3A761868" w14:textId="77777777" w:rsidR="00972F58" w:rsidRDefault="00972F58"/>
        </w:tc>
      </w:tr>
      <w:tr w:rsidR="00972F58" w14:paraId="6124AA36" w14:textId="77777777">
        <w:trPr>
          <w:jc w:val="center"/>
        </w:trPr>
        <w:tc>
          <w:tcPr>
            <w:tcW w:w="1224" w:type="dxa"/>
            <w:vAlign w:val="center"/>
          </w:tcPr>
          <w:p w14:paraId="2802975D" w14:textId="77777777" w:rsidR="00972F58" w:rsidRDefault="00000000">
            <w:r>
              <w:rPr>
                <w:sz w:val="16"/>
              </w:rPr>
              <w:t>Architecture, database and interface design</w:t>
            </w:r>
          </w:p>
        </w:tc>
        <w:tc>
          <w:tcPr>
            <w:tcW w:w="1224" w:type="dxa"/>
            <w:shd w:val="clear" w:color="auto" w:fill="D9EAD3"/>
            <w:vAlign w:val="center"/>
          </w:tcPr>
          <w:p w14:paraId="06758AA1" w14:textId="77777777" w:rsidR="00972F58" w:rsidRDefault="00000000">
            <w:r>
              <w:rPr>
                <w:sz w:val="18"/>
              </w:rPr>
              <w:t>●</w:t>
            </w:r>
          </w:p>
        </w:tc>
        <w:tc>
          <w:tcPr>
            <w:tcW w:w="1224" w:type="dxa"/>
            <w:shd w:val="clear" w:color="auto" w:fill="D9EAD3"/>
            <w:vAlign w:val="center"/>
          </w:tcPr>
          <w:p w14:paraId="6653ECAC" w14:textId="77777777" w:rsidR="00972F58" w:rsidRDefault="00000000">
            <w:r>
              <w:rPr>
                <w:sz w:val="18"/>
              </w:rPr>
              <w:t>●</w:t>
            </w:r>
          </w:p>
        </w:tc>
        <w:tc>
          <w:tcPr>
            <w:tcW w:w="1224" w:type="dxa"/>
            <w:vAlign w:val="center"/>
          </w:tcPr>
          <w:p w14:paraId="3CAB6670" w14:textId="77777777" w:rsidR="00972F58" w:rsidRDefault="00972F58"/>
        </w:tc>
        <w:tc>
          <w:tcPr>
            <w:tcW w:w="1224" w:type="dxa"/>
            <w:vAlign w:val="center"/>
          </w:tcPr>
          <w:p w14:paraId="1685BC5E" w14:textId="77777777" w:rsidR="00972F58" w:rsidRDefault="00972F58"/>
        </w:tc>
        <w:tc>
          <w:tcPr>
            <w:tcW w:w="1224" w:type="dxa"/>
            <w:vAlign w:val="center"/>
          </w:tcPr>
          <w:p w14:paraId="23982849" w14:textId="77777777" w:rsidR="00972F58" w:rsidRDefault="00972F58"/>
        </w:tc>
        <w:tc>
          <w:tcPr>
            <w:tcW w:w="1224" w:type="dxa"/>
            <w:vAlign w:val="center"/>
          </w:tcPr>
          <w:p w14:paraId="1F4E2C99" w14:textId="77777777" w:rsidR="00972F58" w:rsidRDefault="00972F58"/>
        </w:tc>
        <w:tc>
          <w:tcPr>
            <w:tcW w:w="1224" w:type="dxa"/>
            <w:vAlign w:val="center"/>
          </w:tcPr>
          <w:p w14:paraId="1511A647" w14:textId="77777777" w:rsidR="00972F58" w:rsidRDefault="00972F58"/>
        </w:tc>
      </w:tr>
      <w:tr w:rsidR="00972F58" w14:paraId="0885CDC0" w14:textId="77777777">
        <w:trPr>
          <w:jc w:val="center"/>
        </w:trPr>
        <w:tc>
          <w:tcPr>
            <w:tcW w:w="1224" w:type="dxa"/>
            <w:vAlign w:val="center"/>
          </w:tcPr>
          <w:p w14:paraId="56A2D134" w14:textId="77777777" w:rsidR="00972F58" w:rsidRDefault="00000000">
            <w:r>
              <w:rPr>
                <w:sz w:val="16"/>
              </w:rPr>
              <w:t>Core prototype development</w:t>
            </w:r>
          </w:p>
        </w:tc>
        <w:tc>
          <w:tcPr>
            <w:tcW w:w="1224" w:type="dxa"/>
            <w:vAlign w:val="center"/>
          </w:tcPr>
          <w:p w14:paraId="3F408DD5" w14:textId="77777777" w:rsidR="00972F58" w:rsidRDefault="00972F58"/>
        </w:tc>
        <w:tc>
          <w:tcPr>
            <w:tcW w:w="1224" w:type="dxa"/>
            <w:shd w:val="clear" w:color="auto" w:fill="D9EAD3"/>
            <w:vAlign w:val="center"/>
          </w:tcPr>
          <w:p w14:paraId="2A8E0B55" w14:textId="77777777" w:rsidR="00972F58" w:rsidRDefault="00000000">
            <w:r>
              <w:rPr>
                <w:sz w:val="18"/>
              </w:rPr>
              <w:t>●</w:t>
            </w:r>
          </w:p>
        </w:tc>
        <w:tc>
          <w:tcPr>
            <w:tcW w:w="1224" w:type="dxa"/>
            <w:shd w:val="clear" w:color="auto" w:fill="D9EAD3"/>
            <w:vAlign w:val="center"/>
          </w:tcPr>
          <w:p w14:paraId="26558563" w14:textId="77777777" w:rsidR="00972F58" w:rsidRDefault="00000000">
            <w:r>
              <w:rPr>
                <w:sz w:val="18"/>
              </w:rPr>
              <w:t>●</w:t>
            </w:r>
          </w:p>
        </w:tc>
        <w:tc>
          <w:tcPr>
            <w:tcW w:w="1224" w:type="dxa"/>
            <w:shd w:val="clear" w:color="auto" w:fill="D9EAD3"/>
            <w:vAlign w:val="center"/>
          </w:tcPr>
          <w:p w14:paraId="39EAE1B6" w14:textId="77777777" w:rsidR="00972F58" w:rsidRDefault="00000000">
            <w:r>
              <w:rPr>
                <w:sz w:val="18"/>
              </w:rPr>
              <w:t>●</w:t>
            </w:r>
          </w:p>
        </w:tc>
        <w:tc>
          <w:tcPr>
            <w:tcW w:w="1224" w:type="dxa"/>
            <w:vAlign w:val="center"/>
          </w:tcPr>
          <w:p w14:paraId="02E1C62F" w14:textId="77777777" w:rsidR="00972F58" w:rsidRDefault="00972F58"/>
        </w:tc>
        <w:tc>
          <w:tcPr>
            <w:tcW w:w="1224" w:type="dxa"/>
            <w:vAlign w:val="center"/>
          </w:tcPr>
          <w:p w14:paraId="2A7C9BFE" w14:textId="77777777" w:rsidR="00972F58" w:rsidRDefault="00972F58"/>
        </w:tc>
        <w:tc>
          <w:tcPr>
            <w:tcW w:w="1224" w:type="dxa"/>
            <w:vAlign w:val="center"/>
          </w:tcPr>
          <w:p w14:paraId="09792B7B" w14:textId="77777777" w:rsidR="00972F58" w:rsidRDefault="00972F58"/>
        </w:tc>
      </w:tr>
      <w:tr w:rsidR="00972F58" w14:paraId="16DF2D91" w14:textId="77777777">
        <w:trPr>
          <w:jc w:val="center"/>
        </w:trPr>
        <w:tc>
          <w:tcPr>
            <w:tcW w:w="1224" w:type="dxa"/>
            <w:vAlign w:val="center"/>
          </w:tcPr>
          <w:p w14:paraId="1032FDD8" w14:textId="77777777" w:rsidR="00972F58" w:rsidRDefault="00000000">
            <w:r>
              <w:rPr>
                <w:sz w:val="16"/>
              </w:rPr>
              <w:lastRenderedPageBreak/>
              <w:t>Functional and security testing</w:t>
            </w:r>
          </w:p>
        </w:tc>
        <w:tc>
          <w:tcPr>
            <w:tcW w:w="1224" w:type="dxa"/>
            <w:vAlign w:val="center"/>
          </w:tcPr>
          <w:p w14:paraId="0F40F8B3" w14:textId="77777777" w:rsidR="00972F58" w:rsidRDefault="00972F58"/>
        </w:tc>
        <w:tc>
          <w:tcPr>
            <w:tcW w:w="1224" w:type="dxa"/>
            <w:vAlign w:val="center"/>
          </w:tcPr>
          <w:p w14:paraId="4A91AB77" w14:textId="77777777" w:rsidR="00972F58" w:rsidRDefault="00972F58"/>
        </w:tc>
        <w:tc>
          <w:tcPr>
            <w:tcW w:w="1224" w:type="dxa"/>
            <w:vAlign w:val="center"/>
          </w:tcPr>
          <w:p w14:paraId="516BD629" w14:textId="77777777" w:rsidR="00972F58" w:rsidRDefault="00972F58"/>
        </w:tc>
        <w:tc>
          <w:tcPr>
            <w:tcW w:w="1224" w:type="dxa"/>
            <w:shd w:val="clear" w:color="auto" w:fill="D9EAD3"/>
            <w:vAlign w:val="center"/>
          </w:tcPr>
          <w:p w14:paraId="3103CC3F" w14:textId="77777777" w:rsidR="00972F58" w:rsidRDefault="00000000">
            <w:r>
              <w:rPr>
                <w:sz w:val="18"/>
              </w:rPr>
              <w:t>●</w:t>
            </w:r>
          </w:p>
        </w:tc>
        <w:tc>
          <w:tcPr>
            <w:tcW w:w="1224" w:type="dxa"/>
            <w:shd w:val="clear" w:color="auto" w:fill="D9EAD3"/>
            <w:vAlign w:val="center"/>
          </w:tcPr>
          <w:p w14:paraId="79BF4F32" w14:textId="77777777" w:rsidR="00972F58" w:rsidRDefault="00000000">
            <w:r>
              <w:rPr>
                <w:sz w:val="18"/>
              </w:rPr>
              <w:t>●</w:t>
            </w:r>
          </w:p>
        </w:tc>
        <w:tc>
          <w:tcPr>
            <w:tcW w:w="1224" w:type="dxa"/>
            <w:vAlign w:val="center"/>
          </w:tcPr>
          <w:p w14:paraId="3B4E27DA" w14:textId="77777777" w:rsidR="00972F58" w:rsidRDefault="00972F58"/>
        </w:tc>
        <w:tc>
          <w:tcPr>
            <w:tcW w:w="1224" w:type="dxa"/>
            <w:vAlign w:val="center"/>
          </w:tcPr>
          <w:p w14:paraId="405BA53F" w14:textId="77777777" w:rsidR="00972F58" w:rsidRDefault="00972F58"/>
        </w:tc>
      </w:tr>
      <w:tr w:rsidR="00972F58" w14:paraId="351948D9" w14:textId="77777777">
        <w:trPr>
          <w:jc w:val="center"/>
        </w:trPr>
        <w:tc>
          <w:tcPr>
            <w:tcW w:w="1224" w:type="dxa"/>
            <w:vAlign w:val="center"/>
          </w:tcPr>
          <w:p w14:paraId="0AE3D8B0" w14:textId="77777777" w:rsidR="00972F58" w:rsidRDefault="00000000">
            <w:r>
              <w:rPr>
                <w:sz w:val="16"/>
              </w:rPr>
              <w:t>Participant usability evaluation</w:t>
            </w:r>
          </w:p>
        </w:tc>
        <w:tc>
          <w:tcPr>
            <w:tcW w:w="1224" w:type="dxa"/>
            <w:vAlign w:val="center"/>
          </w:tcPr>
          <w:p w14:paraId="61FC9693" w14:textId="77777777" w:rsidR="00972F58" w:rsidRDefault="00972F58"/>
        </w:tc>
        <w:tc>
          <w:tcPr>
            <w:tcW w:w="1224" w:type="dxa"/>
            <w:vAlign w:val="center"/>
          </w:tcPr>
          <w:p w14:paraId="32297FE9" w14:textId="77777777" w:rsidR="00972F58" w:rsidRDefault="00972F58"/>
        </w:tc>
        <w:tc>
          <w:tcPr>
            <w:tcW w:w="1224" w:type="dxa"/>
            <w:vAlign w:val="center"/>
          </w:tcPr>
          <w:p w14:paraId="7D1CE6CE" w14:textId="77777777" w:rsidR="00972F58" w:rsidRDefault="00972F58"/>
        </w:tc>
        <w:tc>
          <w:tcPr>
            <w:tcW w:w="1224" w:type="dxa"/>
            <w:vAlign w:val="center"/>
          </w:tcPr>
          <w:p w14:paraId="58CF72E2" w14:textId="77777777" w:rsidR="00972F58" w:rsidRDefault="00972F58"/>
        </w:tc>
        <w:tc>
          <w:tcPr>
            <w:tcW w:w="1224" w:type="dxa"/>
            <w:shd w:val="clear" w:color="auto" w:fill="D9EAD3"/>
            <w:vAlign w:val="center"/>
          </w:tcPr>
          <w:p w14:paraId="2977204B" w14:textId="77777777" w:rsidR="00972F58" w:rsidRDefault="00000000">
            <w:r>
              <w:rPr>
                <w:sz w:val="18"/>
              </w:rPr>
              <w:t>●</w:t>
            </w:r>
          </w:p>
        </w:tc>
        <w:tc>
          <w:tcPr>
            <w:tcW w:w="1224" w:type="dxa"/>
            <w:shd w:val="clear" w:color="auto" w:fill="D9EAD3"/>
            <w:vAlign w:val="center"/>
          </w:tcPr>
          <w:p w14:paraId="5A1EAF11" w14:textId="77777777" w:rsidR="00972F58" w:rsidRDefault="00000000">
            <w:r>
              <w:rPr>
                <w:sz w:val="18"/>
              </w:rPr>
              <w:t>●</w:t>
            </w:r>
          </w:p>
        </w:tc>
        <w:tc>
          <w:tcPr>
            <w:tcW w:w="1224" w:type="dxa"/>
            <w:vAlign w:val="center"/>
          </w:tcPr>
          <w:p w14:paraId="662F0680" w14:textId="77777777" w:rsidR="00972F58" w:rsidRDefault="00972F58"/>
        </w:tc>
      </w:tr>
      <w:tr w:rsidR="00972F58" w14:paraId="22C0CE96" w14:textId="77777777">
        <w:trPr>
          <w:jc w:val="center"/>
        </w:trPr>
        <w:tc>
          <w:tcPr>
            <w:tcW w:w="1224" w:type="dxa"/>
            <w:vAlign w:val="center"/>
          </w:tcPr>
          <w:p w14:paraId="260C7956" w14:textId="77777777" w:rsidR="00972F58" w:rsidRDefault="00000000">
            <w:r>
              <w:rPr>
                <w:sz w:val="16"/>
              </w:rPr>
              <w:t>Data analysis and refinement</w:t>
            </w:r>
          </w:p>
        </w:tc>
        <w:tc>
          <w:tcPr>
            <w:tcW w:w="1224" w:type="dxa"/>
            <w:vAlign w:val="center"/>
          </w:tcPr>
          <w:p w14:paraId="47979D2D" w14:textId="77777777" w:rsidR="00972F58" w:rsidRDefault="00972F58"/>
        </w:tc>
        <w:tc>
          <w:tcPr>
            <w:tcW w:w="1224" w:type="dxa"/>
            <w:vAlign w:val="center"/>
          </w:tcPr>
          <w:p w14:paraId="1E75A563" w14:textId="77777777" w:rsidR="00972F58" w:rsidRDefault="00972F58"/>
        </w:tc>
        <w:tc>
          <w:tcPr>
            <w:tcW w:w="1224" w:type="dxa"/>
            <w:vAlign w:val="center"/>
          </w:tcPr>
          <w:p w14:paraId="225678DF" w14:textId="77777777" w:rsidR="00972F58" w:rsidRDefault="00972F58"/>
        </w:tc>
        <w:tc>
          <w:tcPr>
            <w:tcW w:w="1224" w:type="dxa"/>
            <w:vAlign w:val="center"/>
          </w:tcPr>
          <w:p w14:paraId="6A67B570" w14:textId="77777777" w:rsidR="00972F58" w:rsidRDefault="00972F58"/>
        </w:tc>
        <w:tc>
          <w:tcPr>
            <w:tcW w:w="1224" w:type="dxa"/>
            <w:vAlign w:val="center"/>
          </w:tcPr>
          <w:p w14:paraId="27A86CE5" w14:textId="77777777" w:rsidR="00972F58" w:rsidRDefault="00972F58"/>
        </w:tc>
        <w:tc>
          <w:tcPr>
            <w:tcW w:w="1224" w:type="dxa"/>
            <w:shd w:val="clear" w:color="auto" w:fill="D9EAD3"/>
            <w:vAlign w:val="center"/>
          </w:tcPr>
          <w:p w14:paraId="0366538E" w14:textId="77777777" w:rsidR="00972F58" w:rsidRDefault="00000000">
            <w:r>
              <w:rPr>
                <w:sz w:val="18"/>
              </w:rPr>
              <w:t>●</w:t>
            </w:r>
          </w:p>
        </w:tc>
        <w:tc>
          <w:tcPr>
            <w:tcW w:w="1224" w:type="dxa"/>
            <w:vAlign w:val="center"/>
          </w:tcPr>
          <w:p w14:paraId="07A01135" w14:textId="77777777" w:rsidR="00972F58" w:rsidRDefault="00972F58"/>
        </w:tc>
      </w:tr>
      <w:tr w:rsidR="00972F58" w14:paraId="33053905" w14:textId="77777777">
        <w:trPr>
          <w:jc w:val="center"/>
        </w:trPr>
        <w:tc>
          <w:tcPr>
            <w:tcW w:w="1224" w:type="dxa"/>
            <w:vAlign w:val="center"/>
          </w:tcPr>
          <w:p w14:paraId="59C20A09" w14:textId="77777777" w:rsidR="00972F58" w:rsidRDefault="00000000">
            <w:r>
              <w:rPr>
                <w:sz w:val="16"/>
              </w:rPr>
              <w:t>Final report, poster and demonstration</w:t>
            </w:r>
          </w:p>
        </w:tc>
        <w:tc>
          <w:tcPr>
            <w:tcW w:w="1224" w:type="dxa"/>
            <w:vAlign w:val="center"/>
          </w:tcPr>
          <w:p w14:paraId="0407E84B" w14:textId="77777777" w:rsidR="00972F58" w:rsidRDefault="00972F58"/>
        </w:tc>
        <w:tc>
          <w:tcPr>
            <w:tcW w:w="1224" w:type="dxa"/>
            <w:vAlign w:val="center"/>
          </w:tcPr>
          <w:p w14:paraId="3E6743BD" w14:textId="77777777" w:rsidR="00972F58" w:rsidRDefault="00972F58"/>
        </w:tc>
        <w:tc>
          <w:tcPr>
            <w:tcW w:w="1224" w:type="dxa"/>
            <w:vAlign w:val="center"/>
          </w:tcPr>
          <w:p w14:paraId="1A9E6FDF" w14:textId="77777777" w:rsidR="00972F58" w:rsidRDefault="00972F58"/>
        </w:tc>
        <w:tc>
          <w:tcPr>
            <w:tcW w:w="1224" w:type="dxa"/>
            <w:vAlign w:val="center"/>
          </w:tcPr>
          <w:p w14:paraId="4B36790E" w14:textId="77777777" w:rsidR="00972F58" w:rsidRDefault="00972F58"/>
        </w:tc>
        <w:tc>
          <w:tcPr>
            <w:tcW w:w="1224" w:type="dxa"/>
            <w:vAlign w:val="center"/>
          </w:tcPr>
          <w:p w14:paraId="03CEED06" w14:textId="77777777" w:rsidR="00972F58" w:rsidRDefault="00972F58"/>
        </w:tc>
        <w:tc>
          <w:tcPr>
            <w:tcW w:w="1224" w:type="dxa"/>
            <w:shd w:val="clear" w:color="auto" w:fill="D9EAD3"/>
            <w:vAlign w:val="center"/>
          </w:tcPr>
          <w:p w14:paraId="3467B7FA" w14:textId="77777777" w:rsidR="00972F58" w:rsidRDefault="00000000">
            <w:r>
              <w:rPr>
                <w:sz w:val="18"/>
              </w:rPr>
              <w:t>●</w:t>
            </w:r>
          </w:p>
        </w:tc>
        <w:tc>
          <w:tcPr>
            <w:tcW w:w="1224" w:type="dxa"/>
            <w:shd w:val="clear" w:color="auto" w:fill="D9EAD3"/>
            <w:vAlign w:val="center"/>
          </w:tcPr>
          <w:p w14:paraId="0A09BF86" w14:textId="77777777" w:rsidR="00972F58" w:rsidRDefault="00000000">
            <w:r>
              <w:rPr>
                <w:sz w:val="18"/>
              </w:rPr>
              <w:t>●</w:t>
            </w:r>
          </w:p>
        </w:tc>
      </w:tr>
    </w:tbl>
    <w:p w14:paraId="6A693747" w14:textId="77777777" w:rsidR="00972F58" w:rsidRDefault="00000000">
      <w:r>
        <w:br w:type="page"/>
      </w:r>
    </w:p>
    <w:p w14:paraId="617A7D0D" w14:textId="77777777" w:rsidR="00972F58" w:rsidRDefault="00000000">
      <w:pPr>
        <w:pStyle w:val="Heading1"/>
      </w:pPr>
      <w:r>
        <w:lastRenderedPageBreak/>
        <w:t>References</w:t>
      </w:r>
    </w:p>
    <w:p w14:paraId="331C48E5" w14:textId="77777777" w:rsidR="00972F58" w:rsidRDefault="00000000">
      <w:pPr>
        <w:spacing w:after="60"/>
        <w:ind w:left="360" w:hanging="360"/>
      </w:pPr>
      <w:r>
        <w:t>[1] Shirley Ardener, “The Comparative Study of Rotating Credit Associations,” The Journal of the Royal Anthropological Institute of Great Britain and Ireland, vol. 94, no. 2, pp. 201-229, 1964.</w:t>
      </w:r>
    </w:p>
    <w:p w14:paraId="5F25459E" w14:textId="77777777" w:rsidR="00972F58" w:rsidRDefault="00000000">
      <w:pPr>
        <w:spacing w:after="60"/>
        <w:ind w:left="360" w:hanging="360"/>
      </w:pPr>
      <w:r>
        <w:t>[2] Clifford Geertz, “The Rotating Credit Association: A 'Middle Rung' in Development,” Economic Development and Cultural Change, vol. 10, no. 3, pp. 241-263, 1962.</w:t>
      </w:r>
    </w:p>
    <w:p w14:paraId="33ECA2BA" w14:textId="77777777" w:rsidR="00972F58" w:rsidRDefault="00000000">
      <w:pPr>
        <w:spacing w:after="60"/>
        <w:ind w:left="360" w:hanging="360"/>
      </w:pPr>
      <w:r>
        <w:t>[3] Timothy Besley; Stephen Coate; Glenn Loury, “The Economics of Rotating Savings and Credit Associations,” American Economic Review, vol. 83, no. 4, pp. 792-810, 1993.</w:t>
      </w:r>
    </w:p>
    <w:p w14:paraId="182B9BBB" w14:textId="77777777" w:rsidR="00972F58" w:rsidRDefault="00000000">
      <w:pPr>
        <w:spacing w:after="60"/>
        <w:ind w:left="360" w:hanging="360"/>
      </w:pPr>
      <w:r>
        <w:t>[4] Siwan Anderson; Jean-Marie Baland, “The Economics of Roscas and Intrahousehold Resource Allocation,” The Quarterly Journal of Economics, vol. 117, no. 3, pp. 963-995, 2002.</w:t>
      </w:r>
    </w:p>
    <w:p w14:paraId="5C020676" w14:textId="77777777" w:rsidR="00972F58" w:rsidRDefault="00000000">
      <w:pPr>
        <w:spacing w:after="60"/>
        <w:ind w:left="360" w:hanging="360"/>
      </w:pPr>
      <w:r>
        <w:t>[5] Mary Kay Gugerty, “You Can't Save Alone: Commitment in Rotating Savings and Credit Associations in Kenya,” Economic Development and Cultural Change, vol. 55, no. 2, pp. 251-282, 2007.</w:t>
      </w:r>
    </w:p>
    <w:p w14:paraId="54BEB92E" w14:textId="77777777" w:rsidR="00972F58" w:rsidRDefault="00000000">
      <w:pPr>
        <w:spacing w:after="60"/>
        <w:ind w:left="360" w:hanging="360"/>
      </w:pPr>
      <w:r>
        <w:t>[6] Asli Demirgüç-Kunt; Leora Klapper; Dorothe Singer; Saniya Ansar, The Global Findex Database 2021: Financial Inclusion, Digital Payments, and Resilience in the Age of COVID-19, World Bank, 2022.</w:t>
      </w:r>
    </w:p>
    <w:p w14:paraId="33D2EB29" w14:textId="77777777" w:rsidR="00972F58" w:rsidRDefault="00000000">
      <w:pPr>
        <w:spacing w:after="60"/>
        <w:ind w:left="360" w:hanging="360"/>
      </w:pPr>
      <w:r>
        <w:t>[7] World Bank, Digital Financial Services, World Bank, 2020.</w:t>
      </w:r>
    </w:p>
    <w:p w14:paraId="3D944861" w14:textId="77777777" w:rsidR="00972F58" w:rsidRDefault="00000000">
      <w:pPr>
        <w:spacing w:after="60"/>
        <w:ind w:left="360" w:hanging="360"/>
      </w:pPr>
      <w:r>
        <w:t>[8] CGAP, “Can Digital Linkages Revitalize a Tried and True Savings Model?,” 2014. Available online: https://www.cgap.org/blog/can-digital-linkages-revitalize-tried-and-true-savings-model.</w:t>
      </w:r>
    </w:p>
    <w:p w14:paraId="7CA98BD3" w14:textId="77777777" w:rsidR="00972F58" w:rsidRDefault="00000000">
      <w:pPr>
        <w:spacing w:after="60"/>
        <w:ind w:left="360" w:hanging="360"/>
      </w:pPr>
      <w:r>
        <w:t>[9] Ellis L. C. Osabutey; Gemma Jackson; Mark P. Williams, “Mobile Money and Financial Inclusion in Africa: Emerging Themes and Research Agenda,” Technological Forecasting and Social Change, vol. , no. , pp. , 2024.</w:t>
      </w:r>
    </w:p>
    <w:p w14:paraId="0F660EA6" w14:textId="77777777" w:rsidR="00972F58" w:rsidRDefault="00000000">
      <w:pPr>
        <w:spacing w:after="60"/>
        <w:ind w:left="360" w:hanging="360"/>
      </w:pPr>
      <w:r>
        <w:t>[10] Wayne Jansen; Timothy Grance, Guidelines on Security and Privacy in Public Cloud Computing, NIST SP 800-144, National Institute of Standards and Technology, 2011.</w:t>
      </w:r>
    </w:p>
    <w:p w14:paraId="594CA67B" w14:textId="77777777" w:rsidR="00972F58" w:rsidRDefault="00000000">
      <w:pPr>
        <w:spacing w:after="60"/>
        <w:ind w:left="360" w:hanging="360"/>
      </w:pPr>
      <w:r>
        <w:t>[11] Paul A. Grassi; Michael E. Garcia; James L. Fenton, Digital Identity Guidelines: Authentication and Lifecycle Management, NIST SP 800-63B, National Institute of Standards and Technology, 2020.</w:t>
      </w:r>
    </w:p>
    <w:p w14:paraId="6C9BB504" w14:textId="77777777" w:rsidR="00972F58" w:rsidRDefault="00000000">
      <w:pPr>
        <w:spacing w:after="60"/>
        <w:ind w:left="360" w:hanging="360"/>
      </w:pPr>
      <w:r>
        <w:t>[12] OWASP Foundation, Application Security Verification Standard 4.0.3, OWASP Foundation, 2021.</w:t>
      </w:r>
    </w:p>
    <w:p w14:paraId="2C7C4FB8" w14:textId="77777777" w:rsidR="00972F58" w:rsidRDefault="00000000">
      <w:pPr>
        <w:spacing w:after="60"/>
        <w:ind w:left="360" w:hanging="360"/>
      </w:pPr>
      <w:r>
        <w:t>[13] International Organization for Standardization, ISO/IEC 25010:2011 Systems and Software Engineering—Systems and Software Quality Requirements and Evaluation—System and Software Quality Models, ISO, 2011.</w:t>
      </w:r>
    </w:p>
    <w:p w14:paraId="380B03A9" w14:textId="77777777" w:rsidR="00972F58" w:rsidRDefault="00000000">
      <w:pPr>
        <w:spacing w:after="60"/>
        <w:ind w:left="360" w:hanging="360"/>
      </w:pPr>
      <w:r>
        <w:t>[14] John Brooke, “SUS: A 'Quick and Dirty' Usability Scale,” in Usability Evaluation in Industry, Taylor &amp; Francis, 1996, pp. 189-194.</w:t>
      </w:r>
    </w:p>
    <w:p w14:paraId="19983E9E" w14:textId="77777777" w:rsidR="00972F58" w:rsidRDefault="00000000">
      <w:pPr>
        <w:spacing w:after="60"/>
        <w:ind w:left="360" w:hanging="360"/>
      </w:pPr>
      <w:r>
        <w:t>[15] Fred D. Davis, “Perceived Usefulness, Perceived Ease of Use, and User Acceptance of Information Technology,” MIS Quarterly, vol. 13, no. 3, pp. 319-340, 1989.</w:t>
      </w:r>
    </w:p>
    <w:p w14:paraId="00A6ED2C" w14:textId="77777777" w:rsidR="00972F58" w:rsidRDefault="00000000">
      <w:pPr>
        <w:spacing w:after="60"/>
        <w:ind w:left="360" w:hanging="360"/>
      </w:pPr>
      <w:r>
        <w:t>[16] Information Commissioner's Office, “Data Protection by Design and Default,” 2025. Available online: https://ico.org.uk/for-organisations/uk-gdpr-guidance-and-resources/accountability-and-governance/guide-to-accountability-and-governance/accountability-and-governance/data-protection-by-design-and-default/.</w:t>
      </w:r>
    </w:p>
    <w:p w14:paraId="1EE56630" w14:textId="77777777" w:rsidR="00972F58" w:rsidRDefault="00000000">
      <w:pPr>
        <w:spacing w:after="60"/>
        <w:ind w:left="360" w:hanging="360"/>
      </w:pPr>
      <w:r>
        <w:t>[17] Financial Conduct Authority, “Payment Services Regulations and Electronic Money Regulations,” 2025. Available online: https://www.fca.org.uk/firms/payment-services-regulations-e-money-regulations.</w:t>
      </w:r>
    </w:p>
    <w:p w14:paraId="618DF190" w14:textId="77777777" w:rsidR="00972F58" w:rsidRDefault="00000000">
      <w:pPr>
        <w:spacing w:after="60"/>
        <w:ind w:left="360" w:hanging="360"/>
      </w:pPr>
      <w:r>
        <w:t>[18] University of Wales Trinity Saint David, Research Ethics and Integrity Code of Practice, UWTSD, 2022.</w:t>
      </w:r>
    </w:p>
    <w:p w14:paraId="1D791A83" w14:textId="77777777" w:rsidR="00972F58" w:rsidRDefault="00000000">
      <w:pPr>
        <w:spacing w:after="60"/>
        <w:ind w:left="360" w:hanging="360"/>
      </w:pPr>
      <w:r>
        <w:t>[19] University of Wales Trinity Saint David, Research Data Management Policy, UWTSD, 2022.</w:t>
      </w:r>
    </w:p>
    <w:sectPr w:rsidR="00972F58" w:rsidSect="00034616">
      <w:footerReference w:type="default" r:id="rId8"/>
      <w:pgSz w:w="12240" w:h="15840"/>
      <w:pgMar w:top="1080" w:right="1224" w:bottom="1008"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EB398" w14:textId="77777777" w:rsidR="001563F6" w:rsidRDefault="001563F6">
      <w:pPr>
        <w:spacing w:after="0" w:line="240" w:lineRule="auto"/>
      </w:pPr>
      <w:r>
        <w:separator/>
      </w:r>
    </w:p>
  </w:endnote>
  <w:endnote w:type="continuationSeparator" w:id="0">
    <w:p w14:paraId="695AD3A1" w14:textId="77777777" w:rsidR="001563F6" w:rsidRDefault="00156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627C2" w14:textId="77777777" w:rsidR="00972F58" w:rsidRDefault="00000000">
    <w:pPr>
      <w:pStyle w:val="Footer"/>
      <w:jc w:val="center"/>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082C7" w14:textId="77777777" w:rsidR="001563F6" w:rsidRDefault="001563F6">
      <w:pPr>
        <w:spacing w:after="0" w:line="240" w:lineRule="auto"/>
      </w:pPr>
      <w:r>
        <w:separator/>
      </w:r>
    </w:p>
  </w:footnote>
  <w:footnote w:type="continuationSeparator" w:id="0">
    <w:p w14:paraId="6C525AF0" w14:textId="77777777" w:rsidR="001563F6" w:rsidRDefault="00156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07989411">
    <w:abstractNumId w:val="8"/>
  </w:num>
  <w:num w:numId="2" w16cid:durableId="699285836">
    <w:abstractNumId w:val="6"/>
  </w:num>
  <w:num w:numId="3" w16cid:durableId="122964565">
    <w:abstractNumId w:val="5"/>
  </w:num>
  <w:num w:numId="4" w16cid:durableId="720447014">
    <w:abstractNumId w:val="4"/>
  </w:num>
  <w:num w:numId="5" w16cid:durableId="1684167864">
    <w:abstractNumId w:val="7"/>
  </w:num>
  <w:num w:numId="6" w16cid:durableId="2129859935">
    <w:abstractNumId w:val="3"/>
  </w:num>
  <w:num w:numId="7" w16cid:durableId="1509441906">
    <w:abstractNumId w:val="2"/>
  </w:num>
  <w:num w:numId="8" w16cid:durableId="2008705627">
    <w:abstractNumId w:val="1"/>
  </w:num>
  <w:num w:numId="9" w16cid:durableId="883374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63F6"/>
    <w:rsid w:val="0029639D"/>
    <w:rsid w:val="00326F90"/>
    <w:rsid w:val="003A2B9A"/>
    <w:rsid w:val="00972F58"/>
    <w:rsid w:val="00AA1D8D"/>
    <w:rsid w:val="00B47730"/>
    <w:rsid w:val="00CB0664"/>
    <w:rsid w:val="00E27CC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A81606"/>
  <w14:defaultImageDpi w14:val="300"/>
  <w15:docId w15:val="{C8C6858A-E0CF-444E-AE0D-B59B72118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9" w:lineRule="auto"/>
    </w:pPr>
    <w:rPr>
      <w:rFonts w:ascii="Arial" w:hAnsi="Arial"/>
      <w:sz w:val="21"/>
    </w:rPr>
  </w:style>
  <w:style w:type="paragraph" w:styleId="Heading1">
    <w:name w:val="heading 1"/>
    <w:basedOn w:val="Normal"/>
    <w:next w:val="Normal"/>
    <w:link w:val="Heading1Char"/>
    <w:uiPriority w:val="9"/>
    <w:qFormat/>
    <w:rsid w:val="00FC693F"/>
    <w:pPr>
      <w:keepNext/>
      <w:keepLines/>
      <w:spacing w:before="200" w:after="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8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Ardener1964</b:Tag>
    <b:SourceType>JournalArticle</b:SourceType>
    <b:Title>The Comparative Study of Rotating Credit Associations</b:Title>
    <b:Year>1964</b:Year>
    <b:JournalName>The Journal of the Royal Anthropological Institute of Great Britain and Ireland</b:JournalName>
    <b:Volume>94</b:Volume>
    <b:Issue>2</b:Issue>
    <b:Pages>201-229</b:Pages>
    <b:Author>
      <b:Author>
        <b:Corporate>Shirley Ardener</b:Corporate>
      </b:Author>
    </b:Author>
  </b:Source>
  <b:Source>
    <b:Tag>Geertz1962</b:Tag>
    <b:SourceType>JournalArticle</b:SourceType>
    <b:Title>The Rotating Credit Association: A 'Middle Rung' in Development</b:Title>
    <b:Year>1962</b:Year>
    <b:JournalName>Economic Development and Cultural Change</b:JournalName>
    <b:Volume>10</b:Volume>
    <b:Issue>3</b:Issue>
    <b:Pages>241-263</b:Pages>
    <b:Author>
      <b:Author>
        <b:Corporate>Clifford Geertz</b:Corporate>
      </b:Author>
    </b:Author>
  </b:Source>
  <b:Source>
    <b:Tag>Besley1993</b:Tag>
    <b:SourceType>JournalArticle</b:SourceType>
    <b:Title>The Economics of Rotating Savings and Credit Associations</b:Title>
    <b:Year>1993</b:Year>
    <b:JournalName>American Economic Review</b:JournalName>
    <b:Volume>83</b:Volume>
    <b:Issue>4</b:Issue>
    <b:Pages>792-810</b:Pages>
    <b:Author>
      <b:Author>
        <b:Corporate>Timothy Besley; Stephen Coate; Glenn Loury</b:Corporate>
      </b:Author>
    </b:Author>
  </b:Source>
  <b:Source>
    <b:Tag>Anderson2002</b:Tag>
    <b:SourceType>JournalArticle</b:SourceType>
    <b:Title>The Economics of Roscas and Intrahousehold Resource Allocation</b:Title>
    <b:Year>2002</b:Year>
    <b:JournalName>The Quarterly Journal of Economics</b:JournalName>
    <b:Volume>117</b:Volume>
    <b:Issue>3</b:Issue>
    <b:Pages>963-995</b:Pages>
    <b:Author>
      <b:Author>
        <b:Corporate>Siwan Anderson; Jean-Marie Baland</b:Corporate>
      </b:Author>
    </b:Author>
  </b:Source>
  <b:Source>
    <b:Tag>Gugerty2007</b:Tag>
    <b:SourceType>JournalArticle</b:SourceType>
    <b:Title>You Can't Save Alone: Commitment in Rotating Savings and Credit Associations in Kenya</b:Title>
    <b:Year>2007</b:Year>
    <b:JournalName>Economic Development and Cultural Change</b:JournalName>
    <b:Volume>55</b:Volume>
    <b:Issue>2</b:Issue>
    <b:Pages>251-282</b:Pages>
    <b:Author>
      <b:Author>
        <b:Corporate>Mary Kay Gugerty</b:Corporate>
      </b:Author>
    </b:Author>
  </b:Source>
  <b:Source>
    <b:Tag>WorldBankFindex2022</b:Tag>
    <b:SourceType>Report</b:SourceType>
    <b:Title>The Global Findex Database 2021: Financial Inclusion, Digital Payments, and Resilience in the Age of COVID-19</b:Title>
    <b:Year>2022</b:Year>
    <b:Institution>World Bank</b:Institution>
    <b:City>Washington, DC</b:City>
    <b:Author>
      <b:Author>
        <b:Corporate>Asli Demirgüç-Kunt; Leora Klapper; Dorothe Singer; Saniya Ansar</b:Corporate>
      </b:Author>
    </b:Author>
  </b:Source>
  <b:Source>
    <b:Tag>WorldBankDFS2020</b:Tag>
    <b:SourceType>Report</b:SourceType>
    <b:Title>Digital Financial Services</b:Title>
    <b:Year>2020</b:Year>
    <b:Institution>World Bank</b:Institution>
    <b:City>Washington, DC</b:City>
    <b:Author>
      <b:Author>
        <b:Corporate>World Bank</b:Corporate>
      </b:Author>
    </b:Author>
  </b:Source>
  <b:Source>
    <b:Tag>CGAP2014</b:Tag>
    <b:SourceType>InternetSite</b:SourceType>
    <b:Title>Can Digital Linkages Revitalize a Tried and True Savings Model?</b:Title>
    <b:Year>2014</b:Year>
    <b:URL>https://www.cgap.org/blog/can-digital-linkages-revitalize-tried-and-true-savings-model</b:URL>
    <b:Author>
      <b:Author>
        <b:Corporate>CGAP</b:Corporate>
      </b:Author>
    </b:Author>
  </b:Source>
  <b:Source>
    <b:Tag>Osabutey2024</b:Tag>
    <b:SourceType>JournalArticle</b:SourceType>
    <b:Title>Mobile Money and Financial Inclusion in Africa: Emerging Themes and Research Agenda</b:Title>
    <b:Year>2024</b:Year>
    <b:JournalName>Technological Forecasting and Social Change</b:JournalName>
    <b:Author>
      <b:Author>
        <b:Corporate>Ellis L. C. Osabutey; Gemma Jackson; Mark P. Williams</b:Corporate>
      </b:Author>
    </b:Author>
  </b:Source>
  <b:Source>
    <b:Tag>NIST800144</b:Tag>
    <b:SourceType>Report</b:SourceType>
    <b:Title>Guidelines on Security and Privacy in Public Cloud Computing</b:Title>
    <b:Year>2011</b:Year>
    <b:Institution>National Institute of Standards and Technology</b:Institution>
    <b:StandardNumber>NIST SP 800-144</b:StandardNumber>
    <b:Author>
      <b:Author>
        <b:Corporate>Wayne Jansen; Timothy Grance</b:Corporate>
      </b:Author>
    </b:Author>
  </b:Source>
  <b:Source>
    <b:Tag>NIST80063B</b:Tag>
    <b:SourceType>Report</b:SourceType>
    <b:Title>Digital Identity Guidelines: Authentication and Lifecycle Management</b:Title>
    <b:Year>2020</b:Year>
    <b:Institution>National Institute of Standards and Technology</b:Institution>
    <b:StandardNumber>NIST SP 800-63B</b:StandardNumber>
    <b:Author>
      <b:Author>
        <b:Corporate>Paul A. Grassi; Michael E. Garcia; James L. Fenton</b:Corporate>
      </b:Author>
    </b:Author>
  </b:Source>
  <b:Source>
    <b:Tag>OWASP2021</b:Tag>
    <b:SourceType>Report</b:SourceType>
    <b:Title>Application Security Verification Standard 4.0.3</b:Title>
    <b:Year>2021</b:Year>
    <b:Institution>OWASP Foundation</b:Institution>
    <b:Author>
      <b:Author>
        <b:Corporate>OWASP Foundation</b:Corporate>
      </b:Author>
    </b:Author>
  </b:Source>
  <b:Source>
    <b:Tag>ISO25010</b:Tag>
    <b:SourceType>Report</b:SourceType>
    <b:Title>ISO/IEC 25010:2011 Systems and Software Engineering—Systems and Software Quality Requirements and Evaluation—System and Software Quality Models</b:Title>
    <b:Year>2011</b:Year>
    <b:Institution>ISO</b:Institution>
    <b:Author>
      <b:Author>
        <b:Corporate>International Organization for Standardization</b:Corporate>
      </b:Author>
    </b:Author>
  </b:Source>
  <b:Source>
    <b:Tag>Brooke1996</b:Tag>
    <b:SourceType>BookSection</b:SourceType>
    <b:Title>SUS: A 'Quick and Dirty' Usability Scale</b:Title>
    <b:Year>1996</b:Year>
    <b:Pages>189-194</b:Pages>
    <b:Publisher>Taylor &amp; Francis</b:Publisher>
    <b:BookTitle>Usability Evaluation in Industry</b:BookTitle>
    <b:Author>
      <b:Author>
        <b:Corporate>John Brooke</b:Corporate>
      </b:Author>
    </b:Author>
  </b:Source>
  <b:Source>
    <b:Tag>Davis1989</b:Tag>
    <b:SourceType>JournalArticle</b:SourceType>
    <b:Title>Perceived Usefulness, Perceived Ease of Use, and User Acceptance of Information Technology</b:Title>
    <b:Year>1989</b:Year>
    <b:JournalName>MIS Quarterly</b:JournalName>
    <b:Volume>13</b:Volume>
    <b:Issue>3</b:Issue>
    <b:Pages>319-340</b:Pages>
    <b:Author>
      <b:Author>
        <b:Corporate>Fred D. Davis</b:Corporate>
      </b:Author>
    </b:Author>
  </b:Source>
  <b:Source>
    <b:Tag>ICODesign</b:Tag>
    <b:SourceType>InternetSite</b:SourceType>
    <b:Title>Data Protection by Design and Default</b:Title>
    <b:Year>2025</b:Year>
    <b:URL>https://ico.org.uk/for-organisations/uk-gdpr-guidance-and-resources/accountability-and-governance/guide-to-accountability-and-governance/accountability-and-governance/data-protection-by-design-and-default/</b:URL>
    <b:Author>
      <b:Author>
        <b:Corporate>Information Commissioner's Office</b:Corporate>
      </b:Author>
    </b:Author>
  </b:Source>
  <b:Source>
    <b:Tag>FCAEMoney</b:Tag>
    <b:SourceType>InternetSite</b:SourceType>
    <b:Title>Payment Services Regulations and Electronic Money Regulations</b:Title>
    <b:Year>2025</b:Year>
    <b:URL>https://www.fca.org.uk/firms/payment-services-regulations-e-money-regulations</b:URL>
    <b:Author>
      <b:Author>
        <b:Corporate>Financial Conduct Authority</b:Corporate>
      </b:Author>
    </b:Author>
  </b:Source>
  <b:Source>
    <b:Tag>UWTSDethics2022</b:Tag>
    <b:SourceType>Report</b:SourceType>
    <b:Title>Research Ethics and Integrity Code of Practice</b:Title>
    <b:Year>2022</b:Year>
    <b:Institution>UWTSD</b:Institution>
    <b:Author>
      <b:Author>
        <b:Corporate>University of Wales Trinity Saint David</b:Corporate>
      </b:Author>
    </b:Author>
  </b:Source>
  <b:Source>
    <b:Tag>UWTSDdata2022</b:Tag>
    <b:SourceType>Report</b:SourceType>
    <b:Title>Research Data Management Policy</b:Title>
    <b:Year>2022</b:Year>
    <b:Institution>UWTSD</b:Institution>
    <b:Author>
      <b:Author>
        <b:Corporate>University of Wales Trinity Saint David</b:Corporate>
      </b:Author>
    </b:Author>
  </b:Source>
</b:Sources>
</file>

<file path=customXml/itemProps1.xml><?xml version="1.0" encoding="utf-8"?>
<ds:datastoreItem xmlns:ds="http://schemas.openxmlformats.org/officeDocument/2006/customXml" ds:itemID="{F9A37C1A-2D8A-4D63-9D0A-77659C32A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6</Pages>
  <Words>2342</Words>
  <Characters>13351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Xiquilá Research Proposal</dc:title>
  <dc:subject>ACCA6020 Independent Project</dc:subject>
  <dc:creator>Uri Neto</dc:creator>
  <cp:keywords/>
  <dc:description>generated by python-docx</dc:description>
  <cp:lastModifiedBy>Uri Ivan D'Oliveira Pinto Neto (2327255)</cp:lastModifiedBy>
  <cp:revision>2</cp:revision>
  <dcterms:created xsi:type="dcterms:W3CDTF">2013-12-23T23:15:00Z</dcterms:created>
  <dcterms:modified xsi:type="dcterms:W3CDTF">2026-07-26T23:04:00Z</dcterms:modified>
  <cp:category/>
</cp:coreProperties>
</file>