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000000" w:rsidRPr="00000000" w:rsidP="00000000" w14:paraId="00000001">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ECGE50002P:</w:t>
      </w:r>
    </w:p>
    <w:p w:rsidR="00000000" w:rsidRPr="00000000" w:rsidP="00000000" w14:paraId="00000002">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Changemakers: Building Your Personal Brand For Sustainable Employment</w:t>
        <w:tab/>
      </w:r>
    </w:p>
    <w:p w:rsidR="00000000" w:rsidRPr="00000000" w:rsidP="00000000" w14:paraId="00000003">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 xml:space="preserve">Vinushan Thaumanavar </w:t>
      </w:r>
    </w:p>
    <w:p w:rsidR="00000000" w:rsidRPr="00000000" w:rsidP="00000000" w14:paraId="00000004">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Word Count:2000 (or Equivalent)</w:t>
      </w:r>
    </w:p>
    <w:p w:rsidR="00000000" w:rsidRPr="00000000" w:rsidP="00000000" w14:paraId="00000005">
      <w:pPr>
        <w:rPr>
          <w:rFonts w:ascii="Times New Roman" w:eastAsia="Times New Roman" w:hAnsi="Times New Roman" w:cs="Times New Roman"/>
          <w:color w:val="303030"/>
        </w:rPr>
      </w:pPr>
    </w:p>
    <w:p w:rsidR="00000000" w:rsidRPr="00000000" w:rsidP="00000000" w14:paraId="00000006">
      <w:pPr>
        <w:rPr>
          <w:rFonts w:ascii="Times New Roman" w:eastAsia="Times New Roman" w:hAnsi="Times New Roman" w:cs="Times New Roman"/>
          <w:color w:val="303030"/>
        </w:rPr>
      </w:pPr>
    </w:p>
    <w:p w:rsidR="00000000" w:rsidRPr="00000000" w:rsidP="00000000" w14:paraId="00000007">
      <w:pPr>
        <w:rPr>
          <w:rFonts w:ascii="Times New Roman" w:eastAsia="Times New Roman" w:hAnsi="Times New Roman" w:cs="Times New Roman"/>
          <w:color w:val="303030"/>
        </w:rPr>
      </w:pPr>
    </w:p>
    <w:p w:rsidR="00000000" w:rsidRPr="00000000" w:rsidP="00000000" w14:paraId="00000008">
      <w:pPr>
        <w:rPr>
          <w:rFonts w:ascii="Times New Roman" w:eastAsia="Times New Roman" w:hAnsi="Times New Roman" w:cs="Times New Roman"/>
          <w:color w:val="303030"/>
        </w:rPr>
      </w:pPr>
    </w:p>
    <w:p w:rsidR="00000000" w:rsidRPr="00000000" w:rsidP="00000000" w14:paraId="00000009">
      <w:pPr>
        <w:rPr>
          <w:rFonts w:ascii="Times New Roman" w:eastAsia="Times New Roman" w:hAnsi="Times New Roman" w:cs="Times New Roman"/>
          <w:color w:val="303030"/>
        </w:rPr>
      </w:pPr>
    </w:p>
    <w:p w:rsidR="00000000" w:rsidRPr="00000000" w:rsidP="00000000" w14:paraId="0000000A">
      <w:pPr>
        <w:rPr>
          <w:rFonts w:ascii="Times New Roman" w:eastAsia="Times New Roman" w:hAnsi="Times New Roman" w:cs="Times New Roman"/>
          <w:color w:val="303030"/>
        </w:rPr>
      </w:pPr>
    </w:p>
    <w:p w:rsidR="00000000" w:rsidRPr="00000000" w:rsidP="00000000" w14:paraId="0000000B">
      <w:pPr>
        <w:rPr>
          <w:rFonts w:ascii="Times New Roman" w:eastAsia="Times New Roman" w:hAnsi="Times New Roman" w:cs="Times New Roman"/>
          <w:color w:val="303030"/>
        </w:rPr>
      </w:pPr>
    </w:p>
    <w:p w:rsidR="00000000" w:rsidRPr="00000000" w:rsidP="00000000" w14:paraId="0000000C">
      <w:pPr>
        <w:rPr>
          <w:rFonts w:ascii="Times New Roman" w:eastAsia="Times New Roman" w:hAnsi="Times New Roman" w:cs="Times New Roman"/>
          <w:color w:val="303030"/>
        </w:rPr>
      </w:pPr>
    </w:p>
    <w:p w:rsidR="00000000" w:rsidRPr="00000000" w:rsidP="00000000" w14:paraId="0000000D">
      <w:pPr>
        <w:rPr>
          <w:rFonts w:ascii="Times New Roman" w:eastAsia="Times New Roman" w:hAnsi="Times New Roman" w:cs="Times New Roman"/>
          <w:color w:val="303030"/>
        </w:rPr>
      </w:pPr>
    </w:p>
    <w:p w:rsidR="00000000" w:rsidRPr="00000000" w:rsidP="00000000" w14:paraId="0000000E">
      <w:pPr>
        <w:rPr>
          <w:rFonts w:ascii="Times New Roman" w:eastAsia="Times New Roman" w:hAnsi="Times New Roman" w:cs="Times New Roman"/>
          <w:color w:val="303030"/>
        </w:rPr>
      </w:pPr>
    </w:p>
    <w:p w:rsidR="00000000" w:rsidRPr="00000000" w:rsidP="00000000" w14:paraId="0000000F">
      <w:pPr>
        <w:rPr>
          <w:rFonts w:ascii="Times New Roman" w:eastAsia="Times New Roman" w:hAnsi="Times New Roman" w:cs="Times New Roman"/>
          <w:color w:val="303030"/>
        </w:rPr>
      </w:pPr>
    </w:p>
    <w:p w:rsidR="00000000" w:rsidRPr="00000000" w:rsidP="00000000" w14:paraId="00000010">
      <w:pPr>
        <w:rPr>
          <w:rFonts w:ascii="Times New Roman" w:eastAsia="Times New Roman" w:hAnsi="Times New Roman" w:cs="Times New Roman"/>
          <w:color w:val="303030"/>
        </w:rPr>
      </w:pPr>
    </w:p>
    <w:p w:rsidR="00000000" w:rsidRPr="00000000" w:rsidP="00000000" w14:paraId="00000011">
      <w:pPr>
        <w:rPr>
          <w:rFonts w:ascii="Times New Roman" w:eastAsia="Times New Roman" w:hAnsi="Times New Roman" w:cs="Times New Roman"/>
          <w:color w:val="303030"/>
        </w:rPr>
      </w:pPr>
    </w:p>
    <w:p w:rsidR="00000000" w:rsidRPr="00000000" w:rsidP="00000000" w14:paraId="00000012">
      <w:pPr>
        <w:rPr>
          <w:rFonts w:ascii="Times New Roman" w:eastAsia="Times New Roman" w:hAnsi="Times New Roman" w:cs="Times New Roman"/>
          <w:color w:val="303030"/>
        </w:rPr>
      </w:pPr>
    </w:p>
    <w:p w:rsidR="00000000" w:rsidRPr="00000000" w:rsidP="00000000" w14:paraId="00000013">
      <w:pPr>
        <w:rPr>
          <w:rFonts w:ascii="Times New Roman" w:eastAsia="Times New Roman" w:hAnsi="Times New Roman" w:cs="Times New Roman"/>
          <w:color w:val="303030"/>
        </w:rPr>
      </w:pPr>
    </w:p>
    <w:p w:rsidR="00000000" w:rsidRPr="00000000" w:rsidP="00000000" w14:paraId="00000014">
      <w:pPr>
        <w:rPr>
          <w:rFonts w:ascii="Times New Roman" w:eastAsia="Times New Roman" w:hAnsi="Times New Roman" w:cs="Times New Roman"/>
          <w:color w:val="303030"/>
        </w:rPr>
      </w:pPr>
    </w:p>
    <w:p w:rsidR="00000000" w:rsidRPr="00000000" w:rsidP="00000000" w14:paraId="00000015">
      <w:pPr>
        <w:rPr>
          <w:rFonts w:ascii="Times New Roman" w:eastAsia="Times New Roman" w:hAnsi="Times New Roman" w:cs="Times New Roman"/>
          <w:color w:val="303030"/>
        </w:rPr>
      </w:pPr>
    </w:p>
    <w:p w:rsidR="00000000" w:rsidRPr="00000000" w:rsidP="00000000" w14:paraId="00000016">
      <w:pPr>
        <w:rPr>
          <w:rFonts w:ascii="Times New Roman" w:eastAsia="Times New Roman" w:hAnsi="Times New Roman" w:cs="Times New Roman"/>
          <w:color w:val="303030"/>
        </w:rPr>
      </w:pPr>
    </w:p>
    <w:p w:rsidR="00000000" w:rsidRPr="00000000" w:rsidP="00000000" w14:paraId="00000017">
      <w:pPr>
        <w:rPr>
          <w:rFonts w:ascii="Times New Roman" w:eastAsia="Times New Roman" w:hAnsi="Times New Roman" w:cs="Times New Roman"/>
          <w:color w:val="303030"/>
        </w:rPr>
      </w:pPr>
    </w:p>
    <w:p w:rsidR="00000000" w:rsidRPr="00000000" w:rsidP="00000000" w14:paraId="00000018">
      <w:pPr>
        <w:rPr>
          <w:rFonts w:ascii="Times New Roman" w:eastAsia="Times New Roman" w:hAnsi="Times New Roman" w:cs="Times New Roman"/>
          <w:color w:val="303030"/>
        </w:rPr>
      </w:pPr>
    </w:p>
    <w:p w:rsidR="00000000" w:rsidRPr="00000000" w:rsidP="00000000" w14:paraId="00000019">
      <w:pPr>
        <w:rPr>
          <w:rFonts w:ascii="Times New Roman" w:eastAsia="Times New Roman" w:hAnsi="Times New Roman" w:cs="Times New Roman"/>
          <w:color w:val="303030"/>
        </w:rPr>
      </w:pPr>
    </w:p>
    <w:p w:rsidR="00000000" w:rsidRPr="00000000" w:rsidP="00000000" w14:paraId="0000001A">
      <w:pPr>
        <w:rPr>
          <w:rFonts w:ascii="Times New Roman" w:eastAsia="Times New Roman" w:hAnsi="Times New Roman" w:cs="Times New Roman"/>
          <w:color w:val="303030"/>
        </w:rPr>
      </w:pPr>
    </w:p>
    <w:p w:rsidR="00000000" w:rsidRPr="00000000" w:rsidP="00000000" w14:paraId="0000001B">
      <w:pPr>
        <w:rPr>
          <w:rFonts w:ascii="Times New Roman" w:eastAsia="Times New Roman" w:hAnsi="Times New Roman" w:cs="Times New Roman"/>
          <w:color w:val="303030"/>
        </w:rPr>
      </w:pPr>
    </w:p>
    <w:p w:rsidR="00000000" w:rsidRPr="00000000" w:rsidP="00000000" w14:paraId="0000001C">
      <w:pPr>
        <w:rPr>
          <w:rFonts w:ascii="Times New Roman" w:eastAsia="Times New Roman" w:hAnsi="Times New Roman" w:cs="Times New Roman"/>
          <w:color w:val="303030"/>
        </w:rPr>
      </w:pPr>
    </w:p>
    <w:p w:rsidR="00000000" w:rsidRPr="00000000" w:rsidP="00000000" w14:paraId="0000001D">
      <w:pPr>
        <w:rPr>
          <w:rFonts w:ascii="Times New Roman" w:eastAsia="Times New Roman" w:hAnsi="Times New Roman" w:cs="Times New Roman"/>
          <w:color w:val="303030"/>
        </w:rPr>
      </w:pPr>
    </w:p>
    <w:p w:rsidR="00000000" w:rsidRPr="00000000" w:rsidP="00000000" w14:paraId="0000001E">
      <w:pPr>
        <w:rPr>
          <w:rFonts w:ascii="Times New Roman" w:eastAsia="Times New Roman" w:hAnsi="Times New Roman" w:cs="Times New Roman"/>
          <w:color w:val="303030"/>
        </w:rPr>
      </w:pPr>
    </w:p>
    <w:p w:rsidR="00000000" w:rsidRPr="00000000" w:rsidP="00000000" w14:paraId="0000001F">
      <w:pPr>
        <w:rPr>
          <w:rFonts w:ascii="Times New Roman" w:eastAsia="Times New Roman" w:hAnsi="Times New Roman" w:cs="Times New Roman"/>
          <w:color w:val="303030"/>
        </w:rPr>
      </w:pPr>
    </w:p>
    <w:p w:rsidR="00000000" w:rsidRPr="00000000" w:rsidP="00000000" w14:paraId="00000020">
      <w:pPr>
        <w:rPr>
          <w:rFonts w:ascii="Times New Roman" w:eastAsia="Times New Roman" w:hAnsi="Times New Roman" w:cs="Times New Roman"/>
          <w:color w:val="303030"/>
        </w:rPr>
      </w:pPr>
    </w:p>
    <w:p w:rsidR="00000000" w:rsidRPr="00000000" w:rsidP="00000000" w14:paraId="00000021">
      <w:pPr>
        <w:rPr>
          <w:rFonts w:ascii="Times New Roman" w:eastAsia="Times New Roman" w:hAnsi="Times New Roman" w:cs="Times New Roman"/>
          <w:color w:val="303030"/>
        </w:rPr>
      </w:pPr>
    </w:p>
    <w:p w:rsidR="00000000" w:rsidRPr="00000000" w:rsidP="00000000" w14:paraId="00000022">
      <w:pPr>
        <w:rPr>
          <w:rFonts w:ascii="Times New Roman" w:eastAsia="Times New Roman" w:hAnsi="Times New Roman" w:cs="Times New Roman"/>
          <w:color w:val="303030"/>
        </w:rPr>
      </w:pPr>
    </w:p>
    <w:p w:rsidR="00000000" w:rsidRPr="00000000" w:rsidP="00000000" w14:paraId="00000023">
      <w:pPr>
        <w:rPr>
          <w:rFonts w:ascii="Times New Roman" w:eastAsia="Times New Roman" w:hAnsi="Times New Roman" w:cs="Times New Roman"/>
          <w:color w:val="303030"/>
        </w:rPr>
      </w:pPr>
    </w:p>
    <w:p w:rsidR="00000000" w:rsidRPr="00000000" w:rsidP="00000000" w14:paraId="00000024">
      <w:pPr>
        <w:rPr>
          <w:rFonts w:ascii="Times New Roman" w:eastAsia="Times New Roman" w:hAnsi="Times New Roman" w:cs="Times New Roman"/>
          <w:color w:val="303030"/>
        </w:rPr>
      </w:pPr>
    </w:p>
    <w:p w:rsidR="00000000" w:rsidRPr="00000000" w:rsidP="00000000" w14:paraId="00000025">
      <w:pPr>
        <w:rPr>
          <w:rFonts w:ascii="Times New Roman" w:eastAsia="Times New Roman" w:hAnsi="Times New Roman" w:cs="Times New Roman"/>
          <w:color w:val="303030"/>
        </w:rPr>
      </w:pPr>
    </w:p>
    <w:p w:rsidR="00000000" w:rsidRPr="00000000" w:rsidP="00000000" w14:paraId="00000026">
      <w:pPr>
        <w:rPr>
          <w:rFonts w:ascii="Times New Roman" w:eastAsia="Times New Roman" w:hAnsi="Times New Roman" w:cs="Times New Roman"/>
          <w:color w:val="303030"/>
        </w:rPr>
      </w:pPr>
    </w:p>
    <w:p w:rsidR="00000000" w:rsidRPr="00000000" w:rsidP="00000000" w14:paraId="00000027">
      <w:pPr>
        <w:rPr>
          <w:rFonts w:ascii="Times New Roman" w:eastAsia="Times New Roman" w:hAnsi="Times New Roman" w:cs="Times New Roman"/>
          <w:color w:val="303030"/>
        </w:rPr>
      </w:pPr>
    </w:p>
    <w:p w:rsidR="00000000" w:rsidRPr="00000000" w:rsidP="00000000" w14:paraId="00000028">
      <w:pPr>
        <w:rPr>
          <w:rFonts w:ascii="Times New Roman" w:eastAsia="Times New Roman" w:hAnsi="Times New Roman" w:cs="Times New Roman"/>
          <w:color w:val="303030"/>
        </w:rPr>
      </w:pPr>
    </w:p>
    <w:p w:rsidR="00000000" w:rsidRPr="00000000" w:rsidP="00000000" w14:paraId="00000029">
      <w:pPr>
        <w:rPr>
          <w:rFonts w:ascii="Times New Roman" w:eastAsia="Times New Roman" w:hAnsi="Times New Roman" w:cs="Times New Roman"/>
          <w:color w:val="303030"/>
        </w:rPr>
      </w:pPr>
    </w:p>
    <w:p w:rsidR="00000000" w:rsidRPr="00000000" w:rsidP="00000000" w14:paraId="0000002A">
      <w:pPr>
        <w:rPr>
          <w:rFonts w:ascii="Times New Roman" w:eastAsia="Times New Roman" w:hAnsi="Times New Roman" w:cs="Times New Roman"/>
          <w:color w:val="303030"/>
        </w:rPr>
      </w:pPr>
    </w:p>
    <w:p w:rsidR="00000000" w:rsidRPr="00000000" w:rsidP="00000000" w14:paraId="0000002B">
      <w:pPr>
        <w:rPr>
          <w:rFonts w:ascii="Times New Roman" w:eastAsia="Times New Roman" w:hAnsi="Times New Roman" w:cs="Times New Roman"/>
          <w:color w:val="303030"/>
        </w:rPr>
      </w:pPr>
    </w:p>
    <w:p w:rsidR="00000000" w:rsidRPr="00000000" w:rsidP="00000000" w14:paraId="0000002C">
      <w:pPr>
        <w:rPr>
          <w:rFonts w:ascii="Times New Roman" w:eastAsia="Times New Roman" w:hAnsi="Times New Roman" w:cs="Times New Roman"/>
          <w:color w:val="303030"/>
        </w:rPr>
      </w:pPr>
    </w:p>
    <w:p w:rsidR="00000000" w:rsidRPr="00000000" w:rsidP="00000000" w14:paraId="0000002D">
      <w:pPr>
        <w:rPr>
          <w:rFonts w:ascii="Times New Roman" w:eastAsia="Times New Roman" w:hAnsi="Times New Roman" w:cs="Times New Roman"/>
          <w:color w:val="303030"/>
        </w:rPr>
      </w:pPr>
    </w:p>
    <w:p w:rsidR="00000000" w:rsidRPr="00000000" w:rsidP="00000000" w14:paraId="0000002E">
      <w:pPr>
        <w:rPr>
          <w:rFonts w:ascii="Times New Roman" w:eastAsia="Times New Roman" w:hAnsi="Times New Roman" w:cs="Times New Roman"/>
          <w:color w:val="303030"/>
        </w:rPr>
      </w:pPr>
    </w:p>
    <w:p w:rsidR="00000000" w:rsidRPr="00000000" w:rsidP="00000000" w14:paraId="0000002F">
      <w:pPr>
        <w:rPr>
          <w:rFonts w:ascii="Times New Roman" w:eastAsia="Times New Roman" w:hAnsi="Times New Roman" w:cs="Times New Roman"/>
          <w:color w:val="303030"/>
        </w:rPr>
      </w:pPr>
    </w:p>
    <w:p w:rsidR="00000000" w:rsidRPr="00000000" w:rsidP="00000000" w14:paraId="00000030">
      <w:pPr>
        <w:rPr>
          <w:rFonts w:ascii="Times New Roman" w:eastAsia="Times New Roman" w:hAnsi="Times New Roman" w:cs="Times New Roman"/>
          <w:color w:val="303030"/>
        </w:rPr>
      </w:pPr>
    </w:p>
    <w:p w:rsidR="00000000" w:rsidRPr="00000000" w:rsidP="00000000" w14:paraId="00000031">
      <w:pPr>
        <w:rPr>
          <w:rFonts w:ascii="Times New Roman" w:eastAsia="Times New Roman" w:hAnsi="Times New Roman" w:cs="Times New Roman"/>
          <w:b/>
          <w:color w:val="303030"/>
        </w:rPr>
      </w:pPr>
      <w:r w:rsidRPr="00000000">
        <w:rPr>
          <w:rFonts w:ascii="Times New Roman" w:eastAsia="Times New Roman" w:hAnsi="Times New Roman" w:cs="Times New Roman"/>
          <w:b/>
          <w:color w:val="303030"/>
          <w:rtl w:val="0"/>
        </w:rPr>
        <w:t>Contents:</w:t>
      </w:r>
    </w:p>
    <w:p w:rsidR="00000000" w:rsidRPr="00000000" w:rsidP="00000000" w14:paraId="00000032">
      <w:pPr>
        <w:rPr>
          <w:rFonts w:ascii="Times New Roman" w:eastAsia="Times New Roman" w:hAnsi="Times New Roman" w:cs="Times New Roman"/>
          <w:color w:val="303030"/>
        </w:rPr>
      </w:pPr>
    </w:p>
    <w:p w:rsidR="00000000" w:rsidRPr="00000000" w:rsidP="00000000" w14:paraId="00000033">
      <w:pPr>
        <w:numPr>
          <w:ilvl w:val="0"/>
          <w:numId w:val="4"/>
        </w:numPr>
        <w:ind w:left="720" w:hanging="360"/>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Brief Introduction</w:t>
      </w:r>
    </w:p>
    <w:p w:rsidR="00000000" w:rsidRPr="00000000" w:rsidP="00000000" w14:paraId="00000034">
      <w:pPr>
        <w:ind w:left="0" w:firstLine="0"/>
        <w:rPr>
          <w:rFonts w:ascii="Times New Roman" w:eastAsia="Times New Roman" w:hAnsi="Times New Roman" w:cs="Times New Roman"/>
          <w:color w:val="303030"/>
        </w:rPr>
      </w:pPr>
    </w:p>
    <w:p w:rsidR="00000000" w:rsidRPr="00000000" w:rsidP="00000000" w14:paraId="00000035">
      <w:pPr>
        <w:numPr>
          <w:ilvl w:val="0"/>
          <w:numId w:val="5"/>
        </w:numPr>
        <w:ind w:left="720" w:hanging="360"/>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Developing my Skills</w:t>
      </w:r>
    </w:p>
    <w:p w:rsidR="00000000" w:rsidRPr="00000000" w:rsidP="00000000" w14:paraId="00000036">
      <w:pPr>
        <w:rPr>
          <w:rFonts w:ascii="Times New Roman" w:eastAsia="Times New Roman" w:hAnsi="Times New Roman" w:cs="Times New Roman"/>
          <w:color w:val="303030"/>
        </w:rPr>
      </w:pPr>
    </w:p>
    <w:p w:rsidR="00000000" w:rsidRPr="00000000" w:rsidP="00000000" w14:paraId="00000037">
      <w:pPr>
        <w:numPr>
          <w:ilvl w:val="0"/>
          <w:numId w:val="3"/>
        </w:numPr>
        <w:ind w:left="720" w:hanging="360"/>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Engagement</w:t>
      </w:r>
    </w:p>
    <w:p w:rsidR="00000000" w:rsidRPr="00000000" w:rsidP="00000000" w14:paraId="00000038">
      <w:pPr>
        <w:rPr>
          <w:rFonts w:ascii="Times New Roman" w:eastAsia="Times New Roman" w:hAnsi="Times New Roman" w:cs="Times New Roman"/>
          <w:color w:val="303030"/>
        </w:rPr>
      </w:pPr>
    </w:p>
    <w:p w:rsidR="00000000" w:rsidRPr="00000000" w:rsidP="00000000" w14:paraId="00000039">
      <w:pPr>
        <w:numPr>
          <w:ilvl w:val="0"/>
          <w:numId w:val="1"/>
        </w:numPr>
        <w:ind w:left="720" w:hanging="360"/>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Challenges with the course</w:t>
      </w:r>
    </w:p>
    <w:p w:rsidR="00000000" w:rsidRPr="00000000" w:rsidP="00000000" w14:paraId="0000003A">
      <w:pPr>
        <w:rPr>
          <w:rFonts w:ascii="Times New Roman" w:eastAsia="Times New Roman" w:hAnsi="Times New Roman" w:cs="Times New Roman"/>
          <w:color w:val="303030"/>
        </w:rPr>
      </w:pPr>
    </w:p>
    <w:p w:rsidR="00000000" w:rsidRPr="00000000" w:rsidP="00000000" w14:paraId="0000003B">
      <w:pPr>
        <w:numPr>
          <w:ilvl w:val="0"/>
          <w:numId w:val="2"/>
        </w:numPr>
        <w:ind w:left="720" w:hanging="360"/>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 xml:space="preserve">What I Could Have Done Differently </w:t>
      </w:r>
    </w:p>
    <w:p w:rsidR="00000000" w:rsidRPr="00000000" w:rsidP="00000000" w14:paraId="0000003C">
      <w:pPr>
        <w:rPr>
          <w:rFonts w:ascii="Times New Roman" w:eastAsia="Times New Roman" w:hAnsi="Times New Roman" w:cs="Times New Roman"/>
          <w:color w:val="303030"/>
        </w:rPr>
      </w:pPr>
    </w:p>
    <w:p w:rsidR="00000000" w:rsidRPr="00000000" w:rsidP="00000000" w14:paraId="0000003D">
      <w:pPr>
        <w:numPr>
          <w:ilvl w:val="0"/>
          <w:numId w:val="6"/>
        </w:numPr>
        <w:ind w:left="720" w:hanging="360"/>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How This Has Helped Me</w:t>
      </w:r>
    </w:p>
    <w:p w:rsidR="00000000" w:rsidRPr="00000000" w:rsidP="00000000" w14:paraId="0000003E">
      <w:pPr>
        <w:rPr>
          <w:rFonts w:ascii="Times New Roman" w:eastAsia="Times New Roman" w:hAnsi="Times New Roman" w:cs="Times New Roman"/>
          <w:color w:val="303030"/>
        </w:rPr>
      </w:pPr>
    </w:p>
    <w:p w:rsidR="00000000" w:rsidRPr="00000000" w:rsidP="00000000" w14:paraId="0000003F">
      <w:pPr>
        <w:numPr>
          <w:ilvl w:val="0"/>
          <w:numId w:val="7"/>
        </w:numPr>
        <w:ind w:left="720" w:hanging="360"/>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References</w:t>
      </w:r>
    </w:p>
    <w:p w:rsidR="00000000" w:rsidRPr="00000000" w:rsidP="00000000" w14:paraId="00000040">
      <w:pPr>
        <w:rPr>
          <w:rFonts w:ascii="Times New Roman" w:eastAsia="Times New Roman" w:hAnsi="Times New Roman" w:cs="Times New Roman"/>
          <w:color w:val="303030"/>
        </w:rPr>
      </w:pPr>
    </w:p>
    <w:p w:rsidR="00000000" w:rsidRPr="00000000" w:rsidP="00000000" w14:paraId="00000041">
      <w:pPr>
        <w:rPr>
          <w:rFonts w:ascii="Times New Roman" w:eastAsia="Times New Roman" w:hAnsi="Times New Roman" w:cs="Times New Roman"/>
          <w:color w:val="303030"/>
        </w:rPr>
      </w:pPr>
    </w:p>
    <w:p w:rsidR="00000000" w:rsidRPr="00000000" w:rsidP="00000000" w14:paraId="00000042">
      <w:pPr>
        <w:rPr>
          <w:rFonts w:ascii="Times New Roman" w:eastAsia="Times New Roman" w:hAnsi="Times New Roman" w:cs="Times New Roman"/>
          <w:color w:val="303030"/>
        </w:rPr>
      </w:pPr>
    </w:p>
    <w:p w:rsidR="00000000" w:rsidRPr="00000000" w:rsidP="00000000" w14:paraId="00000043">
      <w:pPr>
        <w:rPr>
          <w:rFonts w:ascii="Times New Roman" w:eastAsia="Times New Roman" w:hAnsi="Times New Roman" w:cs="Times New Roman"/>
          <w:color w:val="303030"/>
        </w:rPr>
      </w:pPr>
    </w:p>
    <w:p w:rsidR="00000000" w:rsidRPr="00000000" w:rsidP="00000000" w14:paraId="00000044">
      <w:pPr>
        <w:rPr>
          <w:rFonts w:ascii="Times New Roman" w:eastAsia="Times New Roman" w:hAnsi="Times New Roman" w:cs="Times New Roman"/>
          <w:color w:val="303030"/>
        </w:rPr>
      </w:pPr>
    </w:p>
    <w:p w:rsidR="00000000" w:rsidRPr="00000000" w:rsidP="00000000" w14:paraId="00000045">
      <w:pPr>
        <w:rPr>
          <w:rFonts w:ascii="Times New Roman" w:eastAsia="Times New Roman" w:hAnsi="Times New Roman" w:cs="Times New Roman"/>
          <w:color w:val="303030"/>
        </w:rPr>
      </w:pPr>
    </w:p>
    <w:p w:rsidR="00000000" w:rsidRPr="00000000" w:rsidP="00000000" w14:paraId="00000046">
      <w:pPr>
        <w:rPr>
          <w:rFonts w:ascii="Times New Roman" w:eastAsia="Times New Roman" w:hAnsi="Times New Roman" w:cs="Times New Roman"/>
          <w:color w:val="303030"/>
        </w:rPr>
      </w:pPr>
    </w:p>
    <w:p w:rsidR="00000000" w:rsidRPr="00000000" w:rsidP="00000000" w14:paraId="00000047">
      <w:pPr>
        <w:rPr>
          <w:rFonts w:ascii="Times New Roman" w:eastAsia="Times New Roman" w:hAnsi="Times New Roman" w:cs="Times New Roman"/>
          <w:color w:val="303030"/>
        </w:rPr>
      </w:pPr>
    </w:p>
    <w:p w:rsidR="00000000" w:rsidRPr="00000000" w:rsidP="00000000" w14:paraId="00000048">
      <w:pPr>
        <w:rPr>
          <w:rFonts w:ascii="Times New Roman" w:eastAsia="Times New Roman" w:hAnsi="Times New Roman" w:cs="Times New Roman"/>
          <w:color w:val="303030"/>
        </w:rPr>
      </w:pPr>
    </w:p>
    <w:p w:rsidR="00000000" w:rsidRPr="00000000" w:rsidP="00000000" w14:paraId="00000049">
      <w:pPr>
        <w:rPr>
          <w:rFonts w:ascii="Times New Roman" w:eastAsia="Times New Roman" w:hAnsi="Times New Roman" w:cs="Times New Roman"/>
          <w:color w:val="303030"/>
        </w:rPr>
      </w:pPr>
    </w:p>
    <w:p w:rsidR="00000000" w:rsidRPr="00000000" w:rsidP="00000000" w14:paraId="0000004A">
      <w:pPr>
        <w:rPr>
          <w:rFonts w:ascii="Times New Roman" w:eastAsia="Times New Roman" w:hAnsi="Times New Roman" w:cs="Times New Roman"/>
          <w:color w:val="303030"/>
        </w:rPr>
      </w:pPr>
    </w:p>
    <w:p w:rsidR="00000000" w:rsidRPr="00000000" w:rsidP="00000000" w14:paraId="0000004B">
      <w:pPr>
        <w:rPr>
          <w:rFonts w:ascii="Times New Roman" w:eastAsia="Times New Roman" w:hAnsi="Times New Roman" w:cs="Times New Roman"/>
          <w:color w:val="303030"/>
        </w:rPr>
      </w:pPr>
    </w:p>
    <w:p w:rsidR="00000000" w:rsidRPr="00000000" w:rsidP="00000000" w14:paraId="0000004C">
      <w:pPr>
        <w:rPr>
          <w:rFonts w:ascii="Times New Roman" w:eastAsia="Times New Roman" w:hAnsi="Times New Roman" w:cs="Times New Roman"/>
          <w:color w:val="303030"/>
        </w:rPr>
      </w:pPr>
    </w:p>
    <w:p w:rsidR="00000000" w:rsidRPr="00000000" w:rsidP="00000000" w14:paraId="0000004D">
      <w:pPr>
        <w:rPr>
          <w:rFonts w:ascii="Times New Roman" w:eastAsia="Times New Roman" w:hAnsi="Times New Roman" w:cs="Times New Roman"/>
          <w:color w:val="303030"/>
        </w:rPr>
      </w:pPr>
    </w:p>
    <w:p w:rsidR="00000000" w:rsidRPr="00000000" w:rsidP="00000000" w14:paraId="0000004E">
      <w:pPr>
        <w:rPr>
          <w:rFonts w:ascii="Times New Roman" w:eastAsia="Times New Roman" w:hAnsi="Times New Roman" w:cs="Times New Roman"/>
          <w:color w:val="303030"/>
        </w:rPr>
      </w:pPr>
    </w:p>
    <w:p w:rsidR="00000000" w:rsidRPr="00000000" w:rsidP="00000000" w14:paraId="0000004F">
      <w:pPr>
        <w:rPr>
          <w:rFonts w:ascii="Times New Roman" w:eastAsia="Times New Roman" w:hAnsi="Times New Roman" w:cs="Times New Roman"/>
          <w:color w:val="303030"/>
        </w:rPr>
      </w:pPr>
    </w:p>
    <w:p w:rsidR="00000000" w:rsidRPr="00000000" w:rsidP="00000000" w14:paraId="00000050">
      <w:pPr>
        <w:rPr>
          <w:rFonts w:ascii="Times New Roman" w:eastAsia="Times New Roman" w:hAnsi="Times New Roman" w:cs="Times New Roman"/>
          <w:color w:val="303030"/>
        </w:rPr>
      </w:pPr>
    </w:p>
    <w:p w:rsidR="00000000" w:rsidRPr="00000000" w:rsidP="00000000" w14:paraId="00000051">
      <w:pPr>
        <w:rPr>
          <w:rFonts w:ascii="Times New Roman" w:eastAsia="Times New Roman" w:hAnsi="Times New Roman" w:cs="Times New Roman"/>
          <w:color w:val="303030"/>
        </w:rPr>
      </w:pPr>
    </w:p>
    <w:p w:rsidR="00000000" w:rsidRPr="00000000" w:rsidP="00000000" w14:paraId="00000052">
      <w:pPr>
        <w:rPr>
          <w:rFonts w:ascii="Times New Roman" w:eastAsia="Times New Roman" w:hAnsi="Times New Roman" w:cs="Times New Roman"/>
          <w:color w:val="303030"/>
        </w:rPr>
      </w:pPr>
    </w:p>
    <w:p w:rsidR="00000000" w:rsidRPr="00000000" w:rsidP="00000000" w14:paraId="00000053">
      <w:pPr>
        <w:rPr>
          <w:rFonts w:ascii="Times New Roman" w:eastAsia="Times New Roman" w:hAnsi="Times New Roman" w:cs="Times New Roman"/>
          <w:color w:val="303030"/>
        </w:rPr>
      </w:pPr>
    </w:p>
    <w:p w:rsidR="00000000" w:rsidRPr="00000000" w:rsidP="00000000" w14:paraId="00000054">
      <w:pPr>
        <w:rPr>
          <w:rFonts w:ascii="Times New Roman" w:eastAsia="Times New Roman" w:hAnsi="Times New Roman" w:cs="Times New Roman"/>
          <w:color w:val="303030"/>
        </w:rPr>
      </w:pPr>
    </w:p>
    <w:p w:rsidR="00000000" w:rsidRPr="00000000" w:rsidP="00000000" w14:paraId="00000055">
      <w:pPr>
        <w:rPr>
          <w:rFonts w:ascii="Times New Roman" w:eastAsia="Times New Roman" w:hAnsi="Times New Roman" w:cs="Times New Roman"/>
          <w:color w:val="303030"/>
        </w:rPr>
      </w:pPr>
    </w:p>
    <w:p w:rsidR="00000000" w:rsidRPr="00000000" w:rsidP="00000000" w14:paraId="00000056">
      <w:pPr>
        <w:rPr>
          <w:rFonts w:ascii="Times New Roman" w:eastAsia="Times New Roman" w:hAnsi="Times New Roman" w:cs="Times New Roman"/>
          <w:color w:val="303030"/>
        </w:rPr>
      </w:pPr>
    </w:p>
    <w:p w:rsidR="00000000" w:rsidRPr="00000000" w:rsidP="00000000" w14:paraId="00000057">
      <w:pPr>
        <w:rPr>
          <w:rFonts w:ascii="Times New Roman" w:eastAsia="Times New Roman" w:hAnsi="Times New Roman" w:cs="Times New Roman"/>
          <w:color w:val="303030"/>
        </w:rPr>
      </w:pPr>
    </w:p>
    <w:p w:rsidR="00000000" w:rsidRPr="00000000" w:rsidP="00000000" w14:paraId="00000058">
      <w:pPr>
        <w:rPr>
          <w:rFonts w:ascii="Times New Roman" w:eastAsia="Times New Roman" w:hAnsi="Times New Roman" w:cs="Times New Roman"/>
          <w:color w:val="303030"/>
        </w:rPr>
      </w:pPr>
    </w:p>
    <w:p w:rsidR="00000000" w:rsidRPr="00000000" w:rsidP="00000000" w14:paraId="00000059">
      <w:pPr>
        <w:rPr>
          <w:rFonts w:ascii="Times New Roman" w:eastAsia="Times New Roman" w:hAnsi="Times New Roman" w:cs="Times New Roman"/>
          <w:color w:val="303030"/>
        </w:rPr>
      </w:pPr>
    </w:p>
    <w:p w:rsidR="00000000" w:rsidRPr="00000000" w:rsidP="00000000" w14:paraId="0000005A">
      <w:pPr>
        <w:rPr>
          <w:rFonts w:ascii="Times New Roman" w:eastAsia="Times New Roman" w:hAnsi="Times New Roman" w:cs="Times New Roman"/>
          <w:color w:val="303030"/>
        </w:rPr>
      </w:pPr>
    </w:p>
    <w:p w:rsidR="00000000" w:rsidRPr="00000000" w:rsidP="00000000" w14:paraId="0000005B">
      <w:pPr>
        <w:rPr>
          <w:rFonts w:ascii="Times New Roman" w:eastAsia="Times New Roman" w:hAnsi="Times New Roman" w:cs="Times New Roman"/>
          <w:color w:val="303030"/>
        </w:rPr>
      </w:pPr>
    </w:p>
    <w:p w:rsidR="00000000" w:rsidRPr="00000000" w:rsidP="00000000" w14:paraId="0000005C">
      <w:pPr>
        <w:rPr>
          <w:rFonts w:ascii="Times New Roman" w:eastAsia="Times New Roman" w:hAnsi="Times New Roman" w:cs="Times New Roman"/>
          <w:color w:val="303030"/>
        </w:rPr>
      </w:pPr>
    </w:p>
    <w:p w:rsidR="00000000" w:rsidRPr="00000000" w:rsidP="00000000" w14:paraId="0000005D">
      <w:pPr>
        <w:rPr>
          <w:rFonts w:ascii="Times New Roman" w:eastAsia="Times New Roman" w:hAnsi="Times New Roman" w:cs="Times New Roman"/>
          <w:color w:val="303030"/>
        </w:rPr>
      </w:pPr>
    </w:p>
    <w:p w:rsidR="00000000" w:rsidRPr="00000000" w:rsidP="00000000" w14:paraId="0000005E">
      <w:pPr>
        <w:rPr>
          <w:rFonts w:ascii="Times New Roman" w:eastAsia="Times New Roman" w:hAnsi="Times New Roman" w:cs="Times New Roman"/>
          <w:color w:val="303030"/>
        </w:rPr>
      </w:pPr>
    </w:p>
    <w:p w:rsidR="00000000" w:rsidRPr="00000000" w:rsidP="00000000" w14:paraId="0000005F">
      <w:pPr>
        <w:rPr>
          <w:rFonts w:ascii="Times New Roman" w:eastAsia="Times New Roman" w:hAnsi="Times New Roman" w:cs="Times New Roman"/>
          <w:color w:val="303030"/>
        </w:rPr>
      </w:pPr>
    </w:p>
    <w:p w:rsidR="00000000" w:rsidRPr="00000000" w:rsidP="00000000" w14:paraId="00000060">
      <w:pPr>
        <w:rPr>
          <w:rFonts w:ascii="Times New Roman" w:eastAsia="Times New Roman" w:hAnsi="Times New Roman" w:cs="Times New Roman"/>
          <w:color w:val="303030"/>
        </w:rPr>
      </w:pPr>
    </w:p>
    <w:p w:rsidR="00000000" w:rsidRPr="00000000" w:rsidP="00000000" w14:paraId="00000061">
      <w:pPr>
        <w:rPr>
          <w:rFonts w:ascii="Times New Roman" w:eastAsia="Times New Roman" w:hAnsi="Times New Roman" w:cs="Times New Roman"/>
          <w:b/>
          <w:color w:val="303030"/>
        </w:rPr>
      </w:pPr>
      <w:r w:rsidRPr="00000000">
        <w:rPr>
          <w:rFonts w:ascii="Times New Roman" w:eastAsia="Times New Roman" w:hAnsi="Times New Roman" w:cs="Times New Roman"/>
          <w:b/>
          <w:color w:val="303030"/>
          <w:rtl w:val="0"/>
        </w:rPr>
        <w:t>Brief Introduction:</w:t>
      </w:r>
    </w:p>
    <w:p w:rsidR="00000000" w:rsidRPr="00000000" w:rsidP="00000000" w14:paraId="00000062">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The premise of this unit was as the name implies, to improve our skills in developing our brand, with the implication of improving our ways of employability, the unit was separated into two sections, the guided learning which happened online and in person, as well as through the medium of online units that you would do yourself during the month, my initial expectations of the course were low, mainly as in my opinion, this and the prior changemaker course felt supplementary, rather than something our grade should be decided on, especially when other courses have the same unit. However, I do understand the need for a unit like this that helps improve skills for the future, especially something as important as the ways we as people try to maximise ways of employment.</w:t>
      </w:r>
    </w:p>
    <w:p w:rsidR="00000000" w:rsidRPr="00000000" w:rsidP="00000000" w14:paraId="00000063">
      <w:pPr>
        <w:rPr>
          <w:rFonts w:ascii="Times New Roman" w:eastAsia="Times New Roman" w:hAnsi="Times New Roman" w:cs="Times New Roman"/>
          <w:color w:val="303030"/>
        </w:rPr>
      </w:pPr>
    </w:p>
    <w:p w:rsidR="00000000" w:rsidRPr="00000000" w:rsidP="00000000" w14:paraId="00000064">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With a unit like this one where the expectations of “getting something out of it” are low, it impacts how much you want to learn from it, with studies showing the link aspirations and expectations have on actual educational attainment (Jacob &amp; Wilder et al, Harrison &amp; Waller, Entwisle &amp; Hayduk, Leeson), and in this case, because there was already low interest in the unit, the drop in attendance and thus drop in attainment was apparent, especially with the struggle of online education has with making people actively want to participate (Sun &amp; Chen et al, Lloyd, Byrne &amp; McCoy, Rehman &amp; Khan, Smart &amp; Cappell).</w:t>
      </w:r>
    </w:p>
    <w:p w:rsidR="00000000" w:rsidRPr="00000000" w:rsidP="00000000" w14:paraId="00000065">
      <w:pPr>
        <w:rPr>
          <w:rFonts w:ascii="Times New Roman" w:eastAsia="Times New Roman" w:hAnsi="Times New Roman" w:cs="Times New Roman"/>
          <w:color w:val="303030"/>
        </w:rPr>
      </w:pPr>
    </w:p>
    <w:p w:rsidR="00000000" w:rsidRPr="00000000" w:rsidP="00000000" w14:paraId="00000066">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That idea of the struggle of committing to online learning then factors into the second part of the unit, where learning was split into 4 separate units, each with its subsections that you would have to go through to develop not only a better understanding of the course but to improve your knowledge in a way that can be applied into the course, however, there are flaws in how it is handled, the main one being that for most of the university courses that do changemakers, these online lessons counted towards the final grade, which is a way for students to take part in the course and also as a way to do the lessons that have been made. The issue with that is the onus brought upon students to complete the lessons and the extra work that comes with it bar the assignments leads to not only the added stress of forcing yourself through units to achieve a better grade, but also the stress of doing more work than necessary due to the design of the course.</w:t>
      </w:r>
    </w:p>
    <w:p w:rsidR="00000000" w:rsidRPr="00000000" w:rsidP="00000000" w14:paraId="00000067">
      <w:pPr>
        <w:rPr>
          <w:rFonts w:ascii="Times New Roman" w:eastAsia="Times New Roman" w:hAnsi="Times New Roman" w:cs="Times New Roman"/>
          <w:color w:val="303030"/>
        </w:rPr>
      </w:pPr>
    </w:p>
    <w:p w:rsidR="00000000" w:rsidRPr="00000000" w:rsidP="00000000" w14:paraId="00000068">
      <w:pPr>
        <w:rPr>
          <w:rFonts w:ascii="Times New Roman" w:eastAsia="Times New Roman" w:hAnsi="Times New Roman" w:cs="Times New Roman"/>
          <w:color w:val="303030"/>
        </w:rPr>
      </w:pPr>
    </w:p>
    <w:p w:rsidR="00000000" w:rsidRPr="00000000" w:rsidP="00000000" w14:paraId="00000069">
      <w:pPr>
        <w:rPr>
          <w:rFonts w:ascii="Times New Roman" w:eastAsia="Times New Roman" w:hAnsi="Times New Roman" w:cs="Times New Roman"/>
          <w:color w:val="303030"/>
        </w:rPr>
      </w:pPr>
    </w:p>
    <w:p w:rsidR="00000000" w:rsidRPr="00000000" w:rsidP="00000000" w14:paraId="0000006A">
      <w:pPr>
        <w:rPr>
          <w:rFonts w:ascii="Times New Roman" w:eastAsia="Times New Roman" w:hAnsi="Times New Roman" w:cs="Times New Roman"/>
          <w:color w:val="303030"/>
        </w:rPr>
      </w:pPr>
    </w:p>
    <w:p w:rsidR="00000000" w:rsidRPr="00000000" w:rsidP="00000000" w14:paraId="0000006B">
      <w:pPr>
        <w:rPr>
          <w:rFonts w:ascii="Times New Roman" w:eastAsia="Times New Roman" w:hAnsi="Times New Roman" w:cs="Times New Roman"/>
          <w:color w:val="303030"/>
        </w:rPr>
      </w:pPr>
    </w:p>
    <w:p w:rsidR="00000000" w:rsidRPr="00000000" w:rsidP="00000000" w14:paraId="0000006C">
      <w:pPr>
        <w:rPr>
          <w:rFonts w:ascii="Times New Roman" w:eastAsia="Times New Roman" w:hAnsi="Times New Roman" w:cs="Times New Roman"/>
          <w:color w:val="303030"/>
        </w:rPr>
      </w:pPr>
    </w:p>
    <w:p w:rsidR="00000000" w:rsidRPr="00000000" w:rsidP="00000000" w14:paraId="0000006D">
      <w:pPr>
        <w:rPr>
          <w:rFonts w:ascii="Times New Roman" w:eastAsia="Times New Roman" w:hAnsi="Times New Roman" w:cs="Times New Roman"/>
          <w:color w:val="303030"/>
        </w:rPr>
      </w:pPr>
    </w:p>
    <w:p w:rsidR="00000000" w:rsidRPr="00000000" w:rsidP="00000000" w14:paraId="0000006E">
      <w:pPr>
        <w:rPr>
          <w:rFonts w:ascii="Times New Roman" w:eastAsia="Times New Roman" w:hAnsi="Times New Roman" w:cs="Times New Roman"/>
          <w:color w:val="303030"/>
        </w:rPr>
      </w:pPr>
    </w:p>
    <w:p w:rsidR="00000000" w:rsidRPr="00000000" w:rsidP="00000000" w14:paraId="0000006F">
      <w:pPr>
        <w:rPr>
          <w:rFonts w:ascii="Times New Roman" w:eastAsia="Times New Roman" w:hAnsi="Times New Roman" w:cs="Times New Roman"/>
          <w:color w:val="303030"/>
        </w:rPr>
      </w:pPr>
    </w:p>
    <w:p w:rsidR="00000000" w:rsidRPr="00000000" w:rsidP="00000000" w14:paraId="00000070">
      <w:pPr>
        <w:rPr>
          <w:rFonts w:ascii="Times New Roman" w:eastAsia="Times New Roman" w:hAnsi="Times New Roman" w:cs="Times New Roman"/>
          <w:color w:val="303030"/>
        </w:rPr>
      </w:pPr>
    </w:p>
    <w:p w:rsidR="00000000" w:rsidRPr="00000000" w:rsidP="00000000" w14:paraId="00000071">
      <w:pPr>
        <w:rPr>
          <w:rFonts w:ascii="Times New Roman" w:eastAsia="Times New Roman" w:hAnsi="Times New Roman" w:cs="Times New Roman"/>
          <w:color w:val="303030"/>
        </w:rPr>
      </w:pPr>
    </w:p>
    <w:p w:rsidR="00000000" w:rsidRPr="00000000" w:rsidP="00000000" w14:paraId="00000072">
      <w:pPr>
        <w:rPr>
          <w:rFonts w:ascii="Times New Roman" w:eastAsia="Times New Roman" w:hAnsi="Times New Roman" w:cs="Times New Roman"/>
          <w:color w:val="303030"/>
        </w:rPr>
      </w:pPr>
    </w:p>
    <w:p w:rsidR="00000000" w:rsidRPr="00000000" w:rsidP="00000000" w14:paraId="00000073">
      <w:pPr>
        <w:rPr>
          <w:rFonts w:ascii="Times New Roman" w:eastAsia="Times New Roman" w:hAnsi="Times New Roman" w:cs="Times New Roman"/>
          <w:color w:val="303030"/>
        </w:rPr>
      </w:pPr>
    </w:p>
    <w:p w:rsidR="00000000" w:rsidRPr="00000000" w:rsidP="00000000" w14:paraId="00000074">
      <w:pPr>
        <w:rPr>
          <w:rFonts w:ascii="Times New Roman" w:eastAsia="Times New Roman" w:hAnsi="Times New Roman" w:cs="Times New Roman"/>
          <w:color w:val="303030"/>
        </w:rPr>
      </w:pPr>
    </w:p>
    <w:p w:rsidR="00000000" w:rsidRPr="00000000" w:rsidP="00000000" w14:paraId="00000075">
      <w:pPr>
        <w:rPr>
          <w:rFonts w:ascii="Times New Roman" w:eastAsia="Times New Roman" w:hAnsi="Times New Roman" w:cs="Times New Roman"/>
          <w:color w:val="303030"/>
        </w:rPr>
      </w:pPr>
    </w:p>
    <w:p w:rsidR="00000000" w:rsidRPr="00000000" w:rsidP="00000000" w14:paraId="00000076">
      <w:pPr>
        <w:rPr>
          <w:rFonts w:ascii="Times New Roman" w:eastAsia="Times New Roman" w:hAnsi="Times New Roman" w:cs="Times New Roman"/>
          <w:color w:val="303030"/>
        </w:rPr>
      </w:pPr>
    </w:p>
    <w:p w:rsidR="00000000" w:rsidRPr="00000000" w:rsidP="00000000" w14:paraId="00000077">
      <w:pPr>
        <w:rPr>
          <w:rFonts w:ascii="Times New Roman" w:eastAsia="Times New Roman" w:hAnsi="Times New Roman" w:cs="Times New Roman"/>
          <w:color w:val="303030"/>
        </w:rPr>
      </w:pPr>
    </w:p>
    <w:p w:rsidR="00000000" w:rsidRPr="00000000" w:rsidP="00000000" w14:paraId="00000078">
      <w:pPr>
        <w:rPr>
          <w:rFonts w:ascii="Times New Roman" w:eastAsia="Times New Roman" w:hAnsi="Times New Roman" w:cs="Times New Roman"/>
          <w:color w:val="303030"/>
        </w:rPr>
      </w:pPr>
    </w:p>
    <w:p w:rsidR="00000000" w:rsidRPr="00000000" w:rsidP="00000000" w14:paraId="00000079">
      <w:pPr>
        <w:rPr>
          <w:rFonts w:ascii="Times New Roman" w:eastAsia="Times New Roman" w:hAnsi="Times New Roman" w:cs="Times New Roman"/>
          <w:b/>
          <w:color w:val="303030"/>
        </w:rPr>
      </w:pPr>
    </w:p>
    <w:p w:rsidR="00000000" w:rsidRPr="00000000" w:rsidP="00000000" w14:paraId="0000007A">
      <w:pPr>
        <w:rPr>
          <w:rFonts w:ascii="Times New Roman" w:eastAsia="Times New Roman" w:hAnsi="Times New Roman" w:cs="Times New Roman"/>
          <w:b/>
          <w:color w:val="303030"/>
        </w:rPr>
      </w:pPr>
    </w:p>
    <w:p w:rsidR="00000000" w:rsidRPr="00000000" w:rsidP="00000000" w14:paraId="0000007B">
      <w:pPr>
        <w:rPr>
          <w:rFonts w:ascii="Times New Roman" w:eastAsia="Times New Roman" w:hAnsi="Times New Roman" w:cs="Times New Roman"/>
          <w:b/>
          <w:color w:val="303030"/>
        </w:rPr>
      </w:pPr>
      <w:r w:rsidRPr="00000000">
        <w:rPr>
          <w:rFonts w:ascii="Times New Roman" w:eastAsia="Times New Roman" w:hAnsi="Times New Roman" w:cs="Times New Roman"/>
          <w:b/>
          <w:color w:val="303030"/>
          <w:rtl w:val="0"/>
        </w:rPr>
        <w:t>Developing my Skills:</w:t>
      </w:r>
    </w:p>
    <w:p w:rsidR="00000000" w:rsidRPr="00000000" w:rsidP="00000000" w14:paraId="0000007C">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 xml:space="preserve">Away from this unit, the idea of developing my employability skills has been something I have wanted to do, so in theory, the idea of this unit should help that, employability skills have been a requirement to help keep yourself sustainable and viable in the world, as a way to make sure that you show yourself as the perfect candidate for the industry you are looking to dive into. This comes in the form of how good you are at performing in a team, your communication skills and how to explain your points, as well as how you plan and the initiative you have towards taking part and in the case of education, the initiative you have to prep your lesson to maximise your student's attainment whilst also keeping it enjoyable. </w:t>
      </w:r>
    </w:p>
    <w:p w:rsidR="00000000" w:rsidRPr="00000000" w:rsidP="00000000" w14:paraId="0000007D">
      <w:pPr>
        <w:rPr>
          <w:rFonts w:ascii="Times New Roman" w:eastAsia="Times New Roman" w:hAnsi="Times New Roman" w:cs="Times New Roman"/>
          <w:color w:val="303030"/>
        </w:rPr>
      </w:pPr>
    </w:p>
    <w:p w:rsidR="00000000" w:rsidRPr="00000000" w:rsidP="00000000" w14:paraId="0000007E">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Yet the push to develop my personal brand was never explored until the start of this unit, mainly due to a lack of knowledge in wanting to and preconceptions I had about when I would need to, and one thing the unit does well in was that pushing your personal brand further even at this stage is something beneficial to how employers see you.</w:t>
      </w:r>
    </w:p>
    <w:p w:rsidR="00000000" w:rsidRPr="00000000" w:rsidP="00000000" w14:paraId="0000007F">
      <w:pPr>
        <w:rPr>
          <w:rFonts w:ascii="Times New Roman" w:eastAsia="Times New Roman" w:hAnsi="Times New Roman" w:cs="Times New Roman"/>
          <w:color w:val="303030"/>
        </w:rPr>
      </w:pPr>
    </w:p>
    <w:p w:rsidR="00000000" w:rsidRPr="00000000" w:rsidP="00000000" w14:paraId="00000080">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 xml:space="preserve">An idea that is constantly thrown around surrounding your personal brand is that, if your brand is strong and feels like the brand of someone that has been working in the field of work for years, even if that experience is not there, your employability status only goes up. An effective brand is an effective first impression and is your way of standing out compared to everyone else, and is the launchpad for interviews, promotions and a way to continue networking as you try and improve your standing if that is what you choose to do. </w:t>
      </w:r>
    </w:p>
    <w:p w:rsidR="00000000" w:rsidRPr="00000000" w:rsidP="00000000" w14:paraId="00000081">
      <w:pPr>
        <w:rPr>
          <w:rFonts w:ascii="Times New Roman" w:eastAsia="Times New Roman" w:hAnsi="Times New Roman" w:cs="Times New Roman"/>
          <w:color w:val="303030"/>
        </w:rPr>
      </w:pPr>
    </w:p>
    <w:p w:rsidR="00000000" w:rsidRPr="00000000" w:rsidP="00000000" w14:paraId="00000082">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The unit helps you understand the things you could do to improve your standing with your personal brand for you to then put it into practice, whether it was in the form of a blog, website, or even a pitch for a medium of your choice, with the response of, how do you give off a good first impression in the form of your brand, and how do you get that to show in your employability skills.</w:t>
      </w:r>
    </w:p>
    <w:p w:rsidR="00000000" w:rsidRPr="00000000" w:rsidP="00000000" w14:paraId="00000083">
      <w:pPr>
        <w:rPr>
          <w:rFonts w:ascii="Times New Roman" w:eastAsia="Times New Roman" w:hAnsi="Times New Roman" w:cs="Times New Roman"/>
          <w:color w:val="303030"/>
        </w:rPr>
      </w:pPr>
    </w:p>
    <w:p w:rsidR="00000000" w:rsidRPr="00000000" w:rsidP="00000000" w14:paraId="00000084">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 xml:space="preserve">Coming fresh out of university, your employability skill and personal brand will be what sets you apart from others, so by investing the time and having the initiative to develop these two skills, you will have a higher chance compared to others in the same brackets of coming straight out of education, but without the same push in their brand you have (Weligamage et al, Suleman, </w:t>
      </w:r>
      <w:r w:rsidRPr="00000000">
        <w:rPr>
          <w:rFonts w:ascii="Times New Roman" w:eastAsia="Times New Roman" w:hAnsi="Times New Roman" w:cs="Times New Roman"/>
          <w:color w:val="303030"/>
          <w:rtl w:val="0"/>
        </w:rPr>
        <w:t>Sarfraz</w:t>
      </w:r>
      <w:r w:rsidRPr="00000000">
        <w:rPr>
          <w:rFonts w:ascii="Times New Roman" w:eastAsia="Times New Roman" w:hAnsi="Times New Roman" w:cs="Times New Roman"/>
          <w:color w:val="303030"/>
          <w:rtl w:val="0"/>
        </w:rPr>
        <w:t xml:space="preserve">, Rajendran, Hewege &amp; Mohan, Misrah). </w:t>
      </w:r>
    </w:p>
    <w:p w:rsidR="00000000" w:rsidRPr="00000000" w:rsidP="00000000" w14:paraId="00000085">
      <w:pPr>
        <w:rPr>
          <w:rFonts w:ascii="Times New Roman" w:eastAsia="Times New Roman" w:hAnsi="Times New Roman" w:cs="Times New Roman"/>
          <w:color w:val="303030"/>
        </w:rPr>
      </w:pPr>
    </w:p>
    <w:p w:rsidR="00000000" w:rsidRPr="00000000" w:rsidP="00000000" w14:paraId="00000086">
      <w:pPr>
        <w:rPr>
          <w:rFonts w:ascii="Times New Roman" w:eastAsia="Times New Roman" w:hAnsi="Times New Roman" w:cs="Times New Roman"/>
          <w:color w:val="303030"/>
        </w:rPr>
      </w:pPr>
    </w:p>
    <w:p w:rsidR="00000000" w:rsidRPr="00000000" w:rsidP="00000000" w14:paraId="00000087">
      <w:pPr>
        <w:rPr>
          <w:rFonts w:ascii="Times New Roman" w:eastAsia="Times New Roman" w:hAnsi="Times New Roman" w:cs="Times New Roman"/>
          <w:color w:val="303030"/>
        </w:rPr>
      </w:pPr>
    </w:p>
    <w:p w:rsidR="00000000" w:rsidRPr="00000000" w:rsidP="00000000" w14:paraId="00000088">
      <w:pPr>
        <w:rPr>
          <w:rFonts w:ascii="Times New Roman" w:eastAsia="Times New Roman" w:hAnsi="Times New Roman" w:cs="Times New Roman"/>
          <w:color w:val="303030"/>
        </w:rPr>
      </w:pPr>
    </w:p>
    <w:p w:rsidR="00000000" w:rsidRPr="00000000" w:rsidP="00000000" w14:paraId="00000089">
      <w:pPr>
        <w:rPr>
          <w:rFonts w:ascii="Times New Roman" w:eastAsia="Times New Roman" w:hAnsi="Times New Roman" w:cs="Times New Roman"/>
          <w:color w:val="303030"/>
        </w:rPr>
      </w:pPr>
    </w:p>
    <w:p w:rsidR="00000000" w:rsidRPr="00000000" w:rsidP="00000000" w14:paraId="0000008A">
      <w:pPr>
        <w:rPr>
          <w:rFonts w:ascii="Times New Roman" w:eastAsia="Times New Roman" w:hAnsi="Times New Roman" w:cs="Times New Roman"/>
          <w:color w:val="303030"/>
        </w:rPr>
      </w:pPr>
    </w:p>
    <w:p w:rsidR="00000000" w:rsidRPr="00000000" w:rsidP="00000000" w14:paraId="0000008B">
      <w:pPr>
        <w:rPr>
          <w:rFonts w:ascii="Times New Roman" w:eastAsia="Times New Roman" w:hAnsi="Times New Roman" w:cs="Times New Roman"/>
          <w:color w:val="303030"/>
        </w:rPr>
      </w:pPr>
    </w:p>
    <w:p w:rsidR="00000000" w:rsidRPr="00000000" w:rsidP="00000000" w14:paraId="0000008C">
      <w:pPr>
        <w:rPr>
          <w:rFonts w:ascii="Times New Roman" w:eastAsia="Times New Roman" w:hAnsi="Times New Roman" w:cs="Times New Roman"/>
          <w:color w:val="303030"/>
        </w:rPr>
      </w:pPr>
    </w:p>
    <w:p w:rsidR="00000000" w:rsidRPr="00000000" w:rsidP="00000000" w14:paraId="0000008D">
      <w:pPr>
        <w:rPr>
          <w:rFonts w:ascii="Times New Roman" w:eastAsia="Times New Roman" w:hAnsi="Times New Roman" w:cs="Times New Roman"/>
          <w:color w:val="303030"/>
        </w:rPr>
      </w:pPr>
    </w:p>
    <w:p w:rsidR="00000000" w:rsidRPr="00000000" w:rsidP="00000000" w14:paraId="0000008E">
      <w:pPr>
        <w:rPr>
          <w:rFonts w:ascii="Times New Roman" w:eastAsia="Times New Roman" w:hAnsi="Times New Roman" w:cs="Times New Roman"/>
          <w:color w:val="303030"/>
        </w:rPr>
      </w:pPr>
    </w:p>
    <w:p w:rsidR="00000000" w:rsidRPr="00000000" w:rsidP="00000000" w14:paraId="0000008F">
      <w:pPr>
        <w:rPr>
          <w:rFonts w:ascii="Times New Roman" w:eastAsia="Times New Roman" w:hAnsi="Times New Roman" w:cs="Times New Roman"/>
          <w:color w:val="303030"/>
        </w:rPr>
      </w:pPr>
    </w:p>
    <w:p w:rsidR="00000000" w:rsidRPr="00000000" w:rsidP="00000000" w14:paraId="00000090">
      <w:pPr>
        <w:rPr>
          <w:rFonts w:ascii="Times New Roman" w:eastAsia="Times New Roman" w:hAnsi="Times New Roman" w:cs="Times New Roman"/>
          <w:color w:val="303030"/>
        </w:rPr>
      </w:pPr>
    </w:p>
    <w:p w:rsidR="00000000" w:rsidRPr="00000000" w:rsidP="00000000" w14:paraId="00000091">
      <w:pPr>
        <w:rPr>
          <w:rFonts w:ascii="Times New Roman" w:eastAsia="Times New Roman" w:hAnsi="Times New Roman" w:cs="Times New Roman"/>
          <w:color w:val="303030"/>
        </w:rPr>
      </w:pPr>
    </w:p>
    <w:p w:rsidR="00000000" w:rsidRPr="00000000" w:rsidP="00000000" w14:paraId="00000092">
      <w:pPr>
        <w:rPr>
          <w:rFonts w:ascii="Times New Roman" w:eastAsia="Times New Roman" w:hAnsi="Times New Roman" w:cs="Times New Roman"/>
          <w:color w:val="303030"/>
        </w:rPr>
      </w:pPr>
    </w:p>
    <w:p w:rsidR="00000000" w:rsidRPr="00000000" w:rsidP="00000000" w14:paraId="00000093">
      <w:pPr>
        <w:rPr>
          <w:rFonts w:ascii="Times New Roman" w:eastAsia="Times New Roman" w:hAnsi="Times New Roman" w:cs="Times New Roman"/>
          <w:color w:val="303030"/>
        </w:rPr>
      </w:pPr>
    </w:p>
    <w:p w:rsidR="00000000" w:rsidRPr="00000000" w:rsidP="00000000" w14:paraId="00000094">
      <w:pPr>
        <w:rPr>
          <w:rFonts w:ascii="Times New Roman" w:eastAsia="Times New Roman" w:hAnsi="Times New Roman" w:cs="Times New Roman"/>
          <w:b/>
          <w:color w:val="303030"/>
        </w:rPr>
      </w:pPr>
    </w:p>
    <w:p w:rsidR="00000000" w:rsidRPr="00000000" w:rsidP="00000000" w14:paraId="00000095">
      <w:pPr>
        <w:rPr>
          <w:rFonts w:ascii="Times New Roman" w:eastAsia="Times New Roman" w:hAnsi="Times New Roman" w:cs="Times New Roman"/>
          <w:b/>
          <w:color w:val="303030"/>
        </w:rPr>
      </w:pPr>
    </w:p>
    <w:p w:rsidR="00000000" w:rsidRPr="00000000" w:rsidP="00000000" w14:paraId="00000096">
      <w:pPr>
        <w:rPr>
          <w:rFonts w:ascii="Times New Roman" w:eastAsia="Times New Roman" w:hAnsi="Times New Roman" w:cs="Times New Roman"/>
          <w:b/>
          <w:color w:val="303030"/>
        </w:rPr>
      </w:pPr>
      <w:r w:rsidRPr="00000000">
        <w:rPr>
          <w:rFonts w:ascii="Times New Roman" w:eastAsia="Times New Roman" w:hAnsi="Times New Roman" w:cs="Times New Roman"/>
          <w:b/>
          <w:color w:val="303030"/>
          <w:rtl w:val="0"/>
        </w:rPr>
        <w:t>Engagement and Involvement:</w:t>
      </w:r>
    </w:p>
    <w:p w:rsidR="00000000" w:rsidRPr="00000000" w:rsidP="00000000" w14:paraId="00000097">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 xml:space="preserve">As mentioned prior in the introduction, engagement and involvement in the subject matter were difficult for a multitude of reasons, the main being a general lack of interest in the unit coming in, with that negative standpoint of the unit causing a lack of interest that carried on through the lessons and sub-units, leading to low attendance and engagement in the learning. Furthermore, as also mentioned before, the use of online learning has been a struggle to overcome, particularly in the sense of actually attending sessions, this is since during online lessons, there has always been a feeling that not much is obtained from the lesson, especially if the lesson is then recorded and published to then watch, which I have felt works better for me to do, the other problem that comes with online learning is it feels harder to participate in compared to in-person, a big struggle that I have been working on is participating in lessons, especially with questions where I know the answer, but I still wouldn't say it and wait for someone else to, and that has been something that I feel like I am doing well at overcoming which get helped whenever we do tasks where you go around the group and each person gives an answer. However in online learning, that sort of problem still exists, and the use of breakout rooms does not help either due to the fact it feels like I would be "butting" into a conversation.   </w:t>
      </w:r>
    </w:p>
    <w:p w:rsidR="00000000" w:rsidRPr="00000000" w:rsidP="00000000" w14:paraId="00000098">
      <w:pPr>
        <w:rPr>
          <w:rFonts w:ascii="Times New Roman" w:eastAsia="Times New Roman" w:hAnsi="Times New Roman" w:cs="Times New Roman"/>
          <w:color w:val="303030"/>
        </w:rPr>
      </w:pPr>
    </w:p>
    <w:p w:rsidR="00000000" w:rsidRPr="00000000" w:rsidP="00000000" w14:paraId="00000099">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Another problem faced with engagement was going through the online lessons in the form of units and their subsections, this was from the fact that in our course, those units were seen as optional for your learning, this caused two things to happen, one thing was that it caused a lack of interest but positively, this being because of the fact we would have to do less work altogether and could focus more on the assignments, and the other positive was the lessons now were seen as a stepping stone for if you needed help rather than something forced upon you, for example, during the zander letter, unit 4 provides a short insight into the thing that can help, which I then used to try and find more things to talk about regarding my aspirations for the future. That reduction of workload provided more certainty to the unit and made the units seem more useful than a hindrance. (Hockey, Earle et al, Jeffri &amp; Rambli)</w:t>
      </w:r>
    </w:p>
    <w:p w:rsidR="00000000" w:rsidRPr="00000000" w:rsidP="00000000" w14:paraId="0000009A">
      <w:pPr>
        <w:rPr>
          <w:rFonts w:ascii="Times New Roman" w:eastAsia="Times New Roman" w:hAnsi="Times New Roman" w:cs="Times New Roman"/>
          <w:color w:val="303030"/>
        </w:rPr>
      </w:pPr>
    </w:p>
    <w:p w:rsidR="00000000" w:rsidRPr="00000000" w:rsidP="00000000" w14:paraId="0000009B">
      <w:pPr>
        <w:rPr>
          <w:rFonts w:ascii="Times New Roman" w:eastAsia="Times New Roman" w:hAnsi="Times New Roman" w:cs="Times New Roman"/>
          <w:color w:val="303030"/>
        </w:rPr>
      </w:pPr>
    </w:p>
    <w:p w:rsidR="00000000" w:rsidRPr="00000000" w:rsidP="00000000" w14:paraId="0000009C">
      <w:pPr>
        <w:rPr>
          <w:rFonts w:ascii="Times New Roman" w:eastAsia="Times New Roman" w:hAnsi="Times New Roman" w:cs="Times New Roman"/>
          <w:color w:val="303030"/>
        </w:rPr>
      </w:pPr>
    </w:p>
    <w:p w:rsidR="00000000" w:rsidRPr="00000000" w:rsidP="00000000" w14:paraId="0000009D">
      <w:pPr>
        <w:rPr>
          <w:rFonts w:ascii="Times New Roman" w:eastAsia="Times New Roman" w:hAnsi="Times New Roman" w:cs="Times New Roman"/>
          <w:color w:val="303030"/>
        </w:rPr>
      </w:pPr>
    </w:p>
    <w:p w:rsidR="00000000" w:rsidRPr="00000000" w:rsidP="00000000" w14:paraId="0000009E">
      <w:pPr>
        <w:rPr>
          <w:rFonts w:ascii="Times New Roman" w:eastAsia="Times New Roman" w:hAnsi="Times New Roman" w:cs="Times New Roman"/>
          <w:color w:val="303030"/>
        </w:rPr>
      </w:pPr>
    </w:p>
    <w:p w:rsidR="00000000" w:rsidRPr="00000000" w:rsidP="00000000" w14:paraId="0000009F">
      <w:pPr>
        <w:rPr>
          <w:rFonts w:ascii="Times New Roman" w:eastAsia="Times New Roman" w:hAnsi="Times New Roman" w:cs="Times New Roman"/>
          <w:color w:val="303030"/>
        </w:rPr>
      </w:pPr>
    </w:p>
    <w:p w:rsidR="00000000" w:rsidRPr="00000000" w:rsidP="00000000" w14:paraId="000000A0">
      <w:pPr>
        <w:rPr>
          <w:rFonts w:ascii="Times New Roman" w:eastAsia="Times New Roman" w:hAnsi="Times New Roman" w:cs="Times New Roman"/>
          <w:color w:val="303030"/>
        </w:rPr>
      </w:pPr>
    </w:p>
    <w:p w:rsidR="00000000" w:rsidRPr="00000000" w:rsidP="00000000" w14:paraId="000000A1">
      <w:pPr>
        <w:rPr>
          <w:rFonts w:ascii="Times New Roman" w:eastAsia="Times New Roman" w:hAnsi="Times New Roman" w:cs="Times New Roman"/>
          <w:color w:val="303030"/>
        </w:rPr>
      </w:pPr>
    </w:p>
    <w:p w:rsidR="00000000" w:rsidRPr="00000000" w:rsidP="00000000" w14:paraId="000000A2">
      <w:pPr>
        <w:rPr>
          <w:rFonts w:ascii="Times New Roman" w:eastAsia="Times New Roman" w:hAnsi="Times New Roman" w:cs="Times New Roman"/>
          <w:color w:val="303030"/>
        </w:rPr>
      </w:pPr>
    </w:p>
    <w:p w:rsidR="00000000" w:rsidRPr="00000000" w:rsidP="00000000" w14:paraId="000000A3">
      <w:pPr>
        <w:rPr>
          <w:rFonts w:ascii="Times New Roman" w:eastAsia="Times New Roman" w:hAnsi="Times New Roman" w:cs="Times New Roman"/>
          <w:color w:val="303030"/>
        </w:rPr>
      </w:pPr>
    </w:p>
    <w:p w:rsidR="00000000" w:rsidRPr="00000000" w:rsidP="00000000" w14:paraId="000000A4">
      <w:pPr>
        <w:rPr>
          <w:rFonts w:ascii="Times New Roman" w:eastAsia="Times New Roman" w:hAnsi="Times New Roman" w:cs="Times New Roman"/>
          <w:color w:val="303030"/>
        </w:rPr>
      </w:pPr>
    </w:p>
    <w:p w:rsidR="00000000" w:rsidRPr="00000000" w:rsidP="00000000" w14:paraId="000000A5">
      <w:pPr>
        <w:rPr>
          <w:rFonts w:ascii="Times New Roman" w:eastAsia="Times New Roman" w:hAnsi="Times New Roman" w:cs="Times New Roman"/>
          <w:color w:val="303030"/>
        </w:rPr>
      </w:pPr>
    </w:p>
    <w:p w:rsidR="00000000" w:rsidRPr="00000000" w:rsidP="00000000" w14:paraId="000000A6">
      <w:pPr>
        <w:rPr>
          <w:rFonts w:ascii="Times New Roman" w:eastAsia="Times New Roman" w:hAnsi="Times New Roman" w:cs="Times New Roman"/>
          <w:color w:val="303030"/>
        </w:rPr>
      </w:pPr>
    </w:p>
    <w:p w:rsidR="00000000" w:rsidRPr="00000000" w:rsidP="00000000" w14:paraId="000000A7">
      <w:pPr>
        <w:rPr>
          <w:rFonts w:ascii="Times New Roman" w:eastAsia="Times New Roman" w:hAnsi="Times New Roman" w:cs="Times New Roman"/>
          <w:color w:val="303030"/>
        </w:rPr>
      </w:pPr>
    </w:p>
    <w:p w:rsidR="00000000" w:rsidRPr="00000000" w:rsidP="00000000" w14:paraId="000000A8">
      <w:pPr>
        <w:rPr>
          <w:rFonts w:ascii="Times New Roman" w:eastAsia="Times New Roman" w:hAnsi="Times New Roman" w:cs="Times New Roman"/>
          <w:color w:val="303030"/>
        </w:rPr>
      </w:pPr>
    </w:p>
    <w:p w:rsidR="00000000" w:rsidRPr="00000000" w:rsidP="00000000" w14:paraId="000000A9">
      <w:pPr>
        <w:rPr>
          <w:rFonts w:ascii="Times New Roman" w:eastAsia="Times New Roman" w:hAnsi="Times New Roman" w:cs="Times New Roman"/>
          <w:color w:val="303030"/>
        </w:rPr>
      </w:pPr>
    </w:p>
    <w:p w:rsidR="00000000" w:rsidRPr="00000000" w:rsidP="00000000" w14:paraId="000000AA">
      <w:pPr>
        <w:rPr>
          <w:rFonts w:ascii="Times New Roman" w:eastAsia="Times New Roman" w:hAnsi="Times New Roman" w:cs="Times New Roman"/>
          <w:color w:val="303030"/>
        </w:rPr>
      </w:pPr>
    </w:p>
    <w:p w:rsidR="00000000" w:rsidRPr="00000000" w:rsidP="00000000" w14:paraId="000000AB">
      <w:pPr>
        <w:rPr>
          <w:rFonts w:ascii="Times New Roman" w:eastAsia="Times New Roman" w:hAnsi="Times New Roman" w:cs="Times New Roman"/>
          <w:color w:val="303030"/>
        </w:rPr>
      </w:pPr>
    </w:p>
    <w:p w:rsidR="00000000" w:rsidRPr="00000000" w:rsidP="00000000" w14:paraId="000000AC">
      <w:pPr>
        <w:rPr>
          <w:rFonts w:ascii="Times New Roman" w:eastAsia="Times New Roman" w:hAnsi="Times New Roman" w:cs="Times New Roman"/>
          <w:color w:val="303030"/>
        </w:rPr>
      </w:pPr>
    </w:p>
    <w:p w:rsidR="00000000" w:rsidRPr="00000000" w:rsidP="00000000" w14:paraId="000000AD">
      <w:pPr>
        <w:rPr>
          <w:rFonts w:ascii="Times New Roman" w:eastAsia="Times New Roman" w:hAnsi="Times New Roman" w:cs="Times New Roman"/>
          <w:b/>
          <w:color w:val="303030"/>
        </w:rPr>
      </w:pPr>
    </w:p>
    <w:p w:rsidR="00000000" w:rsidRPr="00000000" w:rsidP="00000000" w14:paraId="000000AE">
      <w:pPr>
        <w:rPr>
          <w:rFonts w:ascii="Times New Roman" w:eastAsia="Times New Roman" w:hAnsi="Times New Roman" w:cs="Times New Roman"/>
          <w:b/>
          <w:color w:val="303030"/>
        </w:rPr>
      </w:pPr>
    </w:p>
    <w:p w:rsidR="00000000" w:rsidRPr="00000000" w:rsidP="00000000" w14:paraId="000000AF">
      <w:pPr>
        <w:rPr>
          <w:rFonts w:ascii="Times New Roman" w:eastAsia="Times New Roman" w:hAnsi="Times New Roman" w:cs="Times New Roman"/>
          <w:b/>
          <w:color w:val="303030"/>
        </w:rPr>
      </w:pPr>
    </w:p>
    <w:p w:rsidR="00000000" w:rsidRPr="00000000" w:rsidP="00000000" w14:paraId="000000B0">
      <w:pPr>
        <w:rPr>
          <w:rFonts w:ascii="Times New Roman" w:eastAsia="Times New Roman" w:hAnsi="Times New Roman" w:cs="Times New Roman"/>
          <w:b/>
          <w:color w:val="303030"/>
        </w:rPr>
      </w:pPr>
      <w:r w:rsidRPr="00000000">
        <w:rPr>
          <w:rFonts w:ascii="Times New Roman" w:eastAsia="Times New Roman" w:hAnsi="Times New Roman" w:cs="Times New Roman"/>
          <w:b/>
          <w:color w:val="303030"/>
          <w:rtl w:val="0"/>
        </w:rPr>
        <w:t>Challenges Faced:</w:t>
      </w:r>
    </w:p>
    <w:p w:rsidR="00000000" w:rsidRPr="00000000" w:rsidP="00000000" w14:paraId="000000B1">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 xml:space="preserve">A majority of the challenges faced have been already mentioned, however going into actually doing the assignment, one of the challenges was figuring out what I wanted to do for the chosen work, mainly since for this assignment, I wanted to leave the comfort zone of what I normally choose when I talk about problems in education, mainly leading towards the effect race has on attainment, this being due to problems I have faced, and as of recent the effective forms of poverty had on education came to my interest, especially the idea of food poverty and how malnutrition can affect children and their learning, especially in recent times due to the pandemic. </w:t>
      </w:r>
    </w:p>
    <w:p w:rsidR="00000000" w:rsidRPr="00000000" w:rsidP="00000000" w14:paraId="000000B2">
      <w:pPr>
        <w:rPr>
          <w:rFonts w:ascii="Times New Roman" w:eastAsia="Times New Roman" w:hAnsi="Times New Roman" w:cs="Times New Roman"/>
          <w:color w:val="303030"/>
        </w:rPr>
      </w:pPr>
    </w:p>
    <w:p w:rsidR="00000000" w:rsidRPr="00000000" w:rsidP="00000000" w14:paraId="000000B3">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Finding research on that subject was also a problem I faced, due to the link being there in abundance, but not many went into the links that I wanted to discuss, luckily there was enough to back up what I wanted to go into, especially the medium of how I wanted to write about it.</w:t>
      </w:r>
    </w:p>
    <w:p w:rsidR="00000000" w:rsidRPr="00000000" w:rsidP="00000000" w14:paraId="000000B4">
      <w:pPr>
        <w:rPr>
          <w:rFonts w:ascii="Times New Roman" w:eastAsia="Times New Roman" w:hAnsi="Times New Roman" w:cs="Times New Roman"/>
          <w:color w:val="303030"/>
        </w:rPr>
      </w:pPr>
    </w:p>
    <w:p w:rsidR="00000000" w:rsidRPr="00000000" w:rsidP="00000000" w14:paraId="000000B5">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Whilst doing the Zander letter, there was the problem going into it of not knowing what to write, mainly because I did not have the clearest idea of what I was aspiring towards, and the main goals I originally had going into university changed dramatically over the course of the second year, with this assignment coming at the worse time. To overcome this, reading through the content of unit 4 helped me understand the goals that I wanted to achieve from a smaller standpoint, such as the employability and personal skills that have been a problem for me.</w:t>
      </w:r>
    </w:p>
    <w:p w:rsidR="00000000" w:rsidRPr="00000000" w:rsidP="00000000" w14:paraId="000000B6">
      <w:pPr>
        <w:rPr>
          <w:rFonts w:ascii="Times New Roman" w:eastAsia="Times New Roman" w:hAnsi="Times New Roman" w:cs="Times New Roman"/>
          <w:color w:val="303030"/>
        </w:rPr>
      </w:pPr>
    </w:p>
    <w:p w:rsidR="00000000" w:rsidRPr="00000000" w:rsidP="00000000" w14:paraId="000000B7">
      <w:pPr>
        <w:rPr>
          <w:rFonts w:ascii="Times New Roman" w:eastAsia="Times New Roman" w:hAnsi="Times New Roman" w:cs="Times New Roman"/>
          <w:color w:val="303030"/>
        </w:rPr>
      </w:pPr>
    </w:p>
    <w:p w:rsidR="00000000" w:rsidRPr="00000000" w:rsidP="00000000" w14:paraId="000000B8">
      <w:pPr>
        <w:rPr>
          <w:rFonts w:ascii="Times New Roman" w:eastAsia="Times New Roman" w:hAnsi="Times New Roman" w:cs="Times New Roman"/>
          <w:color w:val="303030"/>
        </w:rPr>
      </w:pPr>
    </w:p>
    <w:p w:rsidR="00000000" w:rsidRPr="00000000" w:rsidP="00000000" w14:paraId="000000B9">
      <w:pPr>
        <w:rPr>
          <w:rFonts w:ascii="Times New Roman" w:eastAsia="Times New Roman" w:hAnsi="Times New Roman" w:cs="Times New Roman"/>
          <w:b/>
          <w:color w:val="303030"/>
        </w:rPr>
      </w:pPr>
      <w:r w:rsidRPr="00000000">
        <w:rPr>
          <w:rFonts w:ascii="Times New Roman" w:eastAsia="Times New Roman" w:hAnsi="Times New Roman" w:cs="Times New Roman"/>
          <w:b/>
          <w:color w:val="303030"/>
          <w:rtl w:val="0"/>
        </w:rPr>
        <w:t xml:space="preserve">What I Could Have Done Differently: </w:t>
      </w:r>
    </w:p>
    <w:p w:rsidR="00000000" w:rsidRPr="00000000" w:rsidP="00000000" w14:paraId="000000BA">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The consistent thing throughout the unit that I wish could have been done better, was going to online lessons and participating more, which I know can be done since I have been able to do it with in-person lessons, furthermore as of writing this assignment, I have realised I only submitted one of the two 700 word sections to the first assignment, and due to realising too late there was nothing I could do to change it, that is something that I would have done differently if I could. In regards to the assignment that was submitted, looking back at it, more could have been done in referencing the effect entertainment had on children, as it was something I researched yet did not include in the pitch, rather referencing the backing for why the idea of the pitch can work.</w:t>
      </w:r>
    </w:p>
    <w:p w:rsidR="00000000" w:rsidRPr="00000000" w:rsidP="00000000" w14:paraId="000000BB">
      <w:pPr>
        <w:rPr>
          <w:rFonts w:ascii="Times New Roman" w:eastAsia="Times New Roman" w:hAnsi="Times New Roman" w:cs="Times New Roman"/>
          <w:color w:val="303030"/>
        </w:rPr>
      </w:pPr>
    </w:p>
    <w:p w:rsidR="00000000" w:rsidRPr="00000000" w:rsidP="00000000" w14:paraId="000000BC">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However, something that I think I achieved in this unit was improving my use of research for referencing, even if it doesn't come off that way, as before this assignment, I would go with the idea in my head that if something is seen as common sense it shouldn't need a reference, however writing the Zander letter helped show that you have to provide the evidence on anything you say and that there are studies that either prove or disprove the ways you think you would have to go around completing the goals you set for yourself. (Santini et al, Penders)</w:t>
      </w:r>
    </w:p>
    <w:p w:rsidR="00000000" w:rsidRPr="00000000" w:rsidP="00000000" w14:paraId="000000BD">
      <w:pPr>
        <w:rPr>
          <w:rFonts w:ascii="Times New Roman" w:eastAsia="Times New Roman" w:hAnsi="Times New Roman" w:cs="Times New Roman"/>
          <w:color w:val="303030"/>
        </w:rPr>
      </w:pPr>
    </w:p>
    <w:p w:rsidR="00000000" w:rsidRPr="00000000" w:rsidP="00000000" w14:paraId="000000BE">
      <w:pPr>
        <w:rPr>
          <w:rFonts w:ascii="Times New Roman" w:eastAsia="Times New Roman" w:hAnsi="Times New Roman" w:cs="Times New Roman"/>
          <w:color w:val="303030"/>
        </w:rPr>
      </w:pPr>
    </w:p>
    <w:p w:rsidR="00000000" w:rsidRPr="00000000" w:rsidP="00000000" w14:paraId="000000BF">
      <w:pPr>
        <w:rPr>
          <w:rFonts w:ascii="Times New Roman" w:eastAsia="Times New Roman" w:hAnsi="Times New Roman" w:cs="Times New Roman"/>
          <w:color w:val="303030"/>
        </w:rPr>
      </w:pPr>
    </w:p>
    <w:p w:rsidR="00000000" w:rsidRPr="00000000" w:rsidP="00000000" w14:paraId="000000C0">
      <w:pPr>
        <w:rPr>
          <w:rFonts w:ascii="Times New Roman" w:eastAsia="Times New Roman" w:hAnsi="Times New Roman" w:cs="Times New Roman"/>
          <w:color w:val="303030"/>
        </w:rPr>
      </w:pPr>
    </w:p>
    <w:p w:rsidR="00000000" w:rsidRPr="00000000" w:rsidP="00000000" w14:paraId="000000C1">
      <w:pPr>
        <w:rPr>
          <w:rFonts w:ascii="Times New Roman" w:eastAsia="Times New Roman" w:hAnsi="Times New Roman" w:cs="Times New Roman"/>
          <w:color w:val="303030"/>
        </w:rPr>
      </w:pPr>
    </w:p>
    <w:p w:rsidR="00000000" w:rsidRPr="00000000" w:rsidP="00000000" w14:paraId="000000C2">
      <w:pPr>
        <w:rPr>
          <w:rFonts w:ascii="Times New Roman" w:eastAsia="Times New Roman" w:hAnsi="Times New Roman" w:cs="Times New Roman"/>
          <w:color w:val="303030"/>
        </w:rPr>
      </w:pPr>
    </w:p>
    <w:p w:rsidR="00000000" w:rsidRPr="00000000" w:rsidP="00000000" w14:paraId="000000C3">
      <w:pPr>
        <w:rPr>
          <w:rFonts w:ascii="Times New Roman" w:eastAsia="Times New Roman" w:hAnsi="Times New Roman" w:cs="Times New Roman"/>
          <w:color w:val="303030"/>
        </w:rPr>
      </w:pPr>
    </w:p>
    <w:p w:rsidR="00000000" w:rsidRPr="00000000" w:rsidP="00000000" w14:paraId="000000C4">
      <w:pPr>
        <w:rPr>
          <w:rFonts w:ascii="Times New Roman" w:eastAsia="Times New Roman" w:hAnsi="Times New Roman" w:cs="Times New Roman"/>
          <w:color w:val="303030"/>
        </w:rPr>
      </w:pPr>
    </w:p>
    <w:p w:rsidR="00000000" w:rsidRPr="00000000" w:rsidP="00000000" w14:paraId="000000C5">
      <w:pPr>
        <w:rPr>
          <w:rFonts w:ascii="Times New Roman" w:eastAsia="Times New Roman" w:hAnsi="Times New Roman" w:cs="Times New Roman"/>
          <w:color w:val="303030"/>
        </w:rPr>
      </w:pPr>
    </w:p>
    <w:p w:rsidR="00000000" w:rsidRPr="00000000" w:rsidP="00000000" w14:paraId="000000C6">
      <w:pPr>
        <w:rPr>
          <w:rFonts w:ascii="Times New Roman" w:eastAsia="Times New Roman" w:hAnsi="Times New Roman" w:cs="Times New Roman"/>
          <w:color w:val="303030"/>
        </w:rPr>
      </w:pPr>
    </w:p>
    <w:p w:rsidR="00000000" w:rsidRPr="00000000" w:rsidP="00000000" w14:paraId="000000C7">
      <w:pPr>
        <w:rPr>
          <w:rFonts w:ascii="Times New Roman" w:eastAsia="Times New Roman" w:hAnsi="Times New Roman" w:cs="Times New Roman"/>
          <w:color w:val="303030"/>
        </w:rPr>
      </w:pPr>
    </w:p>
    <w:p w:rsidR="00000000" w:rsidRPr="00000000" w:rsidP="00000000" w14:paraId="000000C8">
      <w:pPr>
        <w:rPr>
          <w:rFonts w:ascii="Times New Roman" w:eastAsia="Times New Roman" w:hAnsi="Times New Roman" w:cs="Times New Roman"/>
          <w:color w:val="303030"/>
        </w:rPr>
      </w:pPr>
    </w:p>
    <w:p w:rsidR="00000000" w:rsidRPr="00000000" w:rsidP="00000000" w14:paraId="000000C9">
      <w:pPr>
        <w:rPr>
          <w:rFonts w:ascii="Times New Roman" w:eastAsia="Times New Roman" w:hAnsi="Times New Roman" w:cs="Times New Roman"/>
          <w:color w:val="303030"/>
        </w:rPr>
      </w:pPr>
    </w:p>
    <w:p w:rsidR="00000000" w:rsidRPr="00000000" w:rsidP="00000000" w14:paraId="000000CA">
      <w:pPr>
        <w:rPr>
          <w:rFonts w:ascii="Times New Roman" w:eastAsia="Times New Roman" w:hAnsi="Times New Roman" w:cs="Times New Roman"/>
          <w:b/>
          <w:color w:val="303030"/>
        </w:rPr>
      </w:pPr>
      <w:r w:rsidRPr="00000000">
        <w:rPr>
          <w:rFonts w:ascii="Times New Roman" w:eastAsia="Times New Roman" w:hAnsi="Times New Roman" w:cs="Times New Roman"/>
          <w:b/>
          <w:color w:val="303030"/>
          <w:rtl w:val="0"/>
        </w:rPr>
        <w:t>How This Has Helped Me:</w:t>
      </w:r>
    </w:p>
    <w:p w:rsidR="00000000" w:rsidRPr="00000000" w:rsidP="00000000" w14:paraId="000000CB">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 xml:space="preserve">In conclusion, this unit has its benefits and negatives, in terms of being a useful unit of providing a kickstart in making myself more employable once I have left university, as well as the fact the unit has provided helpful insight on the reasons why your personal brand matters more than you would think, however, its flaws come with how the unit is set up and branded, causing a collective disinterest due to its nature of being a character-building unit rather than a unit that follows alongside the educational research. The assignment that was done for it also follow that ideology, the two 1400 word sections, while is useful towards improving employability skills with the blog and pitch, whilst the personal brand was improved with CVs and Personal Development Plans, the overall feel of the assignments felt like a course that is done over the summer rather than an actual university course that affects your end grade, and the Zander letter that supplements the 1400 word section further show the idea that this unit was more about self-improvement than an education course.  </w:t>
      </w:r>
    </w:p>
    <w:p w:rsidR="00000000" w:rsidRPr="00000000" w:rsidP="00000000" w14:paraId="000000CC">
      <w:pPr>
        <w:rPr>
          <w:rFonts w:ascii="Times New Roman" w:eastAsia="Times New Roman" w:hAnsi="Times New Roman" w:cs="Times New Roman"/>
          <w:color w:val="303030"/>
        </w:rPr>
      </w:pPr>
    </w:p>
    <w:p w:rsidR="00000000" w:rsidRPr="00000000" w:rsidP="00000000" w14:paraId="000000CD">
      <w:pPr>
        <w:rPr>
          <w:rFonts w:ascii="Times New Roman" w:eastAsia="Times New Roman" w:hAnsi="Times New Roman" w:cs="Times New Roman"/>
          <w:color w:val="303030"/>
        </w:rPr>
      </w:pPr>
      <w:r w:rsidRPr="00000000">
        <w:rPr>
          <w:rFonts w:ascii="Times New Roman" w:eastAsia="Times New Roman" w:hAnsi="Times New Roman" w:cs="Times New Roman"/>
          <w:color w:val="303030"/>
          <w:rtl w:val="0"/>
        </w:rPr>
        <w:t>Finally, what this unit has helped me with is understanding the goals that I want to achieve, especially in the time of uncertainty of what I want to do in the future, as well as how I can go about achieving them, rather than just admitting to my flaws and accepting them, whilst the Zander letter helped provide a look into the smaller goals that I should try and attain before I try and look at the bigger picture of what I want, and not rushing myself to try and obtain every goal I have set myself as they will constantly change.</w:t>
      </w:r>
    </w:p>
    <w:p w:rsidR="00000000" w:rsidRPr="00000000" w:rsidP="00000000" w14:paraId="000000CE">
      <w:pPr>
        <w:rPr>
          <w:rFonts w:ascii="Times New Roman" w:eastAsia="Times New Roman" w:hAnsi="Times New Roman" w:cs="Times New Roman"/>
          <w:color w:val="303030"/>
        </w:rPr>
      </w:pPr>
    </w:p>
    <w:p w:rsidR="00000000" w:rsidRPr="00000000" w:rsidP="00000000" w14:paraId="000000CF">
      <w:pPr>
        <w:rPr>
          <w:rFonts w:ascii="Times New Roman" w:eastAsia="Times New Roman" w:hAnsi="Times New Roman" w:cs="Times New Roman"/>
          <w:color w:val="303030"/>
        </w:rPr>
      </w:pPr>
    </w:p>
    <w:p w:rsidR="00000000" w:rsidRPr="00000000" w:rsidP="00000000" w14:paraId="000000D0">
      <w:pPr>
        <w:rPr>
          <w:rFonts w:ascii="Times New Roman" w:eastAsia="Times New Roman" w:hAnsi="Times New Roman" w:cs="Times New Roman"/>
          <w:color w:val="303030"/>
        </w:rPr>
      </w:pPr>
    </w:p>
    <w:p w:rsidR="00000000" w:rsidRPr="00000000" w:rsidP="00000000" w14:paraId="000000D1">
      <w:pPr>
        <w:rPr>
          <w:rFonts w:ascii="Times New Roman" w:eastAsia="Times New Roman" w:hAnsi="Times New Roman" w:cs="Times New Roman"/>
          <w:color w:val="303030"/>
        </w:rPr>
      </w:pPr>
    </w:p>
    <w:p w:rsidR="00000000" w:rsidRPr="00000000" w:rsidP="00000000" w14:paraId="000000D2">
      <w:pPr>
        <w:rPr>
          <w:rFonts w:ascii="Times New Roman" w:eastAsia="Times New Roman" w:hAnsi="Times New Roman" w:cs="Times New Roman"/>
          <w:color w:val="303030"/>
        </w:rPr>
      </w:pPr>
    </w:p>
    <w:p w:rsidR="00000000" w:rsidRPr="00000000" w:rsidP="00000000" w14:paraId="000000D3">
      <w:pPr>
        <w:rPr>
          <w:rFonts w:ascii="Times New Roman" w:eastAsia="Times New Roman" w:hAnsi="Times New Roman" w:cs="Times New Roman"/>
          <w:color w:val="303030"/>
        </w:rPr>
      </w:pPr>
    </w:p>
    <w:p w:rsidR="00000000" w:rsidRPr="00000000" w:rsidP="00000000" w14:paraId="000000D4">
      <w:pPr>
        <w:rPr>
          <w:rFonts w:ascii="Times New Roman" w:eastAsia="Times New Roman" w:hAnsi="Times New Roman" w:cs="Times New Roman"/>
          <w:color w:val="303030"/>
        </w:rPr>
      </w:pPr>
    </w:p>
    <w:p w:rsidR="00000000" w:rsidRPr="00000000" w:rsidP="00000000" w14:paraId="000000D5">
      <w:pPr>
        <w:rPr>
          <w:rFonts w:ascii="Times New Roman" w:eastAsia="Times New Roman" w:hAnsi="Times New Roman" w:cs="Times New Roman"/>
          <w:color w:val="303030"/>
        </w:rPr>
      </w:pPr>
    </w:p>
    <w:p w:rsidR="00000000" w:rsidRPr="00000000" w:rsidP="00000000" w14:paraId="000000D6">
      <w:pPr>
        <w:rPr>
          <w:rFonts w:ascii="Times New Roman" w:eastAsia="Times New Roman" w:hAnsi="Times New Roman" w:cs="Times New Roman"/>
          <w:color w:val="303030"/>
        </w:rPr>
      </w:pPr>
    </w:p>
    <w:p w:rsidR="00000000" w:rsidRPr="00000000" w:rsidP="00000000" w14:paraId="000000D7">
      <w:pPr>
        <w:rPr>
          <w:rFonts w:ascii="Times New Roman" w:eastAsia="Times New Roman" w:hAnsi="Times New Roman" w:cs="Times New Roman"/>
          <w:color w:val="303030"/>
        </w:rPr>
      </w:pPr>
    </w:p>
    <w:p w:rsidR="00000000" w:rsidRPr="00000000" w:rsidP="00000000" w14:paraId="000000D8">
      <w:pPr>
        <w:rPr>
          <w:rFonts w:ascii="Times New Roman" w:eastAsia="Times New Roman" w:hAnsi="Times New Roman" w:cs="Times New Roman"/>
          <w:color w:val="303030"/>
        </w:rPr>
      </w:pPr>
    </w:p>
    <w:p w:rsidR="00000000" w:rsidRPr="00000000" w:rsidP="00000000" w14:paraId="000000D9">
      <w:pPr>
        <w:rPr>
          <w:rFonts w:ascii="Times New Roman" w:eastAsia="Times New Roman" w:hAnsi="Times New Roman" w:cs="Times New Roman"/>
          <w:color w:val="303030"/>
        </w:rPr>
      </w:pPr>
    </w:p>
    <w:p w:rsidR="00000000" w:rsidRPr="00000000" w:rsidP="00000000" w14:paraId="000000DA">
      <w:pPr>
        <w:rPr>
          <w:rFonts w:ascii="Times New Roman" w:eastAsia="Times New Roman" w:hAnsi="Times New Roman" w:cs="Times New Roman"/>
          <w:color w:val="303030"/>
        </w:rPr>
      </w:pPr>
    </w:p>
    <w:p w:rsidR="00000000" w:rsidRPr="00000000" w:rsidP="00000000" w14:paraId="000000DB">
      <w:pPr>
        <w:rPr>
          <w:rFonts w:ascii="Times New Roman" w:eastAsia="Times New Roman" w:hAnsi="Times New Roman" w:cs="Times New Roman"/>
          <w:color w:val="303030"/>
        </w:rPr>
      </w:pPr>
    </w:p>
    <w:p w:rsidR="00000000" w:rsidRPr="00000000" w:rsidP="00000000" w14:paraId="000000DC">
      <w:pPr>
        <w:rPr>
          <w:rFonts w:ascii="Times New Roman" w:eastAsia="Times New Roman" w:hAnsi="Times New Roman" w:cs="Times New Roman"/>
          <w:color w:val="303030"/>
        </w:rPr>
      </w:pPr>
    </w:p>
    <w:p w:rsidR="00000000" w:rsidRPr="00000000" w:rsidP="00000000" w14:paraId="000000DD">
      <w:pPr>
        <w:rPr>
          <w:rFonts w:ascii="Times New Roman" w:eastAsia="Times New Roman" w:hAnsi="Times New Roman" w:cs="Times New Roman"/>
          <w:color w:val="303030"/>
        </w:rPr>
      </w:pPr>
    </w:p>
    <w:p w:rsidR="00000000" w:rsidRPr="00000000" w:rsidP="00000000" w14:paraId="000000DE">
      <w:pPr>
        <w:rPr>
          <w:rFonts w:ascii="Times New Roman" w:eastAsia="Times New Roman" w:hAnsi="Times New Roman" w:cs="Times New Roman"/>
          <w:color w:val="303030"/>
        </w:rPr>
      </w:pPr>
    </w:p>
    <w:p w:rsidR="00000000" w:rsidRPr="00000000" w:rsidP="00000000" w14:paraId="000000DF">
      <w:pPr>
        <w:rPr>
          <w:rFonts w:ascii="Times New Roman" w:eastAsia="Times New Roman" w:hAnsi="Times New Roman" w:cs="Times New Roman"/>
          <w:color w:val="303030"/>
        </w:rPr>
      </w:pPr>
    </w:p>
    <w:p w:rsidR="00000000" w:rsidRPr="00000000" w:rsidP="00000000" w14:paraId="000000E0">
      <w:pPr>
        <w:rPr>
          <w:rFonts w:ascii="Times New Roman" w:eastAsia="Times New Roman" w:hAnsi="Times New Roman" w:cs="Times New Roman"/>
          <w:color w:val="303030"/>
        </w:rPr>
      </w:pPr>
    </w:p>
    <w:p w:rsidR="00000000" w:rsidRPr="00000000" w:rsidP="00000000" w14:paraId="000000E1">
      <w:pPr>
        <w:rPr>
          <w:rFonts w:ascii="Times New Roman" w:eastAsia="Times New Roman" w:hAnsi="Times New Roman" w:cs="Times New Roman"/>
          <w:color w:val="303030"/>
        </w:rPr>
      </w:pPr>
    </w:p>
    <w:p w:rsidR="00000000" w:rsidRPr="00000000" w:rsidP="00000000" w14:paraId="000000E2">
      <w:pPr>
        <w:rPr>
          <w:rFonts w:ascii="Times New Roman" w:eastAsia="Times New Roman" w:hAnsi="Times New Roman" w:cs="Times New Roman"/>
          <w:b/>
          <w:color w:val="303030"/>
          <w:u w:val="single"/>
        </w:rPr>
      </w:pPr>
    </w:p>
    <w:p w:rsidR="00000000" w:rsidRPr="00000000" w:rsidP="00000000" w14:paraId="000000E3">
      <w:pPr>
        <w:rPr>
          <w:rFonts w:ascii="Times New Roman" w:eastAsia="Times New Roman" w:hAnsi="Times New Roman" w:cs="Times New Roman"/>
          <w:b/>
          <w:color w:val="303030"/>
          <w:u w:val="single"/>
        </w:rPr>
      </w:pPr>
    </w:p>
    <w:p w:rsidR="00000000" w:rsidRPr="00000000" w:rsidP="00000000" w14:paraId="000000E4">
      <w:pPr>
        <w:rPr>
          <w:rFonts w:ascii="Times New Roman" w:eastAsia="Times New Roman" w:hAnsi="Times New Roman" w:cs="Times New Roman"/>
          <w:b/>
          <w:color w:val="303030"/>
          <w:u w:val="single"/>
        </w:rPr>
      </w:pPr>
    </w:p>
    <w:p w:rsidR="00000000" w:rsidRPr="00000000" w:rsidP="00000000" w14:paraId="000000E5">
      <w:pPr>
        <w:rPr>
          <w:rFonts w:ascii="Times New Roman" w:eastAsia="Times New Roman" w:hAnsi="Times New Roman" w:cs="Times New Roman"/>
          <w:b/>
          <w:color w:val="303030"/>
          <w:u w:val="single"/>
        </w:rPr>
      </w:pPr>
    </w:p>
    <w:p w:rsidR="00000000" w:rsidRPr="00000000" w:rsidP="00000000" w14:paraId="000000E6">
      <w:pPr>
        <w:rPr>
          <w:rFonts w:ascii="Times New Roman" w:eastAsia="Times New Roman" w:hAnsi="Times New Roman" w:cs="Times New Roman"/>
          <w:color w:val="303030"/>
        </w:rPr>
      </w:pPr>
      <w:r w:rsidRPr="00000000">
        <w:rPr>
          <w:rFonts w:ascii="Times New Roman" w:eastAsia="Times New Roman" w:hAnsi="Times New Roman" w:cs="Times New Roman"/>
          <w:b/>
          <w:color w:val="303030"/>
          <w:u w:val="single"/>
          <w:rtl w:val="0"/>
        </w:rPr>
        <w:t>References:</w:t>
      </w:r>
      <w:r w:rsidRPr="00000000">
        <w:rPr>
          <w:rFonts w:ascii="Times New Roman" w:eastAsia="Times New Roman" w:hAnsi="Times New Roman" w:cs="Times New Roman"/>
          <w:color w:val="303030"/>
          <w:rtl w:val="0"/>
        </w:rPr>
        <w:t xml:space="preserve"> </w:t>
      </w:r>
    </w:p>
    <w:p w:rsidR="00000000" w:rsidRPr="00000000" w:rsidP="00000000" w14:paraId="000000E7">
      <w:pPr>
        <w:rPr>
          <w:rFonts w:ascii="Times New Roman" w:eastAsia="Times New Roman" w:hAnsi="Times New Roman" w:cs="Times New Roman"/>
          <w:color w:val="303030"/>
        </w:rPr>
      </w:pPr>
    </w:p>
    <w:p w:rsidR="00000000" w:rsidRPr="00000000" w:rsidP="00000000" w14:paraId="000000E8">
      <w:pPr>
        <w:rPr>
          <w:rFonts w:ascii="Times New Roman" w:eastAsia="Times New Roman" w:hAnsi="Times New Roman" w:cs="Times New Roman"/>
          <w:color w:val="303030"/>
        </w:rPr>
      </w:pPr>
      <w:r w:rsidRPr="00000000">
        <w:rPr>
          <w:rFonts w:ascii="Times New Roman" w:eastAsia="Times New Roman" w:hAnsi="Times New Roman" w:cs="Times New Roman"/>
          <w:color w:val="303030"/>
          <w:sz w:val="20"/>
          <w:szCs w:val="20"/>
          <w:highlight w:val="white"/>
          <w:rtl w:val="0"/>
        </w:rPr>
        <w:t>A. Jacob, B. and Wilder, T., 2010. [online] Nber.org. Available at: &lt;https://www.nber.org/system/files/working_papers/w15683/w15683.pdf&gt; [Accessed 4 April 2022].</w:t>
      </w:r>
    </w:p>
    <w:p w:rsidR="00000000" w:rsidRPr="00000000" w:rsidP="00000000" w14:paraId="000000E9">
      <w:pPr>
        <w:rPr>
          <w:rFonts w:ascii="Times New Roman" w:eastAsia="Times New Roman" w:hAnsi="Times New Roman" w:cs="Times New Roman"/>
          <w:color w:val="303030"/>
        </w:rPr>
      </w:pPr>
      <w:r w:rsidRPr="00000000">
        <w:rPr>
          <w:rFonts w:ascii="Times New Roman" w:eastAsia="Times New Roman" w:hAnsi="Times New Roman" w:cs="Times New Roman"/>
          <w:color w:val="303030"/>
          <w:sz w:val="20"/>
          <w:szCs w:val="20"/>
          <w:highlight w:val="white"/>
          <w:rtl w:val="0"/>
        </w:rPr>
        <w:t xml:space="preserve">n. </w:t>
      </w:r>
      <w:r w:rsidRPr="00000000">
        <w:rPr>
          <w:rFonts w:ascii="Times New Roman" w:eastAsia="Times New Roman" w:hAnsi="Times New Roman" w:cs="Times New Roman"/>
          <w:i/>
          <w:color w:val="303030"/>
          <w:sz w:val="20"/>
          <w:szCs w:val="20"/>
          <w:highlight w:val="white"/>
          <w:rtl w:val="0"/>
        </w:rPr>
        <w:t>British Educational Research Journal</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44</w:t>
      </w:r>
      <w:r w:rsidRPr="00000000">
        <w:rPr>
          <w:rFonts w:ascii="Times New Roman" w:eastAsia="Times New Roman" w:hAnsi="Times New Roman" w:cs="Times New Roman"/>
          <w:color w:val="303030"/>
          <w:sz w:val="20"/>
          <w:szCs w:val="20"/>
          <w:highlight w:val="white"/>
          <w:rtl w:val="0"/>
        </w:rPr>
        <w:t>(5), pp.914-938.</w:t>
      </w:r>
    </w:p>
    <w:p w:rsidR="00000000" w:rsidRPr="00000000" w:rsidP="00000000" w14:paraId="000000EA">
      <w:pPr>
        <w:rPr>
          <w:rFonts w:ascii="Times New Roman" w:eastAsia="Times New Roman" w:hAnsi="Times New Roman" w:cs="Times New Roman"/>
          <w:color w:val="303030"/>
        </w:rPr>
      </w:pPr>
    </w:p>
    <w:p w:rsidR="00000000" w:rsidRPr="00000000" w:rsidP="00000000" w14:paraId="000000EB">
      <w:pPr>
        <w:rPr>
          <w:rFonts w:ascii="Times New Roman" w:eastAsia="Times New Roman" w:hAnsi="Times New Roman" w:cs="Times New Roman"/>
          <w:color w:val="303030"/>
        </w:rPr>
      </w:pPr>
      <w:r w:rsidRPr="00000000">
        <w:rPr>
          <w:rFonts w:ascii="Times New Roman" w:eastAsia="Times New Roman" w:hAnsi="Times New Roman" w:cs="Times New Roman"/>
          <w:color w:val="303030"/>
          <w:sz w:val="20"/>
          <w:szCs w:val="20"/>
          <w:highlight w:val="white"/>
          <w:rtl w:val="0"/>
        </w:rPr>
        <w:t xml:space="preserve">Entwisle, D.R. and Hayduk, L.A., 1981. Academic expectations and the school attainment of young children. </w:t>
      </w:r>
      <w:r w:rsidRPr="00000000">
        <w:rPr>
          <w:rFonts w:ascii="Times New Roman" w:eastAsia="Times New Roman" w:hAnsi="Times New Roman" w:cs="Times New Roman"/>
          <w:i/>
          <w:color w:val="303030"/>
          <w:sz w:val="20"/>
          <w:szCs w:val="20"/>
          <w:highlight w:val="white"/>
          <w:rtl w:val="0"/>
        </w:rPr>
        <w:t>Sociology of education</w:t>
      </w:r>
      <w:r w:rsidRPr="00000000">
        <w:rPr>
          <w:rFonts w:ascii="Times New Roman" w:eastAsia="Times New Roman" w:hAnsi="Times New Roman" w:cs="Times New Roman"/>
          <w:color w:val="303030"/>
          <w:sz w:val="20"/>
          <w:szCs w:val="20"/>
          <w:highlight w:val="white"/>
          <w:rtl w:val="0"/>
        </w:rPr>
        <w:t>, pp.34-50.</w:t>
      </w:r>
    </w:p>
    <w:p w:rsidR="00000000" w:rsidRPr="00000000" w:rsidP="00000000" w14:paraId="000000EC">
      <w:pPr>
        <w:rPr>
          <w:rFonts w:ascii="Times New Roman" w:eastAsia="Times New Roman" w:hAnsi="Times New Roman" w:cs="Times New Roman"/>
          <w:color w:val="303030"/>
        </w:rPr>
      </w:pPr>
    </w:p>
    <w:p w:rsidR="00000000" w:rsidRPr="00000000" w:rsidP="00000000" w14:paraId="000000ED">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Harrison, N. and Waller, R., 2018. Challenging discourses of aspiration: The role of expectations and attainment in access to higher education</w:t>
      </w:r>
    </w:p>
    <w:p w:rsidR="00000000" w:rsidRPr="00000000" w:rsidP="00000000" w14:paraId="000000EE">
      <w:pPr>
        <w:rPr>
          <w:rFonts w:ascii="Times New Roman" w:eastAsia="Times New Roman" w:hAnsi="Times New Roman" w:cs="Times New Roman"/>
          <w:color w:val="303030"/>
          <w:sz w:val="20"/>
          <w:szCs w:val="20"/>
          <w:highlight w:val="white"/>
        </w:rPr>
      </w:pPr>
    </w:p>
    <w:p w:rsidR="00000000" w:rsidRPr="00000000" w:rsidP="00000000" w14:paraId="000000EF">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 xml:space="preserve">Hockey, G.R.J., 1997. Compensatory control in the regulation of human performance under stress and high workload: A cognitive-energetical framework. </w:t>
      </w:r>
      <w:r w:rsidRPr="00000000">
        <w:rPr>
          <w:rFonts w:ascii="Times New Roman" w:eastAsia="Times New Roman" w:hAnsi="Times New Roman" w:cs="Times New Roman"/>
          <w:i/>
          <w:color w:val="303030"/>
          <w:sz w:val="20"/>
          <w:szCs w:val="20"/>
          <w:highlight w:val="white"/>
          <w:rtl w:val="0"/>
        </w:rPr>
        <w:t>Biological psychology</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45</w:t>
      </w:r>
      <w:r w:rsidRPr="00000000">
        <w:rPr>
          <w:rFonts w:ascii="Times New Roman" w:eastAsia="Times New Roman" w:hAnsi="Times New Roman" w:cs="Times New Roman"/>
          <w:color w:val="303030"/>
          <w:sz w:val="20"/>
          <w:szCs w:val="20"/>
          <w:highlight w:val="white"/>
          <w:rtl w:val="0"/>
        </w:rPr>
        <w:t>(1-3), pp.73-93.</w:t>
      </w:r>
    </w:p>
    <w:p w:rsidR="00000000" w:rsidRPr="00000000" w:rsidP="00000000" w14:paraId="000000F0">
      <w:pPr>
        <w:rPr>
          <w:rFonts w:ascii="Times New Roman" w:eastAsia="Times New Roman" w:hAnsi="Times New Roman" w:cs="Times New Roman"/>
          <w:color w:val="303030"/>
          <w:sz w:val="20"/>
          <w:szCs w:val="20"/>
          <w:highlight w:val="white"/>
        </w:rPr>
      </w:pPr>
    </w:p>
    <w:p w:rsidR="00000000" w:rsidRPr="00000000" w:rsidP="00000000" w14:paraId="000000F1">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 xml:space="preserve">Jeffri, N.F.S. and Rambli, D.R.A., 2021. A review of augmented reality systems and their effects on mental workload and task performance. </w:t>
      </w:r>
      <w:r w:rsidRPr="00000000">
        <w:rPr>
          <w:rFonts w:ascii="Times New Roman" w:eastAsia="Times New Roman" w:hAnsi="Times New Roman" w:cs="Times New Roman"/>
          <w:i/>
          <w:color w:val="303030"/>
          <w:sz w:val="20"/>
          <w:szCs w:val="20"/>
          <w:highlight w:val="white"/>
          <w:rtl w:val="0"/>
        </w:rPr>
        <w:t>Heliyon</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7</w:t>
      </w:r>
      <w:r w:rsidRPr="00000000">
        <w:rPr>
          <w:rFonts w:ascii="Times New Roman" w:eastAsia="Times New Roman" w:hAnsi="Times New Roman" w:cs="Times New Roman"/>
          <w:color w:val="303030"/>
          <w:sz w:val="20"/>
          <w:szCs w:val="20"/>
          <w:highlight w:val="white"/>
          <w:rtl w:val="0"/>
        </w:rPr>
        <w:t>(3), p.e06277.</w:t>
      </w:r>
    </w:p>
    <w:p w:rsidR="00000000" w:rsidRPr="00000000" w:rsidP="00000000" w14:paraId="000000F2">
      <w:pPr>
        <w:rPr>
          <w:rFonts w:ascii="Times New Roman" w:eastAsia="Times New Roman" w:hAnsi="Times New Roman" w:cs="Times New Roman"/>
          <w:color w:val="303030"/>
          <w:sz w:val="20"/>
          <w:szCs w:val="20"/>
          <w:highlight w:val="white"/>
        </w:rPr>
      </w:pPr>
    </w:p>
    <w:p w:rsidR="00000000" w:rsidRPr="00000000" w:rsidP="00000000" w14:paraId="000000F3">
      <w:pPr>
        <w:rPr>
          <w:rFonts w:ascii="Times New Roman" w:eastAsia="Times New Roman" w:hAnsi="Times New Roman" w:cs="Times New Roman"/>
          <w:color w:val="303030"/>
          <w:sz w:val="24"/>
          <w:szCs w:val="24"/>
        </w:rPr>
      </w:pPr>
      <w:r w:rsidRPr="00000000">
        <w:rPr>
          <w:rFonts w:ascii="Times New Roman" w:eastAsia="Times New Roman" w:hAnsi="Times New Roman" w:cs="Times New Roman"/>
          <w:color w:val="303030"/>
          <w:sz w:val="20"/>
          <w:szCs w:val="20"/>
          <w:highlight w:val="white"/>
          <w:rtl w:val="0"/>
        </w:rPr>
        <w:t xml:space="preserve">Leeson, B.S., 1980. </w:t>
      </w:r>
      <w:r w:rsidRPr="00000000">
        <w:rPr>
          <w:rFonts w:ascii="Times New Roman" w:eastAsia="Times New Roman" w:hAnsi="Times New Roman" w:cs="Times New Roman"/>
          <w:i/>
          <w:color w:val="303030"/>
          <w:sz w:val="20"/>
          <w:szCs w:val="20"/>
          <w:highlight w:val="white"/>
          <w:rtl w:val="0"/>
        </w:rPr>
        <w:t>Professional burnout: The effect of the discrepancy between expectations and attainment on social workers in a mental hospital</w:t>
      </w:r>
      <w:r w:rsidRPr="00000000">
        <w:rPr>
          <w:rFonts w:ascii="Times New Roman" w:eastAsia="Times New Roman" w:hAnsi="Times New Roman" w:cs="Times New Roman"/>
          <w:color w:val="303030"/>
          <w:sz w:val="20"/>
          <w:szCs w:val="20"/>
          <w:highlight w:val="white"/>
          <w:rtl w:val="0"/>
        </w:rPr>
        <w:t>. The University of Michigan.</w:t>
      </w:r>
      <w:r w:rsidRPr="00000000">
        <w:rPr>
          <w:rFonts w:ascii="Times New Roman" w:eastAsia="Times New Roman" w:hAnsi="Times New Roman" w:cs="Times New Roman"/>
          <w:color w:val="303030"/>
          <w:sz w:val="24"/>
          <w:szCs w:val="24"/>
          <w:rtl w:val="0"/>
        </w:rPr>
        <w:t xml:space="preserve"> </w:t>
      </w:r>
    </w:p>
    <w:p w:rsidR="00000000" w:rsidRPr="00000000" w:rsidP="00000000" w14:paraId="000000F4">
      <w:pPr>
        <w:rPr>
          <w:rFonts w:ascii="Times New Roman" w:eastAsia="Times New Roman" w:hAnsi="Times New Roman" w:cs="Times New Roman"/>
          <w:color w:val="303030"/>
          <w:sz w:val="24"/>
          <w:szCs w:val="24"/>
        </w:rPr>
      </w:pPr>
    </w:p>
    <w:p w:rsidR="00000000" w:rsidRPr="00000000" w:rsidP="00000000" w14:paraId="000000F5">
      <w:pPr>
        <w:rPr>
          <w:rFonts w:ascii="Times New Roman" w:eastAsia="Times New Roman" w:hAnsi="Times New Roman" w:cs="Times New Roman"/>
          <w:color w:val="303030"/>
          <w:sz w:val="24"/>
          <w:szCs w:val="24"/>
        </w:rPr>
      </w:pPr>
      <w:r w:rsidRPr="00000000">
        <w:rPr>
          <w:rFonts w:ascii="Times New Roman" w:eastAsia="Times New Roman" w:hAnsi="Times New Roman" w:cs="Times New Roman"/>
          <w:color w:val="303030"/>
          <w:sz w:val="20"/>
          <w:szCs w:val="20"/>
          <w:highlight w:val="white"/>
          <w:rtl w:val="0"/>
        </w:rPr>
        <w:t xml:space="preserve">Lloyd, S.A., Byrne, M.M. and McCoy, T.S., 2012. Faculty-perceived barriers of online education. </w:t>
      </w:r>
      <w:r w:rsidRPr="00000000">
        <w:rPr>
          <w:rFonts w:ascii="Times New Roman" w:eastAsia="Times New Roman" w:hAnsi="Times New Roman" w:cs="Times New Roman"/>
          <w:i/>
          <w:color w:val="303030"/>
          <w:sz w:val="20"/>
          <w:szCs w:val="20"/>
          <w:highlight w:val="white"/>
          <w:rtl w:val="0"/>
        </w:rPr>
        <w:t>Journal of online learning and teaching</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8</w:t>
      </w:r>
      <w:r w:rsidRPr="00000000">
        <w:rPr>
          <w:rFonts w:ascii="Times New Roman" w:eastAsia="Times New Roman" w:hAnsi="Times New Roman" w:cs="Times New Roman"/>
          <w:color w:val="303030"/>
          <w:sz w:val="20"/>
          <w:szCs w:val="20"/>
          <w:highlight w:val="white"/>
          <w:rtl w:val="0"/>
        </w:rPr>
        <w:t>(1).</w:t>
      </w:r>
    </w:p>
    <w:p w:rsidR="00000000" w:rsidRPr="00000000" w:rsidP="00000000" w14:paraId="000000F6">
      <w:pPr>
        <w:rPr>
          <w:rFonts w:ascii="Times New Roman" w:eastAsia="Times New Roman" w:hAnsi="Times New Roman" w:cs="Times New Roman"/>
          <w:color w:val="303030"/>
          <w:sz w:val="20"/>
          <w:szCs w:val="20"/>
          <w:highlight w:val="white"/>
        </w:rPr>
      </w:pPr>
    </w:p>
    <w:p w:rsidR="00000000" w:rsidRPr="00000000" w:rsidP="00000000" w14:paraId="000000F7">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 xml:space="preserve">Mishra, K., 2014. Employability Skills That Recruiters Demand. </w:t>
      </w:r>
      <w:r w:rsidRPr="00000000">
        <w:rPr>
          <w:rFonts w:ascii="Times New Roman" w:eastAsia="Times New Roman" w:hAnsi="Times New Roman" w:cs="Times New Roman"/>
          <w:i/>
          <w:color w:val="303030"/>
          <w:sz w:val="20"/>
          <w:szCs w:val="20"/>
          <w:highlight w:val="white"/>
          <w:rtl w:val="0"/>
        </w:rPr>
        <w:t>IUP Journal of Soft Skills</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8</w:t>
      </w:r>
      <w:r w:rsidRPr="00000000">
        <w:rPr>
          <w:rFonts w:ascii="Times New Roman" w:eastAsia="Times New Roman" w:hAnsi="Times New Roman" w:cs="Times New Roman"/>
          <w:color w:val="303030"/>
          <w:sz w:val="20"/>
          <w:szCs w:val="20"/>
          <w:highlight w:val="white"/>
          <w:rtl w:val="0"/>
        </w:rPr>
        <w:t>(3).</w:t>
      </w:r>
    </w:p>
    <w:p w:rsidR="00000000" w:rsidRPr="00000000" w:rsidP="00000000" w14:paraId="000000F8">
      <w:pPr>
        <w:rPr>
          <w:rFonts w:ascii="Times New Roman" w:eastAsia="Times New Roman" w:hAnsi="Times New Roman" w:cs="Times New Roman"/>
          <w:color w:val="303030"/>
          <w:sz w:val="20"/>
          <w:szCs w:val="20"/>
          <w:highlight w:val="white"/>
        </w:rPr>
      </w:pPr>
    </w:p>
    <w:p w:rsidR="00000000" w:rsidRPr="00000000" w:rsidP="00000000" w14:paraId="000000F9">
      <w:pPr>
        <w:rPr>
          <w:rFonts w:ascii="Times New Roman" w:eastAsia="Times New Roman" w:hAnsi="Times New Roman" w:cs="Times New Roman"/>
          <w:color w:val="202020"/>
          <w:sz w:val="20"/>
          <w:szCs w:val="20"/>
          <w:highlight w:val="white"/>
        </w:rPr>
      </w:pPr>
      <w:r w:rsidRPr="00000000">
        <w:rPr>
          <w:rFonts w:ascii="Times New Roman" w:eastAsia="Times New Roman" w:hAnsi="Times New Roman" w:cs="Times New Roman"/>
          <w:color w:val="202020"/>
          <w:sz w:val="20"/>
          <w:szCs w:val="20"/>
          <w:highlight w:val="white"/>
          <w:rtl w:val="0"/>
        </w:rPr>
        <w:t xml:space="preserve">Penders B (2018) Ten simple rules for responsible referencing. PLoS Comput Biol 14(4): e1006036. </w:t>
      </w:r>
      <w:hyperlink r:id="rId4" w:history="1">
        <w:r w:rsidRPr="00000000">
          <w:rPr>
            <w:rFonts w:ascii="Times New Roman" w:eastAsia="Times New Roman" w:hAnsi="Times New Roman" w:cs="Times New Roman"/>
            <w:color w:val="1155CC"/>
            <w:sz w:val="20"/>
            <w:szCs w:val="20"/>
            <w:highlight w:val="white"/>
            <w:u w:val="single"/>
            <w:rtl w:val="0"/>
          </w:rPr>
          <w:t>https://doi.org/10.1371/journal.pcbi.1006036</w:t>
        </w:r>
      </w:hyperlink>
    </w:p>
    <w:p w:rsidR="00000000" w:rsidRPr="00000000" w:rsidP="00000000" w14:paraId="000000FA">
      <w:pPr>
        <w:rPr>
          <w:rFonts w:ascii="Times New Roman" w:eastAsia="Times New Roman" w:hAnsi="Times New Roman" w:cs="Times New Roman"/>
          <w:b/>
          <w:color w:val="202020"/>
          <w:sz w:val="20"/>
          <w:szCs w:val="20"/>
          <w:highlight w:val="white"/>
        </w:rPr>
      </w:pPr>
    </w:p>
    <w:p w:rsidR="00000000" w:rsidRPr="00000000" w:rsidP="00000000" w14:paraId="000000FB">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 xml:space="preserve">Rehman, A.U. and Khan, B., 2021. Challenges to online education in Pakistan during COVID-19 &amp; the way forward. </w:t>
      </w:r>
      <w:r w:rsidRPr="00000000">
        <w:rPr>
          <w:rFonts w:ascii="Times New Roman" w:eastAsia="Times New Roman" w:hAnsi="Times New Roman" w:cs="Times New Roman"/>
          <w:i/>
          <w:color w:val="303030"/>
          <w:sz w:val="20"/>
          <w:szCs w:val="20"/>
          <w:highlight w:val="white"/>
          <w:rtl w:val="0"/>
        </w:rPr>
        <w:t>Social Science Learning Education Journal</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6</w:t>
      </w:r>
      <w:r w:rsidRPr="00000000">
        <w:rPr>
          <w:rFonts w:ascii="Times New Roman" w:eastAsia="Times New Roman" w:hAnsi="Times New Roman" w:cs="Times New Roman"/>
          <w:color w:val="303030"/>
          <w:sz w:val="20"/>
          <w:szCs w:val="20"/>
          <w:highlight w:val="white"/>
          <w:rtl w:val="0"/>
        </w:rPr>
        <w:t>(07), pp.503-512.</w:t>
      </w:r>
    </w:p>
    <w:p w:rsidR="00000000" w:rsidRPr="00000000" w:rsidP="00000000" w14:paraId="000000FC">
      <w:pPr>
        <w:rPr>
          <w:rFonts w:ascii="Times New Roman" w:eastAsia="Times New Roman" w:hAnsi="Times New Roman" w:cs="Times New Roman"/>
          <w:color w:val="303030"/>
          <w:sz w:val="20"/>
          <w:szCs w:val="20"/>
          <w:highlight w:val="white"/>
        </w:rPr>
      </w:pPr>
    </w:p>
    <w:p w:rsidR="00000000" w:rsidRPr="00000000" w:rsidP="00000000" w14:paraId="000000FD">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 xml:space="preserve">Santini, Ario. “The Importance of Referencing.” </w:t>
      </w:r>
      <w:r w:rsidRPr="00000000">
        <w:rPr>
          <w:rFonts w:ascii="Times New Roman" w:eastAsia="Times New Roman" w:hAnsi="Times New Roman" w:cs="Times New Roman"/>
          <w:i/>
          <w:color w:val="303030"/>
          <w:sz w:val="20"/>
          <w:szCs w:val="20"/>
          <w:highlight w:val="white"/>
          <w:rtl w:val="0"/>
        </w:rPr>
        <w:t>Journal of critical care medicine (Universitatea de Medicina si Farmacie din Targu-Mures)</w:t>
      </w:r>
      <w:r w:rsidRPr="00000000">
        <w:rPr>
          <w:rFonts w:ascii="Times New Roman" w:eastAsia="Times New Roman" w:hAnsi="Times New Roman" w:cs="Times New Roman"/>
          <w:color w:val="303030"/>
          <w:sz w:val="20"/>
          <w:szCs w:val="20"/>
          <w:highlight w:val="white"/>
          <w:rtl w:val="0"/>
        </w:rPr>
        <w:t xml:space="preserve"> vol. 4,1 3-4. 9 Feb. 2018, doi:10.1515/jccm-2018-0002</w:t>
      </w:r>
    </w:p>
    <w:p w:rsidR="00000000" w:rsidRPr="00000000" w:rsidP="00000000" w14:paraId="000000FE">
      <w:pPr>
        <w:rPr>
          <w:rFonts w:ascii="Times New Roman" w:eastAsia="Times New Roman" w:hAnsi="Times New Roman" w:cs="Times New Roman"/>
          <w:color w:val="303030"/>
          <w:sz w:val="20"/>
          <w:szCs w:val="20"/>
          <w:highlight w:val="white"/>
        </w:rPr>
      </w:pPr>
    </w:p>
    <w:p w:rsidR="00000000" w:rsidRPr="00000000" w:rsidP="00000000" w14:paraId="000000FF">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 xml:space="preserve">Sarfraz, I., Rajendran, D., Hewege, C. and Mohan, M.D., 2018. An exploration of global employability skills: a systematic research review. </w:t>
      </w:r>
      <w:r w:rsidRPr="00000000">
        <w:rPr>
          <w:rFonts w:ascii="Times New Roman" w:eastAsia="Times New Roman" w:hAnsi="Times New Roman" w:cs="Times New Roman"/>
          <w:i/>
          <w:color w:val="303030"/>
          <w:sz w:val="20"/>
          <w:szCs w:val="20"/>
          <w:highlight w:val="white"/>
          <w:rtl w:val="0"/>
        </w:rPr>
        <w:t>International Journal of Work Organisation and Emotion</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9</w:t>
      </w:r>
      <w:r w:rsidRPr="00000000">
        <w:rPr>
          <w:rFonts w:ascii="Times New Roman" w:eastAsia="Times New Roman" w:hAnsi="Times New Roman" w:cs="Times New Roman"/>
          <w:color w:val="303030"/>
          <w:sz w:val="20"/>
          <w:szCs w:val="20"/>
          <w:highlight w:val="white"/>
          <w:rtl w:val="0"/>
        </w:rPr>
        <w:t>(1), pp.63-88.</w:t>
      </w:r>
    </w:p>
    <w:p w:rsidR="00000000" w:rsidRPr="00000000" w:rsidP="00000000" w14:paraId="00000100">
      <w:pPr>
        <w:rPr>
          <w:rFonts w:ascii="Times New Roman" w:eastAsia="Times New Roman" w:hAnsi="Times New Roman" w:cs="Times New Roman"/>
          <w:color w:val="303030"/>
          <w:sz w:val="20"/>
          <w:szCs w:val="20"/>
          <w:highlight w:val="white"/>
        </w:rPr>
      </w:pPr>
    </w:p>
    <w:p w:rsidR="00000000" w:rsidRPr="00000000" w:rsidP="00000000" w14:paraId="00000101">
      <w:pPr>
        <w:rPr>
          <w:rFonts w:ascii="Times New Roman" w:eastAsia="Times New Roman" w:hAnsi="Times New Roman" w:cs="Times New Roman"/>
          <w:color w:val="303030"/>
        </w:rPr>
      </w:pPr>
      <w:r w:rsidRPr="00000000">
        <w:rPr>
          <w:rFonts w:ascii="Times New Roman" w:eastAsia="Times New Roman" w:hAnsi="Times New Roman" w:cs="Times New Roman"/>
          <w:color w:val="303030"/>
          <w:sz w:val="20"/>
          <w:szCs w:val="20"/>
          <w:highlight w:val="white"/>
          <w:rtl w:val="0"/>
        </w:rPr>
        <w:t xml:space="preserve">Smart, K.L. and Cappel, J.J., 2006. Students’ perceptions of online learning: A comparative study. </w:t>
      </w:r>
      <w:r w:rsidRPr="00000000">
        <w:rPr>
          <w:rFonts w:ascii="Times New Roman" w:eastAsia="Times New Roman" w:hAnsi="Times New Roman" w:cs="Times New Roman"/>
          <w:i/>
          <w:color w:val="303030"/>
          <w:sz w:val="20"/>
          <w:szCs w:val="20"/>
          <w:highlight w:val="white"/>
          <w:rtl w:val="0"/>
        </w:rPr>
        <w:t>Journal of Information Technology Education: Research</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5</w:t>
      </w:r>
      <w:r w:rsidRPr="00000000">
        <w:rPr>
          <w:rFonts w:ascii="Times New Roman" w:eastAsia="Times New Roman" w:hAnsi="Times New Roman" w:cs="Times New Roman"/>
          <w:color w:val="303030"/>
          <w:sz w:val="20"/>
          <w:szCs w:val="20"/>
          <w:highlight w:val="white"/>
          <w:rtl w:val="0"/>
        </w:rPr>
        <w:t>(1), pp.201-219.</w:t>
      </w:r>
    </w:p>
    <w:p w:rsidR="00000000" w:rsidRPr="00000000" w:rsidP="00000000" w14:paraId="00000102">
      <w:pPr>
        <w:rPr>
          <w:rFonts w:ascii="Times New Roman" w:eastAsia="Times New Roman" w:hAnsi="Times New Roman" w:cs="Times New Roman"/>
          <w:color w:val="303030"/>
          <w:sz w:val="20"/>
          <w:szCs w:val="20"/>
          <w:highlight w:val="white"/>
        </w:rPr>
      </w:pPr>
    </w:p>
    <w:p w:rsidR="00000000" w:rsidRPr="00000000" w:rsidP="00000000" w14:paraId="00000103">
      <w:pPr>
        <w:rPr>
          <w:rFonts w:ascii="Times New Roman" w:eastAsia="Times New Roman" w:hAnsi="Times New Roman" w:cs="Times New Roman"/>
          <w:color w:val="303030"/>
          <w:sz w:val="24"/>
          <w:szCs w:val="24"/>
        </w:rPr>
      </w:pPr>
      <w:r w:rsidRPr="00000000">
        <w:rPr>
          <w:rFonts w:ascii="Times New Roman" w:eastAsia="Times New Roman" w:hAnsi="Times New Roman" w:cs="Times New Roman"/>
          <w:color w:val="303030"/>
          <w:sz w:val="20"/>
          <w:szCs w:val="20"/>
          <w:highlight w:val="white"/>
          <w:rtl w:val="0"/>
        </w:rPr>
        <w:t xml:space="preserve">Sun, A. and Chen, X., 2016. Online education and its effective practice: A research review. </w:t>
      </w:r>
      <w:r w:rsidRPr="00000000">
        <w:rPr>
          <w:rFonts w:ascii="Times New Roman" w:eastAsia="Times New Roman" w:hAnsi="Times New Roman" w:cs="Times New Roman"/>
          <w:i/>
          <w:color w:val="303030"/>
          <w:sz w:val="20"/>
          <w:szCs w:val="20"/>
          <w:highlight w:val="white"/>
          <w:rtl w:val="0"/>
        </w:rPr>
        <w:t>Journal of Information Technology Education</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15</w:t>
      </w:r>
      <w:r w:rsidRPr="00000000">
        <w:rPr>
          <w:rFonts w:ascii="Times New Roman" w:eastAsia="Times New Roman" w:hAnsi="Times New Roman" w:cs="Times New Roman"/>
          <w:color w:val="303030"/>
          <w:sz w:val="20"/>
          <w:szCs w:val="20"/>
          <w:highlight w:val="white"/>
          <w:rtl w:val="0"/>
        </w:rPr>
        <w:t>.</w:t>
      </w:r>
    </w:p>
    <w:p w:rsidR="00000000" w:rsidRPr="00000000" w:rsidP="00000000" w14:paraId="00000104">
      <w:pPr>
        <w:rPr>
          <w:rFonts w:ascii="Times New Roman" w:eastAsia="Times New Roman" w:hAnsi="Times New Roman" w:cs="Times New Roman"/>
          <w:color w:val="303030"/>
          <w:sz w:val="20"/>
          <w:szCs w:val="20"/>
          <w:highlight w:val="white"/>
        </w:rPr>
      </w:pPr>
    </w:p>
    <w:p w:rsidR="00000000" w:rsidRPr="00000000" w:rsidP="00000000" w14:paraId="00000105">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 xml:space="preserve">Suleman, F., 2018. The employability skills of higher education graduates: insights into conceptual frameworks and methodological options. </w:t>
      </w:r>
      <w:r w:rsidRPr="00000000">
        <w:rPr>
          <w:rFonts w:ascii="Times New Roman" w:eastAsia="Times New Roman" w:hAnsi="Times New Roman" w:cs="Times New Roman"/>
          <w:i/>
          <w:color w:val="303030"/>
          <w:sz w:val="20"/>
          <w:szCs w:val="20"/>
          <w:highlight w:val="white"/>
          <w:rtl w:val="0"/>
        </w:rPr>
        <w:t>Higher Education</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76</w:t>
      </w:r>
      <w:r w:rsidRPr="00000000">
        <w:rPr>
          <w:rFonts w:ascii="Times New Roman" w:eastAsia="Times New Roman" w:hAnsi="Times New Roman" w:cs="Times New Roman"/>
          <w:color w:val="303030"/>
          <w:sz w:val="20"/>
          <w:szCs w:val="20"/>
          <w:highlight w:val="white"/>
          <w:rtl w:val="0"/>
        </w:rPr>
        <w:t>(2), pp.263-278.</w:t>
      </w:r>
    </w:p>
    <w:p w:rsidR="00000000" w:rsidRPr="00000000" w:rsidP="00000000" w14:paraId="00000106">
      <w:pPr>
        <w:rPr>
          <w:color w:val="222222"/>
          <w:sz w:val="20"/>
          <w:szCs w:val="20"/>
          <w:highlight w:val="white"/>
        </w:rPr>
      </w:pPr>
    </w:p>
    <w:p w:rsidR="00000000" w:rsidRPr="00000000" w:rsidP="00000000" w14:paraId="00000107">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222222"/>
          <w:sz w:val="20"/>
          <w:szCs w:val="20"/>
          <w:highlight w:val="white"/>
          <w:rtl w:val="0"/>
        </w:rPr>
        <w:t xml:space="preserve">Suarta, I.M., Suwintana, I.K., Sudhana, I.F.P. and Hariyanti, N.K.D., 2017, September. Employability skills required by the 21st century workplace: A literature review of labor market demand. In </w:t>
      </w:r>
      <w:r w:rsidRPr="00000000">
        <w:rPr>
          <w:rFonts w:ascii="Times New Roman" w:eastAsia="Times New Roman" w:hAnsi="Times New Roman" w:cs="Times New Roman"/>
          <w:i/>
          <w:color w:val="222222"/>
          <w:sz w:val="20"/>
          <w:szCs w:val="20"/>
          <w:highlight w:val="white"/>
          <w:rtl w:val="0"/>
        </w:rPr>
        <w:t>International Conference on Technology and Vocational Teachers (ICTVT 2017)</w:t>
      </w:r>
      <w:r w:rsidRPr="00000000">
        <w:rPr>
          <w:rFonts w:ascii="Times New Roman" w:eastAsia="Times New Roman" w:hAnsi="Times New Roman" w:cs="Times New Roman"/>
          <w:color w:val="222222"/>
          <w:sz w:val="20"/>
          <w:szCs w:val="20"/>
          <w:highlight w:val="white"/>
          <w:rtl w:val="0"/>
        </w:rPr>
        <w:t xml:space="preserve"> (pp. 337-342). Atlantis Press.</w:t>
      </w:r>
    </w:p>
    <w:p w:rsidR="00000000" w:rsidRPr="00000000" w:rsidP="00000000" w14:paraId="00000108">
      <w:pPr>
        <w:rPr>
          <w:rFonts w:ascii="Times New Roman" w:eastAsia="Times New Roman" w:hAnsi="Times New Roman" w:cs="Times New Roman"/>
          <w:color w:val="303030"/>
          <w:sz w:val="20"/>
          <w:szCs w:val="20"/>
          <w:highlight w:val="white"/>
        </w:rPr>
      </w:pPr>
    </w:p>
    <w:p w:rsidR="00000000" w:rsidRPr="00000000" w:rsidP="00000000" w14:paraId="00000109">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 xml:space="preserve">Weligamage, S.S., 2009. Graduates’ employability skills: Evidence from literature review. </w:t>
      </w:r>
      <w:r w:rsidRPr="00000000">
        <w:rPr>
          <w:rFonts w:ascii="Times New Roman" w:eastAsia="Times New Roman" w:hAnsi="Times New Roman" w:cs="Times New Roman"/>
          <w:i/>
          <w:color w:val="303030"/>
          <w:sz w:val="20"/>
          <w:szCs w:val="20"/>
          <w:highlight w:val="white"/>
          <w:rtl w:val="0"/>
        </w:rPr>
        <w:t>Sri Lanka: University of Kelaniya</w:t>
      </w:r>
      <w:r w:rsidRPr="00000000">
        <w:rPr>
          <w:rFonts w:ascii="Times New Roman" w:eastAsia="Times New Roman" w:hAnsi="Times New Roman" w:cs="Times New Roman"/>
          <w:color w:val="303030"/>
          <w:sz w:val="20"/>
          <w:szCs w:val="20"/>
          <w:highlight w:val="white"/>
          <w:rtl w:val="0"/>
        </w:rPr>
        <w:t>.</w:t>
      </w:r>
    </w:p>
    <w:p w:rsidR="00000000" w:rsidRPr="00000000" w:rsidP="00000000" w14:paraId="0000010A">
      <w:pPr>
        <w:rPr>
          <w:rFonts w:ascii="Times New Roman" w:eastAsia="Times New Roman" w:hAnsi="Times New Roman" w:cs="Times New Roman"/>
          <w:color w:val="303030"/>
          <w:sz w:val="20"/>
          <w:szCs w:val="20"/>
          <w:highlight w:val="white"/>
        </w:rPr>
      </w:pPr>
    </w:p>
    <w:p w:rsidR="00000000" w:rsidRPr="00000000" w:rsidP="00000000" w14:paraId="0000010B">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222222"/>
          <w:sz w:val="20"/>
          <w:szCs w:val="20"/>
          <w:highlight w:val="white"/>
          <w:rtl w:val="0"/>
        </w:rPr>
        <w:t xml:space="preserve">Wye, C.K. and Lim, Y.M., 2009. Perception Differential between Employers and Undergraduates on the Importance of Employability Skills. </w:t>
      </w:r>
      <w:r w:rsidRPr="00000000">
        <w:rPr>
          <w:rFonts w:ascii="Times New Roman" w:eastAsia="Times New Roman" w:hAnsi="Times New Roman" w:cs="Times New Roman"/>
          <w:i/>
          <w:color w:val="222222"/>
          <w:sz w:val="20"/>
          <w:szCs w:val="20"/>
          <w:highlight w:val="white"/>
          <w:rtl w:val="0"/>
        </w:rPr>
        <w:t>International education studies</w:t>
      </w:r>
      <w:r w:rsidRPr="00000000">
        <w:rPr>
          <w:rFonts w:ascii="Times New Roman" w:eastAsia="Times New Roman" w:hAnsi="Times New Roman" w:cs="Times New Roman"/>
          <w:color w:val="222222"/>
          <w:sz w:val="20"/>
          <w:szCs w:val="20"/>
          <w:highlight w:val="white"/>
          <w:rtl w:val="0"/>
        </w:rPr>
        <w:t xml:space="preserve">, </w:t>
      </w:r>
      <w:r w:rsidRPr="00000000">
        <w:rPr>
          <w:rFonts w:ascii="Times New Roman" w:eastAsia="Times New Roman" w:hAnsi="Times New Roman" w:cs="Times New Roman"/>
          <w:i/>
          <w:color w:val="222222"/>
          <w:sz w:val="20"/>
          <w:szCs w:val="20"/>
          <w:highlight w:val="white"/>
          <w:rtl w:val="0"/>
        </w:rPr>
        <w:t>2</w:t>
      </w:r>
      <w:r w:rsidRPr="00000000">
        <w:rPr>
          <w:rFonts w:ascii="Times New Roman" w:eastAsia="Times New Roman" w:hAnsi="Times New Roman" w:cs="Times New Roman"/>
          <w:color w:val="222222"/>
          <w:sz w:val="20"/>
          <w:szCs w:val="20"/>
          <w:highlight w:val="white"/>
          <w:rtl w:val="0"/>
        </w:rPr>
        <w:t>(1), pp.95-105.</w:t>
      </w:r>
    </w:p>
    <w:p w:rsidR="00000000" w:rsidRPr="00000000" w:rsidP="00000000" w14:paraId="0000010C">
      <w:pPr>
        <w:rPr>
          <w:rFonts w:ascii="Times New Roman" w:eastAsia="Times New Roman" w:hAnsi="Times New Roman" w:cs="Times New Roman"/>
          <w:color w:val="303030"/>
          <w:sz w:val="20"/>
          <w:szCs w:val="20"/>
          <w:highlight w:val="white"/>
        </w:rPr>
      </w:pPr>
      <w:r w:rsidRPr="00000000">
        <w:rPr>
          <w:rFonts w:ascii="Times New Roman" w:eastAsia="Times New Roman" w:hAnsi="Times New Roman" w:cs="Times New Roman"/>
          <w:color w:val="303030"/>
          <w:sz w:val="20"/>
          <w:szCs w:val="20"/>
          <w:highlight w:val="white"/>
          <w:rtl w:val="0"/>
        </w:rPr>
        <w:t xml:space="preserve">Yaghi, A., 2022. Impact of online education on anxiety and stress among undergraduate public affairs students: A longitudinal study during the COVID-19 pandemic. </w:t>
      </w:r>
      <w:r w:rsidRPr="00000000">
        <w:rPr>
          <w:rFonts w:ascii="Times New Roman" w:eastAsia="Times New Roman" w:hAnsi="Times New Roman" w:cs="Times New Roman"/>
          <w:i/>
          <w:color w:val="303030"/>
          <w:sz w:val="20"/>
          <w:szCs w:val="20"/>
          <w:highlight w:val="white"/>
          <w:rtl w:val="0"/>
        </w:rPr>
        <w:t>Journal of Public Affairs Education</w:t>
      </w:r>
      <w:r w:rsidRPr="00000000">
        <w:rPr>
          <w:rFonts w:ascii="Times New Roman" w:eastAsia="Times New Roman" w:hAnsi="Times New Roman" w:cs="Times New Roman"/>
          <w:color w:val="303030"/>
          <w:sz w:val="20"/>
          <w:szCs w:val="20"/>
          <w:highlight w:val="white"/>
          <w:rtl w:val="0"/>
        </w:rPr>
        <w:t xml:space="preserve">, </w:t>
      </w:r>
      <w:r w:rsidRPr="00000000">
        <w:rPr>
          <w:rFonts w:ascii="Times New Roman" w:eastAsia="Times New Roman" w:hAnsi="Times New Roman" w:cs="Times New Roman"/>
          <w:i/>
          <w:color w:val="303030"/>
          <w:sz w:val="20"/>
          <w:szCs w:val="20"/>
          <w:highlight w:val="white"/>
          <w:rtl w:val="0"/>
        </w:rPr>
        <w:t>28</w:t>
      </w:r>
      <w:r w:rsidRPr="00000000">
        <w:rPr>
          <w:rFonts w:ascii="Times New Roman" w:eastAsia="Times New Roman" w:hAnsi="Times New Roman" w:cs="Times New Roman"/>
          <w:color w:val="303030"/>
          <w:sz w:val="20"/>
          <w:szCs w:val="20"/>
          <w:highlight w:val="white"/>
          <w:rtl w:val="0"/>
        </w:rPr>
        <w:t>(1), pp.91-108.</w:t>
      </w:r>
    </w:p>
    <w:p w:rsidR="00000000" w:rsidRPr="00000000" w:rsidP="00000000" w14:paraId="0000010D">
      <w:pPr>
        <w:rPr>
          <w:rFonts w:ascii="Times New Roman" w:eastAsia="Times New Roman" w:hAnsi="Times New Roman" w:cs="Times New Roman"/>
          <w:color w:val="303030"/>
          <w:sz w:val="20"/>
          <w:szCs w:val="20"/>
          <w:highlight w:val="white"/>
        </w:rPr>
      </w:pPr>
    </w:p>
    <w:p w:rsidR="00000000" w:rsidRPr="00000000" w:rsidP="00000000" w14:paraId="0000010E">
      <w:pPr>
        <w:rPr>
          <w:rFonts w:ascii="Times New Roman" w:eastAsia="Times New Roman" w:hAnsi="Times New Roman" w:cs="Times New Roman"/>
          <w:color w:val="202020"/>
          <w:sz w:val="20"/>
          <w:szCs w:val="20"/>
          <w:highlight w:val="white"/>
        </w:rPr>
      </w:pPr>
    </w:p>
    <w:sectPr>
      <w:pgSz w:w="11909" w:h="16834" w:orient="portrait"/>
      <w:pgMar w:top="1440" w:right="1440" w:bottom="1440" w:left="1440" w:header="720" w:footer="72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charset w:val="00"/>
    <w:family w:val="auto"/>
    <w:pitch w:val="default"/>
  </w:font>
  <w:font w:name="Times New Roman">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2433FAE"/>
    <w:multiLevelType w:val="hybridMultilevel"/>
    <w:tmpl w:val="0000000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nsid w:val="1F1DC1D2"/>
    <w:multiLevelType w:val="hybridMultilevel"/>
    <w:tmpl w:val="0000000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nsid w:val="2E7EFEBC"/>
    <w:multiLevelType w:val="hybridMultilevel"/>
    <w:tmpl w:val="0000000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nsid w:val="3F690D63"/>
    <w:multiLevelType w:val="hybridMultilevel"/>
    <w:tmpl w:val="0000000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nsid w:val="516CA2CD"/>
    <w:multiLevelType w:val="hybridMultilevel"/>
    <w:tmpl w:val="0000000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nsid w:val="5249227C"/>
    <w:multiLevelType w:val="hybridMultilevel"/>
    <w:tmpl w:val="0000000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nsid w:val="79D3F4B4"/>
    <w:multiLevelType w:val="hybridMultilevel"/>
    <w:tmpl w:val="0000000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0"/>
  </w:num>
  <w:num w:numId="2">
    <w:abstractNumId w:val="1"/>
  </w:num>
  <w:num w:numId="3">
    <w:abstractNumId w:val="3"/>
  </w:num>
  <w:num w:numId="4">
    <w:abstractNumId w:val="2"/>
  </w:num>
  <w:num w:numId="5">
    <w:abstractNumId w:val="5"/>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pageBreakBefore w:val="0"/>
      <w:spacing w:before="400" w:after="120"/>
      <w:outlineLvl w:val="0"/>
    </w:pPr>
    <w:rPr>
      <w:sz w:val="40"/>
      <w:szCs w:val="40"/>
    </w:rPr>
  </w:style>
  <w:style w:type="paragraph" w:styleId="Heading2">
    <w:name w:val="heading 2"/>
    <w:basedOn w:val="Normal"/>
    <w:next w:val="Normal"/>
    <w:pPr>
      <w:keepNext/>
      <w:keepLines/>
      <w:pageBreakBefore w:val="0"/>
      <w:spacing w:before="360" w:after="120"/>
      <w:outlineLvl w:val="1"/>
    </w:pPr>
    <w:rPr>
      <w:b w:val="0"/>
      <w:sz w:val="32"/>
      <w:szCs w:val="32"/>
    </w:rPr>
  </w:style>
  <w:style w:type="paragraph" w:styleId="Heading3">
    <w:name w:val="heading 3"/>
    <w:basedOn w:val="Normal"/>
    <w:next w:val="Normal"/>
    <w:pPr>
      <w:keepNext/>
      <w:keepLines/>
      <w:pageBreakBefore w:val="0"/>
      <w:spacing w:before="320" w:after="80"/>
      <w:outlineLvl w:val="2"/>
    </w:pPr>
    <w:rPr>
      <w:b w:val="0"/>
      <w:color w:val="434343"/>
      <w:sz w:val="28"/>
      <w:szCs w:val="28"/>
    </w:rPr>
  </w:style>
  <w:style w:type="paragraph" w:styleId="Heading4">
    <w:name w:val="heading 4"/>
    <w:basedOn w:val="Normal"/>
    <w:next w:val="Normal"/>
    <w:pPr>
      <w:keepNext/>
      <w:keepLines/>
      <w:pageBreakBefore w:val="0"/>
      <w:spacing w:before="280" w:after="80"/>
      <w:outlineLvl w:val="3"/>
    </w:pPr>
    <w:rPr>
      <w:color w:val="666666"/>
      <w:sz w:val="24"/>
      <w:szCs w:val="24"/>
    </w:rPr>
  </w:style>
  <w:style w:type="paragraph" w:styleId="Heading5">
    <w:name w:val="heading 5"/>
    <w:basedOn w:val="Normal"/>
    <w:next w:val="Normal"/>
    <w:pPr>
      <w:keepNext/>
      <w:keepLines/>
      <w:pageBreakBefore w:val="0"/>
      <w:spacing w:before="240" w:after="80"/>
      <w:outlineLvl w:val="4"/>
    </w:pPr>
    <w:rPr>
      <w:color w:val="666666"/>
      <w:sz w:val="22"/>
      <w:szCs w:val="22"/>
    </w:rPr>
  </w:style>
  <w:style w:type="paragraph" w:styleId="Heading6">
    <w:name w:val="heading 6"/>
    <w:basedOn w:val="Normal"/>
    <w:next w:val="Normal"/>
    <w:pPr>
      <w:keepNext/>
      <w:keepLines/>
      <w:pageBreakBefore w:val="0"/>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tblPr/>
  </w:style>
  <w:style w:type="paragraph" w:styleId="Title">
    <w:name w:val="Title"/>
    <w:basedOn w:val="Normal"/>
    <w:next w:val="Normal"/>
    <w:pPr>
      <w:keepNext/>
      <w:keepLines/>
      <w:pageBreakBefore w:val="0"/>
      <w:spacing w:before="0" w:after="60"/>
    </w:pPr>
    <w:rPr>
      <w:sz w:val="52"/>
      <w:szCs w:val="52"/>
    </w:rPr>
  </w:style>
  <w:style w:type="paragraph" w:styleId="Subtitle">
    <w:name w:val="Subtitle"/>
    <w:basedOn w:val="Normal"/>
    <w:next w:val="Normal"/>
    <w:pPr>
      <w:keepNext/>
      <w:keepLines/>
      <w:pageBreakBefore w:val="0"/>
      <w:spacing w:before="0" w:after="320"/>
    </w:pPr>
    <w:rPr>
      <w:rFonts w:ascii="Arial" w:eastAsia="Arial" w:hAnsi="Arial" w:cs="Arial"/>
      <w:i w:val="0"/>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doi.org/10.1371/journal.pcbi.1006036" TargetMode="Externa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cp:coreProperties>
</file>