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D11BF" w14:textId="4E2E7FCE" w:rsidR="001217E7" w:rsidRPr="00A307F1" w:rsidRDefault="001217E7">
      <w:pPr>
        <w:jc w:val="left"/>
      </w:pPr>
      <w:bookmarkStart w:id="0" w:name="_Hlk221912330"/>
      <w:r w:rsidRPr="00A307F1">
        <w:rPr>
          <w:rFonts w:cs="Arial"/>
        </w:rPr>
        <w:drawing>
          <wp:anchor distT="0" distB="0" distL="114300" distR="114300" simplePos="0" relativeHeight="251659264" behindDoc="0" locked="0" layoutInCell="1" allowOverlap="1" wp14:anchorId="68E9EA95" wp14:editId="113E5915">
            <wp:simplePos x="0" y="0"/>
            <wp:positionH relativeFrom="column">
              <wp:posOffset>1873250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E6B4E35" w14:textId="77777777" w:rsidR="001217E7" w:rsidRPr="00A307F1" w:rsidRDefault="001217E7">
      <w:pPr>
        <w:jc w:val="left"/>
      </w:pPr>
    </w:p>
    <w:p w14:paraId="3F43628C" w14:textId="77777777" w:rsidR="001217E7" w:rsidRPr="00A307F1" w:rsidRDefault="001217E7">
      <w:pPr>
        <w:jc w:val="left"/>
      </w:pPr>
    </w:p>
    <w:p w14:paraId="244B6C9C" w14:textId="18E8A50F" w:rsidR="001217E7" w:rsidRPr="00A307F1" w:rsidRDefault="001217E7" w:rsidP="001217E7">
      <w:pPr>
        <w:jc w:val="center"/>
        <w:rPr>
          <w:b/>
          <w:bCs/>
          <w:sz w:val="28"/>
          <w:szCs w:val="28"/>
        </w:rPr>
      </w:pPr>
      <w:r w:rsidRPr="00A307F1">
        <w:rPr>
          <w:b/>
          <w:bCs/>
          <w:sz w:val="28"/>
          <w:szCs w:val="28"/>
        </w:rPr>
        <w:t>Module Name: Protecting and Supporting Families in Health and Care</w:t>
      </w:r>
    </w:p>
    <w:p w14:paraId="0499014C" w14:textId="0DF8053F" w:rsidR="001217E7" w:rsidRPr="00A307F1" w:rsidRDefault="001217E7" w:rsidP="001217E7">
      <w:pPr>
        <w:jc w:val="center"/>
        <w:rPr>
          <w:b/>
          <w:bCs/>
          <w:sz w:val="28"/>
          <w:szCs w:val="28"/>
        </w:rPr>
      </w:pPr>
      <w:r w:rsidRPr="00A307F1">
        <w:rPr>
          <w:b/>
          <w:bCs/>
          <w:sz w:val="28"/>
          <w:szCs w:val="28"/>
        </w:rPr>
        <w:t>Module Code: BMHP5021</w:t>
      </w:r>
    </w:p>
    <w:p w14:paraId="4551F795" w14:textId="77777777" w:rsidR="001217E7" w:rsidRPr="00A307F1" w:rsidRDefault="001217E7" w:rsidP="001217E7">
      <w:pPr>
        <w:jc w:val="center"/>
      </w:pPr>
      <w:r w:rsidRPr="00A307F1">
        <w:rPr>
          <w:b/>
          <w:bCs/>
          <w:sz w:val="24"/>
          <w:szCs w:val="24"/>
        </w:rPr>
        <w:t>Assignment Title:</w:t>
      </w:r>
      <w:r w:rsidRPr="00A307F1">
        <w:rPr>
          <w:sz w:val="24"/>
          <w:szCs w:val="24"/>
        </w:rPr>
        <w:t xml:space="preserve"> Component 2: Written Report</w:t>
      </w:r>
    </w:p>
    <w:bookmarkEnd w:id="0"/>
    <w:p w14:paraId="6B430DE8" w14:textId="77777777" w:rsidR="001217E7" w:rsidRPr="00A307F1" w:rsidRDefault="001217E7" w:rsidP="001217E7">
      <w:pPr>
        <w:jc w:val="center"/>
      </w:pPr>
    </w:p>
    <w:p w14:paraId="7CDE5AA7" w14:textId="77777777" w:rsidR="001217E7" w:rsidRPr="00A307F1" w:rsidRDefault="001217E7" w:rsidP="001217E7">
      <w:pPr>
        <w:jc w:val="center"/>
      </w:pPr>
    </w:p>
    <w:p w14:paraId="7705A807" w14:textId="17F6F724" w:rsidR="001217E7" w:rsidRPr="00A307F1" w:rsidRDefault="001217E7" w:rsidP="001217E7">
      <w:pPr>
        <w:jc w:val="center"/>
      </w:pPr>
    </w:p>
    <w:p w14:paraId="7873E695" w14:textId="1161DF6A" w:rsidR="004606AB" w:rsidRPr="00A307F1" w:rsidRDefault="004606AB" w:rsidP="001217E7">
      <w:pPr>
        <w:jc w:val="center"/>
      </w:pPr>
    </w:p>
    <w:p w14:paraId="72C48D97" w14:textId="6770FA2A" w:rsidR="004606AB" w:rsidRPr="00A307F1" w:rsidRDefault="004606AB" w:rsidP="001217E7">
      <w:pPr>
        <w:jc w:val="center"/>
      </w:pPr>
    </w:p>
    <w:p w14:paraId="743A14C4" w14:textId="733B988A" w:rsidR="004606AB" w:rsidRPr="00A307F1" w:rsidRDefault="004606AB" w:rsidP="001217E7">
      <w:pPr>
        <w:jc w:val="center"/>
      </w:pPr>
    </w:p>
    <w:p w14:paraId="5057D15B" w14:textId="77777777" w:rsidR="004606AB" w:rsidRPr="00A307F1" w:rsidRDefault="004606AB" w:rsidP="001217E7">
      <w:pPr>
        <w:jc w:val="center"/>
      </w:pPr>
    </w:p>
    <w:p w14:paraId="2D57D781" w14:textId="1DF33985" w:rsidR="004606AB" w:rsidRPr="00A307F1" w:rsidRDefault="004606AB" w:rsidP="001217E7">
      <w:pPr>
        <w:jc w:val="center"/>
      </w:pPr>
    </w:p>
    <w:p w14:paraId="6D25F6D1" w14:textId="245F72EE" w:rsidR="004606AB" w:rsidRPr="00A307F1" w:rsidRDefault="004606AB" w:rsidP="004606AB">
      <w:pPr>
        <w:jc w:val="left"/>
      </w:pPr>
      <w:r w:rsidRPr="00A307F1">
        <w:t xml:space="preserve">Student Name: </w:t>
      </w:r>
      <w:r w:rsidR="00A307F1" w:rsidRPr="00A307F1">
        <w:t>Naushaba Yaqoob Raja</w:t>
      </w:r>
    </w:p>
    <w:p w14:paraId="16F26C00" w14:textId="43BBEC3C" w:rsidR="004606AB" w:rsidRPr="00A307F1" w:rsidRDefault="004606AB" w:rsidP="004606AB">
      <w:pPr>
        <w:jc w:val="left"/>
      </w:pPr>
      <w:r w:rsidRPr="00A307F1">
        <w:t xml:space="preserve">Student ID: </w:t>
      </w:r>
      <w:r w:rsidR="00A307F1" w:rsidRPr="00A307F1">
        <w:t>2326745</w:t>
      </w:r>
    </w:p>
    <w:p w14:paraId="30DA9979" w14:textId="1933B637" w:rsidR="00A307F1" w:rsidRPr="00A307F1" w:rsidRDefault="00A307F1" w:rsidP="004606AB">
      <w:pPr>
        <w:jc w:val="left"/>
      </w:pPr>
      <w:r w:rsidRPr="00A307F1">
        <w:t>Tutor Name: Robert Nartowski</w:t>
      </w:r>
    </w:p>
    <w:p w14:paraId="7BE6C7C1" w14:textId="77777777" w:rsidR="001217E7" w:rsidRPr="00A307F1" w:rsidRDefault="001217E7" w:rsidP="001217E7">
      <w:pPr>
        <w:jc w:val="center"/>
      </w:pPr>
    </w:p>
    <w:sdt>
      <w:sdtPr>
        <w:rPr>
          <w:rFonts w:ascii="Arial" w:eastAsiaTheme="minorHAnsi" w:hAnsi="Arial" w:cstheme="minorBidi"/>
          <w:color w:val="auto"/>
          <w:sz w:val="22"/>
          <w:szCs w:val="22"/>
        </w:rPr>
        <w:id w:val="-1768843477"/>
        <w:docPartObj>
          <w:docPartGallery w:val="Table of Contents"/>
          <w:docPartUnique/>
        </w:docPartObj>
      </w:sdtPr>
      <w:sdtEndPr>
        <w:rPr>
          <w:b/>
          <w:bCs/>
        </w:rPr>
      </w:sdtEndPr>
      <w:sdtContent>
        <w:p w14:paraId="721078AE" w14:textId="5F7F558A" w:rsidR="00F63F0F" w:rsidRPr="00A307F1" w:rsidRDefault="00F63F0F" w:rsidP="00F63F0F">
          <w:pPr>
            <w:pStyle w:val="TOCHeading"/>
            <w:jc w:val="center"/>
            <w:rPr>
              <w:rFonts w:ascii="Arial" w:hAnsi="Arial" w:cs="Arial"/>
              <w:b/>
              <w:bCs/>
              <w:color w:val="auto"/>
            </w:rPr>
          </w:pPr>
          <w:r w:rsidRPr="00A307F1">
            <w:rPr>
              <w:rFonts w:ascii="Arial" w:hAnsi="Arial" w:cs="Arial"/>
              <w:b/>
              <w:bCs/>
              <w:color w:val="auto"/>
            </w:rPr>
            <w:t>Table of Contents</w:t>
          </w:r>
        </w:p>
        <w:p w14:paraId="186A1484" w14:textId="08CBBE1E" w:rsidR="00F63F0F" w:rsidRPr="00A307F1" w:rsidRDefault="00F63F0F">
          <w:pPr>
            <w:pStyle w:val="TOC1"/>
            <w:tabs>
              <w:tab w:val="right" w:leader="dot" w:pos="9350"/>
            </w:tabs>
          </w:pPr>
          <w:r w:rsidRPr="00A307F1">
            <w:fldChar w:fldCharType="begin"/>
          </w:r>
          <w:r w:rsidRPr="00A307F1">
            <w:instrText xml:space="preserve"> TOC \o "1-3" \h \z \u </w:instrText>
          </w:r>
          <w:r w:rsidRPr="00A307F1">
            <w:fldChar w:fldCharType="separate"/>
          </w:r>
          <w:hyperlink w:anchor="_Toc221912148" w:history="1">
            <w:r w:rsidRPr="00A307F1">
              <w:rPr>
                <w:rStyle w:val="Hyperlink"/>
              </w:rPr>
              <w:t>Introduction</w:t>
            </w:r>
            <w:r w:rsidRPr="00A307F1">
              <w:rPr>
                <w:webHidden/>
              </w:rPr>
              <w:tab/>
            </w:r>
            <w:r w:rsidRPr="00A307F1">
              <w:rPr>
                <w:webHidden/>
              </w:rPr>
              <w:fldChar w:fldCharType="begin"/>
            </w:r>
            <w:r w:rsidRPr="00A307F1">
              <w:rPr>
                <w:webHidden/>
              </w:rPr>
              <w:instrText xml:space="preserve"> PAGEREF _Toc221912148 \h </w:instrText>
            </w:r>
            <w:r w:rsidRPr="00A307F1">
              <w:rPr>
                <w:webHidden/>
              </w:rPr>
            </w:r>
            <w:r w:rsidRPr="00A307F1">
              <w:rPr>
                <w:webHidden/>
              </w:rPr>
              <w:fldChar w:fldCharType="separate"/>
            </w:r>
            <w:r w:rsidRPr="00A307F1">
              <w:rPr>
                <w:webHidden/>
              </w:rPr>
              <w:t>3</w:t>
            </w:r>
            <w:r w:rsidRPr="00A307F1">
              <w:rPr>
                <w:webHidden/>
              </w:rPr>
              <w:fldChar w:fldCharType="end"/>
            </w:r>
          </w:hyperlink>
        </w:p>
        <w:p w14:paraId="38A1BE88" w14:textId="2A5EF552" w:rsidR="00F63F0F" w:rsidRPr="00A307F1" w:rsidRDefault="00F63F0F">
          <w:pPr>
            <w:pStyle w:val="TOC1"/>
            <w:tabs>
              <w:tab w:val="right" w:leader="dot" w:pos="9350"/>
            </w:tabs>
          </w:pPr>
          <w:hyperlink w:anchor="_Toc221912149" w:history="1">
            <w:r w:rsidRPr="00A307F1">
              <w:rPr>
                <w:rStyle w:val="Hyperlink"/>
              </w:rPr>
              <w:t>Explanation of the Early Help System</w:t>
            </w:r>
            <w:r w:rsidRPr="00A307F1">
              <w:rPr>
                <w:webHidden/>
              </w:rPr>
              <w:tab/>
            </w:r>
            <w:r w:rsidRPr="00A307F1">
              <w:rPr>
                <w:webHidden/>
              </w:rPr>
              <w:fldChar w:fldCharType="begin"/>
            </w:r>
            <w:r w:rsidRPr="00A307F1">
              <w:rPr>
                <w:webHidden/>
              </w:rPr>
              <w:instrText xml:space="preserve"> PAGEREF _Toc221912149 \h </w:instrText>
            </w:r>
            <w:r w:rsidRPr="00A307F1">
              <w:rPr>
                <w:webHidden/>
              </w:rPr>
            </w:r>
            <w:r w:rsidRPr="00A307F1">
              <w:rPr>
                <w:webHidden/>
              </w:rPr>
              <w:fldChar w:fldCharType="separate"/>
            </w:r>
            <w:r w:rsidRPr="00A307F1">
              <w:rPr>
                <w:webHidden/>
              </w:rPr>
              <w:t>4</w:t>
            </w:r>
            <w:r w:rsidRPr="00A307F1">
              <w:rPr>
                <w:webHidden/>
              </w:rPr>
              <w:fldChar w:fldCharType="end"/>
            </w:r>
          </w:hyperlink>
        </w:p>
        <w:p w14:paraId="30173230" w14:textId="118F2D81" w:rsidR="00F63F0F" w:rsidRPr="00A307F1" w:rsidRDefault="00F63F0F">
          <w:pPr>
            <w:pStyle w:val="TOC1"/>
            <w:tabs>
              <w:tab w:val="right" w:leader="dot" w:pos="9350"/>
            </w:tabs>
          </w:pPr>
          <w:hyperlink w:anchor="_Toc221912150" w:history="1">
            <w:r w:rsidRPr="00A307F1">
              <w:rPr>
                <w:rStyle w:val="Hyperlink"/>
              </w:rPr>
              <w:t>Explanation of Multi-Agency Working</w:t>
            </w:r>
            <w:r w:rsidRPr="00A307F1">
              <w:rPr>
                <w:webHidden/>
              </w:rPr>
              <w:tab/>
            </w:r>
            <w:r w:rsidRPr="00A307F1">
              <w:rPr>
                <w:webHidden/>
              </w:rPr>
              <w:fldChar w:fldCharType="begin"/>
            </w:r>
            <w:r w:rsidRPr="00A307F1">
              <w:rPr>
                <w:webHidden/>
              </w:rPr>
              <w:instrText xml:space="preserve"> PAGEREF _Toc221912150 \h </w:instrText>
            </w:r>
            <w:r w:rsidRPr="00A307F1">
              <w:rPr>
                <w:webHidden/>
              </w:rPr>
            </w:r>
            <w:r w:rsidRPr="00A307F1">
              <w:rPr>
                <w:webHidden/>
              </w:rPr>
              <w:fldChar w:fldCharType="separate"/>
            </w:r>
            <w:r w:rsidRPr="00A307F1">
              <w:rPr>
                <w:webHidden/>
              </w:rPr>
              <w:t>5</w:t>
            </w:r>
            <w:r w:rsidRPr="00A307F1">
              <w:rPr>
                <w:webHidden/>
              </w:rPr>
              <w:fldChar w:fldCharType="end"/>
            </w:r>
          </w:hyperlink>
        </w:p>
        <w:p w14:paraId="04ED198F" w14:textId="222556E0" w:rsidR="00F63F0F" w:rsidRPr="00A307F1" w:rsidRDefault="00F63F0F">
          <w:pPr>
            <w:pStyle w:val="TOC1"/>
            <w:tabs>
              <w:tab w:val="right" w:leader="dot" w:pos="9350"/>
            </w:tabs>
          </w:pPr>
          <w:hyperlink w:anchor="_Toc221912151" w:history="1">
            <w:r w:rsidRPr="00A307F1">
              <w:rPr>
                <w:rStyle w:val="Hyperlink"/>
              </w:rPr>
              <w:t>Evaluation of Local Authority Website 1: Leeds City Council</w:t>
            </w:r>
            <w:r w:rsidRPr="00A307F1">
              <w:rPr>
                <w:webHidden/>
              </w:rPr>
              <w:tab/>
            </w:r>
            <w:r w:rsidRPr="00A307F1">
              <w:rPr>
                <w:webHidden/>
              </w:rPr>
              <w:fldChar w:fldCharType="begin"/>
            </w:r>
            <w:r w:rsidRPr="00A307F1">
              <w:rPr>
                <w:webHidden/>
              </w:rPr>
              <w:instrText xml:space="preserve"> PAGEREF _Toc221912151 \h </w:instrText>
            </w:r>
            <w:r w:rsidRPr="00A307F1">
              <w:rPr>
                <w:webHidden/>
              </w:rPr>
            </w:r>
            <w:r w:rsidRPr="00A307F1">
              <w:rPr>
                <w:webHidden/>
              </w:rPr>
              <w:fldChar w:fldCharType="separate"/>
            </w:r>
            <w:r w:rsidRPr="00A307F1">
              <w:rPr>
                <w:webHidden/>
              </w:rPr>
              <w:t>6</w:t>
            </w:r>
            <w:r w:rsidRPr="00A307F1">
              <w:rPr>
                <w:webHidden/>
              </w:rPr>
              <w:fldChar w:fldCharType="end"/>
            </w:r>
          </w:hyperlink>
        </w:p>
        <w:p w14:paraId="16FA2651" w14:textId="6EDA1A39" w:rsidR="00F63F0F" w:rsidRPr="00A307F1" w:rsidRDefault="00F63F0F">
          <w:pPr>
            <w:pStyle w:val="TOC1"/>
            <w:tabs>
              <w:tab w:val="right" w:leader="dot" w:pos="9350"/>
            </w:tabs>
          </w:pPr>
          <w:hyperlink w:anchor="_Toc221912152" w:history="1">
            <w:r w:rsidRPr="00A307F1">
              <w:rPr>
                <w:rStyle w:val="Hyperlink"/>
              </w:rPr>
              <w:t>Evaluation of Local Authority Website 2: Tower Hamlets Council</w:t>
            </w:r>
            <w:r w:rsidRPr="00A307F1">
              <w:rPr>
                <w:webHidden/>
              </w:rPr>
              <w:tab/>
            </w:r>
            <w:r w:rsidRPr="00A307F1">
              <w:rPr>
                <w:webHidden/>
              </w:rPr>
              <w:fldChar w:fldCharType="begin"/>
            </w:r>
            <w:r w:rsidRPr="00A307F1">
              <w:rPr>
                <w:webHidden/>
              </w:rPr>
              <w:instrText xml:space="preserve"> PAGEREF _Toc221912152 \h </w:instrText>
            </w:r>
            <w:r w:rsidRPr="00A307F1">
              <w:rPr>
                <w:webHidden/>
              </w:rPr>
            </w:r>
            <w:r w:rsidRPr="00A307F1">
              <w:rPr>
                <w:webHidden/>
              </w:rPr>
              <w:fldChar w:fldCharType="separate"/>
            </w:r>
            <w:r w:rsidRPr="00A307F1">
              <w:rPr>
                <w:webHidden/>
              </w:rPr>
              <w:t>7</w:t>
            </w:r>
            <w:r w:rsidRPr="00A307F1">
              <w:rPr>
                <w:webHidden/>
              </w:rPr>
              <w:fldChar w:fldCharType="end"/>
            </w:r>
          </w:hyperlink>
        </w:p>
        <w:p w14:paraId="159CC114" w14:textId="45546675" w:rsidR="00F63F0F" w:rsidRPr="00A307F1" w:rsidRDefault="00F63F0F">
          <w:pPr>
            <w:pStyle w:val="TOC1"/>
            <w:tabs>
              <w:tab w:val="right" w:leader="dot" w:pos="9350"/>
            </w:tabs>
          </w:pPr>
          <w:hyperlink w:anchor="_Toc221912153" w:history="1">
            <w:r w:rsidRPr="00A307F1">
              <w:rPr>
                <w:rStyle w:val="Hyperlink"/>
              </w:rPr>
              <w:t>Evaluation of Local Authority Website 3: Norfolk County Council</w:t>
            </w:r>
            <w:r w:rsidRPr="00A307F1">
              <w:rPr>
                <w:webHidden/>
              </w:rPr>
              <w:tab/>
            </w:r>
            <w:r w:rsidRPr="00A307F1">
              <w:rPr>
                <w:webHidden/>
              </w:rPr>
              <w:fldChar w:fldCharType="begin"/>
            </w:r>
            <w:r w:rsidRPr="00A307F1">
              <w:rPr>
                <w:webHidden/>
              </w:rPr>
              <w:instrText xml:space="preserve"> PAGEREF _Toc221912153 \h </w:instrText>
            </w:r>
            <w:r w:rsidRPr="00A307F1">
              <w:rPr>
                <w:webHidden/>
              </w:rPr>
            </w:r>
            <w:r w:rsidRPr="00A307F1">
              <w:rPr>
                <w:webHidden/>
              </w:rPr>
              <w:fldChar w:fldCharType="separate"/>
            </w:r>
            <w:r w:rsidRPr="00A307F1">
              <w:rPr>
                <w:webHidden/>
              </w:rPr>
              <w:t>7</w:t>
            </w:r>
            <w:r w:rsidRPr="00A307F1">
              <w:rPr>
                <w:webHidden/>
              </w:rPr>
              <w:fldChar w:fldCharType="end"/>
            </w:r>
          </w:hyperlink>
        </w:p>
        <w:p w14:paraId="39A7D2F7" w14:textId="2C6A6D8E" w:rsidR="00F63F0F" w:rsidRPr="00A307F1" w:rsidRDefault="00F63F0F">
          <w:pPr>
            <w:pStyle w:val="TOC1"/>
            <w:tabs>
              <w:tab w:val="right" w:leader="dot" w:pos="9350"/>
            </w:tabs>
          </w:pPr>
          <w:hyperlink w:anchor="_Toc221912154" w:history="1">
            <w:r w:rsidRPr="00A307F1">
              <w:rPr>
                <w:rStyle w:val="Hyperlink"/>
              </w:rPr>
              <w:t>Comparative Analysis</w:t>
            </w:r>
            <w:r w:rsidRPr="00A307F1">
              <w:rPr>
                <w:webHidden/>
              </w:rPr>
              <w:tab/>
            </w:r>
            <w:r w:rsidRPr="00A307F1">
              <w:rPr>
                <w:webHidden/>
              </w:rPr>
              <w:fldChar w:fldCharType="begin"/>
            </w:r>
            <w:r w:rsidRPr="00A307F1">
              <w:rPr>
                <w:webHidden/>
              </w:rPr>
              <w:instrText xml:space="preserve"> PAGEREF _Toc221912154 \h </w:instrText>
            </w:r>
            <w:r w:rsidRPr="00A307F1">
              <w:rPr>
                <w:webHidden/>
              </w:rPr>
            </w:r>
            <w:r w:rsidRPr="00A307F1">
              <w:rPr>
                <w:webHidden/>
              </w:rPr>
              <w:fldChar w:fldCharType="separate"/>
            </w:r>
            <w:r w:rsidRPr="00A307F1">
              <w:rPr>
                <w:webHidden/>
              </w:rPr>
              <w:t>8</w:t>
            </w:r>
            <w:r w:rsidRPr="00A307F1">
              <w:rPr>
                <w:webHidden/>
              </w:rPr>
              <w:fldChar w:fldCharType="end"/>
            </w:r>
          </w:hyperlink>
        </w:p>
        <w:p w14:paraId="76551822" w14:textId="5A3327D7" w:rsidR="00F63F0F" w:rsidRPr="00A307F1" w:rsidRDefault="00F63F0F">
          <w:pPr>
            <w:pStyle w:val="TOC1"/>
            <w:tabs>
              <w:tab w:val="right" w:leader="dot" w:pos="9350"/>
            </w:tabs>
          </w:pPr>
          <w:hyperlink w:anchor="_Toc221912155" w:history="1">
            <w:r w:rsidRPr="00A307F1">
              <w:rPr>
                <w:rStyle w:val="Hyperlink"/>
              </w:rPr>
              <w:t>Conclusion and Recommendations</w:t>
            </w:r>
            <w:r w:rsidRPr="00A307F1">
              <w:rPr>
                <w:webHidden/>
              </w:rPr>
              <w:tab/>
            </w:r>
            <w:r w:rsidRPr="00A307F1">
              <w:rPr>
                <w:webHidden/>
              </w:rPr>
              <w:fldChar w:fldCharType="begin"/>
            </w:r>
            <w:r w:rsidRPr="00A307F1">
              <w:rPr>
                <w:webHidden/>
              </w:rPr>
              <w:instrText xml:space="preserve"> PAGEREF _Toc221912155 \h </w:instrText>
            </w:r>
            <w:r w:rsidRPr="00A307F1">
              <w:rPr>
                <w:webHidden/>
              </w:rPr>
            </w:r>
            <w:r w:rsidRPr="00A307F1">
              <w:rPr>
                <w:webHidden/>
              </w:rPr>
              <w:fldChar w:fldCharType="separate"/>
            </w:r>
            <w:r w:rsidRPr="00A307F1">
              <w:rPr>
                <w:webHidden/>
              </w:rPr>
              <w:t>9</w:t>
            </w:r>
            <w:r w:rsidRPr="00A307F1">
              <w:rPr>
                <w:webHidden/>
              </w:rPr>
              <w:fldChar w:fldCharType="end"/>
            </w:r>
          </w:hyperlink>
        </w:p>
        <w:p w14:paraId="398BB85A" w14:textId="39E315AC" w:rsidR="00F63F0F" w:rsidRPr="00A307F1" w:rsidRDefault="00F63F0F">
          <w:pPr>
            <w:pStyle w:val="TOC1"/>
            <w:tabs>
              <w:tab w:val="right" w:leader="dot" w:pos="9350"/>
            </w:tabs>
          </w:pPr>
          <w:hyperlink w:anchor="_Toc221912156" w:history="1">
            <w:r w:rsidRPr="00A307F1">
              <w:rPr>
                <w:rStyle w:val="Hyperlink"/>
              </w:rPr>
              <w:t>References</w:t>
            </w:r>
            <w:r w:rsidRPr="00A307F1">
              <w:rPr>
                <w:webHidden/>
              </w:rPr>
              <w:tab/>
            </w:r>
            <w:r w:rsidRPr="00A307F1">
              <w:rPr>
                <w:webHidden/>
              </w:rPr>
              <w:fldChar w:fldCharType="begin"/>
            </w:r>
            <w:r w:rsidRPr="00A307F1">
              <w:rPr>
                <w:webHidden/>
              </w:rPr>
              <w:instrText xml:space="preserve"> PAGEREF _Toc221912156 \h </w:instrText>
            </w:r>
            <w:r w:rsidRPr="00A307F1">
              <w:rPr>
                <w:webHidden/>
              </w:rPr>
            </w:r>
            <w:r w:rsidRPr="00A307F1">
              <w:rPr>
                <w:webHidden/>
              </w:rPr>
              <w:fldChar w:fldCharType="separate"/>
            </w:r>
            <w:r w:rsidRPr="00A307F1">
              <w:rPr>
                <w:webHidden/>
              </w:rPr>
              <w:t>10</w:t>
            </w:r>
            <w:r w:rsidRPr="00A307F1">
              <w:rPr>
                <w:webHidden/>
              </w:rPr>
              <w:fldChar w:fldCharType="end"/>
            </w:r>
          </w:hyperlink>
        </w:p>
        <w:p w14:paraId="7CF290BC" w14:textId="57C33B54" w:rsidR="00F63F0F" w:rsidRPr="00A307F1" w:rsidRDefault="00F63F0F">
          <w:r w:rsidRPr="00A307F1">
            <w:rPr>
              <w:b/>
              <w:bCs/>
            </w:rPr>
            <w:fldChar w:fldCharType="end"/>
          </w:r>
        </w:p>
      </w:sdtContent>
    </w:sdt>
    <w:p w14:paraId="0BEEBB53" w14:textId="77777777" w:rsidR="00CB0651" w:rsidRPr="00A307F1" w:rsidRDefault="00CB0651">
      <w:pPr>
        <w:jc w:val="left"/>
      </w:pPr>
      <w:r w:rsidRPr="00A307F1">
        <w:br w:type="page"/>
      </w:r>
    </w:p>
    <w:p w14:paraId="375535F4" w14:textId="60951DDE" w:rsidR="00261A7F" w:rsidRPr="00A307F1" w:rsidRDefault="00261A7F" w:rsidP="00CB0651">
      <w:pPr>
        <w:pStyle w:val="Heading1"/>
      </w:pPr>
      <w:bookmarkStart w:id="1" w:name="_Toc221912148"/>
      <w:r w:rsidRPr="00A307F1">
        <w:lastRenderedPageBreak/>
        <w:t>Introduction</w:t>
      </w:r>
      <w:bookmarkEnd w:id="1"/>
    </w:p>
    <w:p w14:paraId="35C26BC6" w14:textId="4DCB54EF" w:rsidR="00261A7F" w:rsidRPr="00A307F1" w:rsidRDefault="00261A7F" w:rsidP="00CB0651">
      <w:r w:rsidRPr="00A307F1">
        <w:t xml:space="preserve">Safeguarding is a core duty that occurs in the health and social care of the UK that seeks to safeguard and support the </w:t>
      </w:r>
      <w:r w:rsidR="00CB0651" w:rsidRPr="00A307F1">
        <w:t>well-being</w:t>
      </w:r>
      <w:r w:rsidRPr="00A307F1">
        <w:t xml:space="preserve"> of children and the family in case of harm (Chambers, Cantrell and Booth, 2021). Early Help is a preventative safeguarding strategy that ensures that support is offered to families in time before the challenges grow to reach statutory limits. The statutory guidance Working Together to Safeguard Children (2023) highlights the significance of the need </w:t>
      </w:r>
      <w:r w:rsidR="00A307F1" w:rsidRPr="00A307F1">
        <w:t>to be</w:t>
      </w:r>
      <w:r w:rsidRPr="00A307F1">
        <w:t xml:space="preserve"> identified early</w:t>
      </w:r>
      <w:r w:rsidR="00CB0651" w:rsidRPr="00A307F1">
        <w:t>,</w:t>
      </w:r>
      <w:r w:rsidRPr="00A307F1">
        <w:t xml:space="preserve"> and multi-agency responses should work together to help.</w:t>
      </w:r>
      <w:r w:rsidR="00CB0651" w:rsidRPr="00A307F1">
        <w:t xml:space="preserve"> </w:t>
      </w:r>
      <w:r w:rsidRPr="00A307F1">
        <w:t xml:space="preserve">Since the local authority sites can be the first contact point that families make to get support, the internet information needs to be clear and easily accessible. This report will </w:t>
      </w:r>
      <w:proofErr w:type="gramStart"/>
      <w:r w:rsidRPr="00A307F1">
        <w:t>look into</w:t>
      </w:r>
      <w:proofErr w:type="gramEnd"/>
      <w:r w:rsidRPr="00A307F1">
        <w:t xml:space="preserve"> the ways Early Help has been signposted using </w:t>
      </w:r>
      <w:r w:rsidR="00CB0651" w:rsidRPr="00A307F1">
        <w:t xml:space="preserve">the </w:t>
      </w:r>
      <w:r w:rsidRPr="00A307F1">
        <w:t>websites of Leeds City Council, Tower Hamlets Council, and Norfolk County Council. It describes the Early Help system and multi-agency working and then makes an assessment and comparison of the efficacy of the respective authorities to communicate the available assistance to the family.</w:t>
      </w:r>
    </w:p>
    <w:p w14:paraId="7EAD49F1" w14:textId="4EFE6BA1" w:rsidR="00CB0651" w:rsidRPr="00A307F1" w:rsidRDefault="00CB0651">
      <w:pPr>
        <w:jc w:val="left"/>
      </w:pPr>
      <w:r w:rsidRPr="00A307F1">
        <w:br w:type="page"/>
      </w:r>
    </w:p>
    <w:p w14:paraId="033FA2C3" w14:textId="2761DACA" w:rsidR="00261A7F" w:rsidRPr="00A307F1" w:rsidRDefault="00261A7F" w:rsidP="00CB0651">
      <w:pPr>
        <w:pStyle w:val="Heading1"/>
      </w:pPr>
      <w:bookmarkStart w:id="2" w:name="_Toc221912149"/>
      <w:r w:rsidRPr="00A307F1">
        <w:lastRenderedPageBreak/>
        <w:t>Explanation of the Early Help System</w:t>
      </w:r>
      <w:bookmarkEnd w:id="2"/>
    </w:p>
    <w:p w14:paraId="670185E1" w14:textId="70133ABE" w:rsidR="00261A7F" w:rsidRPr="00A307F1" w:rsidRDefault="00261A7F" w:rsidP="00CB0651">
      <w:pPr>
        <w:rPr>
          <w:b/>
          <w:bCs/>
        </w:rPr>
      </w:pPr>
      <w:r w:rsidRPr="00A307F1">
        <w:rPr>
          <w:b/>
          <w:bCs/>
        </w:rPr>
        <w:t>What is Early Help?</w:t>
      </w:r>
    </w:p>
    <w:p w14:paraId="7DA1A86D" w14:textId="760868CB" w:rsidR="00261A7F" w:rsidRPr="00A307F1" w:rsidRDefault="00261A7F" w:rsidP="00CB0651">
      <w:r w:rsidRPr="00A307F1">
        <w:t xml:space="preserve">Early Help is a concept that defines the support of children, young people and families at the earliest level when challenges arise. It is an upstream protective measure created to combat issues before turning into more acute concerns that </w:t>
      </w:r>
      <w:proofErr w:type="gramStart"/>
      <w:r w:rsidRPr="00A307F1">
        <w:t>have to</w:t>
      </w:r>
      <w:proofErr w:type="gramEnd"/>
      <w:r w:rsidRPr="00A307F1">
        <w:t xml:space="preserve"> be dealt with through statutory child protection measures (Gada, 2022). Early Help falls short of the threshold due process of section 47 of the Children Act 1989 of formal child protection measures, yet it is aware that such unmet needs may escalate to severe injury when not acted upon.</w:t>
      </w:r>
      <w:r w:rsidR="00CB0651" w:rsidRPr="00A307F1">
        <w:t xml:space="preserve"> </w:t>
      </w:r>
      <w:r w:rsidRPr="00A307F1">
        <w:t xml:space="preserve">The method is based on the idea that </w:t>
      </w:r>
      <w:r w:rsidR="00A307F1" w:rsidRPr="00A307F1">
        <w:t>timely</w:t>
      </w:r>
      <w:r w:rsidRPr="00A307F1">
        <w:t xml:space="preserve"> discovery and the joint support can decrease the risks in the long </w:t>
      </w:r>
      <w:r w:rsidR="00A307F1" w:rsidRPr="00A307F1">
        <w:t>term and</w:t>
      </w:r>
      <w:r w:rsidRPr="00A307F1">
        <w:t xml:space="preserve"> enhance the resilience of the family. Early Help</w:t>
      </w:r>
      <w:r w:rsidR="00CB0651" w:rsidRPr="00A307F1">
        <w:t>,</w:t>
      </w:r>
      <w:r w:rsidRPr="00A307F1">
        <w:t xml:space="preserve"> instead of waiting till a crisis </w:t>
      </w:r>
      <w:r w:rsidR="00CB0651" w:rsidRPr="00A307F1">
        <w:t>occurs,</w:t>
      </w:r>
      <w:r w:rsidRPr="00A307F1">
        <w:t xml:space="preserve"> </w:t>
      </w:r>
      <w:r w:rsidR="00CB0651" w:rsidRPr="00A307F1">
        <w:t>places</w:t>
      </w:r>
      <w:r w:rsidRPr="00A307F1">
        <w:t xml:space="preserve"> emphasis on early identification of need, </w:t>
      </w:r>
      <w:r w:rsidR="00CB0651" w:rsidRPr="00A307F1">
        <w:t>strength-based</w:t>
      </w:r>
      <w:r w:rsidRPr="00A307F1">
        <w:t xml:space="preserve"> assessment and collaborative planning.</w:t>
      </w:r>
    </w:p>
    <w:p w14:paraId="3DC75AF4" w14:textId="5E951CA0" w:rsidR="00261A7F" w:rsidRPr="00A307F1" w:rsidRDefault="00261A7F" w:rsidP="00CB0651">
      <w:pPr>
        <w:rPr>
          <w:b/>
          <w:bCs/>
        </w:rPr>
      </w:pPr>
      <w:r w:rsidRPr="00A307F1">
        <w:rPr>
          <w:b/>
          <w:bCs/>
        </w:rPr>
        <w:t>Aims of Early Help</w:t>
      </w:r>
    </w:p>
    <w:p w14:paraId="261FB3DC" w14:textId="2B643B40" w:rsidR="00261A7F" w:rsidRPr="00A307F1" w:rsidRDefault="00261A7F" w:rsidP="00CB0651">
      <w:r w:rsidRPr="00A307F1">
        <w:t xml:space="preserve">The main objective of Early Help is to avoid the rise of concerns to the statutory child protection procedures. With the help of the targeted assistance provided at an earlier age, the professionals will be able to decrease the possibility of children facing neglect, </w:t>
      </w:r>
      <w:r w:rsidR="00CB0651" w:rsidRPr="00A307F1">
        <w:t>abuse</w:t>
      </w:r>
      <w:r w:rsidRPr="00A307F1">
        <w:t>, and other negative childhood experiences.</w:t>
      </w:r>
      <w:r w:rsidR="00CB0651" w:rsidRPr="00A307F1">
        <w:t xml:space="preserve"> </w:t>
      </w:r>
      <w:r w:rsidRPr="00A307F1">
        <w:t xml:space="preserve">Early Help also aims to empower families by </w:t>
      </w:r>
      <w:r w:rsidR="00CB0651" w:rsidRPr="00A307F1">
        <w:t>building</w:t>
      </w:r>
      <w:r w:rsidRPr="00A307F1">
        <w:t xml:space="preserve"> on the available strengths and encouraging parental capacity (Taylor, Drayton and </w:t>
      </w:r>
      <w:r w:rsidR="00CB0651" w:rsidRPr="00A307F1">
        <w:t>McBride</w:t>
      </w:r>
      <w:r w:rsidRPr="00A307F1">
        <w:t>, 2021). Promotes voluntary interaction of families with services</w:t>
      </w:r>
      <w:r w:rsidR="00CB0651" w:rsidRPr="00A307F1">
        <w:t>,</w:t>
      </w:r>
      <w:r w:rsidRPr="00A307F1">
        <w:t xml:space="preserve"> building trust and cooperation as opposed to coercion. Finally, the system is meant to enhance results in the factors of education, health, emotional wellbeing and family stability. The method of preventative intervention is cost-effective, and it is socially advantageous, which exerts less pressure on protective services in the long term.</w:t>
      </w:r>
    </w:p>
    <w:p w14:paraId="2943BACB" w14:textId="3F41C737" w:rsidR="00261A7F" w:rsidRPr="00A307F1" w:rsidRDefault="00261A7F" w:rsidP="00CB0651">
      <w:pPr>
        <w:rPr>
          <w:b/>
          <w:bCs/>
        </w:rPr>
      </w:pPr>
      <w:r w:rsidRPr="00A307F1">
        <w:rPr>
          <w:b/>
          <w:bCs/>
        </w:rPr>
        <w:t>Legal and Policy Framework</w:t>
      </w:r>
    </w:p>
    <w:p w14:paraId="0D9940B8" w14:textId="3AE08B6E" w:rsidR="00261A7F" w:rsidRPr="00A307F1" w:rsidRDefault="00CB0651" w:rsidP="00CB0651">
      <w:r w:rsidRPr="00A307F1">
        <w:t xml:space="preserve">The </w:t>
      </w:r>
      <w:r w:rsidR="00261A7F" w:rsidRPr="00A307F1">
        <w:t xml:space="preserve">Early Help system is supported by </w:t>
      </w:r>
      <w:r w:rsidR="00A307F1" w:rsidRPr="00A307F1">
        <w:t>statutory</w:t>
      </w:r>
      <w:r w:rsidR="00261A7F" w:rsidRPr="00A307F1">
        <w:t xml:space="preserve"> advice and </w:t>
      </w:r>
      <w:r w:rsidRPr="00A307F1">
        <w:t>legislation</w:t>
      </w:r>
      <w:r w:rsidR="00261A7F" w:rsidRPr="00A307F1">
        <w:t xml:space="preserve">. Working Together to Safeguard Children (2023) points out that </w:t>
      </w:r>
      <w:r w:rsidRPr="00A307F1">
        <w:t xml:space="preserve">the </w:t>
      </w:r>
      <w:r w:rsidR="00261A7F" w:rsidRPr="00A307F1">
        <w:t xml:space="preserve">responsibility to safeguard is </w:t>
      </w:r>
      <w:r w:rsidRPr="00A307F1">
        <w:t>interagency</w:t>
      </w:r>
      <w:r w:rsidR="00261A7F" w:rsidRPr="00A307F1">
        <w:t xml:space="preserve"> and </w:t>
      </w:r>
      <w:r w:rsidR="00A307F1" w:rsidRPr="00A307F1">
        <w:t>emphasizes</w:t>
      </w:r>
      <w:r w:rsidR="00261A7F" w:rsidRPr="00A307F1">
        <w:t xml:space="preserve"> the need to be identified and intervened on early. The Early Help System Guide further outlines the expectations of local authorities towards the provision of viable and sustainable preventative care, which is easily accessible.</w:t>
      </w:r>
      <w:r w:rsidRPr="00A307F1">
        <w:t xml:space="preserve"> </w:t>
      </w:r>
      <w:r w:rsidR="00261A7F" w:rsidRPr="00A307F1">
        <w:t xml:space="preserve">The Children Act 1989 provides the responsibility of protecting and advancing the interests of children, and the Children Act 2004 </w:t>
      </w:r>
      <w:r w:rsidR="00261A7F" w:rsidRPr="00A307F1">
        <w:lastRenderedPageBreak/>
        <w:t>reinforces the multi-agency collaboration by securing partnerships (</w:t>
      </w:r>
      <w:proofErr w:type="spellStart"/>
      <w:r w:rsidR="00261A7F" w:rsidRPr="00A307F1">
        <w:t>Cheminais</w:t>
      </w:r>
      <w:proofErr w:type="spellEnd"/>
      <w:r w:rsidR="00261A7F" w:rsidRPr="00A307F1">
        <w:t>, 2019). All these frameworks make Early Help a critical ingredient in child welfare practise.</w:t>
      </w:r>
    </w:p>
    <w:p w14:paraId="4B547E4D" w14:textId="098590BC" w:rsidR="00261A7F" w:rsidRPr="00A307F1" w:rsidRDefault="00261A7F" w:rsidP="00CB0651">
      <w:pPr>
        <w:rPr>
          <w:b/>
          <w:bCs/>
        </w:rPr>
      </w:pPr>
      <w:r w:rsidRPr="00A307F1">
        <w:rPr>
          <w:b/>
          <w:bCs/>
        </w:rPr>
        <w:t>Key Components</w:t>
      </w:r>
    </w:p>
    <w:p w14:paraId="0066F12A" w14:textId="7E864874" w:rsidR="00261A7F" w:rsidRPr="00A307F1" w:rsidRDefault="00261A7F" w:rsidP="00CB0651">
      <w:r w:rsidRPr="00A307F1">
        <w:t>The Early Help Assessment that identifies strengths, needs, and the necessary support is a key force of Early Help. Such evaluation frequently results in the establishment of a Team Around the Family (TAF), consisting of the concerned professionals</w:t>
      </w:r>
      <w:r w:rsidR="00CB0651" w:rsidRPr="00A307F1">
        <w:t>,</w:t>
      </w:r>
      <w:r w:rsidRPr="00A307F1">
        <w:t xml:space="preserve"> to facilitate assistance.</w:t>
      </w:r>
      <w:r w:rsidR="00CB0651" w:rsidRPr="00A307F1">
        <w:t xml:space="preserve"> </w:t>
      </w:r>
      <w:r w:rsidRPr="00A307F1">
        <w:t>To provide efficient communication between agencies, the lead professional is designated as the primary contact with the family. Important concepts include information sharing and informed consent that provide us with the benefit of co-operation without violating confidentiality and legal standards.</w:t>
      </w:r>
      <w:r w:rsidR="00CB0651" w:rsidRPr="00A307F1">
        <w:t xml:space="preserve"> </w:t>
      </w:r>
      <w:r w:rsidRPr="00A307F1">
        <w:t>Early Help offers well-organised, integrated, and preventive protective services through these elements.</w:t>
      </w:r>
    </w:p>
    <w:p w14:paraId="43953B66" w14:textId="77777777" w:rsidR="00261A7F" w:rsidRPr="00A307F1" w:rsidRDefault="00261A7F" w:rsidP="00CB0651">
      <w:pPr>
        <w:pStyle w:val="Heading1"/>
      </w:pPr>
      <w:bookmarkStart w:id="3" w:name="_Toc221912150"/>
      <w:r w:rsidRPr="00A307F1">
        <w:t>Explanation of Multi-Agency Working</w:t>
      </w:r>
      <w:bookmarkEnd w:id="3"/>
    </w:p>
    <w:p w14:paraId="632475BA" w14:textId="36AD2B6E" w:rsidR="00261A7F" w:rsidRPr="00A307F1" w:rsidRDefault="00261A7F" w:rsidP="00CB0651">
      <w:pPr>
        <w:rPr>
          <w:b/>
          <w:bCs/>
        </w:rPr>
      </w:pPr>
      <w:r w:rsidRPr="00A307F1">
        <w:rPr>
          <w:b/>
          <w:bCs/>
        </w:rPr>
        <w:t>Definition</w:t>
      </w:r>
    </w:p>
    <w:p w14:paraId="08C547BE" w14:textId="7A5FE5D9" w:rsidR="00261A7F" w:rsidRPr="00A307F1" w:rsidRDefault="00261A7F" w:rsidP="00CB0651">
      <w:r w:rsidRPr="00A307F1">
        <w:t xml:space="preserve">Multi-agency working is a type of collaboration of professionally qualified individuals belonging to various fields of work as a joint method to protect and assist children and families (Purcell, </w:t>
      </w:r>
      <w:r w:rsidR="00A307F1" w:rsidRPr="00A307F1">
        <w:t>Baginski</w:t>
      </w:r>
      <w:r w:rsidRPr="00A307F1">
        <w:t xml:space="preserve"> and </w:t>
      </w:r>
      <w:r w:rsidR="00A307F1" w:rsidRPr="00A307F1">
        <w:t>Stiles</w:t>
      </w:r>
      <w:r w:rsidRPr="00A307F1">
        <w:t xml:space="preserve">, 2025). It entails covert planning, joint determination and combined provision of services within statutory and voluntary sectors. The inter-agency cooperation allows </w:t>
      </w:r>
      <w:r w:rsidR="00CB0651" w:rsidRPr="00A307F1">
        <w:t xml:space="preserve">for </w:t>
      </w:r>
      <w:r w:rsidRPr="00A307F1">
        <w:t>making sure that the responsibilities of safeguarding are not handled separately</w:t>
      </w:r>
      <w:r w:rsidR="00CB0651" w:rsidRPr="00A307F1">
        <w:t>,</w:t>
      </w:r>
      <w:r w:rsidRPr="00A307F1">
        <w:t xml:space="preserve"> but </w:t>
      </w:r>
      <w:r w:rsidR="00CB0651" w:rsidRPr="00A307F1">
        <w:t>in</w:t>
      </w:r>
      <w:r w:rsidRPr="00A307F1">
        <w:t xml:space="preserve"> partnership and shared responsibility.</w:t>
      </w:r>
    </w:p>
    <w:p w14:paraId="135DECCA" w14:textId="2C67EF38" w:rsidR="00261A7F" w:rsidRPr="00A307F1" w:rsidRDefault="00261A7F" w:rsidP="00CB0651">
      <w:pPr>
        <w:rPr>
          <w:b/>
          <w:bCs/>
        </w:rPr>
      </w:pPr>
      <w:r w:rsidRPr="00A307F1">
        <w:rPr>
          <w:b/>
          <w:bCs/>
        </w:rPr>
        <w:t>Why It Is Essential</w:t>
      </w:r>
    </w:p>
    <w:p w14:paraId="4DDA0971" w14:textId="54076733" w:rsidR="00CB0651" w:rsidRPr="00A307F1" w:rsidRDefault="00261A7F" w:rsidP="00CB0651">
      <w:r w:rsidRPr="00A307F1">
        <w:t xml:space="preserve">The problems that affect families that are in distress tend to be interrelated and intricate, including domestic violence, mental health needs, drug abuse, poverty, or school-related issues. And not one of the agencies possesses the knowledge or means to address these </w:t>
      </w:r>
      <w:r w:rsidR="00CB0651" w:rsidRPr="00A307F1">
        <w:t>layered</w:t>
      </w:r>
      <w:r w:rsidRPr="00A307F1">
        <w:t xml:space="preserve"> needs (Sokol et al., 2015). There is therefore a need to have multi-agency full support. Under the UK legislation, protection is a collective duty that entails agencies collaborating </w:t>
      </w:r>
      <w:proofErr w:type="gramStart"/>
      <w:r w:rsidRPr="00A307F1">
        <w:t>in order to</w:t>
      </w:r>
      <w:proofErr w:type="gramEnd"/>
      <w:r w:rsidRPr="00A307F1">
        <w:t xml:space="preserve"> protect children and enhance wellbeing. Under the Early Help delivery, concerns can be addressed using coordinated responses to prevent statutory thresholds.</w:t>
      </w:r>
    </w:p>
    <w:p w14:paraId="79803A01" w14:textId="01A5B9EA" w:rsidR="00261A7F" w:rsidRPr="00A307F1" w:rsidRDefault="00261A7F" w:rsidP="00CB0651">
      <w:pPr>
        <w:rPr>
          <w:b/>
          <w:bCs/>
        </w:rPr>
      </w:pPr>
      <w:r w:rsidRPr="00A307F1">
        <w:rPr>
          <w:b/>
          <w:bCs/>
        </w:rPr>
        <w:lastRenderedPageBreak/>
        <w:t>Agencies Involved</w:t>
      </w:r>
    </w:p>
    <w:p w14:paraId="473E441B" w14:textId="3278F82D" w:rsidR="00261A7F" w:rsidRPr="00A307F1" w:rsidRDefault="00261A7F" w:rsidP="00CB0651">
      <w:r w:rsidRPr="00A307F1">
        <w:t xml:space="preserve">The multi-agency protection generally entails </w:t>
      </w:r>
      <w:r w:rsidR="00A307F1" w:rsidRPr="00A307F1">
        <w:t>social</w:t>
      </w:r>
      <w:r w:rsidRPr="00A307F1">
        <w:t xml:space="preserve"> care, health provisions such as GPs and health visitors, educational practitioners, police, and the voluntary or community </w:t>
      </w:r>
      <w:r w:rsidR="00A307F1" w:rsidRPr="00A307F1">
        <w:t>organizations</w:t>
      </w:r>
      <w:r w:rsidRPr="00A307F1">
        <w:t xml:space="preserve"> of children. The agencies bring along expert knowledge and views in the assessment and intervention planning.</w:t>
      </w:r>
    </w:p>
    <w:p w14:paraId="3AC79082" w14:textId="40A9202C" w:rsidR="00261A7F" w:rsidRPr="00A307F1" w:rsidRDefault="00261A7F" w:rsidP="00CB0651">
      <w:pPr>
        <w:rPr>
          <w:b/>
          <w:bCs/>
        </w:rPr>
      </w:pPr>
      <w:r w:rsidRPr="00A307F1">
        <w:rPr>
          <w:b/>
          <w:bCs/>
        </w:rPr>
        <w:t>Challenges and Limitations</w:t>
      </w:r>
    </w:p>
    <w:p w14:paraId="2C47478D" w14:textId="06377A41" w:rsidR="00261A7F" w:rsidRPr="00A307F1" w:rsidRDefault="00261A7F" w:rsidP="00CB0651">
      <w:r w:rsidRPr="00A307F1">
        <w:t xml:space="preserve">Multi-agency working, even though considered important, can be a challenge. The barriers related to communication, role definitions, professional priorities, and diversity can obstruct proper collaboration (Kamal, </w:t>
      </w:r>
      <w:r w:rsidR="00A307F1" w:rsidRPr="00A307F1">
        <w:t>Sakran</w:t>
      </w:r>
      <w:r w:rsidRPr="00A307F1">
        <w:t xml:space="preserve"> and Maidin, 2023). Issues of information exchange and confidentiality may slow down coordinated responses as well. In Early Help systems, these constraints could impact prompt </w:t>
      </w:r>
      <w:r w:rsidR="00A307F1" w:rsidRPr="00A307F1">
        <w:t>intervention but</w:t>
      </w:r>
      <w:r w:rsidRPr="00A307F1">
        <w:t xml:space="preserve"> coordinated systems like Team Around the Family hope to overcome fragmentation and facilitate integrated practise. </w:t>
      </w:r>
    </w:p>
    <w:p w14:paraId="664492A7" w14:textId="77777777" w:rsidR="00CB0651" w:rsidRPr="00A307F1" w:rsidRDefault="00261A7F" w:rsidP="00CB0651">
      <w:pPr>
        <w:pStyle w:val="Heading1"/>
      </w:pPr>
      <w:bookmarkStart w:id="4" w:name="_Toc221912151"/>
      <w:r w:rsidRPr="00A307F1">
        <w:t>Evaluation of Local Authority Website 1: Leeds City Council</w:t>
      </w:r>
      <w:bookmarkEnd w:id="4"/>
      <w:r w:rsidRPr="00A307F1">
        <w:t xml:space="preserve"> </w:t>
      </w:r>
    </w:p>
    <w:p w14:paraId="5B33E634" w14:textId="77D6D2D8" w:rsidR="00261A7F" w:rsidRPr="00A307F1" w:rsidRDefault="00261A7F" w:rsidP="00CB0651">
      <w:r w:rsidRPr="00A307F1">
        <w:t xml:space="preserve">The information on Early Help presented by Leeds City Council is </w:t>
      </w:r>
      <w:r w:rsidR="00A307F1" w:rsidRPr="00A307F1">
        <w:t>accessible</w:t>
      </w:r>
      <w:r w:rsidRPr="00A307F1">
        <w:t>, with brief, one-minute guide pages that present fewer pages to the family loads. Family Hubs, which are positioned as an easy access point (front door) by families requiring assistance</w:t>
      </w:r>
      <w:r w:rsidR="00CB0651" w:rsidRPr="00A307F1">
        <w:t>, are also</w:t>
      </w:r>
      <w:r w:rsidRPr="00A307F1">
        <w:t xml:space="preserve"> linked to Early Help. Yet, the name Early Help may remain professional enough not to scare off families, though they will also use some similar titles (e.g., children and families) to find it</w:t>
      </w:r>
      <w:r w:rsidR="00CB0651" w:rsidRPr="00A307F1">
        <w:t>,</w:t>
      </w:r>
      <w:r w:rsidRPr="00A307F1">
        <w:t xml:space="preserve"> hence the aspect of successful navigation partially relies on the knowledge they possess. The language is largely simple and defines the levels of need that allow the understanding of non-experts, but some related areas (such as practitioner-targeted guidance) </w:t>
      </w:r>
      <w:r w:rsidR="00CB0651" w:rsidRPr="00A307F1">
        <w:t>may</w:t>
      </w:r>
      <w:r w:rsidRPr="00A307F1">
        <w:t xml:space="preserve"> not </w:t>
      </w:r>
      <w:r w:rsidR="00CB0651" w:rsidRPr="00A307F1">
        <w:t xml:space="preserve">be </w:t>
      </w:r>
      <w:r w:rsidRPr="00A307F1">
        <w:t>so appropriate to public users</w:t>
      </w:r>
      <w:r w:rsidR="00CB0651" w:rsidRPr="00A307F1">
        <w:t>,</w:t>
      </w:r>
      <w:r w:rsidRPr="00A307F1">
        <w:t xml:space="preserve"> as they can go through it accidentally. Recall and support options are clearly marked through the Family Hubs and universal services route, but the site might increase the presence of step-by-step instructions </w:t>
      </w:r>
      <w:r w:rsidR="00CB0651" w:rsidRPr="00A307F1">
        <w:t>on</w:t>
      </w:r>
      <w:r w:rsidRPr="00A307F1">
        <w:t xml:space="preserve"> how to contact help </w:t>
      </w:r>
      <w:proofErr w:type="gramStart"/>
      <w:r w:rsidRPr="00A307F1">
        <w:t>in order to</w:t>
      </w:r>
      <w:proofErr w:type="gramEnd"/>
      <w:r w:rsidRPr="00A307F1">
        <w:t xml:space="preserve"> decrease the feeling of some uncertainty at the bottleneck.  The contact information is excellent, as there is a Family Information Service phone number, email and clear directions in terms of interpreting, translating, and BSL video calling, which facilitates accessibility and inclusion (Skinner, Napier and Braun, 2018). </w:t>
      </w:r>
      <w:proofErr w:type="gramStart"/>
      <w:r w:rsidRPr="00A307F1">
        <w:t>On the whole</w:t>
      </w:r>
      <w:proofErr w:type="gramEnd"/>
      <w:r w:rsidRPr="00A307F1">
        <w:t>, Leeds is usable and accessible, yet it could use more definite linkages to the public</w:t>
      </w:r>
      <w:r w:rsidR="00CB0651" w:rsidRPr="00A307F1">
        <w:t>, such</w:t>
      </w:r>
      <w:r w:rsidRPr="00A307F1">
        <w:t xml:space="preserve"> </w:t>
      </w:r>
      <w:r w:rsidRPr="00A307F1">
        <w:lastRenderedPageBreak/>
        <w:t>as opening referral channels and better isolating professional pages to make it more approachable to the user.</w:t>
      </w:r>
    </w:p>
    <w:p w14:paraId="76DF4025" w14:textId="77777777" w:rsidR="00CB0651" w:rsidRPr="00A307F1" w:rsidRDefault="00261A7F" w:rsidP="00CB0651">
      <w:pPr>
        <w:pStyle w:val="Heading1"/>
      </w:pPr>
      <w:bookmarkStart w:id="5" w:name="_Toc221912152"/>
      <w:r w:rsidRPr="00A307F1">
        <w:t>Evaluation of Local Authority Website 2: Tower Hamlets Council</w:t>
      </w:r>
      <w:bookmarkEnd w:id="5"/>
    </w:p>
    <w:p w14:paraId="28BDC761" w14:textId="64AECA82" w:rsidR="00261A7F" w:rsidRPr="00A307F1" w:rsidRDefault="00261A7F" w:rsidP="00CB0651">
      <w:r w:rsidRPr="00A307F1">
        <w:t xml:space="preserve">Tower </w:t>
      </w:r>
      <w:r w:rsidR="00CB0651" w:rsidRPr="00A307F1">
        <w:t>Hamlets Council</w:t>
      </w:r>
      <w:r w:rsidRPr="00A307F1">
        <w:t xml:space="preserve"> gives Early help as part of </w:t>
      </w:r>
      <w:r w:rsidR="00CB0651" w:rsidRPr="00A307F1">
        <w:t xml:space="preserve">a </w:t>
      </w:r>
      <w:r w:rsidRPr="00A307F1">
        <w:t>more extensive children and family safeguarding area. Accessibility is moderate; it may be found without searching functions or through safeguarding menus</w:t>
      </w:r>
      <w:r w:rsidR="00CB0651" w:rsidRPr="00A307F1">
        <w:t>;</w:t>
      </w:r>
      <w:r w:rsidRPr="00A307F1">
        <w:t xml:space="preserve"> however, it cannot </w:t>
      </w:r>
      <w:r w:rsidR="00CB0651" w:rsidRPr="00A307F1">
        <w:t>always be</w:t>
      </w:r>
      <w:r w:rsidRPr="00A307F1">
        <w:t xml:space="preserve"> seen on the home page. This can be a hindrance to the convenience of a common person</w:t>
      </w:r>
      <w:r w:rsidR="00CB0651" w:rsidRPr="00A307F1">
        <w:t>,</w:t>
      </w:r>
      <w:r w:rsidRPr="00A307F1">
        <w:t xml:space="preserve"> as far as professional terminologies are not understood by them.</w:t>
      </w:r>
      <w:r w:rsidR="00CB0651" w:rsidRPr="00A307F1">
        <w:t xml:space="preserve"> </w:t>
      </w:r>
      <w:r w:rsidRPr="00A307F1">
        <w:t xml:space="preserve">As far as clarity is concerned, the site is written in quite a simple language </w:t>
      </w:r>
      <w:r w:rsidR="00CB0651" w:rsidRPr="00A307F1">
        <w:t>to explain</w:t>
      </w:r>
      <w:r w:rsidRPr="00A307F1">
        <w:t xml:space="preserve"> support services. Nonetheless, other parts seem to be service-oriented instead of family-oriented, which can lower the transparency concerning the </w:t>
      </w:r>
      <w:r w:rsidR="00A307F1" w:rsidRPr="00A307F1">
        <w:t>way</w:t>
      </w:r>
      <w:r w:rsidRPr="00A307F1">
        <w:t xml:space="preserve"> families can self-refer (Mestre et al., 2025). Referral pathways are described</w:t>
      </w:r>
      <w:r w:rsidR="00CB0651" w:rsidRPr="00A307F1">
        <w:t>,</w:t>
      </w:r>
      <w:r w:rsidRPr="00A307F1">
        <w:t xml:space="preserve"> but they are clearer to the professionals rather than the </w:t>
      </w:r>
      <w:r w:rsidR="00A307F1" w:rsidRPr="00A307F1">
        <w:t>parents and</w:t>
      </w:r>
      <w:r w:rsidRPr="00A307F1">
        <w:t xml:space="preserve"> may end up in confusion at the point of need.</w:t>
      </w:r>
      <w:r w:rsidR="00CB0651" w:rsidRPr="00A307F1">
        <w:t xml:space="preserve"> </w:t>
      </w:r>
      <w:r w:rsidRPr="00A307F1">
        <w:t>Navigation is organised yet overloaded with text. Infographics or visual directions to facilitate the complicated protection procedures are not used extensively. There is a contact list that has telephone and email access, but the multilingual navigation is not as noticeable as on the councils that cater to very diverse communities (</w:t>
      </w:r>
      <w:r w:rsidR="00A307F1" w:rsidRPr="00A307F1">
        <w:t>Tesser</w:t>
      </w:r>
      <w:r w:rsidRPr="00A307F1">
        <w:t>, O’Brien and Friel, 2022).</w:t>
      </w:r>
      <w:r w:rsidR="00CB0651" w:rsidRPr="00A307F1">
        <w:t xml:space="preserve"> </w:t>
      </w:r>
      <w:r w:rsidRPr="00A307F1">
        <w:t xml:space="preserve">One of the positive factors is the focus of the council on </w:t>
      </w:r>
      <w:r w:rsidR="00CB0651" w:rsidRPr="00A307F1">
        <w:t>partnership</w:t>
      </w:r>
      <w:r w:rsidRPr="00A307F1">
        <w:t xml:space="preserve"> protection and contextual protection</w:t>
      </w:r>
      <w:r w:rsidR="00CB0651" w:rsidRPr="00A307F1">
        <w:t>,</w:t>
      </w:r>
      <w:r w:rsidRPr="00A307F1">
        <w:t xml:space="preserve"> which means a great resemblance to multi-agency values. Nevertheless, some of the limitations include low visualisation and less salient sequential instructions to families who want to access Early Help on their own.</w:t>
      </w:r>
    </w:p>
    <w:p w14:paraId="21AFDB35" w14:textId="08308432" w:rsidR="00261A7F" w:rsidRPr="00A307F1" w:rsidRDefault="00261A7F" w:rsidP="00CB0651">
      <w:pPr>
        <w:pStyle w:val="Heading1"/>
      </w:pPr>
      <w:bookmarkStart w:id="6" w:name="_Toc221912153"/>
      <w:r w:rsidRPr="00A307F1">
        <w:t>Evaluation of Local Authority Website 3: Norfolk County Council</w:t>
      </w:r>
      <w:bookmarkEnd w:id="6"/>
    </w:p>
    <w:p w14:paraId="524C65D2" w14:textId="398DDE3E" w:rsidR="00261A7F" w:rsidRPr="00A307F1" w:rsidRDefault="00261A7F" w:rsidP="00CB0651">
      <w:r w:rsidRPr="00A307F1">
        <w:t xml:space="preserve">Within its children services pages, Norfolk County Council has a more legitimate public-facing Early Help section. The level of accessibility is high, since Early Help can be found in </w:t>
      </w:r>
      <w:r w:rsidR="00CB0651" w:rsidRPr="00A307F1">
        <w:t xml:space="preserve">a </w:t>
      </w:r>
      <w:r w:rsidRPr="00A307F1">
        <w:t>logically structured navigation and does not require an expert to be found.</w:t>
      </w:r>
      <w:r w:rsidR="00CB0651" w:rsidRPr="00A307F1">
        <w:t xml:space="preserve"> </w:t>
      </w:r>
      <w:r w:rsidRPr="00A307F1">
        <w:t>The language is overall made simple and organised into questions that are practical to aid the non-specialist comprehension. The procedures of referral are made transparent with a clear direction on how family members or professionals can seek assistance. This gives strength to confidence and less ambiguity (Osman et al., 2026).</w:t>
      </w:r>
      <w:r w:rsidR="00CB0651" w:rsidRPr="00A307F1">
        <w:t xml:space="preserve"> </w:t>
      </w:r>
      <w:r w:rsidRPr="00A307F1">
        <w:t>Navigation is easy to use, and the subheadings are logical and have a consistent structure (Tahir and Krogstie, 2023). Nevertheless, information is organised</w:t>
      </w:r>
      <w:r w:rsidR="00CB0651" w:rsidRPr="00A307F1">
        <w:t>,</w:t>
      </w:r>
      <w:r w:rsidRPr="00A307F1">
        <w:t xml:space="preserve"> but the use of a visual aid is minimal. With more thresholds of need</w:t>
      </w:r>
      <w:r w:rsidR="00CB0651" w:rsidRPr="00A307F1">
        <w:t>,</w:t>
      </w:r>
      <w:r w:rsidRPr="00A307F1">
        <w:t xml:space="preserve"> diagrams or flowcharts could be created to </w:t>
      </w:r>
      <w:r w:rsidRPr="00A307F1">
        <w:lastRenderedPageBreak/>
        <w:t>improve understanding.</w:t>
      </w:r>
      <w:r w:rsidR="00CB0651" w:rsidRPr="00A307F1">
        <w:t xml:space="preserve"> </w:t>
      </w:r>
      <w:r w:rsidRPr="00A307F1">
        <w:t xml:space="preserve">Norfolk has </w:t>
      </w:r>
      <w:r w:rsidR="00CB0651" w:rsidRPr="00A307F1">
        <w:t xml:space="preserve">a </w:t>
      </w:r>
      <w:r w:rsidRPr="00A307F1">
        <w:t>good application of multi- agency working through a reference to partnership approaches and coordinated responses. Contact information is well presented</w:t>
      </w:r>
      <w:r w:rsidR="00CB0651" w:rsidRPr="00A307F1">
        <w:t>,</w:t>
      </w:r>
      <w:r w:rsidRPr="00A307F1">
        <w:t xml:space="preserve"> as well as having decent accessibility support. However, such aspects of inclusivity as translated contents or culturally adapted instructions may be more pronounced.</w:t>
      </w:r>
      <w:r w:rsidR="00CB0651" w:rsidRPr="00A307F1">
        <w:t xml:space="preserve"> </w:t>
      </w:r>
      <w:r w:rsidRPr="00A307F1">
        <w:t>Generally, Norfolk is clear and well-structured without any flaws in visual presentation and inclusivity message.</w:t>
      </w:r>
    </w:p>
    <w:p w14:paraId="57EB0C45" w14:textId="35600C20" w:rsidR="00261A7F" w:rsidRPr="00A307F1" w:rsidRDefault="00261A7F" w:rsidP="00CB0651">
      <w:pPr>
        <w:pStyle w:val="Heading1"/>
      </w:pPr>
      <w:bookmarkStart w:id="7" w:name="_Toc221912154"/>
      <w:r w:rsidRPr="00A307F1">
        <w:t>Comparative Analysis</w:t>
      </w:r>
      <w:bookmarkEnd w:id="7"/>
    </w:p>
    <w:p w14:paraId="358EAB20" w14:textId="77777777" w:rsidR="00261A7F" w:rsidRPr="00A307F1" w:rsidRDefault="00261A7F" w:rsidP="00CB0651">
      <w:r w:rsidRPr="00A307F1">
        <w:t>Comparing the three local authorities, some distinctions are observed in terms of accessibility, clarity, referral transparency, and inclusiveness.</w:t>
      </w:r>
    </w:p>
    <w:p w14:paraId="3D47BE2C" w14:textId="712DE9B8" w:rsidR="00261A7F" w:rsidRPr="00A307F1" w:rsidRDefault="00261A7F" w:rsidP="00CB0651">
      <w:r w:rsidRPr="00A307F1">
        <w:rPr>
          <w:b/>
          <w:bCs/>
        </w:rPr>
        <w:t>Accessibility:</w:t>
      </w:r>
      <w:r w:rsidRPr="00A307F1">
        <w:t xml:space="preserve"> Leeds and Norfolk are more accessible than Tower Hamlets. Leeds also has easier guidance documentation and Family Hub signposting</w:t>
      </w:r>
      <w:r w:rsidR="00CB0651" w:rsidRPr="00A307F1">
        <w:t>,</w:t>
      </w:r>
      <w:r w:rsidRPr="00A307F1">
        <w:t xml:space="preserve"> whereas Norfolk has logically structured Early Help pages. Tower Hamlets needs additional steps in the navigation, and this might scare the families who are not used to protective language.</w:t>
      </w:r>
    </w:p>
    <w:p w14:paraId="045765C5" w14:textId="127520EB" w:rsidR="00261A7F" w:rsidRPr="00A307F1" w:rsidRDefault="00261A7F" w:rsidP="00CB0651">
      <w:r w:rsidRPr="00A307F1">
        <w:rPr>
          <w:b/>
          <w:bCs/>
        </w:rPr>
        <w:t>Clarity of Information:</w:t>
      </w:r>
      <w:r w:rsidRPr="00A307F1">
        <w:t xml:space="preserve"> Norfolk includes the most transparent</w:t>
      </w:r>
      <w:r w:rsidR="00CB0651" w:rsidRPr="00A307F1">
        <w:t>,</w:t>
      </w:r>
      <w:r w:rsidRPr="00A307F1">
        <w:t xml:space="preserve"> organised definition of Early Help processes. Leeds provides brief overviews but sometimes gives a </w:t>
      </w:r>
      <w:r w:rsidR="00CB0651" w:rsidRPr="00A307F1">
        <w:t>connection</w:t>
      </w:r>
      <w:r w:rsidRPr="00A307F1">
        <w:t xml:space="preserve"> to </w:t>
      </w:r>
      <w:r w:rsidR="00CB0651" w:rsidRPr="00A307F1">
        <w:t>practitioner-based</w:t>
      </w:r>
      <w:r w:rsidRPr="00A307F1">
        <w:t xml:space="preserve"> material. Tower Hamlets conveys </w:t>
      </w:r>
      <w:r w:rsidR="00A307F1" w:rsidRPr="00A307F1">
        <w:t>information</w:t>
      </w:r>
      <w:r w:rsidR="00CB0651" w:rsidRPr="00A307F1">
        <w:t>,</w:t>
      </w:r>
      <w:r w:rsidRPr="00A307F1">
        <w:t xml:space="preserve"> but it is in some ways not packaged in a manner that will be easily understood by a family.</w:t>
      </w:r>
    </w:p>
    <w:p w14:paraId="27E7EA7E" w14:textId="299D7971" w:rsidR="00261A7F" w:rsidRPr="00A307F1" w:rsidRDefault="00261A7F" w:rsidP="00CB0651">
      <w:r w:rsidRPr="00A307F1">
        <w:rPr>
          <w:b/>
          <w:bCs/>
        </w:rPr>
        <w:t>Referral Process:</w:t>
      </w:r>
      <w:r w:rsidRPr="00A307F1">
        <w:t xml:space="preserve"> Norfolk describes the pathways of referrals in the most transparent way. Leeds incorporates referral well </w:t>
      </w:r>
      <w:r w:rsidR="00A307F1" w:rsidRPr="00A307F1">
        <w:t>using</w:t>
      </w:r>
      <w:r w:rsidRPr="00A307F1">
        <w:t xml:space="preserve"> Family Hubs, but it can be made more step-by-step. Tower Hamlets offers referral information and does not always </w:t>
      </w:r>
      <w:r w:rsidR="00A307F1" w:rsidRPr="00A307F1">
        <w:t>pre-empt</w:t>
      </w:r>
      <w:r w:rsidRPr="00A307F1">
        <w:t xml:space="preserve"> self-referral advice.</w:t>
      </w:r>
    </w:p>
    <w:p w14:paraId="071BB8E5" w14:textId="13A4684B" w:rsidR="00261A7F" w:rsidRPr="00A307F1" w:rsidRDefault="00261A7F" w:rsidP="00CB0651">
      <w:r w:rsidRPr="00A307F1">
        <w:rPr>
          <w:b/>
          <w:bCs/>
        </w:rPr>
        <w:t>Multi-Agency Explanation:</w:t>
      </w:r>
      <w:r w:rsidRPr="00A307F1">
        <w:t xml:space="preserve"> The three acknowledge the value of safeguarding partnerships, whereas Leeds gives the most open coverage of the </w:t>
      </w:r>
      <w:r w:rsidR="00CB0651" w:rsidRPr="00A307F1">
        <w:t>connection</w:t>
      </w:r>
      <w:r w:rsidRPr="00A307F1">
        <w:t xml:space="preserve"> of Early Help with the coordinated family support via its Family Hub model (Crawford and </w:t>
      </w:r>
      <w:r w:rsidR="00A307F1" w:rsidRPr="00A307F1">
        <w:t>Lahori</w:t>
      </w:r>
      <w:r w:rsidRPr="00A307F1">
        <w:t>, 2015).</w:t>
      </w:r>
    </w:p>
    <w:p w14:paraId="4D90E9DB" w14:textId="77777777" w:rsidR="00261A7F" w:rsidRPr="00A307F1" w:rsidRDefault="00261A7F" w:rsidP="00CB0651">
      <w:r w:rsidRPr="00A307F1">
        <w:rPr>
          <w:b/>
          <w:bCs/>
        </w:rPr>
        <w:t>Inclusivity:</w:t>
      </w:r>
      <w:r w:rsidRPr="00A307F1">
        <w:t xml:space="preserve"> Leeds has the greatest accessibility measures with favourable interpreting and alternative communication services. Norfolk is organised and somewhat less definite on diversity support, whereas Tower Hamlets might benefit more by making its demographic background more multilingual.</w:t>
      </w:r>
    </w:p>
    <w:p w14:paraId="24C4B9CA" w14:textId="79CE1535" w:rsidR="00CB0651" w:rsidRPr="00A307F1" w:rsidRDefault="00261A7F" w:rsidP="00CB0651">
      <w:r w:rsidRPr="00A307F1">
        <w:lastRenderedPageBreak/>
        <w:t>On balance, Norfolk and Leeds are comparatively better off</w:t>
      </w:r>
      <w:r w:rsidR="00CB0651" w:rsidRPr="00A307F1">
        <w:t>,</w:t>
      </w:r>
      <w:r w:rsidRPr="00A307F1">
        <w:t xml:space="preserve"> whereas Tower Hamlets requires more simplicity and visualisation. </w:t>
      </w:r>
    </w:p>
    <w:p w14:paraId="0BB9A5F2" w14:textId="66A5FB33" w:rsidR="00261A7F" w:rsidRPr="00A307F1" w:rsidRDefault="00261A7F" w:rsidP="00CB0651">
      <w:pPr>
        <w:pStyle w:val="Heading1"/>
      </w:pPr>
      <w:bookmarkStart w:id="8" w:name="_Toc221912155"/>
      <w:r w:rsidRPr="00A307F1">
        <w:t>Conclusion and Recommendations</w:t>
      </w:r>
      <w:bookmarkEnd w:id="8"/>
    </w:p>
    <w:p w14:paraId="485C85D2" w14:textId="12AAE341" w:rsidR="00CB0651" w:rsidRPr="00A307F1" w:rsidRDefault="00261A7F" w:rsidP="00CB0651">
      <w:r w:rsidRPr="00A307F1">
        <w:t xml:space="preserve">In this report, there was an examination of the communication of Early Help Provision by Leeds City Council, Tower Hamlets Council and Norfolk County Council on their </w:t>
      </w:r>
      <w:r w:rsidR="00CB0651" w:rsidRPr="00A307F1">
        <w:t>websites</w:t>
      </w:r>
      <w:r w:rsidRPr="00A307F1">
        <w:t xml:space="preserve"> based on factors such as the level of accessibility, clarity, transparency of referral, multi-agency provision and inclusivity. Good Early Help is based on a combination of both policy adherence and presentation of support to families in </w:t>
      </w:r>
      <w:r w:rsidR="00CB0651" w:rsidRPr="00A307F1">
        <w:t xml:space="preserve">a </w:t>
      </w:r>
      <w:r w:rsidRPr="00A307F1">
        <w:t xml:space="preserve">clear manner when needed. The analysis shows that Norfolk County Council has the most balanced and available information. The system is </w:t>
      </w:r>
      <w:r w:rsidR="00CB0651" w:rsidRPr="00A307F1">
        <w:t>easier</w:t>
      </w:r>
      <w:r w:rsidRPr="00A307F1">
        <w:t xml:space="preserve"> to navigate due to its structured layout, presentation of referral channels and logical navigation that rendered the system easier to understand by non-specialist users. Leeds also exhibits high accessibility characteristics and </w:t>
      </w:r>
      <w:r w:rsidR="00CB0651" w:rsidRPr="00A307F1">
        <w:t>well-defined</w:t>
      </w:r>
      <w:r w:rsidRPr="00A307F1">
        <w:t xml:space="preserve"> </w:t>
      </w:r>
      <w:r w:rsidR="00CB0651" w:rsidRPr="00A307F1">
        <w:t>connections</w:t>
      </w:r>
      <w:r w:rsidRPr="00A307F1">
        <w:t xml:space="preserve"> to partnership working, but more direction on referral step-by-step instructions would enhance the trustworthiness of the users. Tower Hamlets is consistent with the principles of safeguarding, but it might use a simplified navigation and more noticeable descriptions of the given support. </w:t>
      </w:r>
      <w:r w:rsidR="00A307F1" w:rsidRPr="00A307F1">
        <w:t>To</w:t>
      </w:r>
      <w:r w:rsidRPr="00A307F1">
        <w:t xml:space="preserve"> improve its efficiency, it is necessary that local authorities employ family-friendliness within their communications </w:t>
      </w:r>
      <w:r w:rsidR="00CB0651" w:rsidRPr="00A307F1">
        <w:t>regularly</w:t>
      </w:r>
      <w:r w:rsidRPr="00A307F1">
        <w:t>, include visual referral flowcharts, increase multilingual and culturally responsive content, and explicitly articulate multi-agency responsibilities according to the statutory safeguarding recommendations. These enhancements would enhance the preventative care provision practice and empower families to seek Early Help services with ease and confidence.</w:t>
      </w:r>
    </w:p>
    <w:p w14:paraId="0AC8BDC0" w14:textId="77777777" w:rsidR="00CB0651" w:rsidRPr="00A307F1" w:rsidRDefault="00CB0651">
      <w:pPr>
        <w:jc w:val="left"/>
      </w:pPr>
      <w:r w:rsidRPr="00A307F1">
        <w:br w:type="page"/>
      </w:r>
    </w:p>
    <w:p w14:paraId="6B3BA4B9" w14:textId="318C76AF" w:rsidR="00F63F0F" w:rsidRPr="00A307F1" w:rsidRDefault="00F63F0F" w:rsidP="00F63F0F">
      <w:pPr>
        <w:pStyle w:val="Heading1"/>
      </w:pPr>
      <w:bookmarkStart w:id="9" w:name="_Toc221912156"/>
      <w:r w:rsidRPr="00A307F1">
        <w:lastRenderedPageBreak/>
        <w:t>References</w:t>
      </w:r>
      <w:bookmarkEnd w:id="9"/>
    </w:p>
    <w:p w14:paraId="6A2B4670" w14:textId="2E0608FB" w:rsidR="00F63F0F" w:rsidRPr="00A307F1" w:rsidRDefault="00F63F0F" w:rsidP="00F63F0F">
      <w:pPr>
        <w:rPr>
          <w:sz w:val="24"/>
          <w:szCs w:val="24"/>
        </w:rPr>
      </w:pPr>
      <w:r w:rsidRPr="00A307F1">
        <w:t xml:space="preserve">Chambers, D., Cantrell, A. and Booth, A. (2021). Recognition of Risk and Prevention in Safeguarding of Children and Young people: a Mapping Review and Component Analysis of Service Development Interventions Aimed at Health and Social Care Professionals. </w:t>
      </w:r>
      <w:r w:rsidRPr="00A307F1">
        <w:rPr>
          <w:i/>
          <w:iCs/>
        </w:rPr>
        <w:t>BMC Health Services Research</w:t>
      </w:r>
      <w:r w:rsidRPr="00A307F1">
        <w:t xml:space="preserve">, [online] 21(1). </w:t>
      </w:r>
      <w:proofErr w:type="spellStart"/>
      <w:r w:rsidRPr="00A307F1">
        <w:t>doi</w:t>
      </w:r>
      <w:proofErr w:type="spellEnd"/>
      <w:r w:rsidRPr="00A307F1">
        <w:t xml:space="preserve">: </w:t>
      </w:r>
      <w:hyperlink r:id="rId9" w:history="1">
        <w:r w:rsidRPr="00A307F1">
          <w:rPr>
            <w:rStyle w:val="Hyperlink"/>
          </w:rPr>
          <w:t>https://doi.org/10.1186/s12913-021-07257-8</w:t>
        </w:r>
      </w:hyperlink>
      <w:r w:rsidRPr="00A307F1">
        <w:t xml:space="preserve"> </w:t>
      </w:r>
    </w:p>
    <w:p w14:paraId="193A32FF" w14:textId="7F3F5EE9" w:rsidR="00F63F0F" w:rsidRPr="00A307F1" w:rsidRDefault="00F63F0F" w:rsidP="00F63F0F">
      <w:proofErr w:type="spellStart"/>
      <w:r w:rsidRPr="00A307F1">
        <w:t>Cheminais</w:t>
      </w:r>
      <w:proofErr w:type="spellEnd"/>
      <w:r w:rsidRPr="00A307F1">
        <w:t xml:space="preserve">, R. (2019). Effective multi-agency partnerships. </w:t>
      </w:r>
      <w:r w:rsidRPr="00A307F1">
        <w:rPr>
          <w:i/>
          <w:iCs/>
        </w:rPr>
        <w:t>Early Years Educator</w:t>
      </w:r>
      <w:r w:rsidRPr="00A307F1">
        <w:t xml:space="preserve">, 11(3), pp.44–50. </w:t>
      </w:r>
      <w:proofErr w:type="spellStart"/>
      <w:r w:rsidRPr="00A307F1">
        <w:t>doi</w:t>
      </w:r>
      <w:proofErr w:type="spellEnd"/>
      <w:r w:rsidRPr="00A307F1">
        <w:t xml:space="preserve">: </w:t>
      </w:r>
      <w:hyperlink r:id="rId10" w:history="1">
        <w:r w:rsidRPr="00A307F1">
          <w:rPr>
            <w:rStyle w:val="Hyperlink"/>
          </w:rPr>
          <w:t>https://doi.org/10.12968/eyed.2009.11.3.42743</w:t>
        </w:r>
      </w:hyperlink>
      <w:r w:rsidRPr="00A307F1">
        <w:t xml:space="preserve"> </w:t>
      </w:r>
    </w:p>
    <w:p w14:paraId="68C32139" w14:textId="36C53F0A" w:rsidR="00F63F0F" w:rsidRPr="00A307F1" w:rsidRDefault="00F63F0F" w:rsidP="00F63F0F">
      <w:r w:rsidRPr="00A307F1">
        <w:t xml:space="preserve">Crawford, A. and </w:t>
      </w:r>
      <w:proofErr w:type="spellStart"/>
      <w:r w:rsidRPr="00A307F1">
        <w:t>L’Hoiry</w:t>
      </w:r>
      <w:proofErr w:type="spellEnd"/>
      <w:r w:rsidRPr="00A307F1">
        <w:t xml:space="preserve">, X.D. (2015). </w:t>
      </w:r>
      <w:r w:rsidRPr="00A307F1">
        <w:rPr>
          <w:i/>
          <w:iCs/>
        </w:rPr>
        <w:t>Partnerships in the Delivery of Policing and Safeguarding Children</w:t>
      </w:r>
      <w:r w:rsidRPr="00A307F1">
        <w:t xml:space="preserve">. [online] ResearchGate. Available at: </w:t>
      </w:r>
      <w:hyperlink r:id="rId11" w:history="1">
        <w:r w:rsidRPr="00A307F1">
          <w:rPr>
            <w:rStyle w:val="Hyperlink"/>
          </w:rPr>
          <w:t>https://www.researchgate.net/publication/309699804_Partnerships_in_the_Delivery_of_Policing_and_Safeguarding_Children</w:t>
        </w:r>
      </w:hyperlink>
      <w:r w:rsidRPr="00A307F1">
        <w:t xml:space="preserve"> </w:t>
      </w:r>
    </w:p>
    <w:p w14:paraId="20DE7794" w14:textId="43745865" w:rsidR="00F63F0F" w:rsidRPr="00A307F1" w:rsidRDefault="00F63F0F" w:rsidP="00F63F0F">
      <w:r w:rsidRPr="00A307F1">
        <w:t xml:space="preserve">Gada, S. (2022). </w:t>
      </w:r>
      <w:r w:rsidRPr="00A307F1">
        <w:rPr>
          <w:i/>
          <w:iCs/>
        </w:rPr>
        <w:t>Child protection and safeguarding</w:t>
      </w:r>
      <w:r w:rsidRPr="00A307F1">
        <w:t xml:space="preserve">. [online] ResearchGate. Available at: </w:t>
      </w:r>
      <w:hyperlink r:id="rId12" w:history="1">
        <w:r w:rsidRPr="00A307F1">
          <w:rPr>
            <w:rStyle w:val="Hyperlink"/>
          </w:rPr>
          <w:t>https://www.researchgate.net/publication/360908118_Child_protection_and_safeguarding</w:t>
        </w:r>
      </w:hyperlink>
      <w:r w:rsidRPr="00A307F1">
        <w:t xml:space="preserve"> </w:t>
      </w:r>
    </w:p>
    <w:p w14:paraId="119E2383" w14:textId="77777777" w:rsidR="00F63F0F" w:rsidRPr="00A307F1" w:rsidRDefault="00F63F0F" w:rsidP="00F63F0F">
      <w:r w:rsidRPr="00A307F1">
        <w:t xml:space="preserve">Kamal, N., </w:t>
      </w:r>
      <w:proofErr w:type="spellStart"/>
      <w:r w:rsidRPr="00A307F1">
        <w:t>Sakrani</w:t>
      </w:r>
      <w:proofErr w:type="spellEnd"/>
      <w:r w:rsidRPr="00A307F1">
        <w:t xml:space="preserve">, S.N.R. and Maidin, A. (2023). Communication Barriers in Work Environment: Understanding Impact and Challenges. </w:t>
      </w:r>
      <w:r w:rsidRPr="00A307F1">
        <w:rPr>
          <w:i/>
          <w:iCs/>
        </w:rPr>
        <w:t>International Journal of Academic Research in Business &amp; Social Sciences</w:t>
      </w:r>
      <w:r w:rsidRPr="00A307F1">
        <w:t>, 13(11), pp.1489–1503.</w:t>
      </w:r>
    </w:p>
    <w:p w14:paraId="7AC51BA6" w14:textId="5893CE7E" w:rsidR="00F63F0F" w:rsidRPr="00A307F1" w:rsidRDefault="00F63F0F" w:rsidP="00F63F0F">
      <w:r w:rsidRPr="00A307F1">
        <w:t xml:space="preserve">Mestre, T.D., Lopes, M.J., Pedro Costa, A. and Caldeira, E.V. (2025). Family Self-Care Pattern in Families with Children with Intellectual Disabilities: A Pilot Study. </w:t>
      </w:r>
      <w:r w:rsidRPr="00A307F1">
        <w:rPr>
          <w:i/>
          <w:iCs/>
        </w:rPr>
        <w:t>Healthcare</w:t>
      </w:r>
      <w:r w:rsidRPr="00A307F1">
        <w:t xml:space="preserve">, 13(7), p.791. </w:t>
      </w:r>
      <w:proofErr w:type="spellStart"/>
      <w:r w:rsidRPr="00A307F1">
        <w:t>doi</w:t>
      </w:r>
      <w:proofErr w:type="spellEnd"/>
      <w:r w:rsidRPr="00A307F1">
        <w:t xml:space="preserve">: </w:t>
      </w:r>
      <w:hyperlink r:id="rId13" w:history="1">
        <w:r w:rsidRPr="00A307F1">
          <w:rPr>
            <w:rStyle w:val="Hyperlink"/>
          </w:rPr>
          <w:t>https://doi.org/10.3390/healthcare13070791</w:t>
        </w:r>
      </w:hyperlink>
      <w:r w:rsidRPr="00A307F1">
        <w:t xml:space="preserve"> </w:t>
      </w:r>
    </w:p>
    <w:p w14:paraId="76C29EF2" w14:textId="7941AA49" w:rsidR="00F63F0F" w:rsidRPr="00A307F1" w:rsidRDefault="00F63F0F" w:rsidP="00F63F0F">
      <w:r w:rsidRPr="00A307F1">
        <w:t xml:space="preserve">Osman, S., Harrison, R., Burton, C., Hider, S. and Faux-Nightingale, A. (2026). Defining a theoretical framework for a quality referral at the primary-secondary care interface: a systematic scoping review with qualitative content analysis. </w:t>
      </w:r>
      <w:r w:rsidRPr="00A307F1">
        <w:rPr>
          <w:i/>
          <w:iCs/>
        </w:rPr>
        <w:t>British Journal of General Practice</w:t>
      </w:r>
      <w:r w:rsidRPr="00A307F1">
        <w:t xml:space="preserve">, [online] </w:t>
      </w:r>
      <w:proofErr w:type="gramStart"/>
      <w:r w:rsidRPr="00A307F1">
        <w:t>p.BJGP</w:t>
      </w:r>
      <w:proofErr w:type="gramEnd"/>
      <w:r w:rsidRPr="00A307F1">
        <w:t xml:space="preserve">.2025.0304. </w:t>
      </w:r>
      <w:proofErr w:type="spellStart"/>
      <w:r w:rsidRPr="00A307F1">
        <w:t>doi</w:t>
      </w:r>
      <w:proofErr w:type="spellEnd"/>
      <w:r w:rsidRPr="00A307F1">
        <w:t xml:space="preserve">: </w:t>
      </w:r>
      <w:hyperlink r:id="rId14" w:history="1">
        <w:r w:rsidRPr="00A307F1">
          <w:rPr>
            <w:rStyle w:val="Hyperlink"/>
          </w:rPr>
          <w:t>https://doi.org/10.3399/BJGP.2025.0304</w:t>
        </w:r>
      </w:hyperlink>
      <w:r w:rsidRPr="00A307F1">
        <w:t xml:space="preserve"> </w:t>
      </w:r>
    </w:p>
    <w:p w14:paraId="23589CA2" w14:textId="359A23AD" w:rsidR="00F63F0F" w:rsidRPr="00A307F1" w:rsidRDefault="00F63F0F" w:rsidP="00F63F0F">
      <w:r w:rsidRPr="00A307F1">
        <w:t xml:space="preserve">Purcell, C., Baginsky, M. and </w:t>
      </w:r>
      <w:proofErr w:type="spellStart"/>
      <w:r w:rsidRPr="00A307F1">
        <w:t>Steils</w:t>
      </w:r>
      <w:proofErr w:type="spellEnd"/>
      <w:r w:rsidRPr="00A307F1">
        <w:t xml:space="preserve">, N. (2025). No quick fixes: Multi-agency working to improve information-sharing on men and keep children safe. </w:t>
      </w:r>
      <w:r w:rsidRPr="00A307F1">
        <w:rPr>
          <w:i/>
          <w:iCs/>
        </w:rPr>
        <w:t>The British Journal of Social Work</w:t>
      </w:r>
      <w:r w:rsidRPr="00A307F1">
        <w:t xml:space="preserve">. </w:t>
      </w:r>
      <w:proofErr w:type="spellStart"/>
      <w:r w:rsidRPr="00A307F1">
        <w:t>doi</w:t>
      </w:r>
      <w:proofErr w:type="spellEnd"/>
      <w:r w:rsidRPr="00A307F1">
        <w:t xml:space="preserve">: </w:t>
      </w:r>
      <w:hyperlink r:id="rId15" w:history="1">
        <w:r w:rsidRPr="00A307F1">
          <w:rPr>
            <w:rStyle w:val="Hyperlink"/>
          </w:rPr>
          <w:t>https://doi.org/10.1093/bjsw/bcaf249</w:t>
        </w:r>
      </w:hyperlink>
      <w:r w:rsidRPr="00A307F1">
        <w:t xml:space="preserve"> </w:t>
      </w:r>
    </w:p>
    <w:p w14:paraId="197DA9ED" w14:textId="0A19A2AA" w:rsidR="00F63F0F" w:rsidRPr="00A307F1" w:rsidRDefault="00F63F0F" w:rsidP="00F63F0F">
      <w:r w:rsidRPr="00A307F1">
        <w:lastRenderedPageBreak/>
        <w:t xml:space="preserve">Skinner, R., Napier, J. and Braun, S. (2018). Interpreting via Video Link: </w:t>
      </w:r>
      <w:r w:rsidRPr="00A307F1">
        <w:rPr>
          <w:i/>
          <w:iCs/>
        </w:rPr>
        <w:t>Here or There</w:t>
      </w:r>
      <w:r w:rsidRPr="00A307F1">
        <w:t xml:space="preserve">, pp.11–36. </w:t>
      </w:r>
      <w:proofErr w:type="spellStart"/>
      <w:r w:rsidRPr="00A307F1">
        <w:t>doi</w:t>
      </w:r>
      <w:proofErr w:type="spellEnd"/>
      <w:r w:rsidRPr="00A307F1">
        <w:t xml:space="preserve">: </w:t>
      </w:r>
      <w:hyperlink r:id="rId16" w:history="1">
        <w:r w:rsidRPr="00A307F1">
          <w:rPr>
            <w:rStyle w:val="Hyperlink"/>
          </w:rPr>
          <w:t>https://doi.org/10.2307/j.ctv2rh2bs3.4</w:t>
        </w:r>
      </w:hyperlink>
      <w:r w:rsidRPr="00A307F1">
        <w:t xml:space="preserve"> </w:t>
      </w:r>
    </w:p>
    <w:p w14:paraId="04ECAFFC" w14:textId="0BE8B8B1" w:rsidR="00F63F0F" w:rsidRPr="00A307F1" w:rsidRDefault="00F63F0F" w:rsidP="00F63F0F">
      <w:r w:rsidRPr="00A307F1">
        <w:t xml:space="preserve">Sokol, B.W., Hammond, S.I., </w:t>
      </w:r>
      <w:proofErr w:type="spellStart"/>
      <w:r w:rsidRPr="00A307F1">
        <w:t>Kuebli</w:t>
      </w:r>
      <w:proofErr w:type="spellEnd"/>
      <w:r w:rsidRPr="00A307F1">
        <w:t xml:space="preserve">, J. and Sweetman, L. (2015). The Development of Agency. </w:t>
      </w:r>
      <w:r w:rsidRPr="00A307F1">
        <w:rPr>
          <w:i/>
          <w:iCs/>
        </w:rPr>
        <w:t>The Development of Agency</w:t>
      </w:r>
      <w:r w:rsidRPr="00A307F1">
        <w:t xml:space="preserve">, pp.1–39. </w:t>
      </w:r>
      <w:proofErr w:type="spellStart"/>
      <w:r w:rsidRPr="00A307F1">
        <w:t>doi</w:t>
      </w:r>
      <w:proofErr w:type="spellEnd"/>
      <w:r w:rsidRPr="00A307F1">
        <w:t xml:space="preserve">: </w:t>
      </w:r>
      <w:hyperlink r:id="rId17" w:history="1">
        <w:r w:rsidRPr="00A307F1">
          <w:rPr>
            <w:rStyle w:val="Hyperlink"/>
          </w:rPr>
          <w:t>https://doi.org/10.1002/9781118963418.childpsy108</w:t>
        </w:r>
      </w:hyperlink>
      <w:r w:rsidRPr="00A307F1">
        <w:t xml:space="preserve"> </w:t>
      </w:r>
    </w:p>
    <w:p w14:paraId="07280395" w14:textId="4F0649C6" w:rsidR="00F63F0F" w:rsidRPr="00A307F1" w:rsidRDefault="00F63F0F" w:rsidP="00F63F0F">
      <w:r w:rsidRPr="00A307F1">
        <w:t xml:space="preserve">Tahir, R. and Krogstie, J. (2023). Impact of Navigation Aid and Spatial Ability Skills on Wayfinding Performance and Workload in Indoor-Outdoor Campus Navigation: Challenges and Design. </w:t>
      </w:r>
      <w:r w:rsidRPr="00A307F1">
        <w:rPr>
          <w:i/>
          <w:iCs/>
        </w:rPr>
        <w:t>Applied Sciences</w:t>
      </w:r>
      <w:r w:rsidRPr="00A307F1">
        <w:t xml:space="preserve">, [online] 13(17), p.9508. </w:t>
      </w:r>
      <w:proofErr w:type="spellStart"/>
      <w:r w:rsidRPr="00A307F1">
        <w:t>doi</w:t>
      </w:r>
      <w:proofErr w:type="spellEnd"/>
      <w:r w:rsidRPr="00A307F1">
        <w:t xml:space="preserve">: </w:t>
      </w:r>
      <w:hyperlink r:id="rId18" w:history="1">
        <w:r w:rsidRPr="00A307F1">
          <w:rPr>
            <w:rStyle w:val="Hyperlink"/>
          </w:rPr>
          <w:t>https://doi.org/10.3390/app13179508</w:t>
        </w:r>
      </w:hyperlink>
      <w:r w:rsidRPr="00A307F1">
        <w:t xml:space="preserve"> </w:t>
      </w:r>
    </w:p>
    <w:p w14:paraId="251E24FA" w14:textId="77AB750F" w:rsidR="00F63F0F" w:rsidRPr="00A307F1" w:rsidRDefault="00F63F0F" w:rsidP="00F63F0F">
      <w:r w:rsidRPr="00A307F1">
        <w:t xml:space="preserve">Taylor, S., Drayton, E. and </w:t>
      </w:r>
      <w:proofErr w:type="spellStart"/>
      <w:r w:rsidRPr="00A307F1">
        <w:t>Mcbride</w:t>
      </w:r>
      <w:proofErr w:type="spellEnd"/>
      <w:r w:rsidRPr="00A307F1">
        <w:t xml:space="preserve">, T. (2021). </w:t>
      </w:r>
      <w:r w:rsidRPr="00A307F1">
        <w:rPr>
          <w:i/>
          <w:iCs/>
        </w:rPr>
        <w:t>Evaluating early help: A guide to evaluation of complex local early help systems</w:t>
      </w:r>
      <w:r w:rsidRPr="00A307F1">
        <w:t xml:space="preserve">. [online] Available at: </w:t>
      </w:r>
      <w:hyperlink r:id="rId19" w:history="1">
        <w:r w:rsidRPr="00A307F1">
          <w:rPr>
            <w:rStyle w:val="Hyperlink"/>
          </w:rPr>
          <w:t>https://www.researchgate.net/publication/356144005_Evaluating_early_help_A_guide_to_evaluation_of_complex_local_early_help_systems</w:t>
        </w:r>
      </w:hyperlink>
      <w:r w:rsidRPr="00A307F1">
        <w:t xml:space="preserve"> </w:t>
      </w:r>
    </w:p>
    <w:p w14:paraId="107D46FE" w14:textId="48CA7351" w:rsidR="00F63F0F" w:rsidRPr="00A307F1" w:rsidRDefault="00F63F0F" w:rsidP="00F63F0F">
      <w:proofErr w:type="spellStart"/>
      <w:r w:rsidRPr="00A307F1">
        <w:t>Tesseur</w:t>
      </w:r>
      <w:proofErr w:type="spellEnd"/>
      <w:r w:rsidRPr="00A307F1">
        <w:t xml:space="preserve">, W., O’Brien, S. and Friel, E. (2022). Language diversity and inclusion in humanitarian organisations. </w:t>
      </w:r>
      <w:proofErr w:type="spellStart"/>
      <w:r w:rsidRPr="00A307F1">
        <w:rPr>
          <w:i/>
          <w:iCs/>
        </w:rPr>
        <w:t>Linguistica</w:t>
      </w:r>
      <w:proofErr w:type="spellEnd"/>
      <w:r w:rsidRPr="00A307F1">
        <w:rPr>
          <w:i/>
          <w:iCs/>
        </w:rPr>
        <w:t xml:space="preserve"> </w:t>
      </w:r>
      <w:proofErr w:type="spellStart"/>
      <w:r w:rsidRPr="00A307F1">
        <w:rPr>
          <w:i/>
          <w:iCs/>
        </w:rPr>
        <w:t>Antverpiensia</w:t>
      </w:r>
      <w:proofErr w:type="spellEnd"/>
      <w:r w:rsidRPr="00A307F1">
        <w:rPr>
          <w:i/>
          <w:iCs/>
        </w:rPr>
        <w:t>, New Series – Themes in Translation Studies</w:t>
      </w:r>
      <w:r w:rsidRPr="00A307F1">
        <w:t xml:space="preserve">, 21. </w:t>
      </w:r>
      <w:proofErr w:type="spellStart"/>
      <w:r w:rsidRPr="00A307F1">
        <w:t>doi</w:t>
      </w:r>
      <w:proofErr w:type="spellEnd"/>
      <w:r w:rsidRPr="00A307F1">
        <w:t xml:space="preserve">: </w:t>
      </w:r>
      <w:hyperlink r:id="rId20" w:history="1">
        <w:r w:rsidRPr="00A307F1">
          <w:rPr>
            <w:rStyle w:val="Hyperlink"/>
          </w:rPr>
          <w:t>https://doi.org/10.52034/lanstts.v21i.733</w:t>
        </w:r>
      </w:hyperlink>
      <w:r w:rsidRPr="00A307F1">
        <w:t xml:space="preserve"> </w:t>
      </w:r>
    </w:p>
    <w:p w14:paraId="00E59195" w14:textId="77777777" w:rsidR="007F1655" w:rsidRPr="00261A7F" w:rsidRDefault="007F1655" w:rsidP="00CB0651"/>
    <w:sectPr w:rsidR="007F1655" w:rsidRPr="00261A7F">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0EF9B" w14:textId="77777777" w:rsidR="003A35DB" w:rsidRPr="00A307F1" w:rsidRDefault="003A35DB" w:rsidP="00F63F0F">
      <w:pPr>
        <w:spacing w:before="0" w:after="0" w:line="240" w:lineRule="auto"/>
      </w:pPr>
      <w:r w:rsidRPr="00A307F1">
        <w:separator/>
      </w:r>
    </w:p>
  </w:endnote>
  <w:endnote w:type="continuationSeparator" w:id="0">
    <w:p w14:paraId="4DF86C77" w14:textId="77777777" w:rsidR="003A35DB" w:rsidRPr="00A307F1" w:rsidRDefault="003A35DB" w:rsidP="00F63F0F">
      <w:pPr>
        <w:spacing w:before="0" w:after="0" w:line="240" w:lineRule="auto"/>
      </w:pPr>
      <w:r w:rsidRPr="00A307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828363"/>
      <w:docPartObj>
        <w:docPartGallery w:val="Page Numbers (Bottom of Page)"/>
        <w:docPartUnique/>
      </w:docPartObj>
    </w:sdtPr>
    <w:sdtEndPr>
      <w:rPr>
        <w:color w:val="7F7F7F" w:themeColor="background1" w:themeShade="7F"/>
        <w:spacing w:val="60"/>
      </w:rPr>
    </w:sdtEndPr>
    <w:sdtContent>
      <w:p w14:paraId="2DA46957" w14:textId="56A273D0" w:rsidR="00F63F0F" w:rsidRPr="00A307F1" w:rsidRDefault="00F63F0F">
        <w:pPr>
          <w:pStyle w:val="Footer"/>
          <w:pBdr>
            <w:top w:val="single" w:sz="4" w:space="1" w:color="D9D9D9" w:themeColor="background1" w:themeShade="D9"/>
          </w:pBdr>
          <w:rPr>
            <w:b/>
            <w:bCs/>
          </w:rPr>
        </w:pPr>
        <w:r w:rsidRPr="00A307F1">
          <w:fldChar w:fldCharType="begin"/>
        </w:r>
        <w:r w:rsidRPr="00A307F1">
          <w:instrText xml:space="preserve"> PAGE   \* MERGEFORMAT </w:instrText>
        </w:r>
        <w:r w:rsidRPr="00A307F1">
          <w:fldChar w:fldCharType="separate"/>
        </w:r>
        <w:r w:rsidRPr="00A307F1">
          <w:rPr>
            <w:b/>
            <w:bCs/>
          </w:rPr>
          <w:t>2</w:t>
        </w:r>
        <w:r w:rsidRPr="00A307F1">
          <w:rPr>
            <w:b/>
            <w:bCs/>
          </w:rPr>
          <w:fldChar w:fldCharType="end"/>
        </w:r>
        <w:r w:rsidRPr="00A307F1">
          <w:rPr>
            <w:b/>
            <w:bCs/>
          </w:rPr>
          <w:t xml:space="preserve"> | </w:t>
        </w:r>
        <w:r w:rsidRPr="00A307F1">
          <w:rPr>
            <w:color w:val="7F7F7F" w:themeColor="background1" w:themeShade="7F"/>
            <w:spacing w:val="60"/>
          </w:rPr>
          <w:t>Page</w:t>
        </w:r>
      </w:p>
    </w:sdtContent>
  </w:sdt>
  <w:p w14:paraId="3C46FA44" w14:textId="77777777" w:rsidR="00F63F0F" w:rsidRPr="00A307F1" w:rsidRDefault="00F63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F1B72" w14:textId="77777777" w:rsidR="003A35DB" w:rsidRPr="00A307F1" w:rsidRDefault="003A35DB" w:rsidP="00F63F0F">
      <w:pPr>
        <w:spacing w:before="0" w:after="0" w:line="240" w:lineRule="auto"/>
      </w:pPr>
      <w:r w:rsidRPr="00A307F1">
        <w:separator/>
      </w:r>
    </w:p>
  </w:footnote>
  <w:footnote w:type="continuationSeparator" w:id="0">
    <w:p w14:paraId="783A0971" w14:textId="77777777" w:rsidR="003A35DB" w:rsidRPr="00A307F1" w:rsidRDefault="003A35DB" w:rsidP="00F63F0F">
      <w:pPr>
        <w:spacing w:before="0" w:after="0" w:line="240" w:lineRule="auto"/>
      </w:pPr>
      <w:r w:rsidRPr="00A307F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E47"/>
    <w:rsid w:val="001217E7"/>
    <w:rsid w:val="001C342E"/>
    <w:rsid w:val="00261A7F"/>
    <w:rsid w:val="00294427"/>
    <w:rsid w:val="00301E7B"/>
    <w:rsid w:val="00314743"/>
    <w:rsid w:val="003A35DB"/>
    <w:rsid w:val="004606AB"/>
    <w:rsid w:val="00545E47"/>
    <w:rsid w:val="005D3EA4"/>
    <w:rsid w:val="00671354"/>
    <w:rsid w:val="006E069B"/>
    <w:rsid w:val="007F1655"/>
    <w:rsid w:val="0085757A"/>
    <w:rsid w:val="008A718D"/>
    <w:rsid w:val="009B4A6E"/>
    <w:rsid w:val="00A307F1"/>
    <w:rsid w:val="00CB0651"/>
    <w:rsid w:val="00D26ADB"/>
    <w:rsid w:val="00DA2007"/>
    <w:rsid w:val="00E37058"/>
    <w:rsid w:val="00E84593"/>
    <w:rsid w:val="00F63F0F"/>
    <w:rsid w:val="00FA0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FCD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A7F"/>
    <w:pPr>
      <w:jc w:val="both"/>
    </w:pPr>
    <w:rPr>
      <w:rFonts w:ascii="Arial" w:hAnsi="Arial"/>
      <w:lang w:val="en-GB"/>
    </w:rPr>
  </w:style>
  <w:style w:type="paragraph" w:styleId="Heading1">
    <w:name w:val="heading 1"/>
    <w:basedOn w:val="Normal"/>
    <w:next w:val="Normal"/>
    <w:link w:val="Heading1Char"/>
    <w:uiPriority w:val="9"/>
    <w:qFormat/>
    <w:rsid w:val="00CB0651"/>
    <w:pPr>
      <w:outlineLvl w:val="0"/>
    </w:pPr>
    <w:rPr>
      <w:b/>
      <w:sz w:val="28"/>
    </w:rPr>
  </w:style>
  <w:style w:type="paragraph" w:styleId="Heading2">
    <w:name w:val="heading 2"/>
    <w:basedOn w:val="Normal"/>
    <w:next w:val="Normal"/>
    <w:link w:val="Heading2Char"/>
    <w:uiPriority w:val="9"/>
    <w:unhideWhenUsed/>
    <w:qFormat/>
    <w:rsid w:val="0029442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651"/>
    <w:rPr>
      <w:rFonts w:ascii="Arial" w:hAnsi="Arial"/>
      <w:b/>
      <w:sz w:val="28"/>
    </w:rPr>
  </w:style>
  <w:style w:type="character" w:customStyle="1" w:styleId="Heading2Char">
    <w:name w:val="Heading 2 Char"/>
    <w:basedOn w:val="DefaultParagraphFont"/>
    <w:link w:val="Heading2"/>
    <w:uiPriority w:val="9"/>
    <w:rsid w:val="00294427"/>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F63F0F"/>
    <w:pPr>
      <w:spacing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3F0F"/>
    <w:rPr>
      <w:color w:val="0563C1" w:themeColor="hyperlink"/>
      <w:u w:val="single"/>
    </w:rPr>
  </w:style>
  <w:style w:type="character" w:styleId="UnresolvedMention">
    <w:name w:val="Unresolved Mention"/>
    <w:basedOn w:val="DefaultParagraphFont"/>
    <w:uiPriority w:val="99"/>
    <w:semiHidden/>
    <w:unhideWhenUsed/>
    <w:rsid w:val="00F63F0F"/>
    <w:rPr>
      <w:color w:val="605E5C"/>
      <w:shd w:val="clear" w:color="auto" w:fill="E1DFDD"/>
    </w:rPr>
  </w:style>
  <w:style w:type="paragraph" w:styleId="Header">
    <w:name w:val="header"/>
    <w:basedOn w:val="Normal"/>
    <w:link w:val="HeaderChar"/>
    <w:uiPriority w:val="99"/>
    <w:unhideWhenUsed/>
    <w:rsid w:val="00F63F0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63F0F"/>
    <w:rPr>
      <w:rFonts w:ascii="Arial" w:hAnsi="Arial"/>
    </w:rPr>
  </w:style>
  <w:style w:type="paragraph" w:styleId="Footer">
    <w:name w:val="footer"/>
    <w:basedOn w:val="Normal"/>
    <w:link w:val="FooterChar"/>
    <w:uiPriority w:val="99"/>
    <w:unhideWhenUsed/>
    <w:rsid w:val="00F63F0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63F0F"/>
    <w:rPr>
      <w:rFonts w:ascii="Arial" w:hAnsi="Arial"/>
    </w:rPr>
  </w:style>
  <w:style w:type="paragraph" w:styleId="TOCHeading">
    <w:name w:val="TOC Heading"/>
    <w:basedOn w:val="Heading1"/>
    <w:next w:val="Normal"/>
    <w:uiPriority w:val="39"/>
    <w:unhideWhenUsed/>
    <w:qFormat/>
    <w:rsid w:val="00F63F0F"/>
    <w:pPr>
      <w:keepNext/>
      <w:keepLines/>
      <w:spacing w:before="240" w:beforeAutospacing="0" w:after="0" w:afterAutospacing="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63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331163">
      <w:bodyDiv w:val="1"/>
      <w:marLeft w:val="0"/>
      <w:marRight w:val="0"/>
      <w:marTop w:val="0"/>
      <w:marBottom w:val="0"/>
      <w:divBdr>
        <w:top w:val="none" w:sz="0" w:space="0" w:color="auto"/>
        <w:left w:val="none" w:sz="0" w:space="0" w:color="auto"/>
        <w:bottom w:val="none" w:sz="0" w:space="0" w:color="auto"/>
        <w:right w:val="none" w:sz="0" w:space="0" w:color="auto"/>
      </w:divBdr>
      <w:divsChild>
        <w:div w:id="1015156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3390/healthcare13070791" TargetMode="External"/><Relationship Id="rId18" Type="http://schemas.openxmlformats.org/officeDocument/2006/relationships/hyperlink" Target="https://doi.org/10.3390/app1317950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researchgate.net/publication/360908118_Child_protection_and_safeguarding" TargetMode="External"/><Relationship Id="rId17" Type="http://schemas.openxmlformats.org/officeDocument/2006/relationships/hyperlink" Target="https://doi.org/10.1002/9781118963418.childpsy108" TargetMode="External"/><Relationship Id="rId2" Type="http://schemas.openxmlformats.org/officeDocument/2006/relationships/styles" Target="styles.xml"/><Relationship Id="rId16" Type="http://schemas.openxmlformats.org/officeDocument/2006/relationships/hyperlink" Target="https://doi.org/10.2307/j.ctv2rh2bs3.4" TargetMode="External"/><Relationship Id="rId20" Type="http://schemas.openxmlformats.org/officeDocument/2006/relationships/hyperlink" Target="https://doi.org/10.52034/lanstts.v21i.73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309699804_Partnerships_in_the_Delivery_of_Policing_and_Safeguarding_Children" TargetMode="External"/><Relationship Id="rId5" Type="http://schemas.openxmlformats.org/officeDocument/2006/relationships/footnotes" Target="footnotes.xml"/><Relationship Id="rId15" Type="http://schemas.openxmlformats.org/officeDocument/2006/relationships/hyperlink" Target="https://doi.org/10.1093/bjsw/bcaf249" TargetMode="External"/><Relationship Id="rId23" Type="http://schemas.openxmlformats.org/officeDocument/2006/relationships/theme" Target="theme/theme1.xml"/><Relationship Id="rId10" Type="http://schemas.openxmlformats.org/officeDocument/2006/relationships/hyperlink" Target="https://doi.org/10.12968/eyed.2009.11.3.42743" TargetMode="External"/><Relationship Id="rId19" Type="http://schemas.openxmlformats.org/officeDocument/2006/relationships/hyperlink" Target="https://www.researchgate.net/publication/356144005_Evaluating_early_help_A_guide_to_evaluation_of_complex_local_early_help_systems" TargetMode="External"/><Relationship Id="rId4" Type="http://schemas.openxmlformats.org/officeDocument/2006/relationships/webSettings" Target="webSettings.xml"/><Relationship Id="rId9" Type="http://schemas.openxmlformats.org/officeDocument/2006/relationships/hyperlink" Target="https://doi.org/10.1186/s12913-021-07257-8" TargetMode="External"/><Relationship Id="rId14" Type="http://schemas.openxmlformats.org/officeDocument/2006/relationships/hyperlink" Target="https://doi.org/10.3399/BJGP.2025.030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7553A-ED7D-4809-926E-EC23FC23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2932</Words>
  <Characters>16715</Characters>
  <Application>Microsoft Office Word</Application>
  <DocSecurity>0</DocSecurity>
  <Lines>139</Lines>
  <Paragraphs>39</Paragraphs>
  <ScaleCrop>false</ScaleCrop>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2026-03-15T13:17:00Z</dcterms:created>
  <dcterms:modified xsi:type="dcterms:W3CDTF">2026-03-15T13:17:00Z</dcterms:modified>
</cp:coreProperties>
</file>