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57182" w14:textId="77777777" w:rsidR="00233F8D" w:rsidRPr="00C435A2" w:rsidRDefault="00233F8D" w:rsidP="00C435A2">
      <w:pPr>
        <w:spacing w:line="360" w:lineRule="auto"/>
        <w:jc w:val="center"/>
        <w:rPr>
          <w:rFonts w:ascii="Arial" w:hAnsi="Arial" w:cs="Arial"/>
          <w:sz w:val="22"/>
          <w:szCs w:val="22"/>
        </w:rPr>
      </w:pPr>
      <w:r w:rsidRPr="00C435A2">
        <w:rPr>
          <w:rFonts w:ascii="Arial" w:hAnsi="Arial" w:cs="Arial"/>
          <w:sz w:val="22"/>
          <w:szCs w:val="22"/>
        </w:rPr>
        <w:t>Name: Heena Khan</w:t>
      </w:r>
    </w:p>
    <w:p w14:paraId="01204A8B" w14:textId="77777777" w:rsidR="00233F8D" w:rsidRPr="00C435A2" w:rsidRDefault="00233F8D" w:rsidP="00C435A2">
      <w:pPr>
        <w:spacing w:line="360" w:lineRule="auto"/>
        <w:jc w:val="center"/>
        <w:rPr>
          <w:rFonts w:ascii="Arial" w:hAnsi="Arial" w:cs="Arial"/>
          <w:sz w:val="22"/>
          <w:szCs w:val="22"/>
        </w:rPr>
      </w:pPr>
      <w:r w:rsidRPr="00C435A2">
        <w:rPr>
          <w:rFonts w:ascii="Arial" w:hAnsi="Arial" w:cs="Arial"/>
          <w:sz w:val="22"/>
          <w:szCs w:val="22"/>
        </w:rPr>
        <w:t>Student number: 2419590</w:t>
      </w:r>
    </w:p>
    <w:p w14:paraId="4ED86075" w14:textId="0F99A62C" w:rsidR="00233F8D" w:rsidRPr="00C435A2" w:rsidRDefault="00233F8D" w:rsidP="00C435A2">
      <w:pPr>
        <w:spacing w:line="360" w:lineRule="auto"/>
        <w:jc w:val="center"/>
        <w:rPr>
          <w:rFonts w:ascii="Arial" w:hAnsi="Arial" w:cs="Arial"/>
          <w:sz w:val="22"/>
          <w:szCs w:val="22"/>
        </w:rPr>
      </w:pPr>
      <w:r w:rsidRPr="00C435A2">
        <w:rPr>
          <w:rFonts w:ascii="Arial" w:hAnsi="Arial" w:cs="Arial"/>
          <w:sz w:val="22"/>
          <w:szCs w:val="22"/>
        </w:rPr>
        <w:t xml:space="preserve">Module Name: </w:t>
      </w:r>
      <w:r w:rsidRPr="00C435A2">
        <w:rPr>
          <w:rFonts w:ascii="Arial" w:hAnsi="Arial" w:cs="Arial"/>
          <w:sz w:val="22"/>
          <w:szCs w:val="22"/>
        </w:rPr>
        <w:t>Psychology in Health and Social Care</w:t>
      </w:r>
    </w:p>
    <w:p w14:paraId="5DF9378E" w14:textId="2E8EDEB9" w:rsidR="00233F8D" w:rsidRPr="00C435A2" w:rsidRDefault="00233F8D" w:rsidP="00C435A2">
      <w:pPr>
        <w:spacing w:line="360" w:lineRule="auto"/>
        <w:jc w:val="center"/>
        <w:rPr>
          <w:rFonts w:ascii="Arial" w:hAnsi="Arial" w:cs="Arial"/>
          <w:sz w:val="22"/>
          <w:szCs w:val="22"/>
        </w:rPr>
      </w:pPr>
      <w:r w:rsidRPr="00C435A2">
        <w:rPr>
          <w:rFonts w:ascii="Arial" w:hAnsi="Arial" w:cs="Arial"/>
          <w:sz w:val="22"/>
          <w:szCs w:val="22"/>
        </w:rPr>
        <w:t>Module Code: LCHS40</w:t>
      </w:r>
      <w:r w:rsidRPr="00C435A2">
        <w:rPr>
          <w:rFonts w:ascii="Arial" w:hAnsi="Arial" w:cs="Arial"/>
          <w:sz w:val="22"/>
          <w:szCs w:val="22"/>
        </w:rPr>
        <w:t>10</w:t>
      </w:r>
    </w:p>
    <w:p w14:paraId="3CD519BA" w14:textId="3A6AA51F" w:rsidR="00233F8D" w:rsidRPr="00C435A2" w:rsidRDefault="00233F8D" w:rsidP="00C435A2">
      <w:pPr>
        <w:spacing w:line="360" w:lineRule="auto"/>
        <w:jc w:val="center"/>
        <w:rPr>
          <w:rFonts w:ascii="Arial" w:hAnsi="Arial" w:cs="Arial"/>
          <w:sz w:val="22"/>
          <w:szCs w:val="22"/>
        </w:rPr>
      </w:pPr>
      <w:r w:rsidRPr="00C435A2">
        <w:rPr>
          <w:rFonts w:ascii="Arial" w:hAnsi="Arial" w:cs="Arial"/>
          <w:sz w:val="22"/>
          <w:szCs w:val="22"/>
        </w:rPr>
        <w:t>Lectur</w:t>
      </w:r>
      <w:r w:rsidRPr="00C435A2">
        <w:rPr>
          <w:rFonts w:ascii="Arial" w:hAnsi="Arial" w:cs="Arial"/>
          <w:sz w:val="22"/>
          <w:szCs w:val="22"/>
        </w:rPr>
        <w:t>er</w:t>
      </w:r>
      <w:r w:rsidRPr="00C435A2">
        <w:rPr>
          <w:rFonts w:ascii="Arial" w:hAnsi="Arial" w:cs="Arial"/>
          <w:sz w:val="22"/>
          <w:szCs w:val="22"/>
        </w:rPr>
        <w:t xml:space="preserve"> Name: </w:t>
      </w:r>
      <w:r w:rsidR="001C0F43" w:rsidRPr="00C435A2">
        <w:rPr>
          <w:rFonts w:ascii="Arial" w:hAnsi="Arial" w:cs="Arial"/>
          <w:sz w:val="22"/>
          <w:szCs w:val="22"/>
        </w:rPr>
        <w:t>Neale Haddon</w:t>
      </w:r>
    </w:p>
    <w:p w14:paraId="1C205A50" w14:textId="77777777" w:rsidR="001C0F43" w:rsidRPr="00C435A2" w:rsidRDefault="00233F8D" w:rsidP="00C435A2">
      <w:pPr>
        <w:spacing w:line="360" w:lineRule="auto"/>
        <w:ind w:left="720"/>
        <w:jc w:val="center"/>
        <w:rPr>
          <w:rFonts w:ascii="Arial" w:hAnsi="Arial" w:cs="Arial"/>
          <w:sz w:val="22"/>
          <w:szCs w:val="22"/>
        </w:rPr>
      </w:pPr>
      <w:r w:rsidRPr="00C435A2">
        <w:rPr>
          <w:rFonts w:ascii="Arial" w:hAnsi="Arial" w:cs="Arial"/>
          <w:sz w:val="22"/>
          <w:szCs w:val="22"/>
        </w:rPr>
        <w:t xml:space="preserve">Title: </w:t>
      </w:r>
      <w:r w:rsidR="001C0F43" w:rsidRPr="00C435A2">
        <w:rPr>
          <w:rFonts w:ascii="Arial" w:hAnsi="Arial" w:cs="Arial"/>
          <w:sz w:val="22"/>
          <w:szCs w:val="22"/>
        </w:rPr>
        <w:t>Supporting Psychological Wellbeing in Dementia Care: A Practical Guide to Applying Erikson's and Bowlby's Theories.</w:t>
      </w:r>
    </w:p>
    <w:p w14:paraId="43907364" w14:textId="0DF827DC" w:rsidR="00233F8D" w:rsidRPr="00C435A2" w:rsidRDefault="00233F8D" w:rsidP="00C435A2">
      <w:pPr>
        <w:spacing w:line="360" w:lineRule="auto"/>
        <w:ind w:left="720"/>
        <w:jc w:val="center"/>
        <w:rPr>
          <w:rFonts w:ascii="Arial" w:hAnsi="Arial" w:cs="Arial"/>
          <w:sz w:val="22"/>
          <w:szCs w:val="22"/>
        </w:rPr>
      </w:pPr>
      <w:r w:rsidRPr="00C435A2">
        <w:rPr>
          <w:rFonts w:ascii="Arial" w:hAnsi="Arial" w:cs="Arial"/>
          <w:sz w:val="22"/>
          <w:szCs w:val="22"/>
        </w:rPr>
        <w:t xml:space="preserve">Topic: </w:t>
      </w:r>
      <w:r w:rsidR="001C0F43" w:rsidRPr="00C435A2">
        <w:rPr>
          <w:rFonts w:ascii="Arial" w:hAnsi="Arial" w:cs="Arial"/>
          <w:sz w:val="22"/>
          <w:szCs w:val="22"/>
        </w:rPr>
        <w:t>Elderly residents with Dementia in a Care home</w:t>
      </w:r>
    </w:p>
    <w:p w14:paraId="335DD209" w14:textId="77777777" w:rsidR="00233F8D" w:rsidRPr="00C435A2" w:rsidRDefault="00233F8D" w:rsidP="00C435A2">
      <w:pPr>
        <w:spacing w:line="360" w:lineRule="auto"/>
        <w:rPr>
          <w:rFonts w:ascii="Arial" w:hAnsi="Arial" w:cs="Arial"/>
          <w:sz w:val="22"/>
          <w:szCs w:val="22"/>
        </w:rPr>
      </w:pPr>
    </w:p>
    <w:p w14:paraId="6B3730FB" w14:textId="77777777" w:rsidR="00611117" w:rsidRPr="00C435A2" w:rsidRDefault="00611117" w:rsidP="00C435A2">
      <w:pPr>
        <w:spacing w:line="360" w:lineRule="auto"/>
        <w:rPr>
          <w:rFonts w:ascii="Arial" w:hAnsi="Arial" w:cs="Arial"/>
          <w:sz w:val="22"/>
          <w:szCs w:val="22"/>
        </w:rPr>
      </w:pPr>
    </w:p>
    <w:p w14:paraId="381C3421" w14:textId="77777777" w:rsidR="00611117" w:rsidRPr="00C435A2" w:rsidRDefault="00611117" w:rsidP="00C435A2">
      <w:pPr>
        <w:spacing w:line="360" w:lineRule="auto"/>
        <w:rPr>
          <w:rFonts w:ascii="Arial" w:hAnsi="Arial" w:cs="Arial"/>
          <w:sz w:val="22"/>
          <w:szCs w:val="22"/>
        </w:rPr>
      </w:pPr>
    </w:p>
    <w:p w14:paraId="414B49D1" w14:textId="77777777" w:rsidR="00611117" w:rsidRPr="00C435A2" w:rsidRDefault="00611117" w:rsidP="00C435A2">
      <w:pPr>
        <w:spacing w:line="360" w:lineRule="auto"/>
        <w:rPr>
          <w:rFonts w:ascii="Arial" w:hAnsi="Arial" w:cs="Arial"/>
          <w:sz w:val="22"/>
          <w:szCs w:val="22"/>
        </w:rPr>
      </w:pPr>
    </w:p>
    <w:p w14:paraId="5925FA89" w14:textId="77777777" w:rsidR="00611117" w:rsidRPr="00C435A2" w:rsidRDefault="00611117" w:rsidP="00C435A2">
      <w:pPr>
        <w:spacing w:line="360" w:lineRule="auto"/>
        <w:rPr>
          <w:rFonts w:ascii="Arial" w:hAnsi="Arial" w:cs="Arial"/>
          <w:sz w:val="22"/>
          <w:szCs w:val="22"/>
        </w:rPr>
      </w:pPr>
    </w:p>
    <w:p w14:paraId="7D3837BF" w14:textId="77777777" w:rsidR="00611117" w:rsidRPr="00C435A2" w:rsidRDefault="00611117" w:rsidP="00C435A2">
      <w:pPr>
        <w:spacing w:line="360" w:lineRule="auto"/>
        <w:rPr>
          <w:rFonts w:ascii="Arial" w:hAnsi="Arial" w:cs="Arial"/>
          <w:sz w:val="22"/>
          <w:szCs w:val="22"/>
        </w:rPr>
      </w:pPr>
    </w:p>
    <w:p w14:paraId="01A8C3E3" w14:textId="77777777" w:rsidR="00611117" w:rsidRPr="00C435A2" w:rsidRDefault="00611117" w:rsidP="00C435A2">
      <w:pPr>
        <w:spacing w:line="360" w:lineRule="auto"/>
        <w:rPr>
          <w:rFonts w:ascii="Arial" w:hAnsi="Arial" w:cs="Arial"/>
          <w:sz w:val="22"/>
          <w:szCs w:val="22"/>
        </w:rPr>
      </w:pPr>
    </w:p>
    <w:p w14:paraId="49A6A96F" w14:textId="77777777" w:rsidR="00611117" w:rsidRPr="00C435A2" w:rsidRDefault="00611117" w:rsidP="00C435A2">
      <w:pPr>
        <w:spacing w:line="360" w:lineRule="auto"/>
        <w:rPr>
          <w:rFonts w:ascii="Arial" w:hAnsi="Arial" w:cs="Arial"/>
          <w:sz w:val="22"/>
          <w:szCs w:val="22"/>
        </w:rPr>
      </w:pPr>
    </w:p>
    <w:p w14:paraId="4CEA61BF" w14:textId="77777777" w:rsidR="00611117" w:rsidRPr="00C435A2" w:rsidRDefault="00611117" w:rsidP="00C435A2">
      <w:pPr>
        <w:spacing w:line="360" w:lineRule="auto"/>
        <w:rPr>
          <w:rFonts w:ascii="Arial" w:hAnsi="Arial" w:cs="Arial"/>
          <w:sz w:val="22"/>
          <w:szCs w:val="22"/>
        </w:rPr>
      </w:pPr>
    </w:p>
    <w:p w14:paraId="6D2D0756" w14:textId="77777777" w:rsidR="00611117" w:rsidRPr="00C435A2" w:rsidRDefault="00611117" w:rsidP="00C435A2">
      <w:pPr>
        <w:spacing w:line="360" w:lineRule="auto"/>
        <w:rPr>
          <w:rFonts w:ascii="Arial" w:hAnsi="Arial" w:cs="Arial"/>
          <w:sz w:val="22"/>
          <w:szCs w:val="22"/>
        </w:rPr>
      </w:pPr>
    </w:p>
    <w:p w14:paraId="77AC208A" w14:textId="77777777" w:rsidR="00611117" w:rsidRPr="00C435A2" w:rsidRDefault="00611117" w:rsidP="00C435A2">
      <w:pPr>
        <w:spacing w:line="360" w:lineRule="auto"/>
        <w:rPr>
          <w:rFonts w:ascii="Arial" w:hAnsi="Arial" w:cs="Arial"/>
          <w:sz w:val="22"/>
          <w:szCs w:val="22"/>
        </w:rPr>
      </w:pPr>
    </w:p>
    <w:p w14:paraId="5E17A032" w14:textId="77777777" w:rsidR="00611117" w:rsidRPr="00C435A2" w:rsidRDefault="00611117" w:rsidP="00C435A2">
      <w:pPr>
        <w:spacing w:line="360" w:lineRule="auto"/>
        <w:rPr>
          <w:rFonts w:ascii="Arial" w:hAnsi="Arial" w:cs="Arial"/>
          <w:sz w:val="22"/>
          <w:szCs w:val="22"/>
        </w:rPr>
      </w:pPr>
    </w:p>
    <w:p w14:paraId="2CB3FBEB" w14:textId="77777777" w:rsidR="00611117" w:rsidRPr="00C435A2" w:rsidRDefault="00611117" w:rsidP="00C435A2">
      <w:pPr>
        <w:spacing w:line="360" w:lineRule="auto"/>
        <w:rPr>
          <w:rFonts w:ascii="Arial" w:hAnsi="Arial" w:cs="Arial"/>
          <w:sz w:val="22"/>
          <w:szCs w:val="22"/>
        </w:rPr>
      </w:pPr>
    </w:p>
    <w:p w14:paraId="5AF29D55" w14:textId="77777777" w:rsidR="00611117" w:rsidRPr="00C435A2" w:rsidRDefault="00611117" w:rsidP="00C435A2">
      <w:pPr>
        <w:spacing w:line="360" w:lineRule="auto"/>
        <w:rPr>
          <w:rFonts w:ascii="Arial" w:hAnsi="Arial" w:cs="Arial"/>
          <w:sz w:val="22"/>
          <w:szCs w:val="22"/>
        </w:rPr>
      </w:pPr>
    </w:p>
    <w:p w14:paraId="6CCA1D39" w14:textId="77777777" w:rsidR="00611117" w:rsidRPr="00C435A2" w:rsidRDefault="00611117" w:rsidP="00C435A2">
      <w:pPr>
        <w:spacing w:line="360" w:lineRule="auto"/>
        <w:rPr>
          <w:rFonts w:ascii="Arial" w:hAnsi="Arial" w:cs="Arial"/>
          <w:sz w:val="22"/>
          <w:szCs w:val="22"/>
        </w:rPr>
      </w:pPr>
    </w:p>
    <w:p w14:paraId="68CC8C7F" w14:textId="77777777" w:rsidR="00611117" w:rsidRPr="00C435A2" w:rsidRDefault="00611117" w:rsidP="00C435A2">
      <w:pPr>
        <w:spacing w:line="360" w:lineRule="auto"/>
        <w:rPr>
          <w:rFonts w:ascii="Arial" w:hAnsi="Arial" w:cs="Arial"/>
          <w:sz w:val="22"/>
          <w:szCs w:val="22"/>
        </w:rPr>
      </w:pPr>
    </w:p>
    <w:p w14:paraId="74AC68C0" w14:textId="77777777" w:rsidR="00611117" w:rsidRPr="00C435A2" w:rsidRDefault="00611117" w:rsidP="00C435A2">
      <w:pPr>
        <w:spacing w:line="360" w:lineRule="auto"/>
        <w:rPr>
          <w:rFonts w:ascii="Arial" w:hAnsi="Arial" w:cs="Arial"/>
          <w:sz w:val="22"/>
          <w:szCs w:val="22"/>
        </w:rPr>
      </w:pPr>
    </w:p>
    <w:p w14:paraId="299EF15B" w14:textId="77777777" w:rsidR="00611117" w:rsidRPr="00C435A2" w:rsidRDefault="00611117" w:rsidP="00C435A2">
      <w:pPr>
        <w:spacing w:line="360" w:lineRule="auto"/>
        <w:rPr>
          <w:rFonts w:ascii="Arial" w:hAnsi="Arial" w:cs="Arial"/>
          <w:sz w:val="22"/>
          <w:szCs w:val="22"/>
        </w:rPr>
      </w:pPr>
    </w:p>
    <w:p w14:paraId="354DC0FB" w14:textId="77777777" w:rsidR="00611117" w:rsidRPr="00C435A2" w:rsidRDefault="00611117" w:rsidP="00C435A2">
      <w:pPr>
        <w:spacing w:line="360" w:lineRule="auto"/>
        <w:rPr>
          <w:rFonts w:ascii="Arial" w:hAnsi="Arial" w:cs="Arial"/>
          <w:sz w:val="22"/>
          <w:szCs w:val="22"/>
        </w:rPr>
      </w:pPr>
    </w:p>
    <w:p w14:paraId="26D3D42A" w14:textId="77777777" w:rsidR="00611117" w:rsidRPr="00C435A2" w:rsidRDefault="00611117" w:rsidP="00C435A2">
      <w:pPr>
        <w:spacing w:line="360" w:lineRule="auto"/>
        <w:rPr>
          <w:rFonts w:ascii="Arial" w:hAnsi="Arial" w:cs="Arial"/>
          <w:sz w:val="22"/>
          <w:szCs w:val="22"/>
        </w:rPr>
      </w:pPr>
    </w:p>
    <w:p w14:paraId="50EBBD33" w14:textId="6F0B1E10" w:rsidR="00611117" w:rsidRPr="00C435A2" w:rsidRDefault="00611117" w:rsidP="00C435A2">
      <w:pPr>
        <w:spacing w:line="360" w:lineRule="auto"/>
        <w:rPr>
          <w:rFonts w:ascii="Arial" w:hAnsi="Arial" w:cs="Arial"/>
          <w:b/>
          <w:bCs/>
          <w:sz w:val="22"/>
          <w:szCs w:val="22"/>
        </w:rPr>
      </w:pPr>
      <w:r w:rsidRPr="00C435A2">
        <w:rPr>
          <w:rFonts w:ascii="Arial" w:hAnsi="Arial" w:cs="Arial"/>
          <w:b/>
          <w:bCs/>
          <w:sz w:val="22"/>
          <w:szCs w:val="22"/>
        </w:rPr>
        <w:t xml:space="preserve">Introduction – </w:t>
      </w:r>
    </w:p>
    <w:p w14:paraId="41C177A1" w14:textId="2DB04B34" w:rsidR="0036591A" w:rsidRPr="00C435A2" w:rsidRDefault="0036591A" w:rsidP="00C435A2">
      <w:pPr>
        <w:spacing w:line="360" w:lineRule="auto"/>
        <w:rPr>
          <w:rFonts w:ascii="Arial" w:hAnsi="Arial" w:cs="Arial"/>
          <w:sz w:val="22"/>
          <w:szCs w:val="22"/>
        </w:rPr>
      </w:pPr>
      <w:r w:rsidRPr="00C435A2">
        <w:rPr>
          <w:rFonts w:ascii="Arial" w:hAnsi="Arial" w:cs="Arial"/>
          <w:sz w:val="22"/>
          <w:szCs w:val="22"/>
        </w:rPr>
        <w:t>Delivering high-quality, person-centred care to older adults with dementia presents a significant challenge within health and social care. Individuals residing in dementia care homes must contend with progressive cognitive deterioration, all while managing the profound psychological adjustment of leaving their established homes, routines, and social networks. This transition to an institutional environment can frequently exacerbate symptoms of confusion, anxiety, and grief</w:t>
      </w:r>
      <w:r w:rsidRPr="00C435A2">
        <w:rPr>
          <w:rFonts w:ascii="Arial" w:hAnsi="Arial" w:cs="Arial"/>
          <w:sz w:val="22"/>
          <w:szCs w:val="22"/>
        </w:rPr>
        <w:t>. In this context,</w:t>
      </w:r>
      <w:r w:rsidRPr="00C435A2">
        <w:rPr>
          <w:rFonts w:ascii="Arial" w:hAnsi="Arial" w:cs="Arial"/>
          <w:sz w:val="22"/>
          <w:szCs w:val="22"/>
        </w:rPr>
        <w:t xml:space="preserve"> psychological theories and empirical research provide an essential framework for professionals, enabling a deeper comprehension of residents' subjective experiences. Moving beyond a solely medical approach allows staff to build supportive environments that promote wellbeing, dignity, and personhood</w:t>
      </w:r>
      <w:r w:rsidR="00AC79FA" w:rsidRPr="00C435A2">
        <w:rPr>
          <w:rFonts w:ascii="Arial" w:hAnsi="Arial" w:cs="Arial"/>
          <w:sz w:val="22"/>
          <w:szCs w:val="22"/>
        </w:rPr>
        <w:t xml:space="preserve"> to all patients.</w:t>
      </w:r>
    </w:p>
    <w:p w14:paraId="7183583B" w14:textId="0D31922D" w:rsidR="00611117" w:rsidRPr="00C435A2" w:rsidRDefault="00611117" w:rsidP="00C435A2">
      <w:pPr>
        <w:spacing w:line="360" w:lineRule="auto"/>
        <w:rPr>
          <w:rFonts w:ascii="Arial" w:hAnsi="Arial" w:cs="Arial"/>
          <w:sz w:val="22"/>
          <w:szCs w:val="22"/>
        </w:rPr>
      </w:pPr>
      <w:r w:rsidRPr="00C435A2">
        <w:rPr>
          <w:rFonts w:ascii="Arial" w:hAnsi="Arial" w:cs="Arial"/>
          <w:sz w:val="22"/>
          <w:szCs w:val="22"/>
        </w:rPr>
        <w:t>This report will provide a detailed overview and critical application of two pivotal psychological theories: Erikson’s psychosocial theory of development and Bowlby’s attachment theory. It will demonstrate how these frameworks can be practically utilised to address the behavioural and psychological challenges of dementia, thereby enhancing the quality of care and the lived experience of residents</w:t>
      </w:r>
      <w:r w:rsidRPr="00C435A2">
        <w:rPr>
          <w:rFonts w:ascii="Arial" w:hAnsi="Arial" w:cs="Arial"/>
          <w:sz w:val="22"/>
          <w:szCs w:val="22"/>
        </w:rPr>
        <w:t xml:space="preserve"> in a care home.</w:t>
      </w:r>
    </w:p>
    <w:p w14:paraId="7D8551B5" w14:textId="6C527890" w:rsidR="00AC79FA" w:rsidRPr="00C435A2" w:rsidRDefault="00AC79FA" w:rsidP="00C435A2">
      <w:pPr>
        <w:spacing w:line="360" w:lineRule="auto"/>
        <w:jc w:val="center"/>
        <w:rPr>
          <w:rFonts w:ascii="Arial" w:hAnsi="Arial" w:cs="Arial"/>
          <w:b/>
          <w:bCs/>
          <w:sz w:val="22"/>
          <w:szCs w:val="22"/>
        </w:rPr>
      </w:pPr>
      <w:r w:rsidRPr="00C435A2">
        <w:rPr>
          <w:rFonts w:ascii="Arial" w:hAnsi="Arial" w:cs="Arial"/>
          <w:b/>
          <w:bCs/>
          <w:sz w:val="22"/>
          <w:szCs w:val="22"/>
        </w:rPr>
        <w:t>Section 1 – Eriksons Psychosocial Theory</w:t>
      </w:r>
    </w:p>
    <w:p w14:paraId="04132F29" w14:textId="683E3ADD" w:rsidR="00AC79FA" w:rsidRPr="00C435A2" w:rsidRDefault="00AC79FA" w:rsidP="00C435A2">
      <w:pPr>
        <w:spacing w:line="360" w:lineRule="auto"/>
        <w:rPr>
          <w:rFonts w:ascii="Arial" w:hAnsi="Arial" w:cs="Arial"/>
          <w:b/>
          <w:bCs/>
          <w:sz w:val="22"/>
          <w:szCs w:val="22"/>
        </w:rPr>
      </w:pPr>
      <w:r w:rsidRPr="00C435A2">
        <w:rPr>
          <w:rFonts w:ascii="Arial" w:hAnsi="Arial" w:cs="Arial"/>
          <w:b/>
          <w:bCs/>
          <w:sz w:val="22"/>
          <w:szCs w:val="22"/>
        </w:rPr>
        <w:t xml:space="preserve">Overview of </w:t>
      </w:r>
      <w:r w:rsidR="009950D3" w:rsidRPr="00C435A2">
        <w:rPr>
          <w:rFonts w:ascii="Arial" w:hAnsi="Arial" w:cs="Arial"/>
          <w:b/>
          <w:bCs/>
          <w:sz w:val="22"/>
          <w:szCs w:val="22"/>
        </w:rPr>
        <w:t xml:space="preserve">Eriksons Psychosocial Theory - </w:t>
      </w:r>
    </w:p>
    <w:p w14:paraId="74629874" w14:textId="77777777" w:rsidR="00AC79FA" w:rsidRPr="00C435A2" w:rsidRDefault="00AC79FA" w:rsidP="00C435A2">
      <w:pPr>
        <w:spacing w:line="360" w:lineRule="auto"/>
        <w:rPr>
          <w:rFonts w:ascii="Arial" w:hAnsi="Arial" w:cs="Arial"/>
          <w:sz w:val="22"/>
          <w:szCs w:val="22"/>
        </w:rPr>
      </w:pPr>
      <w:r w:rsidRPr="00AC79FA">
        <w:rPr>
          <w:rFonts w:ascii="Arial" w:hAnsi="Arial" w:cs="Arial"/>
          <w:sz w:val="22"/>
          <w:szCs w:val="22"/>
        </w:rPr>
        <w:t>Erikson's psychosocial theory describes human development as eight stages that range from infancy to old age. Each stage poses a distinct psychological challenge that shapes an individual's personality and well-being (Erikson, 1963). Unlike theories that focus primarily on childhood or adolescence, Erikson's theory highlights that growth occurs throughout life, making it particularly beneficial for understanding the experiences of older adults.</w:t>
      </w:r>
    </w:p>
    <w:p w14:paraId="4C254A7A" w14:textId="7A1E355E" w:rsidR="004D1067" w:rsidRPr="00C435A2" w:rsidRDefault="004D1067" w:rsidP="00C435A2">
      <w:pPr>
        <w:spacing w:line="360" w:lineRule="auto"/>
        <w:rPr>
          <w:rFonts w:ascii="Arial" w:hAnsi="Arial" w:cs="Arial"/>
          <w:sz w:val="22"/>
          <w:szCs w:val="22"/>
        </w:rPr>
      </w:pPr>
      <w:r w:rsidRPr="004D1067">
        <w:rPr>
          <w:rFonts w:ascii="Arial" w:hAnsi="Arial" w:cs="Arial"/>
          <w:sz w:val="22"/>
          <w:szCs w:val="22"/>
        </w:rPr>
        <w:t>For adults above the age of 65, the critical stage</w:t>
      </w:r>
      <w:r w:rsidRPr="00C435A2">
        <w:rPr>
          <w:rFonts w:ascii="Arial" w:hAnsi="Arial" w:cs="Arial"/>
          <w:sz w:val="22"/>
          <w:szCs w:val="22"/>
        </w:rPr>
        <w:t xml:space="preserve"> within this theory</w:t>
      </w:r>
      <w:r w:rsidRPr="004D1067">
        <w:rPr>
          <w:rFonts w:ascii="Arial" w:hAnsi="Arial" w:cs="Arial"/>
          <w:sz w:val="22"/>
          <w:szCs w:val="22"/>
        </w:rPr>
        <w:t xml:space="preserve"> is Ego Integrity vs. Despair. During this stage, people reflect on their lives, what they have accomplished, the relationships they have formed, and the meaning of their experiences. When this reflection leads to acceptance of both triumphs and failures, individuals acquire ego integrity, which brings a sense of serenity, wisdom, and a decreased fear of death (Erikson, 1982). Individuals who believe their life has been squandered or are burdened with unresolved regrets may experience despair, which is frequently accompanied by sadness, rage, or worry for the future.</w:t>
      </w:r>
    </w:p>
    <w:p w14:paraId="2F65AB9A" w14:textId="082B5366" w:rsidR="004D1067" w:rsidRPr="00C435A2" w:rsidRDefault="004D1067" w:rsidP="00C435A2">
      <w:pPr>
        <w:spacing w:line="360" w:lineRule="auto"/>
        <w:rPr>
          <w:rFonts w:ascii="Arial" w:hAnsi="Arial" w:cs="Arial"/>
          <w:sz w:val="22"/>
          <w:szCs w:val="22"/>
        </w:rPr>
      </w:pPr>
      <w:r w:rsidRPr="004D1067">
        <w:rPr>
          <w:rFonts w:ascii="Arial" w:hAnsi="Arial" w:cs="Arial"/>
          <w:sz w:val="22"/>
          <w:szCs w:val="22"/>
        </w:rPr>
        <w:lastRenderedPageBreak/>
        <w:t>The concept of integrity is crucial for elderl</w:t>
      </w:r>
      <w:r w:rsidRPr="00C435A2">
        <w:rPr>
          <w:rFonts w:ascii="Arial" w:hAnsi="Arial" w:cs="Arial"/>
          <w:sz w:val="22"/>
          <w:szCs w:val="22"/>
        </w:rPr>
        <w:t>y individuals</w:t>
      </w:r>
      <w:r w:rsidRPr="004D1067">
        <w:rPr>
          <w:rFonts w:ascii="Arial" w:hAnsi="Arial" w:cs="Arial"/>
          <w:sz w:val="22"/>
          <w:szCs w:val="22"/>
        </w:rPr>
        <w:t xml:space="preserve"> </w:t>
      </w:r>
      <w:r w:rsidRPr="00C435A2">
        <w:rPr>
          <w:rFonts w:ascii="Arial" w:hAnsi="Arial" w:cs="Arial"/>
          <w:sz w:val="22"/>
          <w:szCs w:val="22"/>
        </w:rPr>
        <w:t>residing</w:t>
      </w:r>
      <w:r w:rsidRPr="004D1067">
        <w:rPr>
          <w:rFonts w:ascii="Arial" w:hAnsi="Arial" w:cs="Arial"/>
          <w:sz w:val="22"/>
          <w:szCs w:val="22"/>
        </w:rPr>
        <w:t xml:space="preserve"> in nursing facilities. Many residents may feel disconnected from their previous responsibilities, routines, and sense of self. Activities such as reminiscing, life narrative work, and discussing prior experiences might help them find significance and retain their identity. Brown and Lowis (2003) argue that promoting this type of contemplation is critical for emotional well-being. </w:t>
      </w:r>
      <w:r w:rsidRPr="00C435A2">
        <w:rPr>
          <w:rFonts w:ascii="Arial" w:hAnsi="Arial" w:cs="Arial"/>
          <w:sz w:val="22"/>
          <w:szCs w:val="22"/>
        </w:rPr>
        <w:t>It allows care staff to offer more than basic physical support by helping residents feel understood, valued, and more at peace with their lives.</w:t>
      </w:r>
    </w:p>
    <w:p w14:paraId="01116101" w14:textId="5E267C23" w:rsidR="003E6149" w:rsidRPr="00C435A2" w:rsidRDefault="003E6149" w:rsidP="00C435A2">
      <w:pPr>
        <w:spacing w:line="360" w:lineRule="auto"/>
        <w:rPr>
          <w:rFonts w:ascii="Arial" w:hAnsi="Arial" w:cs="Arial"/>
          <w:b/>
          <w:bCs/>
          <w:sz w:val="22"/>
          <w:szCs w:val="22"/>
        </w:rPr>
      </w:pPr>
      <w:r w:rsidRPr="003E6149">
        <w:rPr>
          <w:rFonts w:ascii="Arial" w:hAnsi="Arial" w:cs="Arial"/>
          <w:b/>
          <w:bCs/>
          <w:sz w:val="22"/>
          <w:szCs w:val="22"/>
        </w:rPr>
        <w:t>Application of Erikson’s Theory in a Dementia Care Home</w:t>
      </w:r>
      <w:r w:rsidRPr="00C435A2">
        <w:rPr>
          <w:rFonts w:ascii="Arial" w:hAnsi="Arial" w:cs="Arial"/>
          <w:b/>
          <w:bCs/>
          <w:sz w:val="22"/>
          <w:szCs w:val="22"/>
        </w:rPr>
        <w:t xml:space="preserve"> – </w:t>
      </w:r>
    </w:p>
    <w:p w14:paraId="00BE2275" w14:textId="77777777" w:rsidR="009B6F91" w:rsidRPr="009B6F91" w:rsidRDefault="009B6F91" w:rsidP="00C435A2">
      <w:pPr>
        <w:spacing w:line="360" w:lineRule="auto"/>
        <w:rPr>
          <w:rFonts w:ascii="Arial" w:hAnsi="Arial" w:cs="Arial"/>
          <w:sz w:val="22"/>
          <w:szCs w:val="22"/>
        </w:rPr>
      </w:pPr>
      <w:r w:rsidRPr="009B6F91">
        <w:rPr>
          <w:rFonts w:ascii="Arial" w:hAnsi="Arial" w:cs="Arial"/>
          <w:sz w:val="22"/>
          <w:szCs w:val="22"/>
        </w:rPr>
        <w:t>Erikson’s final stage, Ego Integrity vs. Despair, provides an essential framework for dementia care. The disease directly threatens an individual’s ability to achieve ego integrity by fracturing their life narrative, leading to psychological distress that manifests as behavioural challenges. Applying this theory enables care to be both proactive and person-centred.</w:t>
      </w:r>
    </w:p>
    <w:p w14:paraId="193C814D" w14:textId="11F8A74A" w:rsidR="009B6F91" w:rsidRPr="009B6F91" w:rsidRDefault="009B6F91" w:rsidP="00C435A2">
      <w:pPr>
        <w:spacing w:line="360" w:lineRule="auto"/>
        <w:rPr>
          <w:rFonts w:ascii="Arial" w:hAnsi="Arial" w:cs="Arial"/>
          <w:sz w:val="22"/>
          <w:szCs w:val="22"/>
        </w:rPr>
      </w:pPr>
      <w:r w:rsidRPr="00C435A2">
        <w:rPr>
          <w:rFonts w:ascii="Arial" w:hAnsi="Arial" w:cs="Arial"/>
          <w:sz w:val="22"/>
          <w:szCs w:val="22"/>
        </w:rPr>
        <w:t>A key psychological difficulty in dementia is the interruption of the life review process, which can result in feelings of despair. Structured Life Story Work can help address this (McKeown et al., 2006). This involves creating a tangible record of a resident’s life using photos, memorabilia, and stories. For example, staff can use a life story book to prompt conversation, affirm the resident’s identity, and show that their life has meaning, which supports ego integrity.</w:t>
      </w:r>
    </w:p>
    <w:p w14:paraId="4139338D" w14:textId="38C95738" w:rsidR="009B6F91" w:rsidRPr="009B6F91" w:rsidRDefault="009B6F91" w:rsidP="00C435A2">
      <w:pPr>
        <w:spacing w:line="360" w:lineRule="auto"/>
        <w:rPr>
          <w:rFonts w:ascii="Arial" w:hAnsi="Arial" w:cs="Arial"/>
          <w:sz w:val="22"/>
          <w:szCs w:val="22"/>
        </w:rPr>
      </w:pPr>
      <w:r w:rsidRPr="009B6F91">
        <w:rPr>
          <w:rFonts w:ascii="Arial" w:hAnsi="Arial" w:cs="Arial"/>
          <w:sz w:val="22"/>
          <w:szCs w:val="22"/>
        </w:rPr>
        <w:t>Furthermore, behavioural challenges like agitation are often expressions of unmet psychosocial needs. A resident trying to ‘go home’ may be yearning for a time of competence and security. Instead of correction, staff can use validation</w:t>
      </w:r>
      <w:r w:rsidR="0044747B" w:rsidRPr="00C435A2">
        <w:rPr>
          <w:rFonts w:ascii="Arial" w:hAnsi="Arial" w:cs="Arial"/>
          <w:sz w:val="22"/>
          <w:szCs w:val="22"/>
        </w:rPr>
        <w:t xml:space="preserve"> methods</w:t>
      </w:r>
      <w:r w:rsidRPr="009B6F91">
        <w:rPr>
          <w:rFonts w:ascii="Arial" w:hAnsi="Arial" w:cs="Arial"/>
          <w:sz w:val="22"/>
          <w:szCs w:val="22"/>
        </w:rPr>
        <w:t> (Feil, 2002), acknowledging th</w:t>
      </w:r>
      <w:r w:rsidRPr="00C435A2">
        <w:rPr>
          <w:rFonts w:ascii="Arial" w:hAnsi="Arial" w:cs="Arial"/>
          <w:sz w:val="22"/>
          <w:szCs w:val="22"/>
        </w:rPr>
        <w:t>eir</w:t>
      </w:r>
      <w:r w:rsidRPr="009B6F91">
        <w:rPr>
          <w:rFonts w:ascii="Arial" w:hAnsi="Arial" w:cs="Arial"/>
          <w:sz w:val="22"/>
          <w:szCs w:val="22"/>
        </w:rPr>
        <w:t xml:space="preserve"> feeling</w:t>
      </w:r>
      <w:r w:rsidRPr="00C435A2">
        <w:rPr>
          <w:rFonts w:ascii="Arial" w:hAnsi="Arial" w:cs="Arial"/>
          <w:sz w:val="22"/>
          <w:szCs w:val="22"/>
        </w:rPr>
        <w:t xml:space="preserve">s </w:t>
      </w:r>
      <w:r w:rsidRPr="009B6F91">
        <w:rPr>
          <w:rFonts w:ascii="Arial" w:hAnsi="Arial" w:cs="Arial"/>
          <w:sz w:val="22"/>
          <w:szCs w:val="22"/>
        </w:rPr>
        <w:t xml:space="preserve">by </w:t>
      </w:r>
      <w:r w:rsidRPr="00C435A2">
        <w:rPr>
          <w:rFonts w:ascii="Arial" w:hAnsi="Arial" w:cs="Arial"/>
          <w:sz w:val="22"/>
          <w:szCs w:val="22"/>
        </w:rPr>
        <w:t xml:space="preserve">asking them about their home </w:t>
      </w:r>
      <w:r w:rsidRPr="009B6F91">
        <w:rPr>
          <w:rFonts w:ascii="Arial" w:hAnsi="Arial" w:cs="Arial"/>
          <w:sz w:val="22"/>
          <w:szCs w:val="22"/>
        </w:rPr>
        <w:t>and then connecting that emotion to a present, comforting activity</w:t>
      </w:r>
      <w:r w:rsidRPr="00C435A2">
        <w:rPr>
          <w:rFonts w:ascii="Arial" w:hAnsi="Arial" w:cs="Arial"/>
          <w:sz w:val="22"/>
          <w:szCs w:val="22"/>
        </w:rPr>
        <w:t xml:space="preserve">. </w:t>
      </w:r>
      <w:r w:rsidRPr="00C435A2">
        <w:rPr>
          <w:rFonts w:ascii="Arial" w:hAnsi="Arial" w:cs="Arial"/>
          <w:sz w:val="22"/>
          <w:szCs w:val="22"/>
        </w:rPr>
        <w:t>This approach addresses the underlying emotional need for coherence, reducing distress and supporting the person’s sense of self.</w:t>
      </w:r>
    </w:p>
    <w:p w14:paraId="4A7B7FA0" w14:textId="42FA7987" w:rsidR="009B6F91" w:rsidRPr="00C435A2" w:rsidRDefault="009B6F91" w:rsidP="00C435A2">
      <w:pPr>
        <w:spacing w:line="360" w:lineRule="auto"/>
        <w:rPr>
          <w:rFonts w:ascii="Arial" w:hAnsi="Arial" w:cs="Arial"/>
          <w:sz w:val="22"/>
          <w:szCs w:val="22"/>
        </w:rPr>
      </w:pPr>
      <w:r w:rsidRPr="009B6F91">
        <w:rPr>
          <w:rFonts w:ascii="Arial" w:hAnsi="Arial" w:cs="Arial"/>
          <w:sz w:val="22"/>
          <w:szCs w:val="22"/>
        </w:rPr>
        <w:t>Ultimately, Erikson’s theory transforms care from mere behaviour management to supporting the fundamental psychological need for a coherent, meaningful life, which is vital for wellbeing in dementia</w:t>
      </w:r>
      <w:r w:rsidR="0044747B" w:rsidRPr="00C435A2">
        <w:rPr>
          <w:rFonts w:ascii="Arial" w:hAnsi="Arial" w:cs="Arial"/>
          <w:sz w:val="22"/>
          <w:szCs w:val="22"/>
        </w:rPr>
        <w:t xml:space="preserve"> patients.</w:t>
      </w:r>
    </w:p>
    <w:p w14:paraId="78ECC55D" w14:textId="7D31EF58" w:rsidR="001C0F43" w:rsidRPr="00C435A2" w:rsidRDefault="001C0F43" w:rsidP="00C435A2">
      <w:pPr>
        <w:spacing w:line="360" w:lineRule="auto"/>
        <w:rPr>
          <w:rFonts w:ascii="Arial" w:hAnsi="Arial" w:cs="Arial"/>
          <w:b/>
          <w:bCs/>
          <w:sz w:val="22"/>
          <w:szCs w:val="22"/>
        </w:rPr>
      </w:pPr>
      <w:r w:rsidRPr="00C435A2">
        <w:rPr>
          <w:rFonts w:ascii="Arial" w:hAnsi="Arial" w:cs="Arial"/>
          <w:b/>
          <w:bCs/>
          <w:sz w:val="22"/>
          <w:szCs w:val="22"/>
        </w:rPr>
        <w:t>Critical Evaluation of Eriksons Psychosocial Theory –</w:t>
      </w:r>
    </w:p>
    <w:p w14:paraId="6BFF3A41" w14:textId="6E96E89C" w:rsidR="009950D3" w:rsidRPr="009950D3" w:rsidRDefault="009950D3" w:rsidP="00C435A2">
      <w:pPr>
        <w:spacing w:line="360" w:lineRule="auto"/>
        <w:rPr>
          <w:rFonts w:ascii="Arial" w:hAnsi="Arial" w:cs="Arial"/>
          <w:sz w:val="22"/>
          <w:szCs w:val="22"/>
        </w:rPr>
      </w:pPr>
      <w:r w:rsidRPr="009950D3">
        <w:rPr>
          <w:rFonts w:ascii="Arial" w:hAnsi="Arial" w:cs="Arial"/>
          <w:sz w:val="22"/>
          <w:szCs w:val="22"/>
        </w:rPr>
        <w:t xml:space="preserve">Erikson's theory is invaluable, yet there are difficulties in putting it into practice. Traditional remembrance might be challenging for residents with dementia due to the cognitive deterioration that can hinder their capacity to participate in a cohesive life review. Additional obstacles include staff time constraints and inadequate training. </w:t>
      </w:r>
      <w:r w:rsidRPr="00C435A2">
        <w:rPr>
          <w:rFonts w:ascii="Arial" w:hAnsi="Arial" w:cs="Arial"/>
          <w:sz w:val="22"/>
          <w:szCs w:val="22"/>
        </w:rPr>
        <w:t xml:space="preserve">Care workers </w:t>
      </w:r>
      <w:r w:rsidRPr="009950D3">
        <w:rPr>
          <w:rFonts w:ascii="Arial" w:hAnsi="Arial" w:cs="Arial"/>
          <w:sz w:val="22"/>
          <w:szCs w:val="22"/>
        </w:rPr>
        <w:t xml:space="preserve">should incorporate short life story moments into everyday care and employ multisensory triggers (such as music and scents) for nonverbal remembering </w:t>
      </w:r>
      <w:proofErr w:type="gramStart"/>
      <w:r w:rsidRPr="009950D3">
        <w:rPr>
          <w:rFonts w:ascii="Arial" w:hAnsi="Arial" w:cs="Arial"/>
          <w:sz w:val="22"/>
          <w:szCs w:val="22"/>
        </w:rPr>
        <w:t>in order to</w:t>
      </w:r>
      <w:proofErr w:type="gramEnd"/>
      <w:r w:rsidRPr="009950D3">
        <w:rPr>
          <w:rFonts w:ascii="Arial" w:hAnsi="Arial" w:cs="Arial"/>
          <w:sz w:val="22"/>
          <w:szCs w:val="22"/>
        </w:rPr>
        <w:t xml:space="preserve"> lessen this. The theory's </w:t>
      </w:r>
      <w:r w:rsidRPr="009950D3">
        <w:rPr>
          <w:rFonts w:ascii="Arial" w:hAnsi="Arial" w:cs="Arial"/>
          <w:sz w:val="22"/>
          <w:szCs w:val="22"/>
        </w:rPr>
        <w:lastRenderedPageBreak/>
        <w:t>primary emphasis on introspection is a major drawback; it fails to adequately address the significant influence of the contemporary social context or external elements, such as the calibre of relationships and physical surroundings, on wellbeing, which are vital in dementia care.</w:t>
      </w:r>
    </w:p>
    <w:p w14:paraId="70BE40C2" w14:textId="048F5DBD" w:rsidR="009950D3" w:rsidRPr="00C435A2" w:rsidRDefault="009950D3" w:rsidP="00C435A2">
      <w:pPr>
        <w:spacing w:line="360" w:lineRule="auto"/>
        <w:jc w:val="center"/>
        <w:rPr>
          <w:rFonts w:ascii="Arial" w:hAnsi="Arial" w:cs="Arial"/>
          <w:b/>
          <w:bCs/>
          <w:sz w:val="22"/>
          <w:szCs w:val="22"/>
        </w:rPr>
      </w:pPr>
      <w:r w:rsidRPr="00C435A2">
        <w:rPr>
          <w:rFonts w:ascii="Arial" w:hAnsi="Arial" w:cs="Arial"/>
          <w:b/>
          <w:bCs/>
          <w:sz w:val="22"/>
          <w:szCs w:val="22"/>
        </w:rPr>
        <w:t>Section 2 – Bowlby’s Attachment theory</w:t>
      </w:r>
    </w:p>
    <w:p w14:paraId="15CF91D0" w14:textId="2FD825BB" w:rsidR="009950D3" w:rsidRPr="00C435A2" w:rsidRDefault="009950D3" w:rsidP="00C435A2">
      <w:pPr>
        <w:spacing w:line="360" w:lineRule="auto"/>
        <w:rPr>
          <w:rFonts w:ascii="Arial" w:hAnsi="Arial" w:cs="Arial"/>
          <w:b/>
          <w:bCs/>
          <w:sz w:val="22"/>
          <w:szCs w:val="22"/>
        </w:rPr>
      </w:pPr>
      <w:r w:rsidRPr="00C435A2">
        <w:rPr>
          <w:rFonts w:ascii="Arial" w:hAnsi="Arial" w:cs="Arial"/>
          <w:b/>
          <w:bCs/>
          <w:sz w:val="22"/>
          <w:szCs w:val="22"/>
        </w:rPr>
        <w:t xml:space="preserve">Overview of Bowlby’s Attachment theory – </w:t>
      </w:r>
    </w:p>
    <w:p w14:paraId="74695FB7" w14:textId="28A239A3" w:rsidR="00B6375C" w:rsidRPr="00C435A2" w:rsidRDefault="00B6375C" w:rsidP="00C435A2">
      <w:pPr>
        <w:spacing w:line="360" w:lineRule="auto"/>
        <w:rPr>
          <w:rFonts w:ascii="Arial" w:hAnsi="Arial" w:cs="Arial"/>
          <w:sz w:val="22"/>
          <w:szCs w:val="22"/>
        </w:rPr>
      </w:pPr>
      <w:r w:rsidRPr="00C435A2">
        <w:rPr>
          <w:rFonts w:ascii="Arial" w:hAnsi="Arial" w:cs="Arial"/>
          <w:sz w:val="22"/>
          <w:szCs w:val="22"/>
        </w:rPr>
        <w:t>John Bowlby’s Attachment Theory suggests that humans are born with a natural system that drives them to stay close to a main caregiver for safety and security, known as a “secure base” (Bowlby, 1988). Early attachment experiences create internal working models—mental frameworks that shape how a person expects to be treated by others, how they see themselves, and how they view the world. These models influence relationships and the ability to manage emotions throughout life.</w:t>
      </w:r>
    </w:p>
    <w:p w14:paraId="218791D4" w14:textId="453849CD" w:rsidR="00B6375C" w:rsidRPr="00C435A2" w:rsidRDefault="00B6375C" w:rsidP="00C435A2">
      <w:pPr>
        <w:spacing w:line="360" w:lineRule="auto"/>
        <w:rPr>
          <w:rFonts w:ascii="Arial" w:hAnsi="Arial" w:cs="Arial"/>
          <w:sz w:val="22"/>
          <w:szCs w:val="22"/>
        </w:rPr>
      </w:pPr>
      <w:r w:rsidRPr="00C435A2">
        <w:rPr>
          <w:rFonts w:ascii="Arial" w:hAnsi="Arial" w:cs="Arial"/>
          <w:sz w:val="22"/>
          <w:szCs w:val="22"/>
        </w:rPr>
        <w:t>For adults aged 65 and over, particularly those with dementia transitioning into a care home, this theory is profoundly relevant. The loss of familiar people and places can trigger the attachment system, leading to intense anxiety and distress. A particularly useful concept is that attachment behaviours—such as seeking closeness, calling out, or agitation—are adaptive responses to perceived threat, not merely 'challenging behaviours'. In dementia, cognitive impairment can cause the individual to regress to more primal attachment strategies, seeking a familiar figure for comfort (Miesen, 1993). Understanding that a resident who constantly follows a staff member is seeking a secure base allows professionals to reframe this behaviour as a fundamental psychological need for safety, not as dependency. This perspective is crucial for providing compassionate, person-centred care that addresses core emotional needs.</w:t>
      </w:r>
    </w:p>
    <w:p w14:paraId="408A1BEE" w14:textId="6F0677BE" w:rsidR="00B6375C" w:rsidRPr="00C435A2" w:rsidRDefault="00B6375C" w:rsidP="00C435A2">
      <w:pPr>
        <w:spacing w:line="360" w:lineRule="auto"/>
        <w:rPr>
          <w:rFonts w:ascii="Arial" w:hAnsi="Arial" w:cs="Arial"/>
          <w:b/>
          <w:bCs/>
          <w:sz w:val="22"/>
          <w:szCs w:val="22"/>
        </w:rPr>
      </w:pPr>
      <w:r w:rsidRPr="00C435A2">
        <w:rPr>
          <w:rFonts w:ascii="Arial" w:hAnsi="Arial" w:cs="Arial"/>
          <w:b/>
          <w:bCs/>
          <w:sz w:val="22"/>
          <w:szCs w:val="22"/>
        </w:rPr>
        <w:t xml:space="preserve">Application of Bowlby’s Attachment Theory – </w:t>
      </w:r>
    </w:p>
    <w:p w14:paraId="285F8913" w14:textId="18EEC389" w:rsidR="00302DDF" w:rsidRPr="00C435A2" w:rsidRDefault="00302DDF" w:rsidP="00C435A2">
      <w:pPr>
        <w:spacing w:line="360" w:lineRule="auto"/>
        <w:rPr>
          <w:rFonts w:ascii="Arial" w:hAnsi="Arial" w:cs="Arial"/>
          <w:sz w:val="22"/>
          <w:szCs w:val="22"/>
        </w:rPr>
      </w:pPr>
      <w:r w:rsidRPr="00C435A2">
        <w:rPr>
          <w:rFonts w:ascii="Arial" w:hAnsi="Arial" w:cs="Arial"/>
          <w:sz w:val="22"/>
          <w:szCs w:val="22"/>
        </w:rPr>
        <w:t>Bowlby’s Attachment Theory provides a critical lens for understanding that behaviours in dementia are often expressions of unmet attachment needs. The transition to a care home, compounded by cognitive decline, can trigger profound insecurity, activating the attachment system. This manifests as psychological distress, including anxiety and fear of abandonment, and behavioural challenges such as agitation, shadowing (closely following staff), or vocalisations.</w:t>
      </w:r>
    </w:p>
    <w:p w14:paraId="43114667" w14:textId="7BF7FE8B" w:rsidR="00302DDF" w:rsidRPr="00C435A2" w:rsidRDefault="00302DDF" w:rsidP="00C435A2">
      <w:pPr>
        <w:spacing w:line="360" w:lineRule="auto"/>
        <w:rPr>
          <w:rFonts w:ascii="Arial" w:hAnsi="Arial" w:cs="Arial"/>
          <w:sz w:val="22"/>
          <w:szCs w:val="22"/>
        </w:rPr>
      </w:pPr>
      <w:r w:rsidRPr="00C435A2">
        <w:rPr>
          <w:rFonts w:ascii="Arial" w:hAnsi="Arial" w:cs="Arial"/>
          <w:sz w:val="22"/>
          <w:szCs w:val="22"/>
        </w:rPr>
        <w:t>Care professionals</w:t>
      </w:r>
      <w:r w:rsidRPr="00C435A2">
        <w:rPr>
          <w:rFonts w:ascii="Arial" w:hAnsi="Arial" w:cs="Arial"/>
          <w:sz w:val="22"/>
          <w:szCs w:val="22"/>
        </w:rPr>
        <w:t xml:space="preserve"> can use Attachment Theory by acting as a secure base for residents. This includes providing consistent staff, with primary caregivers assigned so that residents can build trusting relationships with familiar people, reducing the stress of meeting new staff (Cheng &amp; Zhang, 2020). For example, if a resident becomes upset and calls out when their </w:t>
      </w:r>
      <w:r w:rsidRPr="00C435A2">
        <w:rPr>
          <w:rFonts w:ascii="Arial" w:hAnsi="Arial" w:cs="Arial"/>
          <w:sz w:val="22"/>
          <w:szCs w:val="22"/>
        </w:rPr>
        <w:lastRenderedPageBreak/>
        <w:t xml:space="preserve">key worker is not present, this behaviour reflects a need for security rather than being ‘difficult’. A helpful approach is for the staff member who is leaving to reassure the resident </w:t>
      </w:r>
      <w:r w:rsidRPr="00C435A2">
        <w:rPr>
          <w:rFonts w:ascii="Arial" w:hAnsi="Arial" w:cs="Arial"/>
          <w:sz w:val="22"/>
          <w:szCs w:val="22"/>
        </w:rPr>
        <w:t>that they will be meeting them again</w:t>
      </w:r>
      <w:r w:rsidRPr="00C435A2">
        <w:rPr>
          <w:rFonts w:ascii="Arial" w:hAnsi="Arial" w:cs="Arial"/>
          <w:sz w:val="22"/>
          <w:szCs w:val="22"/>
        </w:rPr>
        <w:t xml:space="preserve"> and to introduce the covering staff, making the transition less stressful.</w:t>
      </w:r>
    </w:p>
    <w:p w14:paraId="23896DD5" w14:textId="5A158A50" w:rsidR="00302DDF" w:rsidRPr="00C435A2" w:rsidRDefault="00302DDF" w:rsidP="00C435A2">
      <w:pPr>
        <w:spacing w:line="360" w:lineRule="auto"/>
        <w:rPr>
          <w:rFonts w:ascii="Arial" w:hAnsi="Arial" w:cs="Arial"/>
          <w:sz w:val="22"/>
          <w:szCs w:val="22"/>
        </w:rPr>
      </w:pPr>
      <w:r w:rsidRPr="00302DDF">
        <w:rPr>
          <w:rFonts w:ascii="Arial" w:hAnsi="Arial" w:cs="Arial"/>
          <w:sz w:val="22"/>
          <w:szCs w:val="22"/>
        </w:rPr>
        <w:t xml:space="preserve">The goal of attachment-informed care is to acknowledge rather than minimise a resident's discomfort. Instead of depending solely on rational explanations when a resident is upset, </w:t>
      </w:r>
      <w:r w:rsidRPr="00C435A2">
        <w:rPr>
          <w:rFonts w:ascii="Arial" w:hAnsi="Arial" w:cs="Arial"/>
          <w:sz w:val="22"/>
          <w:szCs w:val="22"/>
        </w:rPr>
        <w:t xml:space="preserve">care workers </w:t>
      </w:r>
      <w:r w:rsidRPr="00302DDF">
        <w:rPr>
          <w:rFonts w:ascii="Arial" w:hAnsi="Arial" w:cs="Arial"/>
          <w:sz w:val="22"/>
          <w:szCs w:val="22"/>
        </w:rPr>
        <w:t xml:space="preserve">should offer consolation by being a soothing, quiet presence and, when necessary, a sympathetic touch. This strategy satisfies the residents' fundamental emotional demand for security. A resident is looking for solace and stability when they search for a deceased parent, a phenomena called parent fixation (Miesen, 1993). </w:t>
      </w:r>
      <w:r w:rsidRPr="00C435A2">
        <w:rPr>
          <w:rFonts w:ascii="Arial" w:hAnsi="Arial" w:cs="Arial"/>
          <w:sz w:val="22"/>
          <w:szCs w:val="22"/>
        </w:rPr>
        <w:t>Responding in a validating and empathetic way acknowledges the underlying emotion, providing psychological safety and often reducing the intensity of the behaviour more effectively than factual correction.</w:t>
      </w:r>
    </w:p>
    <w:p w14:paraId="3DE6D083" w14:textId="2B3EDBBF" w:rsidR="003B4C73" w:rsidRPr="00C435A2" w:rsidRDefault="003B4C73" w:rsidP="00C435A2">
      <w:pPr>
        <w:spacing w:line="360" w:lineRule="auto"/>
        <w:rPr>
          <w:rFonts w:ascii="Arial" w:hAnsi="Arial" w:cs="Arial"/>
          <w:b/>
          <w:bCs/>
          <w:sz w:val="22"/>
          <w:szCs w:val="22"/>
        </w:rPr>
      </w:pPr>
      <w:r w:rsidRPr="00C435A2">
        <w:rPr>
          <w:rFonts w:ascii="Arial" w:hAnsi="Arial" w:cs="Arial"/>
          <w:b/>
          <w:bCs/>
          <w:sz w:val="22"/>
          <w:szCs w:val="22"/>
        </w:rPr>
        <w:t xml:space="preserve">Critical Evaluation of </w:t>
      </w:r>
      <w:r w:rsidRPr="00C435A2">
        <w:rPr>
          <w:rFonts w:ascii="Arial" w:hAnsi="Arial" w:cs="Arial"/>
          <w:b/>
          <w:bCs/>
          <w:sz w:val="22"/>
          <w:szCs w:val="22"/>
        </w:rPr>
        <w:t>Bowlby’s Attachment</w:t>
      </w:r>
      <w:r w:rsidRPr="00C435A2">
        <w:rPr>
          <w:rFonts w:ascii="Arial" w:hAnsi="Arial" w:cs="Arial"/>
          <w:b/>
          <w:bCs/>
          <w:sz w:val="22"/>
          <w:szCs w:val="22"/>
        </w:rPr>
        <w:t xml:space="preserve"> Theory –</w:t>
      </w:r>
    </w:p>
    <w:p w14:paraId="747B196D" w14:textId="763EF536" w:rsidR="003B4C73" w:rsidRPr="00C435A2" w:rsidRDefault="003B4C73" w:rsidP="00C435A2">
      <w:pPr>
        <w:spacing w:line="360" w:lineRule="auto"/>
        <w:rPr>
          <w:rFonts w:ascii="Arial" w:hAnsi="Arial" w:cs="Arial"/>
          <w:sz w:val="22"/>
          <w:szCs w:val="22"/>
        </w:rPr>
      </w:pPr>
      <w:r w:rsidRPr="003B4C73">
        <w:rPr>
          <w:rFonts w:ascii="Arial" w:hAnsi="Arial" w:cs="Arial"/>
          <w:sz w:val="22"/>
          <w:szCs w:val="22"/>
        </w:rPr>
        <w:t xml:space="preserve">One of the main issues with applying Bowlby's Attachment Theory is the potential for over-reliance, which can put strain on employees. </w:t>
      </w:r>
      <w:r w:rsidRPr="00C435A2">
        <w:rPr>
          <w:rFonts w:ascii="Arial" w:hAnsi="Arial" w:cs="Arial"/>
          <w:sz w:val="22"/>
          <w:szCs w:val="22"/>
        </w:rPr>
        <w:t>Care workers</w:t>
      </w:r>
      <w:r w:rsidRPr="00C435A2">
        <w:rPr>
          <w:rFonts w:ascii="Arial" w:hAnsi="Arial" w:cs="Arial"/>
          <w:sz w:val="22"/>
          <w:szCs w:val="22"/>
        </w:rPr>
        <w:t xml:space="preserve"> need to balance acting as a secure base with supporting residents’ independence whenever possible. </w:t>
      </w:r>
      <w:r w:rsidRPr="003B4C73">
        <w:rPr>
          <w:rFonts w:ascii="Arial" w:hAnsi="Arial" w:cs="Arial"/>
          <w:sz w:val="22"/>
          <w:szCs w:val="22"/>
        </w:rPr>
        <w:t xml:space="preserve">To assist </w:t>
      </w:r>
      <w:r w:rsidRPr="00C435A2">
        <w:rPr>
          <w:rFonts w:ascii="Arial" w:hAnsi="Arial" w:cs="Arial"/>
          <w:sz w:val="22"/>
          <w:szCs w:val="22"/>
        </w:rPr>
        <w:t>employees,</w:t>
      </w:r>
      <w:r w:rsidRPr="003B4C73">
        <w:rPr>
          <w:rFonts w:ascii="Arial" w:hAnsi="Arial" w:cs="Arial"/>
          <w:sz w:val="22"/>
          <w:szCs w:val="22"/>
        </w:rPr>
        <w:t xml:space="preserve"> identify attachment behaviours and prevent misinterpreting them as manipulative, training is crucial. The theory's primary focus on one-to-one interactions and incomplete consideration of the larger care environment, such as group dynamics or institutional routines, is one of its limitations. Additionally, it offers little advice on how to help people who have a lifetime of insecure attachment, whose patterns could be difficult to modify.</w:t>
      </w:r>
    </w:p>
    <w:p w14:paraId="68766318" w14:textId="39300101" w:rsidR="003B4C73" w:rsidRPr="00C435A2" w:rsidRDefault="003B4C73" w:rsidP="00C435A2">
      <w:pPr>
        <w:spacing w:line="360" w:lineRule="auto"/>
        <w:rPr>
          <w:rFonts w:ascii="Arial" w:hAnsi="Arial" w:cs="Arial"/>
          <w:b/>
          <w:bCs/>
          <w:sz w:val="22"/>
          <w:szCs w:val="22"/>
        </w:rPr>
      </w:pPr>
      <w:r w:rsidRPr="00C435A2">
        <w:rPr>
          <w:rFonts w:ascii="Arial" w:hAnsi="Arial" w:cs="Arial"/>
          <w:b/>
          <w:bCs/>
          <w:sz w:val="22"/>
          <w:szCs w:val="22"/>
        </w:rPr>
        <w:t xml:space="preserve">Conclusion – </w:t>
      </w:r>
    </w:p>
    <w:p w14:paraId="31697835" w14:textId="1AB4EEAE" w:rsidR="003B4C73" w:rsidRPr="00C435A2" w:rsidRDefault="003B4C73" w:rsidP="00C435A2">
      <w:pPr>
        <w:spacing w:line="360" w:lineRule="auto"/>
        <w:rPr>
          <w:rFonts w:ascii="Arial" w:hAnsi="Arial" w:cs="Arial"/>
          <w:sz w:val="22"/>
          <w:szCs w:val="22"/>
        </w:rPr>
      </w:pPr>
      <w:r w:rsidRPr="00C435A2">
        <w:rPr>
          <w:rFonts w:ascii="Arial" w:hAnsi="Arial" w:cs="Arial"/>
          <w:sz w:val="22"/>
          <w:szCs w:val="22"/>
        </w:rPr>
        <w:t>This report has demonstrated how Erikson’s psychosocial theory and Bowlby’s attachment theory provide critical frameworks for understanding the psychological needs of adults with dementia in care homes. While both are invaluable, Bowlby’s theory is arguably more immediately useful for addressing the acute behavioural and psychological symptoms of dementia, as it directly explains distress as an activated attachment system and guides real-time, calming interventions</w:t>
      </w:r>
      <w:r w:rsidR="00C435A2" w:rsidRPr="00C435A2">
        <w:rPr>
          <w:rFonts w:ascii="Arial" w:hAnsi="Arial" w:cs="Arial"/>
          <w:sz w:val="22"/>
          <w:szCs w:val="22"/>
        </w:rPr>
        <w:t xml:space="preserve">. </w:t>
      </w:r>
    </w:p>
    <w:p w14:paraId="5D11F7F8" w14:textId="101310BE" w:rsidR="00C435A2" w:rsidRPr="00C435A2" w:rsidRDefault="00C435A2" w:rsidP="00C435A2">
      <w:pPr>
        <w:spacing w:line="360" w:lineRule="auto"/>
        <w:rPr>
          <w:rFonts w:ascii="Arial" w:hAnsi="Arial" w:cs="Arial"/>
          <w:sz w:val="22"/>
          <w:szCs w:val="22"/>
        </w:rPr>
      </w:pPr>
      <w:r w:rsidRPr="00C435A2">
        <w:rPr>
          <w:rFonts w:ascii="Arial" w:hAnsi="Arial" w:cs="Arial"/>
          <w:sz w:val="22"/>
          <w:szCs w:val="22"/>
        </w:rPr>
        <w:t>However, the</w:t>
      </w:r>
      <w:r w:rsidRPr="00C435A2">
        <w:rPr>
          <w:rFonts w:ascii="Arial" w:hAnsi="Arial" w:cs="Arial"/>
          <w:sz w:val="22"/>
          <w:szCs w:val="22"/>
        </w:rPr>
        <w:t xml:space="preserve"> two strategies work best when combined. Residents can participate in identity-affirming activities that promote a feeling of coherence and self-worth because attachment-informed care provides them with a stable foundation and emotional safety. Together, these </w:t>
      </w:r>
      <w:r w:rsidRPr="00C435A2">
        <w:rPr>
          <w:rFonts w:ascii="Arial" w:hAnsi="Arial" w:cs="Arial"/>
          <w:sz w:val="22"/>
          <w:szCs w:val="22"/>
        </w:rPr>
        <w:lastRenderedPageBreak/>
        <w:t>theories enable care that meets both immediate emotional needs and deeper existential needs, supporting residents’ wellbeing and upholding their personhood.</w:t>
      </w:r>
    </w:p>
    <w:p w14:paraId="5C092832" w14:textId="77777777" w:rsidR="00C435A2" w:rsidRPr="003B4C73" w:rsidRDefault="00C435A2" w:rsidP="003B4C73"/>
    <w:p w14:paraId="443CC30F" w14:textId="6B808E7A" w:rsidR="003B4C73" w:rsidRPr="00302DDF" w:rsidRDefault="003B4C73" w:rsidP="00302DDF"/>
    <w:p w14:paraId="69BE9B6D" w14:textId="77777777" w:rsidR="00302DDF" w:rsidRPr="00302DDF" w:rsidRDefault="00302DDF" w:rsidP="00B6375C"/>
    <w:p w14:paraId="4BA71055" w14:textId="77777777" w:rsidR="00B6375C" w:rsidRPr="00B6375C" w:rsidRDefault="00B6375C" w:rsidP="00B6375C"/>
    <w:p w14:paraId="33412CEF" w14:textId="77777777" w:rsidR="009950D3" w:rsidRDefault="009950D3" w:rsidP="009950D3">
      <w:pPr>
        <w:rPr>
          <w:b/>
          <w:bCs/>
        </w:rPr>
      </w:pPr>
    </w:p>
    <w:p w14:paraId="61B12562" w14:textId="77777777" w:rsidR="009950D3" w:rsidRDefault="009950D3" w:rsidP="009950D3">
      <w:pPr>
        <w:rPr>
          <w:b/>
          <w:bCs/>
        </w:rPr>
      </w:pPr>
    </w:p>
    <w:p w14:paraId="461890A6" w14:textId="77777777" w:rsidR="009950D3" w:rsidRDefault="009950D3" w:rsidP="009950D3">
      <w:pPr>
        <w:rPr>
          <w:b/>
          <w:bCs/>
        </w:rPr>
      </w:pPr>
    </w:p>
    <w:p w14:paraId="65E80AF2" w14:textId="77777777" w:rsidR="009950D3" w:rsidRPr="009950D3" w:rsidRDefault="009950D3" w:rsidP="009950D3">
      <w:pPr>
        <w:rPr>
          <w:b/>
          <w:bCs/>
        </w:rPr>
      </w:pPr>
    </w:p>
    <w:p w14:paraId="1F098623" w14:textId="77777777" w:rsidR="001C0F43" w:rsidRPr="009B6F91" w:rsidRDefault="001C0F43" w:rsidP="009B6F91">
      <w:pPr>
        <w:rPr>
          <w:b/>
          <w:bCs/>
        </w:rPr>
      </w:pPr>
    </w:p>
    <w:p w14:paraId="1BE9B6DD" w14:textId="77777777" w:rsidR="00A43808" w:rsidRPr="003E6149" w:rsidRDefault="00A43808" w:rsidP="003E6149"/>
    <w:p w14:paraId="205F61D7" w14:textId="77777777" w:rsidR="003E6149" w:rsidRPr="003E6149" w:rsidRDefault="003E6149" w:rsidP="003E6149">
      <w:pPr>
        <w:rPr>
          <w:b/>
          <w:bCs/>
        </w:rPr>
      </w:pPr>
    </w:p>
    <w:p w14:paraId="136541F7" w14:textId="00E708C7" w:rsidR="003E6149" w:rsidRDefault="003E6149" w:rsidP="004D1067">
      <w:pPr>
        <w:rPr>
          <w:b/>
          <w:bCs/>
        </w:rPr>
      </w:pPr>
    </w:p>
    <w:p w14:paraId="42847473" w14:textId="77777777" w:rsidR="003E6149" w:rsidRPr="003E6149" w:rsidRDefault="003E6149" w:rsidP="004D1067">
      <w:pPr>
        <w:rPr>
          <w:b/>
          <w:bCs/>
        </w:rPr>
      </w:pPr>
    </w:p>
    <w:p w14:paraId="7D93D4F8" w14:textId="77777777" w:rsidR="003E6149" w:rsidRDefault="003E6149" w:rsidP="004D1067"/>
    <w:p w14:paraId="6CC8A38E" w14:textId="77777777" w:rsidR="004D1067" w:rsidRDefault="004D1067" w:rsidP="004D1067"/>
    <w:p w14:paraId="2F2580DA" w14:textId="77777777" w:rsidR="004D1067" w:rsidRDefault="004D1067" w:rsidP="004D1067"/>
    <w:p w14:paraId="6E7DF080" w14:textId="77777777" w:rsidR="004D1067" w:rsidRDefault="004D1067" w:rsidP="004D1067"/>
    <w:p w14:paraId="08228CB1" w14:textId="77777777" w:rsidR="004D1067" w:rsidRDefault="004D1067" w:rsidP="004D1067"/>
    <w:p w14:paraId="21065FDE" w14:textId="77777777" w:rsidR="004D1067" w:rsidRDefault="004D1067" w:rsidP="004D1067"/>
    <w:p w14:paraId="52A0F650" w14:textId="77777777" w:rsidR="004D1067" w:rsidRDefault="004D1067" w:rsidP="004D1067"/>
    <w:p w14:paraId="6165E5B2" w14:textId="77777777" w:rsidR="004D1067" w:rsidRDefault="004D1067" w:rsidP="004D1067"/>
    <w:p w14:paraId="6499DFB9" w14:textId="77777777" w:rsidR="004D1067" w:rsidRDefault="004D1067" w:rsidP="004D1067"/>
    <w:p w14:paraId="78D9FBF5" w14:textId="77777777" w:rsidR="004D1067" w:rsidRDefault="004D1067" w:rsidP="004D1067"/>
    <w:p w14:paraId="7008FBEF" w14:textId="77777777" w:rsidR="004D1067" w:rsidRDefault="004D1067" w:rsidP="004D1067"/>
    <w:p w14:paraId="1737895C" w14:textId="77777777" w:rsidR="004D1067" w:rsidRDefault="004D1067" w:rsidP="004D1067"/>
    <w:p w14:paraId="56BBE648" w14:textId="77777777" w:rsidR="004D1067" w:rsidRDefault="004D1067" w:rsidP="004D1067"/>
    <w:p w14:paraId="7B472085" w14:textId="72B7964F" w:rsidR="00C435A2" w:rsidRPr="00C435A2" w:rsidRDefault="00C435A2" w:rsidP="004D1067">
      <w:pPr>
        <w:rPr>
          <w:rFonts w:ascii="Arial" w:hAnsi="Arial" w:cs="Arial"/>
          <w:b/>
          <w:bCs/>
          <w:sz w:val="22"/>
          <w:szCs w:val="22"/>
        </w:rPr>
      </w:pPr>
      <w:r w:rsidRPr="00C435A2">
        <w:rPr>
          <w:rFonts w:ascii="Arial" w:hAnsi="Arial" w:cs="Arial"/>
          <w:b/>
          <w:bCs/>
          <w:sz w:val="22"/>
          <w:szCs w:val="22"/>
        </w:rPr>
        <w:lastRenderedPageBreak/>
        <w:t xml:space="preserve">Reference list – </w:t>
      </w:r>
    </w:p>
    <w:p w14:paraId="1167ECF8" w14:textId="77777777" w:rsidR="00C435A2" w:rsidRPr="00C435A2" w:rsidRDefault="00C435A2" w:rsidP="00C435A2">
      <w:pPr>
        <w:rPr>
          <w:rFonts w:ascii="Arial" w:hAnsi="Arial" w:cs="Arial"/>
          <w:sz w:val="22"/>
          <w:szCs w:val="22"/>
        </w:rPr>
      </w:pPr>
      <w:r w:rsidRPr="004D3517">
        <w:rPr>
          <w:rFonts w:ascii="Arial" w:hAnsi="Arial" w:cs="Arial"/>
          <w:sz w:val="22"/>
          <w:szCs w:val="22"/>
        </w:rPr>
        <w:t xml:space="preserve">Bowlby, J. (1988). </w:t>
      </w:r>
      <w:r w:rsidRPr="004D3517">
        <w:rPr>
          <w:rFonts w:ascii="Arial" w:hAnsi="Arial" w:cs="Arial"/>
          <w:i/>
          <w:iCs/>
          <w:sz w:val="22"/>
          <w:szCs w:val="22"/>
        </w:rPr>
        <w:t>A secure base: Parent-child attachment and healthy human development.</w:t>
      </w:r>
      <w:r w:rsidRPr="004D3517">
        <w:rPr>
          <w:rFonts w:ascii="Arial" w:hAnsi="Arial" w:cs="Arial"/>
          <w:sz w:val="22"/>
          <w:szCs w:val="22"/>
        </w:rPr>
        <w:t xml:space="preserve"> Available at: </w:t>
      </w:r>
      <w:hyperlink r:id="rId7" w:history="1">
        <w:r w:rsidRPr="004D3517">
          <w:rPr>
            <w:rStyle w:val="Hyperlink"/>
            <w:rFonts w:ascii="Arial" w:hAnsi="Arial" w:cs="Arial"/>
            <w:sz w:val="22"/>
            <w:szCs w:val="22"/>
          </w:rPr>
          <w:t>https://psycnet.apa.org/record/1988-98501-000</w:t>
        </w:r>
        <w:r w:rsidRPr="00C435A2">
          <w:rPr>
            <w:rStyle w:val="Hyperlink"/>
            <w:rFonts w:ascii="Arial" w:hAnsi="Arial" w:cs="Arial"/>
            <w:sz w:val="22"/>
            <w:szCs w:val="22"/>
          </w:rPr>
          <w:t>//</w:t>
        </w:r>
      </w:hyperlink>
      <w:r w:rsidRPr="00C435A2">
        <w:rPr>
          <w:rFonts w:ascii="Arial" w:hAnsi="Arial" w:cs="Arial"/>
          <w:sz w:val="22"/>
          <w:szCs w:val="22"/>
        </w:rPr>
        <w:t xml:space="preserve"> (Accessed 14 November).</w:t>
      </w:r>
    </w:p>
    <w:p w14:paraId="5AFAAE53" w14:textId="77777777" w:rsidR="00C435A2" w:rsidRPr="00C435A2" w:rsidRDefault="00C435A2" w:rsidP="00C435A2">
      <w:pPr>
        <w:rPr>
          <w:rFonts w:ascii="Arial" w:hAnsi="Arial" w:cs="Arial"/>
          <w:sz w:val="22"/>
          <w:szCs w:val="22"/>
        </w:rPr>
      </w:pPr>
      <w:r w:rsidRPr="00DC3412">
        <w:rPr>
          <w:rFonts w:ascii="Arial" w:hAnsi="Arial" w:cs="Arial"/>
          <w:sz w:val="22"/>
          <w:szCs w:val="22"/>
        </w:rPr>
        <w:t xml:space="preserve">Brown, C. and Lowis, M.J. (2003). Psychosocial development in the elderly: An investigation into Erikson’s ninth stage. </w:t>
      </w:r>
      <w:r w:rsidRPr="00DC3412">
        <w:rPr>
          <w:rFonts w:ascii="Arial" w:hAnsi="Arial" w:cs="Arial"/>
          <w:i/>
          <w:iCs/>
          <w:sz w:val="22"/>
          <w:szCs w:val="22"/>
        </w:rPr>
        <w:t>Journal of Aging Studies</w:t>
      </w:r>
      <w:r w:rsidRPr="00DC3412">
        <w:rPr>
          <w:rFonts w:ascii="Arial" w:hAnsi="Arial" w:cs="Arial"/>
          <w:sz w:val="22"/>
          <w:szCs w:val="22"/>
        </w:rPr>
        <w:t xml:space="preserve">, 17(4), pp.415–426. </w:t>
      </w:r>
      <w:r w:rsidRPr="00C435A2">
        <w:rPr>
          <w:rFonts w:ascii="Arial" w:hAnsi="Arial" w:cs="Arial"/>
          <w:sz w:val="22"/>
          <w:szCs w:val="22"/>
        </w:rPr>
        <w:t>D</w:t>
      </w:r>
      <w:r w:rsidRPr="00DC3412">
        <w:rPr>
          <w:rFonts w:ascii="Arial" w:hAnsi="Arial" w:cs="Arial"/>
          <w:sz w:val="22"/>
          <w:szCs w:val="22"/>
        </w:rPr>
        <w:t>oi:</w:t>
      </w:r>
      <w:r w:rsidRPr="00C435A2">
        <w:rPr>
          <w:rFonts w:ascii="Arial" w:hAnsi="Arial" w:cs="Arial"/>
          <w:sz w:val="22"/>
          <w:szCs w:val="22"/>
        </w:rPr>
        <w:t xml:space="preserve"> </w:t>
      </w:r>
      <w:hyperlink r:id="rId8" w:history="1">
        <w:r w:rsidRPr="00DC3412">
          <w:rPr>
            <w:rStyle w:val="Hyperlink"/>
            <w:rFonts w:ascii="Arial" w:hAnsi="Arial" w:cs="Arial"/>
            <w:sz w:val="22"/>
            <w:szCs w:val="22"/>
          </w:rPr>
          <w:t>https://doi.org/10.1016/s0890-4065(03)00061-6</w:t>
        </w:r>
        <w:r w:rsidRPr="00C435A2">
          <w:rPr>
            <w:rStyle w:val="Hyperlink"/>
            <w:rFonts w:ascii="Arial" w:hAnsi="Arial" w:cs="Arial"/>
            <w:sz w:val="22"/>
            <w:szCs w:val="22"/>
          </w:rPr>
          <w:t>//</w:t>
        </w:r>
      </w:hyperlink>
      <w:r w:rsidRPr="00C435A2">
        <w:rPr>
          <w:rFonts w:ascii="Arial" w:hAnsi="Arial" w:cs="Arial"/>
          <w:sz w:val="22"/>
          <w:szCs w:val="22"/>
        </w:rPr>
        <w:t xml:space="preserve"> (Accessed 13 November).</w:t>
      </w:r>
    </w:p>
    <w:p w14:paraId="5DFE83E3" w14:textId="77777777" w:rsidR="00C435A2" w:rsidRPr="00C435A2" w:rsidRDefault="00C435A2" w:rsidP="00C435A2">
      <w:pPr>
        <w:rPr>
          <w:rFonts w:ascii="Arial" w:hAnsi="Arial" w:cs="Arial"/>
          <w:sz w:val="22"/>
          <w:szCs w:val="22"/>
        </w:rPr>
      </w:pPr>
      <w:r w:rsidRPr="003B4C73">
        <w:rPr>
          <w:rFonts w:ascii="Arial" w:hAnsi="Arial" w:cs="Arial"/>
          <w:sz w:val="22"/>
          <w:szCs w:val="22"/>
        </w:rPr>
        <w:t xml:space="preserve">Cheng, S.-T. and Zhang, F. (2020). A comprehensive meta-review of systematic reviews and meta-analyses on nonpharmacological interventions for informal dementia caregivers. </w:t>
      </w:r>
      <w:r w:rsidRPr="003B4C73">
        <w:rPr>
          <w:rFonts w:ascii="Arial" w:hAnsi="Arial" w:cs="Arial"/>
          <w:i/>
          <w:iCs/>
          <w:sz w:val="22"/>
          <w:szCs w:val="22"/>
        </w:rPr>
        <w:t>BMC Geriatrics</w:t>
      </w:r>
      <w:r w:rsidRPr="003B4C73">
        <w:rPr>
          <w:rFonts w:ascii="Arial" w:hAnsi="Arial" w:cs="Arial"/>
          <w:sz w:val="22"/>
          <w:szCs w:val="22"/>
        </w:rPr>
        <w:t xml:space="preserve">, 20(1). </w:t>
      </w:r>
      <w:r w:rsidRPr="00C435A2">
        <w:rPr>
          <w:rFonts w:ascii="Arial" w:hAnsi="Arial" w:cs="Arial"/>
          <w:sz w:val="22"/>
          <w:szCs w:val="22"/>
        </w:rPr>
        <w:t xml:space="preserve">Available at: </w:t>
      </w:r>
      <w:hyperlink r:id="rId9" w:history="1">
        <w:r w:rsidRPr="003B4C73">
          <w:rPr>
            <w:rStyle w:val="Hyperlink"/>
            <w:rFonts w:ascii="Arial" w:hAnsi="Arial" w:cs="Arial"/>
            <w:sz w:val="22"/>
            <w:szCs w:val="22"/>
          </w:rPr>
          <w:t>https://doi.org/10.1186/s12877-020-01547-2.</w:t>
        </w:r>
        <w:r w:rsidRPr="00C435A2">
          <w:rPr>
            <w:rStyle w:val="Hyperlink"/>
            <w:rFonts w:ascii="Arial" w:hAnsi="Arial" w:cs="Arial"/>
            <w:sz w:val="22"/>
            <w:szCs w:val="22"/>
          </w:rPr>
          <w:t>//</w:t>
        </w:r>
      </w:hyperlink>
      <w:r w:rsidRPr="00C435A2">
        <w:rPr>
          <w:rFonts w:ascii="Arial" w:hAnsi="Arial" w:cs="Arial"/>
          <w:sz w:val="22"/>
          <w:szCs w:val="22"/>
        </w:rPr>
        <w:t xml:space="preserve"> (Accessed 16 November).</w:t>
      </w:r>
    </w:p>
    <w:p w14:paraId="08167E39" w14:textId="77777777" w:rsidR="00C435A2" w:rsidRPr="00C435A2" w:rsidRDefault="00C435A2" w:rsidP="00C435A2">
      <w:pPr>
        <w:rPr>
          <w:rFonts w:ascii="Arial" w:hAnsi="Arial" w:cs="Arial"/>
          <w:sz w:val="22"/>
          <w:szCs w:val="22"/>
        </w:rPr>
      </w:pPr>
      <w:r w:rsidRPr="00DC3412">
        <w:rPr>
          <w:rFonts w:ascii="Arial" w:hAnsi="Arial" w:cs="Arial"/>
          <w:sz w:val="22"/>
          <w:szCs w:val="22"/>
        </w:rPr>
        <w:t xml:space="preserve">Erikson, E.H. (1982). </w:t>
      </w:r>
      <w:r w:rsidRPr="00DC3412">
        <w:rPr>
          <w:rFonts w:ascii="Arial" w:hAnsi="Arial" w:cs="Arial"/>
          <w:i/>
          <w:iCs/>
          <w:sz w:val="22"/>
          <w:szCs w:val="22"/>
        </w:rPr>
        <w:t>The life cycle completed</w:t>
      </w:r>
      <w:r w:rsidRPr="00DC3412">
        <w:rPr>
          <w:rFonts w:ascii="Arial" w:hAnsi="Arial" w:cs="Arial"/>
          <w:sz w:val="22"/>
          <w:szCs w:val="22"/>
        </w:rPr>
        <w:t>. New York: W.W. Norton &amp; Company.</w:t>
      </w:r>
      <w:r w:rsidRPr="00C435A2">
        <w:rPr>
          <w:rFonts w:ascii="Arial" w:hAnsi="Arial" w:cs="Arial"/>
          <w:sz w:val="22"/>
          <w:szCs w:val="22"/>
        </w:rPr>
        <w:t xml:space="preserve"> (Accessed 13 November).</w:t>
      </w:r>
    </w:p>
    <w:p w14:paraId="61F5139E" w14:textId="77777777" w:rsidR="00C435A2" w:rsidRPr="00DC3412" w:rsidRDefault="00C435A2" w:rsidP="00C435A2">
      <w:pPr>
        <w:rPr>
          <w:rFonts w:ascii="Arial" w:hAnsi="Arial" w:cs="Arial"/>
          <w:sz w:val="22"/>
          <w:szCs w:val="22"/>
        </w:rPr>
      </w:pPr>
      <w:r w:rsidRPr="00DC3412">
        <w:rPr>
          <w:rFonts w:ascii="Arial" w:hAnsi="Arial" w:cs="Arial"/>
          <w:sz w:val="22"/>
          <w:szCs w:val="22"/>
        </w:rPr>
        <w:t xml:space="preserve">Erikson, E.H. (1993). </w:t>
      </w:r>
      <w:r w:rsidRPr="00DC3412">
        <w:rPr>
          <w:rFonts w:ascii="Arial" w:hAnsi="Arial" w:cs="Arial"/>
          <w:i/>
          <w:iCs/>
          <w:sz w:val="22"/>
          <w:szCs w:val="22"/>
        </w:rPr>
        <w:t>Childhood and Society</w:t>
      </w:r>
      <w:r w:rsidRPr="00DC3412">
        <w:rPr>
          <w:rFonts w:ascii="Arial" w:hAnsi="Arial" w:cs="Arial"/>
          <w:sz w:val="22"/>
          <w:szCs w:val="22"/>
        </w:rPr>
        <w:t>. W. W. Norton &amp; Company</w:t>
      </w:r>
      <w:r w:rsidRPr="00C435A2">
        <w:rPr>
          <w:rFonts w:ascii="Arial" w:hAnsi="Arial" w:cs="Arial"/>
          <w:sz w:val="22"/>
          <w:szCs w:val="22"/>
        </w:rPr>
        <w:t>. (Accessed 13 November).</w:t>
      </w:r>
    </w:p>
    <w:p w14:paraId="11FE761C" w14:textId="77777777" w:rsidR="00C435A2" w:rsidRPr="00C435A2" w:rsidRDefault="00C435A2" w:rsidP="00C435A2">
      <w:pPr>
        <w:rPr>
          <w:rFonts w:ascii="Arial" w:hAnsi="Arial" w:cs="Arial"/>
          <w:sz w:val="22"/>
          <w:szCs w:val="22"/>
        </w:rPr>
      </w:pPr>
      <w:r w:rsidRPr="00C435A2">
        <w:rPr>
          <w:rFonts w:ascii="Arial" w:hAnsi="Arial" w:cs="Arial"/>
          <w:sz w:val="22"/>
          <w:szCs w:val="22"/>
        </w:rPr>
        <w:t>F</w:t>
      </w:r>
      <w:r w:rsidRPr="001C0F43">
        <w:rPr>
          <w:rFonts w:ascii="Arial" w:hAnsi="Arial" w:cs="Arial"/>
          <w:sz w:val="22"/>
          <w:szCs w:val="22"/>
        </w:rPr>
        <w:t xml:space="preserve">eil, </w:t>
      </w:r>
      <w:r w:rsidRPr="00C435A2">
        <w:rPr>
          <w:rFonts w:ascii="Arial" w:hAnsi="Arial" w:cs="Arial"/>
          <w:sz w:val="22"/>
          <w:szCs w:val="22"/>
        </w:rPr>
        <w:t>N</w:t>
      </w:r>
      <w:r w:rsidRPr="001C0F43">
        <w:rPr>
          <w:rFonts w:ascii="Arial" w:hAnsi="Arial" w:cs="Arial"/>
          <w:sz w:val="22"/>
          <w:szCs w:val="22"/>
        </w:rPr>
        <w:t xml:space="preserve">aomi (2022). </w:t>
      </w:r>
      <w:r w:rsidRPr="001C0F43">
        <w:rPr>
          <w:rFonts w:ascii="Arial" w:hAnsi="Arial" w:cs="Arial"/>
          <w:i/>
          <w:iCs/>
          <w:sz w:val="22"/>
          <w:szCs w:val="22"/>
        </w:rPr>
        <w:t xml:space="preserve">The validation </w:t>
      </w:r>
      <w:proofErr w:type="gramStart"/>
      <w:r w:rsidRPr="001C0F43">
        <w:rPr>
          <w:rFonts w:ascii="Arial" w:hAnsi="Arial" w:cs="Arial"/>
          <w:i/>
          <w:iCs/>
          <w:sz w:val="22"/>
          <w:szCs w:val="22"/>
        </w:rPr>
        <w:t>breakthrough :</w:t>
      </w:r>
      <w:proofErr w:type="gramEnd"/>
      <w:r w:rsidRPr="001C0F43">
        <w:rPr>
          <w:rFonts w:ascii="Arial" w:hAnsi="Arial" w:cs="Arial"/>
          <w:i/>
          <w:iCs/>
          <w:sz w:val="22"/>
          <w:szCs w:val="22"/>
        </w:rPr>
        <w:t xml:space="preserve"> simple techniques for communicating with people with Alzheimer’s-type dementia</w:t>
      </w:r>
      <w:r w:rsidRPr="001C0F43">
        <w:rPr>
          <w:rFonts w:ascii="Arial" w:hAnsi="Arial" w:cs="Arial"/>
          <w:sz w:val="22"/>
          <w:szCs w:val="22"/>
        </w:rPr>
        <w:t xml:space="preserve">. Available at: </w:t>
      </w:r>
      <w:hyperlink r:id="rId10" w:history="1">
        <w:r w:rsidRPr="00C435A2">
          <w:rPr>
            <w:rStyle w:val="Hyperlink"/>
            <w:rFonts w:ascii="Arial" w:hAnsi="Arial" w:cs="Arial"/>
            <w:sz w:val="22"/>
            <w:szCs w:val="22"/>
          </w:rPr>
          <w:t>https://cmc.marmot.org/Record/.b58782898?//</w:t>
        </w:r>
      </w:hyperlink>
      <w:r w:rsidRPr="00C435A2">
        <w:rPr>
          <w:rFonts w:ascii="Arial" w:hAnsi="Arial" w:cs="Arial"/>
          <w:sz w:val="22"/>
          <w:szCs w:val="22"/>
        </w:rPr>
        <w:t xml:space="preserve"> (Accessed 14 November).</w:t>
      </w:r>
    </w:p>
    <w:p w14:paraId="6A05BE40" w14:textId="77777777" w:rsidR="00C435A2" w:rsidRPr="00C435A2" w:rsidRDefault="00C435A2" w:rsidP="00C435A2">
      <w:pPr>
        <w:rPr>
          <w:rFonts w:ascii="Arial" w:hAnsi="Arial" w:cs="Arial"/>
          <w:sz w:val="22"/>
          <w:szCs w:val="22"/>
        </w:rPr>
      </w:pPr>
      <w:r w:rsidRPr="0044747B">
        <w:rPr>
          <w:rFonts w:ascii="Arial" w:hAnsi="Arial" w:cs="Arial"/>
          <w:sz w:val="22"/>
          <w:szCs w:val="22"/>
        </w:rPr>
        <w:t xml:space="preserve">McKeown, J., Clarke, A. and Repper, J. (2006). Life story work in health and social care: systematic literature review. </w:t>
      </w:r>
      <w:r w:rsidRPr="0044747B">
        <w:rPr>
          <w:rFonts w:ascii="Arial" w:hAnsi="Arial" w:cs="Arial"/>
          <w:i/>
          <w:iCs/>
          <w:sz w:val="22"/>
          <w:szCs w:val="22"/>
        </w:rPr>
        <w:t>Journal of Advanced Nursing</w:t>
      </w:r>
      <w:r w:rsidRPr="0044747B">
        <w:rPr>
          <w:rFonts w:ascii="Arial" w:hAnsi="Arial" w:cs="Arial"/>
          <w:sz w:val="22"/>
          <w:szCs w:val="22"/>
        </w:rPr>
        <w:t xml:space="preserve">, 55(2), pp.237–247. </w:t>
      </w:r>
      <w:r w:rsidRPr="00C435A2">
        <w:rPr>
          <w:rFonts w:ascii="Arial" w:hAnsi="Arial" w:cs="Arial"/>
          <w:sz w:val="22"/>
          <w:szCs w:val="22"/>
        </w:rPr>
        <w:t>D</w:t>
      </w:r>
      <w:r w:rsidRPr="0044747B">
        <w:rPr>
          <w:rFonts w:ascii="Arial" w:hAnsi="Arial" w:cs="Arial"/>
          <w:sz w:val="22"/>
          <w:szCs w:val="22"/>
        </w:rPr>
        <w:t>oi</w:t>
      </w:r>
      <w:r w:rsidRPr="00C435A2">
        <w:rPr>
          <w:rFonts w:ascii="Arial" w:hAnsi="Arial" w:cs="Arial"/>
          <w:sz w:val="22"/>
          <w:szCs w:val="22"/>
        </w:rPr>
        <w:t xml:space="preserve">: </w:t>
      </w:r>
      <w:hyperlink r:id="rId11" w:history="1">
        <w:r w:rsidRPr="0044747B">
          <w:rPr>
            <w:rStyle w:val="Hyperlink"/>
            <w:rFonts w:ascii="Arial" w:hAnsi="Arial" w:cs="Arial"/>
            <w:sz w:val="22"/>
            <w:szCs w:val="22"/>
          </w:rPr>
          <w:t>https://doi.org/10.1111/j.1365-2648.2006.03897.x.</w:t>
        </w:r>
        <w:r w:rsidRPr="00C435A2">
          <w:rPr>
            <w:rStyle w:val="Hyperlink"/>
            <w:rFonts w:ascii="Arial" w:hAnsi="Arial" w:cs="Arial"/>
            <w:sz w:val="22"/>
            <w:szCs w:val="22"/>
          </w:rPr>
          <w:t>//</w:t>
        </w:r>
      </w:hyperlink>
      <w:r w:rsidRPr="00C435A2">
        <w:rPr>
          <w:rFonts w:ascii="Arial" w:hAnsi="Arial" w:cs="Arial"/>
          <w:sz w:val="22"/>
          <w:szCs w:val="22"/>
        </w:rPr>
        <w:t xml:space="preserve"> (Accessed 14 November).</w:t>
      </w:r>
    </w:p>
    <w:p w14:paraId="79609249" w14:textId="77777777" w:rsidR="00C435A2" w:rsidRPr="00C435A2" w:rsidRDefault="00C435A2" w:rsidP="00C435A2">
      <w:pPr>
        <w:rPr>
          <w:rFonts w:ascii="Arial" w:hAnsi="Arial" w:cs="Arial"/>
          <w:sz w:val="22"/>
          <w:szCs w:val="22"/>
        </w:rPr>
      </w:pPr>
      <w:r w:rsidRPr="00302DDF">
        <w:rPr>
          <w:rFonts w:ascii="Arial" w:hAnsi="Arial" w:cs="Arial"/>
          <w:sz w:val="22"/>
          <w:szCs w:val="22"/>
        </w:rPr>
        <w:t xml:space="preserve">Miesen, </w:t>
      </w:r>
      <w:r w:rsidRPr="00C435A2">
        <w:rPr>
          <w:rFonts w:ascii="Arial" w:hAnsi="Arial" w:cs="Arial"/>
          <w:sz w:val="22"/>
          <w:szCs w:val="22"/>
        </w:rPr>
        <w:t>B.</w:t>
      </w:r>
      <w:r w:rsidRPr="00302DDF">
        <w:rPr>
          <w:rFonts w:ascii="Arial" w:hAnsi="Arial" w:cs="Arial"/>
          <w:sz w:val="22"/>
          <w:szCs w:val="22"/>
        </w:rPr>
        <w:t xml:space="preserve"> (1993). Alzheimer’s disease, the phenomenon of parent fixation and </w:t>
      </w:r>
      <w:proofErr w:type="spellStart"/>
      <w:r w:rsidRPr="00302DDF">
        <w:rPr>
          <w:rFonts w:ascii="Arial" w:hAnsi="Arial" w:cs="Arial"/>
          <w:sz w:val="22"/>
          <w:szCs w:val="22"/>
        </w:rPr>
        <w:t>bowlby’s</w:t>
      </w:r>
      <w:proofErr w:type="spellEnd"/>
      <w:r w:rsidRPr="00302DDF">
        <w:rPr>
          <w:rFonts w:ascii="Arial" w:hAnsi="Arial" w:cs="Arial"/>
          <w:sz w:val="22"/>
          <w:szCs w:val="22"/>
        </w:rPr>
        <w:t xml:space="preserve"> attachment theory. </w:t>
      </w:r>
      <w:r w:rsidRPr="00302DDF">
        <w:rPr>
          <w:rFonts w:ascii="Arial" w:hAnsi="Arial" w:cs="Arial"/>
          <w:i/>
          <w:iCs/>
          <w:sz w:val="22"/>
          <w:szCs w:val="22"/>
        </w:rPr>
        <w:t>International Journal of Geriatric Psychiatry</w:t>
      </w:r>
      <w:r w:rsidRPr="00302DDF">
        <w:rPr>
          <w:rFonts w:ascii="Arial" w:hAnsi="Arial" w:cs="Arial"/>
          <w:sz w:val="22"/>
          <w:szCs w:val="22"/>
        </w:rPr>
        <w:t>, 8(2), pp.147–153.</w:t>
      </w:r>
      <w:r w:rsidRPr="00C435A2">
        <w:rPr>
          <w:rFonts w:ascii="Arial" w:hAnsi="Arial" w:cs="Arial"/>
          <w:sz w:val="22"/>
          <w:szCs w:val="22"/>
        </w:rPr>
        <w:t xml:space="preserve"> Available at: </w:t>
      </w:r>
      <w:hyperlink r:id="rId12" w:history="1">
        <w:r w:rsidRPr="00302DDF">
          <w:rPr>
            <w:rStyle w:val="Hyperlink"/>
            <w:rFonts w:ascii="Arial" w:hAnsi="Arial" w:cs="Arial"/>
            <w:sz w:val="22"/>
            <w:szCs w:val="22"/>
          </w:rPr>
          <w:t>https://doi.org/10.1002/gps.930080207</w:t>
        </w:r>
        <w:r w:rsidRPr="00C435A2">
          <w:rPr>
            <w:rStyle w:val="Hyperlink"/>
            <w:rFonts w:ascii="Arial" w:hAnsi="Arial" w:cs="Arial"/>
            <w:sz w:val="22"/>
            <w:szCs w:val="22"/>
          </w:rPr>
          <w:t>//</w:t>
        </w:r>
      </w:hyperlink>
      <w:r w:rsidRPr="00C435A2">
        <w:rPr>
          <w:rFonts w:ascii="Arial" w:hAnsi="Arial" w:cs="Arial"/>
          <w:sz w:val="22"/>
          <w:szCs w:val="22"/>
        </w:rPr>
        <w:t xml:space="preserve"> (Accessed 15 November).</w:t>
      </w:r>
    </w:p>
    <w:p w14:paraId="089D12F1" w14:textId="77777777" w:rsidR="004D1067" w:rsidRPr="00C435A2" w:rsidRDefault="004D1067" w:rsidP="004D1067">
      <w:pPr>
        <w:rPr>
          <w:rFonts w:ascii="Arial" w:hAnsi="Arial" w:cs="Arial"/>
          <w:sz w:val="22"/>
          <w:szCs w:val="22"/>
        </w:rPr>
      </w:pPr>
    </w:p>
    <w:p w14:paraId="635B827B" w14:textId="77777777" w:rsidR="004D1067" w:rsidRPr="00C435A2" w:rsidRDefault="004D1067" w:rsidP="004D1067">
      <w:pPr>
        <w:rPr>
          <w:rFonts w:ascii="Arial" w:hAnsi="Arial" w:cs="Arial"/>
          <w:sz w:val="22"/>
          <w:szCs w:val="22"/>
        </w:rPr>
      </w:pPr>
    </w:p>
    <w:p w14:paraId="2A6B7B91" w14:textId="77777777" w:rsidR="004D1067" w:rsidRPr="00C435A2" w:rsidRDefault="004D1067" w:rsidP="004D1067">
      <w:pPr>
        <w:rPr>
          <w:rFonts w:ascii="Arial" w:hAnsi="Arial" w:cs="Arial"/>
          <w:sz w:val="22"/>
          <w:szCs w:val="22"/>
        </w:rPr>
      </w:pPr>
    </w:p>
    <w:p w14:paraId="05EF0FB9" w14:textId="77777777" w:rsidR="004D1067" w:rsidRPr="00C435A2" w:rsidRDefault="004D1067" w:rsidP="004D1067">
      <w:pPr>
        <w:rPr>
          <w:rFonts w:ascii="Arial" w:hAnsi="Arial" w:cs="Arial"/>
          <w:sz w:val="22"/>
          <w:szCs w:val="22"/>
        </w:rPr>
      </w:pPr>
    </w:p>
    <w:p w14:paraId="5202BE78" w14:textId="77777777" w:rsidR="004D1067" w:rsidRDefault="004D1067" w:rsidP="004D1067"/>
    <w:p w14:paraId="34AF8AC2" w14:textId="77777777" w:rsidR="004D1067" w:rsidRDefault="004D1067" w:rsidP="004D1067"/>
    <w:p w14:paraId="1BCF709B" w14:textId="77777777" w:rsidR="004D1067" w:rsidRDefault="004D1067" w:rsidP="004D1067"/>
    <w:p w14:paraId="58C3F061" w14:textId="77777777" w:rsidR="004D1067" w:rsidRDefault="004D1067" w:rsidP="004D1067"/>
    <w:p w14:paraId="7031F582" w14:textId="77777777" w:rsidR="004D1067" w:rsidRDefault="004D1067" w:rsidP="004D1067"/>
    <w:p w14:paraId="4EA32F13" w14:textId="77777777" w:rsidR="004D1067" w:rsidRDefault="004D1067" w:rsidP="004D1067"/>
    <w:p w14:paraId="0DB9F496" w14:textId="77777777" w:rsidR="004D1067" w:rsidRDefault="004D1067" w:rsidP="004D1067"/>
    <w:p w14:paraId="62CC1742" w14:textId="77777777" w:rsidR="0044747B" w:rsidRDefault="0044747B" w:rsidP="004D1067"/>
    <w:p w14:paraId="3BF22460" w14:textId="77777777" w:rsidR="0044747B" w:rsidRDefault="0044747B" w:rsidP="004D1067"/>
    <w:p w14:paraId="3048726C" w14:textId="77777777" w:rsidR="0044747B" w:rsidRDefault="0044747B" w:rsidP="004D1067"/>
    <w:p w14:paraId="344E707C" w14:textId="77777777" w:rsidR="0044747B" w:rsidRDefault="0044747B" w:rsidP="004D1067"/>
    <w:p w14:paraId="28427283" w14:textId="77777777" w:rsidR="0044747B" w:rsidRDefault="0044747B" w:rsidP="004D1067"/>
    <w:p w14:paraId="7E0BFAF4" w14:textId="77777777" w:rsidR="0044747B" w:rsidRDefault="0044747B" w:rsidP="004D1067"/>
    <w:p w14:paraId="29BC0A7F" w14:textId="77777777" w:rsidR="0044747B" w:rsidRDefault="0044747B" w:rsidP="004D1067"/>
    <w:p w14:paraId="55DDB894" w14:textId="77777777" w:rsidR="003B4C73" w:rsidRDefault="003B4C73" w:rsidP="004D1067"/>
    <w:p w14:paraId="116445FD" w14:textId="77777777" w:rsidR="003B4C73" w:rsidRDefault="003B4C73" w:rsidP="004D1067"/>
    <w:p w14:paraId="291901E8" w14:textId="77777777" w:rsidR="003B4C73" w:rsidRDefault="003B4C73" w:rsidP="004D1067"/>
    <w:p w14:paraId="0381A4D9" w14:textId="77777777" w:rsidR="003B4C73" w:rsidRDefault="003B4C73" w:rsidP="004D1067"/>
    <w:p w14:paraId="01C27AC0" w14:textId="77777777" w:rsidR="003B4C73" w:rsidRDefault="003B4C73" w:rsidP="004D1067"/>
    <w:p w14:paraId="1A6ABE12" w14:textId="77777777" w:rsidR="003B4C73" w:rsidRDefault="003B4C73" w:rsidP="004D1067"/>
    <w:p w14:paraId="07855FA1" w14:textId="77777777" w:rsidR="003B4C73" w:rsidRDefault="003B4C73" w:rsidP="004D1067"/>
    <w:p w14:paraId="2D5AA371" w14:textId="77777777" w:rsidR="003B4C73" w:rsidRDefault="003B4C73" w:rsidP="004D1067"/>
    <w:p w14:paraId="00380D49" w14:textId="77777777" w:rsidR="003B4C73" w:rsidRDefault="003B4C73" w:rsidP="004D1067"/>
    <w:p w14:paraId="193A3CC0" w14:textId="125BF28A" w:rsidR="00AC79FA" w:rsidRDefault="00AC79FA"/>
    <w:sectPr w:rsidR="00AC79FA">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2C3CF" w14:textId="77777777" w:rsidR="00566C4E" w:rsidRDefault="00566C4E" w:rsidP="00C435A2">
      <w:pPr>
        <w:spacing w:after="0" w:line="240" w:lineRule="auto"/>
      </w:pPr>
      <w:r>
        <w:separator/>
      </w:r>
    </w:p>
  </w:endnote>
  <w:endnote w:type="continuationSeparator" w:id="0">
    <w:p w14:paraId="32DAA98B" w14:textId="77777777" w:rsidR="00566C4E" w:rsidRDefault="00566C4E" w:rsidP="00C43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338C1" w14:textId="77777777" w:rsidR="00C435A2" w:rsidRDefault="00C435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6666683"/>
      <w:docPartObj>
        <w:docPartGallery w:val="Page Numbers (Bottom of Page)"/>
        <w:docPartUnique/>
      </w:docPartObj>
    </w:sdtPr>
    <w:sdtEndPr>
      <w:rPr>
        <w:noProof/>
      </w:rPr>
    </w:sdtEndPr>
    <w:sdtContent>
      <w:p w14:paraId="195DB76E" w14:textId="2E875DA7" w:rsidR="00C435A2" w:rsidRDefault="00C435A2">
        <w:pPr>
          <w:pStyle w:val="Footer"/>
        </w:pPr>
        <w:r>
          <w:fldChar w:fldCharType="begin"/>
        </w:r>
        <w:r>
          <w:instrText xml:space="preserve"> PAGE   \* MERGEFORMAT </w:instrText>
        </w:r>
        <w:r>
          <w:fldChar w:fldCharType="separate"/>
        </w:r>
        <w:r>
          <w:rPr>
            <w:noProof/>
          </w:rPr>
          <w:t>2</w:t>
        </w:r>
        <w:r>
          <w:rPr>
            <w:noProof/>
          </w:rPr>
          <w:fldChar w:fldCharType="end"/>
        </w:r>
      </w:p>
    </w:sdtContent>
  </w:sdt>
  <w:p w14:paraId="1C530866" w14:textId="77777777" w:rsidR="00C435A2" w:rsidRDefault="00C435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A70A3" w14:textId="77777777" w:rsidR="00C435A2" w:rsidRDefault="00C435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578D4" w14:textId="77777777" w:rsidR="00566C4E" w:rsidRDefault="00566C4E" w:rsidP="00C435A2">
      <w:pPr>
        <w:spacing w:after="0" w:line="240" w:lineRule="auto"/>
      </w:pPr>
      <w:r>
        <w:separator/>
      </w:r>
    </w:p>
  </w:footnote>
  <w:footnote w:type="continuationSeparator" w:id="0">
    <w:p w14:paraId="0F9756F6" w14:textId="77777777" w:rsidR="00566C4E" w:rsidRDefault="00566C4E" w:rsidP="00C435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B0ACA" w14:textId="77777777" w:rsidR="00C435A2" w:rsidRDefault="00C435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5043D" w14:textId="77777777" w:rsidR="00C435A2" w:rsidRDefault="00C435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6081D" w14:textId="77777777" w:rsidR="00C435A2" w:rsidRDefault="00C435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33345"/>
    <w:multiLevelType w:val="multilevel"/>
    <w:tmpl w:val="4F6AF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15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F8D"/>
    <w:rsid w:val="001C0F43"/>
    <w:rsid w:val="00233F8D"/>
    <w:rsid w:val="00302DDF"/>
    <w:rsid w:val="0036591A"/>
    <w:rsid w:val="003B4C73"/>
    <w:rsid w:val="003E6149"/>
    <w:rsid w:val="0044747B"/>
    <w:rsid w:val="004D1067"/>
    <w:rsid w:val="004D3517"/>
    <w:rsid w:val="00566C4E"/>
    <w:rsid w:val="00611117"/>
    <w:rsid w:val="009950D3"/>
    <w:rsid w:val="009B6F91"/>
    <w:rsid w:val="00A43808"/>
    <w:rsid w:val="00AC70D5"/>
    <w:rsid w:val="00AC79FA"/>
    <w:rsid w:val="00B6375C"/>
    <w:rsid w:val="00C435A2"/>
    <w:rsid w:val="00DC3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0B0C3"/>
  <w15:chartTrackingRefBased/>
  <w15:docId w15:val="{586B24ED-48D2-4DA5-B31C-41131C425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F8D"/>
  </w:style>
  <w:style w:type="paragraph" w:styleId="Heading1">
    <w:name w:val="heading 1"/>
    <w:basedOn w:val="Normal"/>
    <w:next w:val="Normal"/>
    <w:link w:val="Heading1Char"/>
    <w:uiPriority w:val="9"/>
    <w:qFormat/>
    <w:rsid w:val="00233F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3F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3F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3F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3F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3F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3F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3F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3F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F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3F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3F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3F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3F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3F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3F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3F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3F8D"/>
    <w:rPr>
      <w:rFonts w:eastAsiaTheme="majorEastAsia" w:cstheme="majorBidi"/>
      <w:color w:val="272727" w:themeColor="text1" w:themeTint="D8"/>
    </w:rPr>
  </w:style>
  <w:style w:type="paragraph" w:styleId="Title">
    <w:name w:val="Title"/>
    <w:basedOn w:val="Normal"/>
    <w:next w:val="Normal"/>
    <w:link w:val="TitleChar"/>
    <w:uiPriority w:val="10"/>
    <w:qFormat/>
    <w:rsid w:val="00233F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3F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3F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3F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3F8D"/>
    <w:pPr>
      <w:spacing w:before="160"/>
      <w:jc w:val="center"/>
    </w:pPr>
    <w:rPr>
      <w:i/>
      <w:iCs/>
      <w:color w:val="404040" w:themeColor="text1" w:themeTint="BF"/>
    </w:rPr>
  </w:style>
  <w:style w:type="character" w:customStyle="1" w:styleId="QuoteChar">
    <w:name w:val="Quote Char"/>
    <w:basedOn w:val="DefaultParagraphFont"/>
    <w:link w:val="Quote"/>
    <w:uiPriority w:val="29"/>
    <w:rsid w:val="00233F8D"/>
    <w:rPr>
      <w:i/>
      <w:iCs/>
      <w:color w:val="404040" w:themeColor="text1" w:themeTint="BF"/>
    </w:rPr>
  </w:style>
  <w:style w:type="paragraph" w:styleId="ListParagraph">
    <w:name w:val="List Paragraph"/>
    <w:basedOn w:val="Normal"/>
    <w:uiPriority w:val="34"/>
    <w:qFormat/>
    <w:rsid w:val="00233F8D"/>
    <w:pPr>
      <w:ind w:left="720"/>
      <w:contextualSpacing/>
    </w:pPr>
  </w:style>
  <w:style w:type="character" w:styleId="IntenseEmphasis">
    <w:name w:val="Intense Emphasis"/>
    <w:basedOn w:val="DefaultParagraphFont"/>
    <w:uiPriority w:val="21"/>
    <w:qFormat/>
    <w:rsid w:val="00233F8D"/>
    <w:rPr>
      <w:i/>
      <w:iCs/>
      <w:color w:val="0F4761" w:themeColor="accent1" w:themeShade="BF"/>
    </w:rPr>
  </w:style>
  <w:style w:type="paragraph" w:styleId="IntenseQuote">
    <w:name w:val="Intense Quote"/>
    <w:basedOn w:val="Normal"/>
    <w:next w:val="Normal"/>
    <w:link w:val="IntenseQuoteChar"/>
    <w:uiPriority w:val="30"/>
    <w:qFormat/>
    <w:rsid w:val="00233F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3F8D"/>
    <w:rPr>
      <w:i/>
      <w:iCs/>
      <w:color w:val="0F4761" w:themeColor="accent1" w:themeShade="BF"/>
    </w:rPr>
  </w:style>
  <w:style w:type="character" w:styleId="IntenseReference">
    <w:name w:val="Intense Reference"/>
    <w:basedOn w:val="DefaultParagraphFont"/>
    <w:uiPriority w:val="32"/>
    <w:qFormat/>
    <w:rsid w:val="00233F8D"/>
    <w:rPr>
      <w:b/>
      <w:bCs/>
      <w:smallCaps/>
      <w:color w:val="0F4761" w:themeColor="accent1" w:themeShade="BF"/>
      <w:spacing w:val="5"/>
    </w:rPr>
  </w:style>
  <w:style w:type="character" w:styleId="Hyperlink">
    <w:name w:val="Hyperlink"/>
    <w:basedOn w:val="DefaultParagraphFont"/>
    <w:uiPriority w:val="99"/>
    <w:unhideWhenUsed/>
    <w:rsid w:val="00DC3412"/>
    <w:rPr>
      <w:color w:val="467886" w:themeColor="hyperlink"/>
      <w:u w:val="single"/>
    </w:rPr>
  </w:style>
  <w:style w:type="character" w:styleId="UnresolvedMention">
    <w:name w:val="Unresolved Mention"/>
    <w:basedOn w:val="DefaultParagraphFont"/>
    <w:uiPriority w:val="99"/>
    <w:semiHidden/>
    <w:unhideWhenUsed/>
    <w:rsid w:val="00DC3412"/>
    <w:rPr>
      <w:color w:val="605E5C"/>
      <w:shd w:val="clear" w:color="auto" w:fill="E1DFDD"/>
    </w:rPr>
  </w:style>
  <w:style w:type="paragraph" w:styleId="Header">
    <w:name w:val="header"/>
    <w:basedOn w:val="Normal"/>
    <w:link w:val="HeaderChar"/>
    <w:uiPriority w:val="99"/>
    <w:unhideWhenUsed/>
    <w:rsid w:val="00C435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5A2"/>
  </w:style>
  <w:style w:type="paragraph" w:styleId="Footer">
    <w:name w:val="footer"/>
    <w:basedOn w:val="Normal"/>
    <w:link w:val="FooterChar"/>
    <w:uiPriority w:val="99"/>
    <w:unhideWhenUsed/>
    <w:rsid w:val="00C435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5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s0890-4065(03)00061-6//"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psycnet.apa.org/record/1988-98501-000//" TargetMode="External"/><Relationship Id="rId12" Type="http://schemas.openxmlformats.org/officeDocument/2006/relationships/hyperlink" Target="https://doi.org/10.1002/gps.930080207//"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11/j.1365-2648.2006.03897.x.//"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cmc.marmot.org/Record/.b58782898?//"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86/s12877-020-01547-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159</TotalTime>
  <Pages>8</Pages>
  <Words>1934</Words>
  <Characters>11026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Heena Khan (2419590)</dc:creator>
  <cp:keywords/>
  <dc:description/>
  <cp:lastModifiedBy>Heena Khan (2419590)</cp:lastModifiedBy>
  <cp:revision>1</cp:revision>
  <dcterms:created xsi:type="dcterms:W3CDTF">2025-11-17T20:20:00Z</dcterms:created>
  <dcterms:modified xsi:type="dcterms:W3CDTF">2025-11-17T23:54:00Z</dcterms:modified>
</cp:coreProperties>
</file>