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EC885" w14:textId="77777777" w:rsidR="00525052" w:rsidRDefault="00000000">
      <w:pPr>
        <w:spacing w:before="800" w:after="100"/>
        <w:jc w:val="center"/>
      </w:pPr>
      <w:r>
        <w:rPr>
          <w:rFonts w:ascii="Calibri" w:eastAsia="Calibri" w:hAnsi="Calibri" w:cs="Calibri"/>
          <w:b/>
          <w:bCs/>
          <w:sz w:val="30"/>
          <w:szCs w:val="30"/>
        </w:rPr>
        <w:t>University of Wales Trinity Saint David</w:t>
      </w:r>
    </w:p>
    <w:p w14:paraId="552F7DA4" w14:textId="77777777" w:rsidR="00525052" w:rsidRDefault="00000000">
      <w:pPr>
        <w:spacing w:after="100"/>
        <w:jc w:val="center"/>
      </w:pPr>
      <w:r>
        <w:rPr>
          <w:rFonts w:ascii="Calibri" w:eastAsia="Calibri" w:hAnsi="Calibri" w:cs="Calibri"/>
          <w:sz w:val="24"/>
          <w:szCs w:val="24"/>
        </w:rPr>
        <w:t>Institute of Inner-City Learning, London Campus</w:t>
      </w:r>
    </w:p>
    <w:p w14:paraId="19F3E8ED" w14:textId="77777777" w:rsidR="00525052" w:rsidRDefault="00000000">
      <w:pPr>
        <w:spacing w:after="400"/>
        <w:jc w:val="center"/>
      </w:pPr>
      <w:r>
        <w:rPr>
          <w:rFonts w:ascii="Calibri" w:eastAsia="Calibri" w:hAnsi="Calibri" w:cs="Calibri"/>
          <w:sz w:val="24"/>
          <w:szCs w:val="24"/>
        </w:rPr>
        <w:t>Master of Business Administration</w:t>
      </w:r>
    </w:p>
    <w:p w14:paraId="3D3B989A" w14:textId="77777777" w:rsidR="00525052" w:rsidRDefault="00000000">
      <w:pPr>
        <w:spacing w:after="100"/>
        <w:jc w:val="center"/>
      </w:pPr>
      <w:r>
        <w:rPr>
          <w:rFonts w:ascii="Calibri" w:eastAsia="Calibri" w:hAnsi="Calibri" w:cs="Calibri"/>
          <w:b/>
          <w:bCs/>
          <w:sz w:val="26"/>
          <w:szCs w:val="26"/>
        </w:rPr>
        <w:t>LCMB7035 – Dissertation</w:t>
      </w:r>
    </w:p>
    <w:p w14:paraId="325A10E1" w14:textId="77777777" w:rsidR="00525052" w:rsidRDefault="00000000">
      <w:pPr>
        <w:spacing w:before="400" w:after="600"/>
        <w:jc w:val="center"/>
      </w:pPr>
      <w:r>
        <w:rPr>
          <w:rFonts w:ascii="Calibri" w:eastAsia="Calibri" w:hAnsi="Calibri" w:cs="Calibri"/>
          <w:b/>
          <w:bCs/>
          <w:color w:val="1F4E79"/>
          <w:sz w:val="34"/>
          <w:szCs w:val="34"/>
        </w:rPr>
        <w:t>Dissertation Proposal</w:t>
      </w:r>
    </w:p>
    <w:p w14:paraId="444665C6" w14:textId="370AB628" w:rsidR="00525052" w:rsidRDefault="00000000">
      <w:pPr>
        <w:spacing w:after="200"/>
        <w:jc w:val="center"/>
      </w:pPr>
      <w:r>
        <w:rPr>
          <w:rFonts w:ascii="Calibri" w:eastAsia="Calibri" w:hAnsi="Calibri" w:cs="Calibri"/>
          <w:b/>
          <w:bCs/>
          <w:sz w:val="28"/>
          <w:szCs w:val="28"/>
        </w:rPr>
        <w:t>The Impact of Artificial Intelligence on Employee Wellbeing and Job Security</w:t>
      </w:r>
    </w:p>
    <w:p w14:paraId="5BBB3532" w14:textId="2040884A" w:rsidR="00525052" w:rsidRDefault="00000000">
      <w:pPr>
        <w:spacing w:before="1000"/>
        <w:jc w:val="center"/>
      </w:pPr>
      <w:r>
        <w:rPr>
          <w:rFonts w:ascii="Calibri" w:eastAsia="Calibri" w:hAnsi="Calibri" w:cs="Calibri"/>
          <w:sz w:val="22"/>
          <w:szCs w:val="22"/>
        </w:rPr>
        <w:t xml:space="preserve">Student Name: </w:t>
      </w:r>
      <w:proofErr w:type="spellStart"/>
      <w:r w:rsidR="00325408" w:rsidRPr="00EA051A">
        <w:rPr>
          <w:rFonts w:ascii="Arial" w:hAnsi="Arial" w:cs="Arial"/>
          <w:sz w:val="22"/>
          <w:szCs w:val="22"/>
        </w:rPr>
        <w:t>Almahender</w:t>
      </w:r>
      <w:proofErr w:type="spellEnd"/>
      <w:r w:rsidR="00325408" w:rsidRPr="00EA051A">
        <w:rPr>
          <w:rFonts w:ascii="Arial" w:hAnsi="Arial" w:cs="Arial"/>
          <w:sz w:val="22"/>
          <w:szCs w:val="22"/>
        </w:rPr>
        <w:t xml:space="preserve"> Singh</w:t>
      </w:r>
    </w:p>
    <w:p w14:paraId="37F497F4" w14:textId="5349D036" w:rsidR="00525052" w:rsidRDefault="00000000">
      <w:pPr>
        <w:spacing w:after="100"/>
        <w:jc w:val="center"/>
      </w:pPr>
      <w:r>
        <w:rPr>
          <w:rFonts w:ascii="Calibri" w:eastAsia="Calibri" w:hAnsi="Calibri" w:cs="Calibri"/>
          <w:sz w:val="22"/>
          <w:szCs w:val="22"/>
        </w:rPr>
        <w:t xml:space="preserve">Student ID: </w:t>
      </w:r>
      <w:r w:rsidR="00325408">
        <w:rPr>
          <w:rFonts w:ascii="Calibri" w:eastAsia="Calibri" w:hAnsi="Calibri" w:cs="Calibri"/>
          <w:sz w:val="22"/>
          <w:szCs w:val="22"/>
        </w:rPr>
        <w:t>2504913</w:t>
      </w:r>
    </w:p>
    <w:p w14:paraId="3D764ED9" w14:textId="2873A34E" w:rsidR="00525052" w:rsidRDefault="00000000">
      <w:pPr>
        <w:spacing w:after="100"/>
        <w:jc w:val="center"/>
      </w:pPr>
      <w:r>
        <w:rPr>
          <w:rFonts w:ascii="Calibri" w:eastAsia="Calibri" w:hAnsi="Calibri" w:cs="Calibri"/>
          <w:sz w:val="22"/>
          <w:szCs w:val="22"/>
        </w:rPr>
        <w:t>Supervisor</w:t>
      </w:r>
      <w:r w:rsidR="00325408">
        <w:rPr>
          <w:rFonts w:ascii="Calibri" w:eastAsia="Calibri" w:hAnsi="Calibri" w:cs="Calibri"/>
          <w:sz w:val="22"/>
          <w:szCs w:val="22"/>
        </w:rPr>
        <w:t>:</w:t>
      </w:r>
      <w:r w:rsidR="00325408" w:rsidRPr="00325408">
        <w:rPr>
          <w:rFonts w:ascii="Arial" w:hAnsi="Arial" w:cs="Arial"/>
          <w:sz w:val="22"/>
          <w:szCs w:val="22"/>
        </w:rPr>
        <w:t xml:space="preserve"> </w:t>
      </w:r>
      <w:r w:rsidR="00325408" w:rsidRPr="00EA051A">
        <w:rPr>
          <w:rFonts w:ascii="Arial" w:hAnsi="Arial" w:cs="Arial"/>
          <w:sz w:val="22"/>
          <w:szCs w:val="22"/>
        </w:rPr>
        <w:t>Alireza Nazarian</w:t>
      </w:r>
    </w:p>
    <w:p w14:paraId="7EBBA130" w14:textId="660A6559" w:rsidR="00525052" w:rsidRDefault="00000000">
      <w:pPr>
        <w:spacing w:after="100"/>
        <w:jc w:val="center"/>
      </w:pPr>
      <w:r>
        <w:rPr>
          <w:rFonts w:ascii="Calibri" w:eastAsia="Calibri" w:hAnsi="Calibri" w:cs="Calibri"/>
          <w:sz w:val="22"/>
          <w:szCs w:val="22"/>
        </w:rPr>
        <w:t xml:space="preserve">Date: </w:t>
      </w:r>
      <w:r w:rsidR="00325408">
        <w:rPr>
          <w:rFonts w:ascii="Calibri" w:eastAsia="Calibri" w:hAnsi="Calibri" w:cs="Calibri"/>
          <w:sz w:val="22"/>
          <w:szCs w:val="22"/>
        </w:rPr>
        <w:t>10/7/2026</w:t>
      </w:r>
    </w:p>
    <w:p w14:paraId="7F239DC7" w14:textId="77777777" w:rsidR="00525052" w:rsidRDefault="00000000">
      <w:r>
        <w:br w:type="page"/>
      </w:r>
    </w:p>
    <w:p w14:paraId="1468D880" w14:textId="77777777" w:rsidR="00525052" w:rsidRDefault="00000000">
      <w:pPr>
        <w:pStyle w:val="Heading1"/>
        <w:spacing w:before="360" w:after="200"/>
      </w:pPr>
      <w:r>
        <w:rPr>
          <w:rFonts w:ascii="Calibri" w:eastAsia="Calibri" w:hAnsi="Calibri" w:cs="Calibri"/>
          <w:b/>
          <w:bCs/>
          <w:color w:val="1F4E79"/>
          <w:sz w:val="28"/>
          <w:szCs w:val="28"/>
        </w:rPr>
        <w:lastRenderedPageBreak/>
        <w:t>AI Use Acknowledgement</w:t>
      </w:r>
    </w:p>
    <w:p w14:paraId="00BCDDB2" w14:textId="27BFBBF8" w:rsidR="004C5379" w:rsidRPr="004C5379" w:rsidRDefault="00000000" w:rsidP="004C5379">
      <w:pPr>
        <w:spacing w:after="180" w:line="276" w:lineRule="auto"/>
        <w:jc w:val="both"/>
        <w:rPr>
          <w:rFonts w:ascii="Calibri" w:eastAsia="Calibri" w:hAnsi="Calibri" w:cs="Calibri"/>
          <w:sz w:val="22"/>
          <w:szCs w:val="22"/>
        </w:rPr>
      </w:pPr>
      <w:r>
        <w:rPr>
          <w:rFonts w:ascii="Calibri" w:eastAsia="Calibri" w:hAnsi="Calibri" w:cs="Calibri"/>
          <w:sz w:val="22"/>
          <w:szCs w:val="22"/>
        </w:rPr>
        <w:t xml:space="preserve">In preparing this </w:t>
      </w:r>
      <w:r w:rsidR="004C5379" w:rsidRPr="004C5379">
        <w:rPr>
          <w:rFonts w:ascii="Calibri" w:eastAsia="Calibri" w:hAnsi="Calibri" w:cs="Calibri"/>
          <w:sz w:val="22"/>
          <w:szCs w:val="22"/>
        </w:rPr>
        <w:t>I confirm that I have not used any AI tools in the research and creation of thi</w:t>
      </w:r>
      <w:r w:rsidR="004C5379">
        <w:rPr>
          <w:rFonts w:ascii="Calibri" w:eastAsia="Calibri" w:hAnsi="Calibri" w:cs="Calibri"/>
          <w:sz w:val="22"/>
          <w:szCs w:val="22"/>
        </w:rPr>
        <w:t>s dissertation proposal</w:t>
      </w:r>
      <w:r w:rsidR="004C5379" w:rsidRPr="004C5379">
        <w:rPr>
          <w:rFonts w:ascii="Calibri" w:eastAsia="Calibri" w:hAnsi="Calibri" w:cs="Calibri"/>
          <w:sz w:val="22"/>
          <w:szCs w:val="22"/>
        </w:rPr>
        <w:t>. I confirm that I have not presented any AI generated materials as my own</w:t>
      </w:r>
      <w:r w:rsidR="00036D48">
        <w:rPr>
          <w:rFonts w:ascii="Calibri" w:eastAsia="Calibri" w:hAnsi="Calibri" w:cs="Calibri"/>
          <w:sz w:val="22"/>
          <w:szCs w:val="22"/>
        </w:rPr>
        <w:t xml:space="preserve"> </w:t>
      </w:r>
      <w:r w:rsidR="004C5379" w:rsidRPr="004C5379">
        <w:rPr>
          <w:rFonts w:ascii="Calibri" w:eastAsia="Calibri" w:hAnsi="Calibri" w:cs="Calibri"/>
          <w:sz w:val="22"/>
          <w:szCs w:val="22"/>
        </w:rPr>
        <w:t>work. I confirm I have copies of my drafts, notes, and other resources I used, which I</w:t>
      </w:r>
      <w:r w:rsidR="004C5379">
        <w:rPr>
          <w:rFonts w:ascii="Calibri" w:eastAsia="Calibri" w:hAnsi="Calibri" w:cs="Calibri"/>
          <w:sz w:val="22"/>
          <w:szCs w:val="22"/>
        </w:rPr>
        <w:t xml:space="preserve"> </w:t>
      </w:r>
      <w:r w:rsidR="004C5379" w:rsidRPr="004C5379">
        <w:rPr>
          <w:rFonts w:ascii="Calibri" w:eastAsia="Calibri" w:hAnsi="Calibri" w:cs="Calibri"/>
          <w:sz w:val="22"/>
          <w:szCs w:val="22"/>
        </w:rPr>
        <w:t>may be asked to provide in evidence.</w:t>
      </w:r>
    </w:p>
    <w:p w14:paraId="49F8FAD5" w14:textId="6891AAB6" w:rsidR="00525052" w:rsidRDefault="00000000" w:rsidP="004C5379">
      <w:pPr>
        <w:spacing w:after="180" w:line="276" w:lineRule="auto"/>
        <w:jc w:val="both"/>
      </w:pPr>
      <w:r>
        <w:rPr>
          <w:rFonts w:ascii="Calibri" w:eastAsia="Calibri" w:hAnsi="Calibri" w:cs="Calibri"/>
          <w:b/>
          <w:bCs/>
          <w:color w:val="1F4E79"/>
          <w:sz w:val="28"/>
          <w:szCs w:val="28"/>
        </w:rPr>
        <w:t>1. Introduction</w:t>
      </w:r>
    </w:p>
    <w:p w14:paraId="6FBB9EDC" w14:textId="77777777" w:rsidR="00525052" w:rsidRDefault="00000000">
      <w:pPr>
        <w:spacing w:after="180" w:line="276" w:lineRule="auto"/>
        <w:jc w:val="both"/>
      </w:pPr>
      <w:r>
        <w:rPr>
          <w:rFonts w:ascii="Calibri" w:eastAsia="Calibri" w:hAnsi="Calibri" w:cs="Calibri"/>
          <w:sz w:val="22"/>
          <w:szCs w:val="22"/>
        </w:rPr>
        <w:t>Artificial intelligence (AI) is no longer a peripheral technology in organisational life; it is increasingly embedded in recruitment, performance management, scheduling, customer service, and core operational decision-making across sectors. For Human Resource (HR) functions in particular, AI is reshaping how organisations plan workforces, monitor performance, and manage the employment relationship. While AI adoption is widely promoted for its efficiency, cost, and productivity benefits, a growing body of research indicates that it also carries significant human costs. Employees increasingly report anxiety about displacement, loss of autonomy, and the erosion of job security, and these concerns have been linked to reduced psychological safety, elevated stress, and even depressive symptoms among workers exposed to rapid AI-driven change.</w:t>
      </w:r>
    </w:p>
    <w:p w14:paraId="0BCA43D4" w14:textId="555DB4A5" w:rsidR="00525052" w:rsidRDefault="00000000">
      <w:pPr>
        <w:spacing w:after="180" w:line="276" w:lineRule="auto"/>
        <w:jc w:val="both"/>
      </w:pPr>
      <w:r>
        <w:rPr>
          <w:rFonts w:ascii="Calibri" w:eastAsia="Calibri" w:hAnsi="Calibri" w:cs="Calibri"/>
          <w:sz w:val="22"/>
          <w:szCs w:val="22"/>
        </w:rPr>
        <w:t>This dual character of AI in the workplace as both an enabler of organisational performance and a potential source of psychological strain forms the central problem this dissertation seeks to investigate. Existing literature has begun to map the relationship between AI adoption and constructs such as job insecurity, technostress, and employee wellbeing; however, comparatively little research has examined this relationship specifically through an HR management lens, focusing on the practices, policies, and interventions that HR functions can deploy to protect employee wellbeing while enabling AI</w:t>
      </w:r>
      <w:r w:rsidR="00663D3A">
        <w:rPr>
          <w:rFonts w:ascii="Calibri" w:eastAsia="Calibri" w:hAnsi="Calibri" w:cs="Calibri"/>
          <w:sz w:val="22"/>
          <w:szCs w:val="22"/>
        </w:rPr>
        <w:t xml:space="preserve"> </w:t>
      </w:r>
      <w:r>
        <w:rPr>
          <w:rFonts w:ascii="Calibri" w:eastAsia="Calibri" w:hAnsi="Calibri" w:cs="Calibri"/>
          <w:sz w:val="22"/>
          <w:szCs w:val="22"/>
        </w:rPr>
        <w:t>driven transformation. This gap is particularly significant given that HR departments are simultaneously implementers of AI systems custodians of employee welfare, placing them at the centre of this tension.</w:t>
      </w:r>
    </w:p>
    <w:p w14:paraId="6998D0B0" w14:textId="0F669F4F" w:rsidR="00525052" w:rsidRDefault="00000000">
      <w:pPr>
        <w:spacing w:after="180" w:line="276" w:lineRule="auto"/>
        <w:jc w:val="both"/>
      </w:pPr>
      <w:r>
        <w:rPr>
          <w:rFonts w:ascii="Calibri" w:eastAsia="Calibri" w:hAnsi="Calibri" w:cs="Calibri"/>
          <w:sz w:val="22"/>
          <w:szCs w:val="22"/>
        </w:rPr>
        <w:t>This research is significant for both academic and practical reasons. Academically, it contributes to an emerging and rapidly evolving field by synthesising perspectives from occupational psychology, HR management, and technology adoption literature. Practically, the findings are intended to offer HR practitioners evidence-based guidance on how to manage AI</w:t>
      </w:r>
      <w:r w:rsidR="00663D3A">
        <w:rPr>
          <w:rFonts w:ascii="Calibri" w:eastAsia="Calibri" w:hAnsi="Calibri" w:cs="Calibri"/>
          <w:sz w:val="22"/>
          <w:szCs w:val="22"/>
        </w:rPr>
        <w:t xml:space="preserve"> </w:t>
      </w:r>
      <w:r>
        <w:rPr>
          <w:rFonts w:ascii="Calibri" w:eastAsia="Calibri" w:hAnsi="Calibri" w:cs="Calibri"/>
          <w:sz w:val="22"/>
          <w:szCs w:val="22"/>
        </w:rPr>
        <w:t>related change in ways that protect, rather than undermine, employee wellbeing and perceived job security.</w:t>
      </w:r>
    </w:p>
    <w:p w14:paraId="268AE461" w14:textId="77777777" w:rsidR="00525052" w:rsidRDefault="00000000">
      <w:pPr>
        <w:pStyle w:val="Heading2"/>
        <w:spacing w:before="260" w:after="140"/>
      </w:pPr>
      <w:r>
        <w:rPr>
          <w:rFonts w:ascii="Calibri" w:eastAsia="Calibri" w:hAnsi="Calibri" w:cs="Calibri"/>
          <w:b/>
          <w:bCs/>
          <w:color w:val="1F4E79"/>
          <w:sz w:val="24"/>
          <w:szCs w:val="24"/>
        </w:rPr>
        <w:t>1.1 Research Aim</w:t>
      </w:r>
    </w:p>
    <w:p w14:paraId="39681B0E" w14:textId="15C56E1F" w:rsidR="00525052" w:rsidRDefault="00000000">
      <w:pPr>
        <w:spacing w:after="180" w:line="276" w:lineRule="auto"/>
        <w:jc w:val="both"/>
      </w:pPr>
      <w:r>
        <w:rPr>
          <w:rFonts w:ascii="Calibri" w:eastAsia="Calibri" w:hAnsi="Calibri" w:cs="Calibri"/>
          <w:sz w:val="22"/>
          <w:szCs w:val="22"/>
        </w:rPr>
        <w:t>The aim of this research is to critically examine the impact of AI adoption on employee wellbeing and perceived job security, and to evaluate the role of HR policies and practices in mitigating adverse effects and supporting a positive employee experience during AI</w:t>
      </w:r>
      <w:r w:rsidR="00663D3A">
        <w:rPr>
          <w:rFonts w:ascii="Calibri" w:eastAsia="Calibri" w:hAnsi="Calibri" w:cs="Calibri"/>
          <w:sz w:val="22"/>
          <w:szCs w:val="22"/>
        </w:rPr>
        <w:t xml:space="preserve"> </w:t>
      </w:r>
      <w:r>
        <w:rPr>
          <w:rFonts w:ascii="Calibri" w:eastAsia="Calibri" w:hAnsi="Calibri" w:cs="Calibri"/>
          <w:sz w:val="22"/>
          <w:szCs w:val="22"/>
        </w:rPr>
        <w:t>driven organisational change.</w:t>
      </w:r>
    </w:p>
    <w:p w14:paraId="69E2BC4E" w14:textId="77777777" w:rsidR="00525052" w:rsidRDefault="00000000">
      <w:pPr>
        <w:pStyle w:val="Heading2"/>
        <w:spacing w:before="260" w:after="140"/>
      </w:pPr>
      <w:r>
        <w:rPr>
          <w:rFonts w:ascii="Calibri" w:eastAsia="Calibri" w:hAnsi="Calibri" w:cs="Calibri"/>
          <w:b/>
          <w:bCs/>
          <w:color w:val="1F4E79"/>
          <w:sz w:val="24"/>
          <w:szCs w:val="24"/>
        </w:rPr>
        <w:t>1.2 Research Objectives</w:t>
      </w:r>
    </w:p>
    <w:p w14:paraId="3A5EDC78" w14:textId="77777777" w:rsidR="00525052" w:rsidRDefault="00000000">
      <w:pPr>
        <w:pStyle w:val="ListParagraph"/>
        <w:numPr>
          <w:ilvl w:val="0"/>
          <w:numId w:val="2"/>
        </w:numPr>
        <w:spacing w:after="100" w:line="276" w:lineRule="auto"/>
      </w:pPr>
      <w:r>
        <w:rPr>
          <w:rFonts w:ascii="Calibri" w:eastAsia="Calibri" w:hAnsi="Calibri" w:cs="Calibri"/>
          <w:sz w:val="22"/>
          <w:szCs w:val="22"/>
        </w:rPr>
        <w:t>To critically review existing academic and industry literature on the relationship between AI adoption, employee wellbeing, and job insecurity.</w:t>
      </w:r>
    </w:p>
    <w:p w14:paraId="643CC327" w14:textId="77777777" w:rsidR="00525052" w:rsidRDefault="00000000">
      <w:pPr>
        <w:pStyle w:val="ListParagraph"/>
        <w:numPr>
          <w:ilvl w:val="0"/>
          <w:numId w:val="2"/>
        </w:numPr>
        <w:spacing w:after="100" w:line="276" w:lineRule="auto"/>
      </w:pPr>
      <w:r>
        <w:rPr>
          <w:rFonts w:ascii="Calibri" w:eastAsia="Calibri" w:hAnsi="Calibri" w:cs="Calibri"/>
          <w:sz w:val="22"/>
          <w:szCs w:val="22"/>
        </w:rPr>
        <w:t>To synthesise, through systematic review of published empirical studies, how employees' experience of AI adoption is reported to affect their sense of job security and psychological wellbeing.</w:t>
      </w:r>
    </w:p>
    <w:p w14:paraId="0A17AE06" w14:textId="7379CF65" w:rsidR="00525052" w:rsidRDefault="00000000">
      <w:pPr>
        <w:pStyle w:val="ListParagraph"/>
        <w:numPr>
          <w:ilvl w:val="0"/>
          <w:numId w:val="2"/>
        </w:numPr>
        <w:spacing w:after="100" w:line="276" w:lineRule="auto"/>
      </w:pPr>
      <w:r>
        <w:rPr>
          <w:rFonts w:ascii="Calibri" w:eastAsia="Calibri" w:hAnsi="Calibri" w:cs="Calibri"/>
          <w:sz w:val="22"/>
          <w:szCs w:val="22"/>
        </w:rPr>
        <w:t>To identify, from the existing literature, the HR practices, communication strategies, and support mechanisms shown or proposed to mitigate AI</w:t>
      </w:r>
      <w:r w:rsidR="00663D3A">
        <w:rPr>
          <w:rFonts w:ascii="Calibri" w:eastAsia="Calibri" w:hAnsi="Calibri" w:cs="Calibri"/>
          <w:sz w:val="22"/>
          <w:szCs w:val="22"/>
        </w:rPr>
        <w:t xml:space="preserve"> </w:t>
      </w:r>
      <w:r>
        <w:rPr>
          <w:rFonts w:ascii="Calibri" w:eastAsia="Calibri" w:hAnsi="Calibri" w:cs="Calibri"/>
          <w:sz w:val="22"/>
          <w:szCs w:val="22"/>
        </w:rPr>
        <w:t>related employee anxiety.</w:t>
      </w:r>
    </w:p>
    <w:p w14:paraId="497BE383" w14:textId="270770B0" w:rsidR="00525052" w:rsidRDefault="00000000">
      <w:pPr>
        <w:pStyle w:val="ListParagraph"/>
        <w:numPr>
          <w:ilvl w:val="0"/>
          <w:numId w:val="2"/>
        </w:numPr>
        <w:spacing w:after="100" w:line="276" w:lineRule="auto"/>
      </w:pPr>
      <w:r>
        <w:rPr>
          <w:rFonts w:ascii="Calibri" w:eastAsia="Calibri" w:hAnsi="Calibri" w:cs="Calibri"/>
          <w:sz w:val="22"/>
          <w:szCs w:val="22"/>
        </w:rPr>
        <w:lastRenderedPageBreak/>
        <w:t>To develop evidence</w:t>
      </w:r>
      <w:r w:rsidR="00663D3A">
        <w:rPr>
          <w:rFonts w:ascii="Calibri" w:eastAsia="Calibri" w:hAnsi="Calibri" w:cs="Calibri"/>
          <w:sz w:val="22"/>
          <w:szCs w:val="22"/>
        </w:rPr>
        <w:t xml:space="preserve"> </w:t>
      </w:r>
      <w:r>
        <w:rPr>
          <w:rFonts w:ascii="Calibri" w:eastAsia="Calibri" w:hAnsi="Calibri" w:cs="Calibri"/>
          <w:sz w:val="22"/>
          <w:szCs w:val="22"/>
        </w:rPr>
        <w:t>based recommendations for HR practitioners on managing AI adoption in a way that safeguards employee wellbeing and job security, and to identify gaps warranting future primary research.</w:t>
      </w:r>
    </w:p>
    <w:p w14:paraId="30D3EF6F" w14:textId="7F488B2D" w:rsidR="00525052" w:rsidRDefault="00000000">
      <w:pPr>
        <w:pStyle w:val="Heading2"/>
        <w:spacing w:before="260" w:after="140"/>
        <w:rPr>
          <w:rFonts w:ascii="Calibri" w:eastAsia="Calibri" w:hAnsi="Calibri" w:cs="Calibri"/>
          <w:b/>
          <w:bCs/>
          <w:color w:val="1F4E79"/>
          <w:sz w:val="24"/>
          <w:szCs w:val="24"/>
        </w:rPr>
      </w:pPr>
      <w:r>
        <w:rPr>
          <w:rFonts w:ascii="Calibri" w:eastAsia="Calibri" w:hAnsi="Calibri" w:cs="Calibri"/>
          <w:b/>
          <w:bCs/>
          <w:color w:val="1F4E79"/>
          <w:sz w:val="24"/>
          <w:szCs w:val="24"/>
        </w:rPr>
        <w:t>1.3 Research Question</w:t>
      </w:r>
    </w:p>
    <w:p w14:paraId="5DC1A186" w14:textId="3573DAD5" w:rsidR="00CC5567" w:rsidRPr="00CC5567" w:rsidRDefault="00CC5567">
      <w:pPr>
        <w:pStyle w:val="Heading2"/>
        <w:spacing w:before="260" w:after="140"/>
        <w:rPr>
          <w:color w:val="000000" w:themeColor="text1"/>
          <w:sz w:val="24"/>
          <w:szCs w:val="24"/>
        </w:rPr>
      </w:pPr>
      <w:r>
        <w:rPr>
          <w:color w:val="000000" w:themeColor="text1"/>
          <w:sz w:val="24"/>
          <w:szCs w:val="24"/>
        </w:rPr>
        <w:t>Q1:</w:t>
      </w:r>
      <w:r w:rsidRPr="00CC5567">
        <w:rPr>
          <w:color w:val="000000" w:themeColor="text1"/>
          <w:sz w:val="24"/>
          <w:szCs w:val="24"/>
        </w:rPr>
        <w:t>How does the adoption of artificial intelligence in the workplace affect employee wellbeing and perceived job security, and what role can HR practices play in mitigating any negative effects?</w:t>
      </w:r>
    </w:p>
    <w:p w14:paraId="05670ED0" w14:textId="77777777" w:rsidR="00525052" w:rsidRDefault="00000000">
      <w:pPr>
        <w:pStyle w:val="Heading1"/>
        <w:spacing w:before="360" w:after="200"/>
      </w:pPr>
      <w:r>
        <w:rPr>
          <w:rFonts w:ascii="Calibri" w:eastAsia="Calibri" w:hAnsi="Calibri" w:cs="Calibri"/>
          <w:b/>
          <w:bCs/>
          <w:color w:val="1F4E79"/>
          <w:sz w:val="28"/>
          <w:szCs w:val="28"/>
        </w:rPr>
        <w:t>2. Literature Review</w:t>
      </w:r>
    </w:p>
    <w:p w14:paraId="5DAFFD81" w14:textId="77777777" w:rsidR="00525052" w:rsidRDefault="00000000">
      <w:pPr>
        <w:spacing w:after="180" w:line="276" w:lineRule="auto"/>
        <w:jc w:val="both"/>
      </w:pPr>
      <w:r>
        <w:rPr>
          <w:rFonts w:ascii="Calibri" w:eastAsia="Calibri" w:hAnsi="Calibri" w:cs="Calibri"/>
          <w:sz w:val="22"/>
          <w:szCs w:val="22"/>
        </w:rPr>
        <w:t>This review is organised around three themes: (</w:t>
      </w:r>
      <w:proofErr w:type="spellStart"/>
      <w:r>
        <w:rPr>
          <w:rFonts w:ascii="Calibri" w:eastAsia="Calibri" w:hAnsi="Calibri" w:cs="Calibri"/>
          <w:sz w:val="22"/>
          <w:szCs w:val="22"/>
        </w:rPr>
        <w:t>i</w:t>
      </w:r>
      <w:proofErr w:type="spellEnd"/>
      <w:r>
        <w:rPr>
          <w:rFonts w:ascii="Calibri" w:eastAsia="Calibri" w:hAnsi="Calibri" w:cs="Calibri"/>
          <w:sz w:val="22"/>
          <w:szCs w:val="22"/>
        </w:rPr>
        <w:t>) AI adoption and job insecurity, (ii) AI adoption and employee wellbeing, and (iii) the role of HR and leadership in mitigating negative effects. It draws on the job demands–resources (JD-R) model as a guiding theoretical framework.</w:t>
      </w:r>
    </w:p>
    <w:p w14:paraId="439D23B1" w14:textId="00391B26" w:rsidR="00525052" w:rsidRDefault="00000000">
      <w:pPr>
        <w:pStyle w:val="Heading2"/>
        <w:spacing w:before="260" w:after="140"/>
      </w:pPr>
      <w:r>
        <w:rPr>
          <w:rFonts w:ascii="Calibri" w:eastAsia="Calibri" w:hAnsi="Calibri" w:cs="Calibri"/>
          <w:b/>
          <w:bCs/>
          <w:color w:val="1F4E79"/>
          <w:sz w:val="24"/>
          <w:szCs w:val="24"/>
        </w:rPr>
        <w:t>2.1 Theoretical Framework: Job Demands</w:t>
      </w:r>
      <w:r w:rsidR="00BC2877">
        <w:rPr>
          <w:rFonts w:ascii="Calibri" w:eastAsia="Calibri" w:hAnsi="Calibri" w:cs="Calibri"/>
          <w:b/>
          <w:bCs/>
          <w:color w:val="1F4E79"/>
          <w:sz w:val="24"/>
          <w:szCs w:val="24"/>
        </w:rPr>
        <w:t xml:space="preserve"> </w:t>
      </w:r>
      <w:r>
        <w:rPr>
          <w:rFonts w:ascii="Calibri" w:eastAsia="Calibri" w:hAnsi="Calibri" w:cs="Calibri"/>
          <w:b/>
          <w:bCs/>
          <w:color w:val="1F4E79"/>
          <w:sz w:val="24"/>
          <w:szCs w:val="24"/>
        </w:rPr>
        <w:t>Resources Model</w:t>
      </w:r>
    </w:p>
    <w:p w14:paraId="7E6F115E" w14:textId="77777777" w:rsidR="00525052" w:rsidRDefault="00000000">
      <w:pPr>
        <w:spacing w:after="180" w:line="276" w:lineRule="auto"/>
        <w:jc w:val="both"/>
      </w:pPr>
      <w:r>
        <w:rPr>
          <w:rFonts w:ascii="Calibri" w:eastAsia="Calibri" w:hAnsi="Calibri" w:cs="Calibri"/>
          <w:sz w:val="22"/>
          <w:szCs w:val="22"/>
        </w:rPr>
        <w:t>The JD-R model, originally developed by Bakker and Demerouti (2007) and subsequently refined (Bakker and Demerouti, 2017), proposes that employee wellbeing and strain are determined by the balance between job demands (aspects of work requiring sustained effort) and job resources (aspects that help achieve goals and reduce demands). AI adoption can be conceptualised as introducing new job demands, such as the need for continuous reskilling and heightened uncertainty about role continuity, while HR practices such as organisational support, transparent communication, and leadership behaviour can be understood as resources that buffer these demands. This framework provides a coherent lens through which to examine both the risks AI poses to wellbeing and the mechanisms available to offset them.</w:t>
      </w:r>
    </w:p>
    <w:p w14:paraId="05FA3BB6" w14:textId="77777777" w:rsidR="00525052" w:rsidRDefault="00000000">
      <w:pPr>
        <w:pStyle w:val="Heading2"/>
        <w:spacing w:before="260" w:after="140"/>
      </w:pPr>
      <w:r>
        <w:rPr>
          <w:rFonts w:ascii="Calibri" w:eastAsia="Calibri" w:hAnsi="Calibri" w:cs="Calibri"/>
          <w:b/>
          <w:bCs/>
          <w:color w:val="1F4E79"/>
          <w:sz w:val="24"/>
          <w:szCs w:val="24"/>
        </w:rPr>
        <w:t>2.2 AI Adoption and Job Insecurity</w:t>
      </w:r>
    </w:p>
    <w:p w14:paraId="6BD172A2" w14:textId="24D0BC3C" w:rsidR="00525052" w:rsidRDefault="00000000">
      <w:pPr>
        <w:spacing w:after="180" w:line="276" w:lineRule="auto"/>
        <w:jc w:val="both"/>
      </w:pPr>
      <w:r>
        <w:rPr>
          <w:rFonts w:ascii="Calibri" w:eastAsia="Calibri" w:hAnsi="Calibri" w:cs="Calibri"/>
          <w:sz w:val="22"/>
          <w:szCs w:val="22"/>
        </w:rPr>
        <w:t>A substantial and rapidly growing literature links AI adoption to heightened job insecurity. A systematic bibliometric review of workplace AI research found that AI adoption has a dual character: it can enhance efficiency and engagement, while simultaneously increasing job stress and insecurity among employees, particularly where roles involve routine or automatable tasks (</w:t>
      </w:r>
      <w:proofErr w:type="spellStart"/>
      <w:r>
        <w:rPr>
          <w:rFonts w:ascii="Calibri" w:eastAsia="Calibri" w:hAnsi="Calibri" w:cs="Calibri"/>
          <w:sz w:val="22"/>
          <w:szCs w:val="22"/>
        </w:rPr>
        <w:t>Soulami</w:t>
      </w:r>
      <w:proofErr w:type="spellEnd"/>
      <w:r>
        <w:rPr>
          <w:rFonts w:ascii="Calibri" w:eastAsia="Calibri" w:hAnsi="Calibri" w:cs="Calibri"/>
          <w:sz w:val="22"/>
          <w:szCs w:val="22"/>
        </w:rPr>
        <w:t>, Benchekroun and Galiulina, 2024). This is consistent with findings that job insecurity in the AI context reflects not only fear of displacement but also anxiety about the continuous skill</w:t>
      </w:r>
      <w:r w:rsidR="00663D3A">
        <w:rPr>
          <w:rFonts w:ascii="Calibri" w:eastAsia="Calibri" w:hAnsi="Calibri" w:cs="Calibri"/>
          <w:sz w:val="22"/>
          <w:szCs w:val="22"/>
        </w:rPr>
        <w:t xml:space="preserve"> </w:t>
      </w:r>
      <w:r>
        <w:rPr>
          <w:rFonts w:ascii="Calibri" w:eastAsia="Calibri" w:hAnsi="Calibri" w:cs="Calibri"/>
          <w:sz w:val="22"/>
          <w:szCs w:val="22"/>
        </w:rPr>
        <w:t>updating required for effective human</w:t>
      </w:r>
      <w:r w:rsidR="00663D3A">
        <w:rPr>
          <w:rFonts w:ascii="Calibri" w:eastAsia="Calibri" w:hAnsi="Calibri" w:cs="Calibri"/>
          <w:sz w:val="22"/>
          <w:szCs w:val="22"/>
        </w:rPr>
        <w:t xml:space="preserve"> </w:t>
      </w:r>
      <w:r>
        <w:rPr>
          <w:rFonts w:ascii="Calibri" w:eastAsia="Calibri" w:hAnsi="Calibri" w:cs="Calibri"/>
          <w:sz w:val="22"/>
          <w:szCs w:val="22"/>
        </w:rPr>
        <w:t>machine collaboration, with effects observed across sectors including e</w:t>
      </w:r>
      <w:r w:rsidR="00663D3A">
        <w:rPr>
          <w:rFonts w:ascii="Calibri" w:eastAsia="Calibri" w:hAnsi="Calibri" w:cs="Calibri"/>
          <w:sz w:val="22"/>
          <w:szCs w:val="22"/>
        </w:rPr>
        <w:t xml:space="preserve"> </w:t>
      </w:r>
      <w:r>
        <w:rPr>
          <w:rFonts w:ascii="Calibri" w:eastAsia="Calibri" w:hAnsi="Calibri" w:cs="Calibri"/>
          <w:sz w:val="22"/>
          <w:szCs w:val="22"/>
        </w:rPr>
        <w:t>commerce, hospitality, and manufacturing (Frontiers in Psychology, 2025).</w:t>
      </w:r>
    </w:p>
    <w:p w14:paraId="5D278F8F" w14:textId="3776ACF0" w:rsidR="00525052" w:rsidRDefault="00000000">
      <w:pPr>
        <w:spacing w:after="180" w:line="276" w:lineRule="auto"/>
        <w:jc w:val="both"/>
      </w:pPr>
      <w:r>
        <w:rPr>
          <w:rFonts w:ascii="Calibri" w:eastAsia="Calibri" w:hAnsi="Calibri" w:cs="Calibri"/>
          <w:sz w:val="22"/>
          <w:szCs w:val="22"/>
        </w:rPr>
        <w:t>Sectoral differences appear to matter: in technology and finance settings, AI tools are more often used to support decision</w:t>
      </w:r>
      <w:r w:rsidR="00663D3A">
        <w:rPr>
          <w:rFonts w:ascii="Calibri" w:eastAsia="Calibri" w:hAnsi="Calibri" w:cs="Calibri"/>
          <w:sz w:val="22"/>
          <w:szCs w:val="22"/>
        </w:rPr>
        <w:t xml:space="preserve"> </w:t>
      </w:r>
      <w:r>
        <w:rPr>
          <w:rFonts w:ascii="Calibri" w:eastAsia="Calibri" w:hAnsi="Calibri" w:cs="Calibri"/>
          <w:sz w:val="22"/>
          <w:szCs w:val="22"/>
        </w:rPr>
        <w:t xml:space="preserve">making and redefine roles, whereas in manufacturing and logistics contexts AI is more frequently perceived as a substitute for routine labour, intensifying insecurity (Frontiers in Psychology, 2025). Boundary conditions have also been identified; for example, employees' </w:t>
      </w:r>
      <w:proofErr w:type="spellStart"/>
      <w:r>
        <w:rPr>
          <w:rFonts w:ascii="Calibri" w:eastAsia="Calibri" w:hAnsi="Calibri" w:cs="Calibri"/>
          <w:sz w:val="22"/>
          <w:szCs w:val="22"/>
        </w:rPr>
        <w:t>self</w:t>
      </w:r>
      <w:r w:rsidR="00663D3A">
        <w:rPr>
          <w:rFonts w:ascii="Calibri" w:eastAsia="Calibri" w:hAnsi="Calibri" w:cs="Calibri"/>
          <w:sz w:val="22"/>
          <w:szCs w:val="22"/>
        </w:rPr>
        <w:t xml:space="preserve"> </w:t>
      </w:r>
      <w:r>
        <w:rPr>
          <w:rFonts w:ascii="Calibri" w:eastAsia="Calibri" w:hAnsi="Calibri" w:cs="Calibri"/>
          <w:sz w:val="22"/>
          <w:szCs w:val="22"/>
        </w:rPr>
        <w:t>efficacy</w:t>
      </w:r>
      <w:proofErr w:type="spellEnd"/>
      <w:r>
        <w:rPr>
          <w:rFonts w:ascii="Calibri" w:eastAsia="Calibri" w:hAnsi="Calibri" w:cs="Calibri"/>
          <w:sz w:val="22"/>
          <w:szCs w:val="22"/>
        </w:rPr>
        <w:t xml:space="preserve"> and the presence of transformational leadership have both been shown to moderate whether AI application alleviates or exacerbates perceived job insecurity, suggesting that organisational and individual factors shape how the same technological change is experienced (Frontiers in Psychology, 2026).</w:t>
      </w:r>
    </w:p>
    <w:p w14:paraId="51BB5191" w14:textId="77777777" w:rsidR="00525052" w:rsidRDefault="00000000">
      <w:pPr>
        <w:pStyle w:val="Heading2"/>
        <w:spacing w:before="260" w:after="140"/>
      </w:pPr>
      <w:r>
        <w:rPr>
          <w:rFonts w:ascii="Calibri" w:eastAsia="Calibri" w:hAnsi="Calibri" w:cs="Calibri"/>
          <w:b/>
          <w:bCs/>
          <w:color w:val="1F4E79"/>
          <w:sz w:val="24"/>
          <w:szCs w:val="24"/>
        </w:rPr>
        <w:t>2.3 AI Adoption and Employee Wellbeing</w:t>
      </w:r>
    </w:p>
    <w:p w14:paraId="1A3501BE" w14:textId="020C31AD" w:rsidR="00525052" w:rsidRDefault="00000000">
      <w:pPr>
        <w:spacing w:after="180" w:line="276" w:lineRule="auto"/>
        <w:jc w:val="both"/>
      </w:pPr>
      <w:r>
        <w:rPr>
          <w:rFonts w:ascii="Calibri" w:eastAsia="Calibri" w:hAnsi="Calibri" w:cs="Calibri"/>
          <w:sz w:val="22"/>
          <w:szCs w:val="22"/>
        </w:rPr>
        <w:t xml:space="preserve">Beyond job security, several studies link AI adoption directly to psychological wellbeing outcomes. A three-wave study of employees in South Korean organisations found that AI adoption had a significant negative effect on psychological safety, which in turn predicted increased employee depression, with ethical </w:t>
      </w:r>
      <w:r>
        <w:rPr>
          <w:rFonts w:ascii="Calibri" w:eastAsia="Calibri" w:hAnsi="Calibri" w:cs="Calibri"/>
          <w:sz w:val="22"/>
          <w:szCs w:val="22"/>
        </w:rPr>
        <w:lastRenderedPageBreak/>
        <w:t>leadership found to moderate and reduce this negative pathway (Kim, Kim and Lee, 2025). Similarly, research applying a mediated</w:t>
      </w:r>
      <w:r w:rsidR="00663D3A">
        <w:rPr>
          <w:rFonts w:ascii="Calibri" w:eastAsia="Calibri" w:hAnsi="Calibri" w:cs="Calibri"/>
          <w:sz w:val="22"/>
          <w:szCs w:val="22"/>
        </w:rPr>
        <w:t xml:space="preserve"> </w:t>
      </w:r>
      <w:r>
        <w:rPr>
          <w:rFonts w:ascii="Calibri" w:eastAsia="Calibri" w:hAnsi="Calibri" w:cs="Calibri"/>
          <w:sz w:val="22"/>
          <w:szCs w:val="22"/>
        </w:rPr>
        <w:t>moderation design found mixed effects of AI capabilities on employee wellbeing, noting that organisational learning, timely communication, and workload management shape whether AI's impact on wellbeing is ultimately positive or negative (Bibi, Tan and Yao, 2025). Broader industry commentary reinforces these findings: a large</w:t>
      </w:r>
      <w:r w:rsidR="00663D3A">
        <w:rPr>
          <w:rFonts w:ascii="Calibri" w:eastAsia="Calibri" w:hAnsi="Calibri" w:cs="Calibri"/>
          <w:sz w:val="22"/>
          <w:szCs w:val="22"/>
        </w:rPr>
        <w:t xml:space="preserve"> </w:t>
      </w:r>
      <w:r>
        <w:rPr>
          <w:rFonts w:ascii="Calibri" w:eastAsia="Calibri" w:hAnsi="Calibri" w:cs="Calibri"/>
          <w:sz w:val="22"/>
          <w:szCs w:val="22"/>
        </w:rPr>
        <w:t>sample study cited by AIHR (2026) reported that concern about AI</w:t>
      </w:r>
      <w:r w:rsidR="00663D3A">
        <w:rPr>
          <w:rFonts w:ascii="Calibri" w:eastAsia="Calibri" w:hAnsi="Calibri" w:cs="Calibri"/>
          <w:sz w:val="22"/>
          <w:szCs w:val="22"/>
        </w:rPr>
        <w:t xml:space="preserve"> </w:t>
      </w:r>
      <w:r>
        <w:rPr>
          <w:rFonts w:ascii="Calibri" w:eastAsia="Calibri" w:hAnsi="Calibri" w:cs="Calibri"/>
          <w:sz w:val="22"/>
          <w:szCs w:val="22"/>
        </w:rPr>
        <w:t>driven job loss and career insecurity was strongly associated with lower employee performance and wellbeing, with anxieties extending beyond displacement to loss of autonomy and role ambiguity.</w:t>
      </w:r>
    </w:p>
    <w:p w14:paraId="7E90963C" w14:textId="77777777" w:rsidR="00525052" w:rsidRDefault="00000000">
      <w:pPr>
        <w:pStyle w:val="Heading2"/>
        <w:spacing w:before="260" w:after="140"/>
      </w:pPr>
      <w:r>
        <w:rPr>
          <w:rFonts w:ascii="Calibri" w:eastAsia="Calibri" w:hAnsi="Calibri" w:cs="Calibri"/>
          <w:b/>
          <w:bCs/>
          <w:color w:val="1F4E79"/>
          <w:sz w:val="24"/>
          <w:szCs w:val="24"/>
        </w:rPr>
        <w:t>2.4 The Role of HR Practices and Leadership</w:t>
      </w:r>
    </w:p>
    <w:p w14:paraId="0BE06F31" w14:textId="1863896B" w:rsidR="00525052" w:rsidRDefault="00000000">
      <w:pPr>
        <w:spacing w:after="180" w:line="276" w:lineRule="auto"/>
        <w:jc w:val="both"/>
      </w:pPr>
      <w:r>
        <w:rPr>
          <w:rFonts w:ascii="Calibri" w:eastAsia="Calibri" w:hAnsi="Calibri" w:cs="Calibri"/>
          <w:sz w:val="22"/>
          <w:szCs w:val="22"/>
        </w:rPr>
        <w:t>A recurring theme across the literature is that organisational and HR</w:t>
      </w:r>
      <w:r w:rsidR="00663D3A">
        <w:rPr>
          <w:rFonts w:ascii="Calibri" w:eastAsia="Calibri" w:hAnsi="Calibri" w:cs="Calibri"/>
          <w:sz w:val="22"/>
          <w:szCs w:val="22"/>
        </w:rPr>
        <w:t xml:space="preserve"> </w:t>
      </w:r>
      <w:r>
        <w:rPr>
          <w:rFonts w:ascii="Calibri" w:eastAsia="Calibri" w:hAnsi="Calibri" w:cs="Calibri"/>
          <w:sz w:val="22"/>
          <w:szCs w:val="22"/>
        </w:rPr>
        <w:t>level interventions can meaningfully buffer AI</w:t>
      </w:r>
      <w:r w:rsidR="00663D3A">
        <w:rPr>
          <w:rFonts w:ascii="Calibri" w:eastAsia="Calibri" w:hAnsi="Calibri" w:cs="Calibri"/>
          <w:sz w:val="22"/>
          <w:szCs w:val="22"/>
        </w:rPr>
        <w:t xml:space="preserve"> </w:t>
      </w:r>
      <w:r>
        <w:rPr>
          <w:rFonts w:ascii="Calibri" w:eastAsia="Calibri" w:hAnsi="Calibri" w:cs="Calibri"/>
          <w:sz w:val="22"/>
          <w:szCs w:val="22"/>
        </w:rPr>
        <w:t>related strain. Research on co-skilling initiatives found that perceived organisational support was a critical buffer against AI</w:t>
      </w:r>
      <w:r w:rsidR="00663D3A">
        <w:rPr>
          <w:rFonts w:ascii="Calibri" w:eastAsia="Calibri" w:hAnsi="Calibri" w:cs="Calibri"/>
          <w:sz w:val="22"/>
          <w:szCs w:val="22"/>
        </w:rPr>
        <w:t xml:space="preserve"> </w:t>
      </w:r>
      <w:r>
        <w:rPr>
          <w:rFonts w:ascii="Calibri" w:eastAsia="Calibri" w:hAnsi="Calibri" w:cs="Calibri"/>
          <w:sz w:val="22"/>
          <w:szCs w:val="22"/>
        </w:rPr>
        <w:t>related job insecurity, mediating the relationship between skill</w:t>
      </w:r>
      <w:r w:rsidR="00663D3A">
        <w:rPr>
          <w:rFonts w:ascii="Calibri" w:eastAsia="Calibri" w:hAnsi="Calibri" w:cs="Calibri"/>
          <w:sz w:val="22"/>
          <w:szCs w:val="22"/>
        </w:rPr>
        <w:t xml:space="preserve"> </w:t>
      </w:r>
      <w:r>
        <w:rPr>
          <w:rFonts w:ascii="Calibri" w:eastAsia="Calibri" w:hAnsi="Calibri" w:cs="Calibri"/>
          <w:sz w:val="22"/>
          <w:szCs w:val="22"/>
        </w:rPr>
        <w:t>development activities and employee mental wellbeing (Zhang et al., 2025). This aligns with practitioner-oriented guidance suggesting that HR should provide clear frameworks for responsible AI use, communicate reskilling timelines transparently, and sequence technology rollouts to avoid overwhelming employees (Spring Health, 2026; AIHR, 2026). Taken together, this suggests that HR is not a passive bystander to AI</w:t>
      </w:r>
      <w:r w:rsidR="00663D3A">
        <w:rPr>
          <w:rFonts w:ascii="Calibri" w:eastAsia="Calibri" w:hAnsi="Calibri" w:cs="Calibri"/>
          <w:sz w:val="22"/>
          <w:szCs w:val="22"/>
        </w:rPr>
        <w:t xml:space="preserve"> </w:t>
      </w:r>
      <w:r>
        <w:rPr>
          <w:rFonts w:ascii="Calibri" w:eastAsia="Calibri" w:hAnsi="Calibri" w:cs="Calibri"/>
          <w:sz w:val="22"/>
          <w:szCs w:val="22"/>
        </w:rPr>
        <w:t>driven change but an active determinant of whether that change is experienced as threatening or manageable.</w:t>
      </w:r>
    </w:p>
    <w:p w14:paraId="3C1653CA" w14:textId="77777777" w:rsidR="00525052" w:rsidRDefault="00000000">
      <w:pPr>
        <w:pStyle w:val="Heading2"/>
        <w:spacing w:before="260" w:after="140"/>
      </w:pPr>
      <w:r>
        <w:rPr>
          <w:rFonts w:ascii="Calibri" w:eastAsia="Calibri" w:hAnsi="Calibri" w:cs="Calibri"/>
          <w:b/>
          <w:bCs/>
          <w:color w:val="1F4E79"/>
          <w:sz w:val="24"/>
          <w:szCs w:val="24"/>
        </w:rPr>
        <w:t>2.5 Gap in the Literature</w:t>
      </w:r>
    </w:p>
    <w:p w14:paraId="3F992D92" w14:textId="1581A160" w:rsidR="00525052" w:rsidRDefault="00000000">
      <w:pPr>
        <w:spacing w:after="180" w:line="276" w:lineRule="auto"/>
        <w:jc w:val="both"/>
      </w:pPr>
      <w:r>
        <w:rPr>
          <w:rFonts w:ascii="Calibri" w:eastAsia="Calibri" w:hAnsi="Calibri" w:cs="Calibri"/>
          <w:sz w:val="22"/>
          <w:szCs w:val="22"/>
        </w:rPr>
        <w:t xml:space="preserve">While the relationships between AI adoption, job insecurity, and wellbeing are increasingly well established, most existing studies are quantitative, sector-specific (frequently drawing on East Asian samples), and focused on isolated variables such as leadership style or </w:t>
      </w:r>
      <w:proofErr w:type="spellStart"/>
      <w:r>
        <w:rPr>
          <w:rFonts w:ascii="Calibri" w:eastAsia="Calibri" w:hAnsi="Calibri" w:cs="Calibri"/>
          <w:sz w:val="22"/>
          <w:szCs w:val="22"/>
        </w:rPr>
        <w:t>self</w:t>
      </w:r>
      <w:r w:rsidR="00663D3A">
        <w:rPr>
          <w:rFonts w:ascii="Calibri" w:eastAsia="Calibri" w:hAnsi="Calibri" w:cs="Calibri"/>
          <w:sz w:val="22"/>
          <w:szCs w:val="22"/>
        </w:rPr>
        <w:t xml:space="preserve"> </w:t>
      </w:r>
      <w:r>
        <w:rPr>
          <w:rFonts w:ascii="Calibri" w:eastAsia="Calibri" w:hAnsi="Calibri" w:cs="Calibri"/>
          <w:sz w:val="22"/>
          <w:szCs w:val="22"/>
        </w:rPr>
        <w:t>efficacy</w:t>
      </w:r>
      <w:proofErr w:type="spellEnd"/>
      <w:r>
        <w:rPr>
          <w:rFonts w:ascii="Calibri" w:eastAsia="Calibri" w:hAnsi="Calibri" w:cs="Calibri"/>
          <w:sz w:val="22"/>
          <w:szCs w:val="22"/>
        </w:rPr>
        <w:t xml:space="preserve"> in isolation. Comparatively few studies integrate an explicit HR management perspective that considers the combined effect of communication, reskilling, leadership, and organisational support as a coherent bundle of practice within a UK or cross-sector context. This dissertation seeks to address that gap by systematically synthesising the fragmented literature into a coherent, HR</w:t>
      </w:r>
      <w:r w:rsidR="00663D3A">
        <w:rPr>
          <w:rFonts w:ascii="Calibri" w:eastAsia="Calibri" w:hAnsi="Calibri" w:cs="Calibri"/>
          <w:sz w:val="22"/>
          <w:szCs w:val="22"/>
        </w:rPr>
        <w:t xml:space="preserve"> </w:t>
      </w:r>
      <w:r>
        <w:rPr>
          <w:rFonts w:ascii="Calibri" w:eastAsia="Calibri" w:hAnsi="Calibri" w:cs="Calibri"/>
          <w:sz w:val="22"/>
          <w:szCs w:val="22"/>
        </w:rPr>
        <w:t>focused account of how AI</w:t>
      </w:r>
      <w:r w:rsidR="00663D3A">
        <w:rPr>
          <w:rFonts w:ascii="Calibri" w:eastAsia="Calibri" w:hAnsi="Calibri" w:cs="Calibri"/>
          <w:sz w:val="22"/>
          <w:szCs w:val="22"/>
        </w:rPr>
        <w:t xml:space="preserve"> </w:t>
      </w:r>
      <w:r>
        <w:rPr>
          <w:rFonts w:ascii="Calibri" w:eastAsia="Calibri" w:hAnsi="Calibri" w:cs="Calibri"/>
          <w:sz w:val="22"/>
          <w:szCs w:val="22"/>
        </w:rPr>
        <w:t>related job insecurity and wellbeing effects arise, and which combinations of HR interventions the evidence suggests are most credible and effective.</w:t>
      </w:r>
    </w:p>
    <w:p w14:paraId="727614ED" w14:textId="77777777" w:rsidR="00525052" w:rsidRDefault="00000000">
      <w:pPr>
        <w:pStyle w:val="Heading1"/>
        <w:spacing w:before="360" w:after="200"/>
      </w:pPr>
      <w:r>
        <w:rPr>
          <w:rFonts w:ascii="Calibri" w:eastAsia="Calibri" w:hAnsi="Calibri" w:cs="Calibri"/>
          <w:b/>
          <w:bCs/>
          <w:color w:val="1F4E79"/>
          <w:sz w:val="28"/>
          <w:szCs w:val="28"/>
        </w:rPr>
        <w:t>3. Methodology</w:t>
      </w:r>
    </w:p>
    <w:p w14:paraId="370DAE9A" w14:textId="77777777" w:rsidR="00525052" w:rsidRDefault="00000000">
      <w:pPr>
        <w:pStyle w:val="Heading2"/>
        <w:spacing w:before="260" w:after="140"/>
      </w:pPr>
      <w:r>
        <w:rPr>
          <w:rFonts w:ascii="Calibri" w:eastAsia="Calibri" w:hAnsi="Calibri" w:cs="Calibri"/>
          <w:b/>
          <w:bCs/>
          <w:color w:val="1F4E79"/>
          <w:sz w:val="24"/>
          <w:szCs w:val="24"/>
        </w:rPr>
        <w:t>3.1 Research Design: Extended (Systematic) Literature Review</w:t>
      </w:r>
    </w:p>
    <w:p w14:paraId="22F01001" w14:textId="24DFE009" w:rsidR="00525052" w:rsidRDefault="00000000">
      <w:pPr>
        <w:spacing w:after="180" w:line="276" w:lineRule="auto"/>
        <w:jc w:val="both"/>
      </w:pPr>
      <w:r>
        <w:rPr>
          <w:rFonts w:ascii="Calibri" w:eastAsia="Calibri" w:hAnsi="Calibri" w:cs="Calibri"/>
          <w:sz w:val="22"/>
          <w:szCs w:val="22"/>
        </w:rPr>
        <w:t>This dissertation will adopt an extended, systematic literature review design rather than primary data collection. No human participants, surveys, or interviews will be used. Instead, the study will systematically identify, appraise, and synthesise existing academic and industry evidence on AI adoption, employee wellbeing, job insecurity, and the HR practices used to manage AI-driven change. This approach is well suited to a fast</w:t>
      </w:r>
      <w:r w:rsidR="00663D3A">
        <w:rPr>
          <w:rFonts w:ascii="Calibri" w:eastAsia="Calibri" w:hAnsi="Calibri" w:cs="Calibri"/>
          <w:sz w:val="22"/>
          <w:szCs w:val="22"/>
        </w:rPr>
        <w:t xml:space="preserve"> </w:t>
      </w:r>
      <w:r>
        <w:rPr>
          <w:rFonts w:ascii="Calibri" w:eastAsia="Calibri" w:hAnsi="Calibri" w:cs="Calibri"/>
          <w:sz w:val="22"/>
          <w:szCs w:val="22"/>
        </w:rPr>
        <w:t>moving field in which a substantial and rapidly growing body of peer</w:t>
      </w:r>
      <w:r w:rsidR="00663D3A">
        <w:rPr>
          <w:rFonts w:ascii="Calibri" w:eastAsia="Calibri" w:hAnsi="Calibri" w:cs="Calibri"/>
          <w:sz w:val="22"/>
          <w:szCs w:val="22"/>
        </w:rPr>
        <w:t xml:space="preserve"> </w:t>
      </w:r>
      <w:r>
        <w:rPr>
          <w:rFonts w:ascii="Calibri" w:eastAsia="Calibri" w:hAnsi="Calibri" w:cs="Calibri"/>
          <w:sz w:val="22"/>
          <w:szCs w:val="22"/>
        </w:rPr>
        <w:t>reviewed and practitioner literature already exists, allowing the study to produce a rigorous, evidence</w:t>
      </w:r>
      <w:r w:rsidR="00663D3A">
        <w:rPr>
          <w:rFonts w:ascii="Calibri" w:eastAsia="Calibri" w:hAnsi="Calibri" w:cs="Calibri"/>
          <w:sz w:val="22"/>
          <w:szCs w:val="22"/>
        </w:rPr>
        <w:t xml:space="preserve"> </w:t>
      </w:r>
      <w:r>
        <w:rPr>
          <w:rFonts w:ascii="Calibri" w:eastAsia="Calibri" w:hAnsi="Calibri" w:cs="Calibri"/>
          <w:sz w:val="22"/>
          <w:szCs w:val="22"/>
        </w:rPr>
        <w:t>based synthesis and set of practical recommendations within the scope and timeframe of an MBA dissertation, without the resource and access constraints associated with primary fieldwork.</w:t>
      </w:r>
    </w:p>
    <w:p w14:paraId="6EA2C9D5" w14:textId="77777777" w:rsidR="00525052" w:rsidRDefault="00000000">
      <w:pPr>
        <w:pStyle w:val="Heading2"/>
        <w:spacing w:before="260" w:after="140"/>
      </w:pPr>
      <w:r>
        <w:rPr>
          <w:rFonts w:ascii="Calibri" w:eastAsia="Calibri" w:hAnsi="Calibri" w:cs="Calibri"/>
          <w:b/>
          <w:bCs/>
          <w:color w:val="1F4E79"/>
          <w:sz w:val="24"/>
          <w:szCs w:val="24"/>
        </w:rPr>
        <w:t>3.2 Search Strategy</w:t>
      </w:r>
    </w:p>
    <w:p w14:paraId="7625D78D" w14:textId="61E7C4E9" w:rsidR="00525052" w:rsidRDefault="00000000">
      <w:pPr>
        <w:spacing w:after="180" w:line="276" w:lineRule="auto"/>
        <w:jc w:val="both"/>
      </w:pPr>
      <w:r>
        <w:rPr>
          <w:rFonts w:ascii="Calibri" w:eastAsia="Calibri" w:hAnsi="Calibri" w:cs="Calibri"/>
          <w:sz w:val="22"/>
          <w:szCs w:val="22"/>
        </w:rPr>
        <w:t xml:space="preserve">A systematic search will be conducted across academic databases including Business Source Complete (EBSCO), Scopus, Web of Science, and Google Scholar, supplemented by targeted searches of practitioner sources (e.g. CIPD, AIHR, McKinsey, Gartner) for industry perspective. Search terms will combine variants of 'artificial intelligence' or 'AI' with terms such as 'employee wellbeing', 'job insecurity', 'job security', 'technostress', 'HR practices', and 'organisational support', combined using Boolean operators (AND/OR). The </w:t>
      </w:r>
      <w:r>
        <w:rPr>
          <w:rFonts w:ascii="Calibri" w:eastAsia="Calibri" w:hAnsi="Calibri" w:cs="Calibri"/>
          <w:sz w:val="22"/>
          <w:szCs w:val="22"/>
        </w:rPr>
        <w:lastRenderedPageBreak/>
        <w:t>search will be limited primarily to sources published from 2018 onward, reflecting the period of accelerated workplace AI adoption, though seminal older theoretical sources (e.g. foundational job demands</w:t>
      </w:r>
      <w:r w:rsidR="00663D3A">
        <w:rPr>
          <w:rFonts w:ascii="Calibri" w:eastAsia="Calibri" w:hAnsi="Calibri" w:cs="Calibri"/>
          <w:sz w:val="22"/>
          <w:szCs w:val="22"/>
        </w:rPr>
        <w:t xml:space="preserve"> </w:t>
      </w:r>
      <w:r>
        <w:rPr>
          <w:rFonts w:ascii="Calibri" w:eastAsia="Calibri" w:hAnsi="Calibri" w:cs="Calibri"/>
          <w:sz w:val="22"/>
          <w:szCs w:val="22"/>
        </w:rPr>
        <w:t>resources literature) will be included where relevant.</w:t>
      </w:r>
    </w:p>
    <w:p w14:paraId="24CB4113" w14:textId="77777777" w:rsidR="00525052" w:rsidRDefault="00000000">
      <w:pPr>
        <w:pStyle w:val="Heading2"/>
        <w:spacing w:before="260" w:after="140"/>
      </w:pPr>
      <w:r>
        <w:rPr>
          <w:rFonts w:ascii="Calibri" w:eastAsia="Calibri" w:hAnsi="Calibri" w:cs="Calibri"/>
          <w:b/>
          <w:bCs/>
          <w:color w:val="1F4E79"/>
          <w:sz w:val="24"/>
          <w:szCs w:val="24"/>
        </w:rPr>
        <w:t>3.3 Inclusion and Exclusion Criteria</w:t>
      </w:r>
    </w:p>
    <w:p w14:paraId="248C2B54" w14:textId="14935CF0" w:rsidR="00525052" w:rsidRDefault="00000000">
      <w:pPr>
        <w:spacing w:after="180" w:line="276" w:lineRule="auto"/>
        <w:jc w:val="both"/>
      </w:pPr>
      <w:r>
        <w:rPr>
          <w:rFonts w:ascii="Calibri" w:eastAsia="Calibri" w:hAnsi="Calibri" w:cs="Calibri"/>
          <w:sz w:val="22"/>
          <w:szCs w:val="22"/>
        </w:rPr>
        <w:t>Sources will be included if they are peer</w:t>
      </w:r>
      <w:r w:rsidR="00663D3A">
        <w:rPr>
          <w:rFonts w:ascii="Calibri" w:eastAsia="Calibri" w:hAnsi="Calibri" w:cs="Calibri"/>
          <w:sz w:val="22"/>
          <w:szCs w:val="22"/>
        </w:rPr>
        <w:t xml:space="preserve"> </w:t>
      </w:r>
      <w:r>
        <w:rPr>
          <w:rFonts w:ascii="Calibri" w:eastAsia="Calibri" w:hAnsi="Calibri" w:cs="Calibri"/>
          <w:sz w:val="22"/>
          <w:szCs w:val="22"/>
        </w:rPr>
        <w:t>reviewed journal articles, books, or credible industry reports published in English that substantively address AI adoption in relation to employee wellbeing, job insecurity, or HR practice. Sources will be excluded if they focus solely on technical AI development with no organisational or human dimension, are not accessible in full text, or do not meet basic academic quality thresholds (e.g. non-peer-reviewed opinion pieces with no evidential basis). A PRISMA</w:t>
      </w:r>
      <w:r w:rsidR="00663D3A">
        <w:rPr>
          <w:rFonts w:ascii="Calibri" w:eastAsia="Calibri" w:hAnsi="Calibri" w:cs="Calibri"/>
          <w:sz w:val="22"/>
          <w:szCs w:val="22"/>
        </w:rPr>
        <w:t xml:space="preserve"> </w:t>
      </w:r>
      <w:r>
        <w:rPr>
          <w:rFonts w:ascii="Calibri" w:eastAsia="Calibri" w:hAnsi="Calibri" w:cs="Calibri"/>
          <w:sz w:val="22"/>
          <w:szCs w:val="22"/>
        </w:rPr>
        <w:t>style flow (identification, screening, eligibility, inclusion) will be used to document the search and selection process transparently in the final dissertation.</w:t>
      </w:r>
    </w:p>
    <w:p w14:paraId="3066FC8D" w14:textId="77777777" w:rsidR="00525052" w:rsidRDefault="00000000">
      <w:pPr>
        <w:pStyle w:val="Heading2"/>
        <w:spacing w:before="260" w:after="140"/>
      </w:pPr>
      <w:r>
        <w:rPr>
          <w:rFonts w:ascii="Calibri" w:eastAsia="Calibri" w:hAnsi="Calibri" w:cs="Calibri"/>
          <w:b/>
          <w:bCs/>
          <w:color w:val="1F4E79"/>
          <w:sz w:val="24"/>
          <w:szCs w:val="24"/>
        </w:rPr>
        <w:t>3.4 Data Extraction and Synthesis</w:t>
      </w:r>
    </w:p>
    <w:p w14:paraId="79F36830" w14:textId="660A3DD6" w:rsidR="00525052" w:rsidRDefault="00000000">
      <w:pPr>
        <w:spacing w:after="180" w:line="276" w:lineRule="auto"/>
        <w:jc w:val="both"/>
      </w:pPr>
      <w:r>
        <w:rPr>
          <w:rFonts w:ascii="Calibri" w:eastAsia="Calibri" w:hAnsi="Calibri" w:cs="Calibri"/>
          <w:sz w:val="22"/>
          <w:szCs w:val="22"/>
        </w:rPr>
        <w:t>A structured data</w:t>
      </w:r>
      <w:r w:rsidR="00663D3A">
        <w:rPr>
          <w:rFonts w:ascii="Calibri" w:eastAsia="Calibri" w:hAnsi="Calibri" w:cs="Calibri"/>
          <w:sz w:val="22"/>
          <w:szCs w:val="22"/>
        </w:rPr>
        <w:t xml:space="preserve"> </w:t>
      </w:r>
      <w:r>
        <w:rPr>
          <w:rFonts w:ascii="Calibri" w:eastAsia="Calibri" w:hAnsi="Calibri" w:cs="Calibri"/>
          <w:sz w:val="22"/>
          <w:szCs w:val="22"/>
        </w:rPr>
        <w:t>extraction matrix will be used to record, for each included source, its aims, theoretical framework, methodology, sample, and key findings relevant to the research questions. Sources will be critically appraised for methodological rigour and relevance before being incorporated into the synthesis. A thematic synthesis approach will then be used to organise findings around the study's core themes (AI adoption and job insecurity; AI adoption and wellbeing; the role of HR and leadership), allowing the study to identify patterns, points of consensus, contradictions, and gaps across the literature, and to build toward evidence-based recommendations for HR practice.</w:t>
      </w:r>
    </w:p>
    <w:p w14:paraId="09F0F7C5" w14:textId="77777777" w:rsidR="00525052" w:rsidRDefault="00000000">
      <w:pPr>
        <w:pStyle w:val="Heading2"/>
        <w:spacing w:before="260" w:after="140"/>
      </w:pPr>
      <w:r>
        <w:rPr>
          <w:rFonts w:ascii="Calibri" w:eastAsia="Calibri" w:hAnsi="Calibri" w:cs="Calibri"/>
          <w:b/>
          <w:bCs/>
          <w:color w:val="1F4E79"/>
          <w:sz w:val="24"/>
          <w:szCs w:val="24"/>
        </w:rPr>
        <w:t>3.5 Rigour and Limitations of a Review-Based Approach</w:t>
      </w:r>
    </w:p>
    <w:p w14:paraId="7C5DFDA1" w14:textId="308AD899" w:rsidR="00525052" w:rsidRDefault="00000000">
      <w:pPr>
        <w:spacing w:after="180" w:line="276" w:lineRule="auto"/>
        <w:jc w:val="both"/>
      </w:pPr>
      <w:r>
        <w:rPr>
          <w:rFonts w:ascii="Calibri" w:eastAsia="Calibri" w:hAnsi="Calibri" w:cs="Calibri"/>
          <w:sz w:val="22"/>
          <w:szCs w:val="22"/>
        </w:rPr>
        <w:t>As a review</w:t>
      </w:r>
      <w:r w:rsidR="001F3597">
        <w:rPr>
          <w:rFonts w:ascii="Calibri" w:eastAsia="Calibri" w:hAnsi="Calibri" w:cs="Calibri"/>
          <w:sz w:val="22"/>
          <w:szCs w:val="22"/>
        </w:rPr>
        <w:t xml:space="preserve"> </w:t>
      </w:r>
      <w:r>
        <w:rPr>
          <w:rFonts w:ascii="Calibri" w:eastAsia="Calibri" w:hAnsi="Calibri" w:cs="Calibri"/>
          <w:sz w:val="22"/>
          <w:szCs w:val="22"/>
        </w:rPr>
        <w:t>based dissertation, the quality of the findings depends on the quality, currency, and breadth of the literature identified. Transparency of the search and selection process, use of multiple databases, and critical appraisal of each source are intended to mitigate selection bias and ensure the review's conclusions are defensible. This approach also means findings reflect patterns already reported in existing studies (often from specific sectors or countries) rather than new primary evidence, a limitation addressed further in Section 5.</w:t>
      </w:r>
    </w:p>
    <w:p w14:paraId="3CD80B1D" w14:textId="77777777" w:rsidR="00525052" w:rsidRDefault="00000000">
      <w:pPr>
        <w:pStyle w:val="Heading1"/>
        <w:spacing w:before="360" w:after="200"/>
      </w:pPr>
      <w:r>
        <w:rPr>
          <w:rFonts w:ascii="Calibri" w:eastAsia="Calibri" w:hAnsi="Calibri" w:cs="Calibri"/>
          <w:b/>
          <w:bCs/>
          <w:color w:val="1F4E79"/>
          <w:sz w:val="28"/>
          <w:szCs w:val="28"/>
        </w:rPr>
        <w:t>4. Expected Findings</w:t>
      </w:r>
    </w:p>
    <w:p w14:paraId="472F3AAA" w14:textId="275AB3AC" w:rsidR="00525052" w:rsidRDefault="00000000">
      <w:pPr>
        <w:spacing w:after="180" w:line="276" w:lineRule="auto"/>
        <w:jc w:val="both"/>
      </w:pPr>
      <w:r>
        <w:rPr>
          <w:rFonts w:ascii="Calibri" w:eastAsia="Calibri" w:hAnsi="Calibri" w:cs="Calibri"/>
          <w:sz w:val="22"/>
          <w:szCs w:val="22"/>
        </w:rPr>
        <w:t>As this dissertation is based on an extended literature review rather than primary data collection, expected findings take the form of anticipated patterns within the synthesised evidence, rather than hypotheses to be tested against new data. Based on the literature identified to date, the review is expected to find consistent evidence that AI adoption is associated with heightened job insecurity, particularly where roles involve routine or automatable tasks, while roles where AI augments rather than replaces human judgement appear less affected (</w:t>
      </w:r>
      <w:proofErr w:type="spellStart"/>
      <w:r>
        <w:rPr>
          <w:rFonts w:ascii="Calibri" w:eastAsia="Calibri" w:hAnsi="Calibri" w:cs="Calibri"/>
          <w:sz w:val="22"/>
          <w:szCs w:val="22"/>
        </w:rPr>
        <w:t>Soulami</w:t>
      </w:r>
      <w:proofErr w:type="spellEnd"/>
      <w:r>
        <w:rPr>
          <w:rFonts w:ascii="Calibri" w:eastAsia="Calibri" w:hAnsi="Calibri" w:cs="Calibri"/>
          <w:sz w:val="22"/>
          <w:szCs w:val="22"/>
        </w:rPr>
        <w:t>, Benchekroun and Galiulina, 2024; Frontiers in Psychology, 2025). The review is also likely to find converging evidence that AI</w:t>
      </w:r>
      <w:r w:rsidR="001F3597">
        <w:rPr>
          <w:rFonts w:ascii="Calibri" w:eastAsia="Calibri" w:hAnsi="Calibri" w:cs="Calibri"/>
          <w:sz w:val="22"/>
          <w:szCs w:val="22"/>
        </w:rPr>
        <w:t xml:space="preserve"> </w:t>
      </w:r>
      <w:r>
        <w:rPr>
          <w:rFonts w:ascii="Calibri" w:eastAsia="Calibri" w:hAnsi="Calibri" w:cs="Calibri"/>
          <w:sz w:val="22"/>
          <w:szCs w:val="22"/>
        </w:rPr>
        <w:t>related job insecurity is linked to poorer employee wellbeing outcomes, including reduced psychological safety and, in some studies, depressive symptoms, where organisational support is absent (Kim, Kim and Lee, 2025).</w:t>
      </w:r>
    </w:p>
    <w:p w14:paraId="79EA7182" w14:textId="1C44D814" w:rsidR="00525052" w:rsidRDefault="00000000">
      <w:pPr>
        <w:spacing w:after="180" w:line="276" w:lineRule="auto"/>
        <w:jc w:val="both"/>
      </w:pPr>
      <w:r>
        <w:rPr>
          <w:rFonts w:ascii="Calibri" w:eastAsia="Calibri" w:hAnsi="Calibri" w:cs="Calibri"/>
          <w:sz w:val="22"/>
          <w:szCs w:val="22"/>
        </w:rPr>
        <w:t>The synthesis is also expected to identify a reasonably consistent set of HR</w:t>
      </w:r>
      <w:r w:rsidR="001F3597">
        <w:rPr>
          <w:rFonts w:ascii="Calibri" w:eastAsia="Calibri" w:hAnsi="Calibri" w:cs="Calibri"/>
          <w:sz w:val="22"/>
          <w:szCs w:val="22"/>
        </w:rPr>
        <w:t xml:space="preserve"> </w:t>
      </w:r>
      <w:r>
        <w:rPr>
          <w:rFonts w:ascii="Calibri" w:eastAsia="Calibri" w:hAnsi="Calibri" w:cs="Calibri"/>
          <w:sz w:val="22"/>
          <w:szCs w:val="22"/>
        </w:rPr>
        <w:t>level factors</w:t>
      </w:r>
      <w:r w:rsidR="001F3597">
        <w:rPr>
          <w:rFonts w:ascii="Calibri" w:eastAsia="Calibri" w:hAnsi="Calibri" w:cs="Calibri"/>
          <w:sz w:val="22"/>
          <w:szCs w:val="22"/>
        </w:rPr>
        <w:t xml:space="preserve"> </w:t>
      </w:r>
      <w:r>
        <w:rPr>
          <w:rFonts w:ascii="Calibri" w:eastAsia="Calibri" w:hAnsi="Calibri" w:cs="Calibri"/>
          <w:sz w:val="22"/>
          <w:szCs w:val="22"/>
        </w:rPr>
        <w:t>organisational support, transparent communication, reskilling opportunities, and supportive leadership behaviour that recur across studies as mitigating AI</w:t>
      </w:r>
      <w:r w:rsidR="001F3597">
        <w:rPr>
          <w:rFonts w:ascii="Calibri" w:eastAsia="Calibri" w:hAnsi="Calibri" w:cs="Calibri"/>
          <w:sz w:val="22"/>
          <w:szCs w:val="22"/>
        </w:rPr>
        <w:t xml:space="preserve"> </w:t>
      </w:r>
      <w:r>
        <w:rPr>
          <w:rFonts w:ascii="Calibri" w:eastAsia="Calibri" w:hAnsi="Calibri" w:cs="Calibri"/>
          <w:sz w:val="22"/>
          <w:szCs w:val="22"/>
        </w:rPr>
        <w:t xml:space="preserve">related anxiety (Zhang et al., 2025; Bibi, Tan and Yao, 2025). At the same time, the review anticipates finding gaps and inconsistencies in the literature, for example limited research explicitly integrating these HR factors as a combined 'bundle' of practice, and a concentration of empirical </w:t>
      </w:r>
      <w:r>
        <w:rPr>
          <w:rFonts w:ascii="Calibri" w:eastAsia="Calibri" w:hAnsi="Calibri" w:cs="Calibri"/>
          <w:sz w:val="22"/>
          <w:szCs w:val="22"/>
        </w:rPr>
        <w:lastRenderedPageBreak/>
        <w:t>studies in specific sectors or countries, which the dissertation will highlight as areas requiring further primary research. These anticipated patterns will be treated as a starting orientation for the review, to be confirmed, qualified, or revised as the synthesis of the full body of literature progresses.</w:t>
      </w:r>
    </w:p>
    <w:p w14:paraId="32117BB1" w14:textId="77777777" w:rsidR="00525052" w:rsidRDefault="00000000">
      <w:pPr>
        <w:pStyle w:val="Heading1"/>
        <w:spacing w:before="360" w:after="200"/>
      </w:pPr>
      <w:r>
        <w:rPr>
          <w:rFonts w:ascii="Calibri" w:eastAsia="Calibri" w:hAnsi="Calibri" w:cs="Calibri"/>
          <w:b/>
          <w:bCs/>
          <w:color w:val="1F4E79"/>
          <w:sz w:val="28"/>
          <w:szCs w:val="28"/>
        </w:rPr>
        <w:t>5. Limitations</w:t>
      </w:r>
    </w:p>
    <w:p w14:paraId="63C30BB1" w14:textId="77777777" w:rsidR="00525052" w:rsidRDefault="00000000">
      <w:pPr>
        <w:spacing w:after="180" w:line="276" w:lineRule="auto"/>
        <w:jc w:val="both"/>
      </w:pPr>
      <w:r>
        <w:rPr>
          <w:rFonts w:ascii="Calibri" w:eastAsia="Calibri" w:hAnsi="Calibri" w:cs="Calibri"/>
          <w:sz w:val="22"/>
          <w:szCs w:val="22"/>
        </w:rPr>
        <w:t>Several limitations follow from adopting an extended literature review rather than primary research. First, the study synthesises existing evidence rather than generating new empirical data, so its conclusions are only as strong, current, and generalisable as the underlying literature; where studies are concentrated in particular sectors or countries (for example, several key studies draw on East Asian samples), the review's conclusions may not transfer directly to other contexts such as the UK. Second, as with any literature review, there is a risk of selection or publication bias, since published studies may over-represent statistically significant or novel findings relative to null or mixed results.</w:t>
      </w:r>
    </w:p>
    <w:p w14:paraId="4CA46FB3" w14:textId="77777777" w:rsidR="00525052" w:rsidRDefault="00000000">
      <w:pPr>
        <w:spacing w:after="180" w:line="276" w:lineRule="auto"/>
        <w:jc w:val="both"/>
      </w:pPr>
      <w:r>
        <w:rPr>
          <w:rFonts w:ascii="Calibri" w:eastAsia="Calibri" w:hAnsi="Calibri" w:cs="Calibri"/>
          <w:sz w:val="22"/>
          <w:szCs w:val="22"/>
        </w:rPr>
        <w:t>Third, because underlying primary studies vary in their methodology, sample, and measures (e.g. different operationalisations of 'job insecurity' or 'wellbeing'), direct comparison and synthesis across studies is not always straightforward, and some nuance may be lost in thematic synthesis. Fourth, the pace of change in this field means that some sources, even recent ones, may be superseded by subsequent developments in AI capability and adoption before the dissertation is completed. These limitations will be mitigated through a transparent, systematic search and selection process, critical appraisal of each source's methodology and context before inclusion, use of multiple databases to reduce bias, and explicit acknowledgement of where the evidence base is thin, so that recommendations are appropriately caveated rather than overstated.</w:t>
      </w:r>
    </w:p>
    <w:p w14:paraId="316F0470" w14:textId="77777777" w:rsidR="003A1E0C" w:rsidRDefault="00000000" w:rsidP="003A1E0C">
      <w:pPr>
        <w:pStyle w:val="Heading1"/>
        <w:spacing w:before="360" w:after="200"/>
      </w:pPr>
      <w:r>
        <w:rPr>
          <w:rFonts w:ascii="Calibri" w:eastAsia="Calibri" w:hAnsi="Calibri" w:cs="Calibri"/>
          <w:b/>
          <w:bCs/>
          <w:color w:val="1F4E79"/>
          <w:sz w:val="28"/>
          <w:szCs w:val="28"/>
        </w:rPr>
        <w:t>6.</w:t>
      </w:r>
      <w:r w:rsidR="003A1E0C">
        <w:rPr>
          <w:rFonts w:ascii="Calibri" w:eastAsia="Calibri" w:hAnsi="Calibri" w:cs="Calibri"/>
          <w:b/>
          <w:bCs/>
          <w:color w:val="1F4E79"/>
          <w:sz w:val="28"/>
          <w:szCs w:val="28"/>
        </w:rPr>
        <w:t xml:space="preserve"> Timeframe</w:t>
      </w:r>
    </w:p>
    <w:p w14:paraId="755EBEF6" w14:textId="1B79BCF4" w:rsidR="003A1E0C" w:rsidRDefault="003A1E0C" w:rsidP="003A1E0C">
      <w:pPr>
        <w:spacing w:after="180" w:line="276" w:lineRule="auto"/>
        <w:jc w:val="both"/>
      </w:pPr>
      <w:r w:rsidRPr="003A1E0C">
        <w:rPr>
          <w:rFonts w:ascii="Calibri" w:eastAsia="Calibri" w:hAnsi="Calibri" w:cs="Calibri"/>
          <w:sz w:val="22"/>
          <w:szCs w:val="22"/>
        </w:rPr>
        <w:t xml:space="preserve"> </w:t>
      </w:r>
    </w:p>
    <w:tbl>
      <w:tblPr>
        <w:tblW w:w="10522"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78"/>
        <w:gridCol w:w="546"/>
        <w:gridCol w:w="546"/>
        <w:gridCol w:w="546"/>
        <w:gridCol w:w="546"/>
        <w:gridCol w:w="546"/>
        <w:gridCol w:w="546"/>
        <w:gridCol w:w="546"/>
        <w:gridCol w:w="546"/>
        <w:gridCol w:w="546"/>
        <w:gridCol w:w="546"/>
        <w:gridCol w:w="546"/>
        <w:gridCol w:w="546"/>
        <w:gridCol w:w="546"/>
        <w:gridCol w:w="546"/>
      </w:tblGrid>
      <w:tr w:rsidR="003A1E0C" w14:paraId="33F4F064" w14:textId="77777777" w:rsidTr="003A1E0C">
        <w:trPr>
          <w:trHeight w:val="192"/>
          <w:tblHeader/>
        </w:trPr>
        <w:tc>
          <w:tcPr>
            <w:tcW w:w="2878" w:type="dxa"/>
            <w:tcBorders>
              <w:top w:val="single" w:sz="4" w:space="0" w:color="auto"/>
              <w:left w:val="single" w:sz="4" w:space="0" w:color="auto"/>
              <w:bottom w:val="single" w:sz="4" w:space="0" w:color="auto"/>
              <w:right w:val="single" w:sz="4" w:space="0" w:color="auto"/>
            </w:tcBorders>
            <w:shd w:val="clear" w:color="auto" w:fill="1F4E79"/>
            <w:tcMar>
              <w:top w:w="40" w:type="dxa"/>
              <w:left w:w="80" w:type="dxa"/>
              <w:bottom w:w="40" w:type="dxa"/>
              <w:right w:w="80" w:type="dxa"/>
            </w:tcMar>
            <w:vAlign w:val="center"/>
            <w:hideMark/>
          </w:tcPr>
          <w:p w14:paraId="4ED0E631" w14:textId="77777777" w:rsidR="003A1E0C" w:rsidRDefault="003A1E0C">
            <w:r>
              <w:rPr>
                <w:rFonts w:ascii="Calibri" w:eastAsia="Calibri" w:hAnsi="Calibri" w:cs="Calibri"/>
                <w:b/>
                <w:bCs/>
                <w:color w:val="FFFFFF"/>
                <w:sz w:val="14"/>
                <w:szCs w:val="14"/>
              </w:rPr>
              <w:t>Phase / Week</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3F1BC556" w14:textId="77777777" w:rsidR="003A1E0C" w:rsidRDefault="003A1E0C">
            <w:pPr>
              <w:jc w:val="center"/>
            </w:pPr>
            <w:r>
              <w:rPr>
                <w:rFonts w:ascii="Calibri" w:eastAsia="Calibri" w:hAnsi="Calibri" w:cs="Calibri"/>
                <w:b/>
                <w:bCs/>
                <w:color w:val="FFFFFF"/>
                <w:sz w:val="12"/>
                <w:szCs w:val="12"/>
              </w:rPr>
              <w:t>1</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276E3E6C" w14:textId="77777777" w:rsidR="003A1E0C" w:rsidRDefault="003A1E0C">
            <w:pPr>
              <w:jc w:val="center"/>
            </w:pPr>
            <w:r>
              <w:rPr>
                <w:rFonts w:ascii="Calibri" w:eastAsia="Calibri" w:hAnsi="Calibri" w:cs="Calibri"/>
                <w:b/>
                <w:bCs/>
                <w:color w:val="FFFFFF"/>
                <w:sz w:val="12"/>
                <w:szCs w:val="12"/>
              </w:rPr>
              <w:t>2</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4B5D8854" w14:textId="77777777" w:rsidR="003A1E0C" w:rsidRDefault="003A1E0C">
            <w:pPr>
              <w:jc w:val="center"/>
            </w:pPr>
            <w:r>
              <w:rPr>
                <w:rFonts w:ascii="Calibri" w:eastAsia="Calibri" w:hAnsi="Calibri" w:cs="Calibri"/>
                <w:b/>
                <w:bCs/>
                <w:color w:val="FFFFFF"/>
                <w:sz w:val="12"/>
                <w:szCs w:val="12"/>
              </w:rPr>
              <w:t>3</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5E43E936" w14:textId="77777777" w:rsidR="003A1E0C" w:rsidRDefault="003A1E0C">
            <w:pPr>
              <w:jc w:val="center"/>
            </w:pPr>
            <w:r>
              <w:rPr>
                <w:rFonts w:ascii="Calibri" w:eastAsia="Calibri" w:hAnsi="Calibri" w:cs="Calibri"/>
                <w:b/>
                <w:bCs/>
                <w:color w:val="FFFFFF"/>
                <w:sz w:val="12"/>
                <w:szCs w:val="12"/>
              </w:rPr>
              <w:t>4</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6E56AFA1" w14:textId="77777777" w:rsidR="003A1E0C" w:rsidRDefault="003A1E0C">
            <w:pPr>
              <w:jc w:val="center"/>
            </w:pPr>
            <w:r>
              <w:rPr>
                <w:rFonts w:ascii="Calibri" w:eastAsia="Calibri" w:hAnsi="Calibri" w:cs="Calibri"/>
                <w:b/>
                <w:bCs/>
                <w:color w:val="FFFFFF"/>
                <w:sz w:val="12"/>
                <w:szCs w:val="12"/>
              </w:rPr>
              <w:t>5</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0E9CACBA" w14:textId="77777777" w:rsidR="003A1E0C" w:rsidRDefault="003A1E0C">
            <w:pPr>
              <w:jc w:val="center"/>
            </w:pPr>
            <w:r>
              <w:rPr>
                <w:rFonts w:ascii="Calibri" w:eastAsia="Calibri" w:hAnsi="Calibri" w:cs="Calibri"/>
                <w:b/>
                <w:bCs/>
                <w:color w:val="FFFFFF"/>
                <w:sz w:val="12"/>
                <w:szCs w:val="12"/>
              </w:rPr>
              <w:t>6</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2B9B0B27" w14:textId="77777777" w:rsidR="003A1E0C" w:rsidRDefault="003A1E0C">
            <w:pPr>
              <w:jc w:val="center"/>
            </w:pPr>
            <w:r>
              <w:rPr>
                <w:rFonts w:ascii="Calibri" w:eastAsia="Calibri" w:hAnsi="Calibri" w:cs="Calibri"/>
                <w:b/>
                <w:bCs/>
                <w:color w:val="FFFFFF"/>
                <w:sz w:val="12"/>
                <w:szCs w:val="12"/>
              </w:rPr>
              <w:t>7</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760797C1" w14:textId="77777777" w:rsidR="003A1E0C" w:rsidRDefault="003A1E0C">
            <w:pPr>
              <w:jc w:val="center"/>
            </w:pPr>
            <w:r>
              <w:rPr>
                <w:rFonts w:ascii="Calibri" w:eastAsia="Calibri" w:hAnsi="Calibri" w:cs="Calibri"/>
                <w:b/>
                <w:bCs/>
                <w:color w:val="FFFFFF"/>
                <w:sz w:val="12"/>
                <w:szCs w:val="12"/>
              </w:rPr>
              <w:t>8</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1C55B6FC" w14:textId="77777777" w:rsidR="003A1E0C" w:rsidRDefault="003A1E0C">
            <w:pPr>
              <w:jc w:val="center"/>
            </w:pPr>
            <w:r>
              <w:rPr>
                <w:rFonts w:ascii="Calibri" w:eastAsia="Calibri" w:hAnsi="Calibri" w:cs="Calibri"/>
                <w:b/>
                <w:bCs/>
                <w:color w:val="FFFFFF"/>
                <w:sz w:val="12"/>
                <w:szCs w:val="12"/>
              </w:rPr>
              <w:t>9</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1F599C5E" w14:textId="77777777" w:rsidR="003A1E0C" w:rsidRDefault="003A1E0C">
            <w:pPr>
              <w:jc w:val="center"/>
            </w:pPr>
            <w:r>
              <w:rPr>
                <w:rFonts w:ascii="Calibri" w:eastAsia="Calibri" w:hAnsi="Calibri" w:cs="Calibri"/>
                <w:b/>
                <w:bCs/>
                <w:color w:val="FFFFFF"/>
                <w:sz w:val="12"/>
                <w:szCs w:val="12"/>
              </w:rPr>
              <w:t>10</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4BD08C2D" w14:textId="77777777" w:rsidR="003A1E0C" w:rsidRDefault="003A1E0C">
            <w:pPr>
              <w:jc w:val="center"/>
            </w:pPr>
            <w:r>
              <w:rPr>
                <w:rFonts w:ascii="Calibri" w:eastAsia="Calibri" w:hAnsi="Calibri" w:cs="Calibri"/>
                <w:b/>
                <w:bCs/>
                <w:color w:val="FFFFFF"/>
                <w:sz w:val="12"/>
                <w:szCs w:val="12"/>
              </w:rPr>
              <w:t>11</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1A9E85DF" w14:textId="77777777" w:rsidR="003A1E0C" w:rsidRDefault="003A1E0C">
            <w:pPr>
              <w:jc w:val="center"/>
            </w:pPr>
            <w:r>
              <w:rPr>
                <w:rFonts w:ascii="Calibri" w:eastAsia="Calibri" w:hAnsi="Calibri" w:cs="Calibri"/>
                <w:b/>
                <w:bCs/>
                <w:color w:val="FFFFFF"/>
                <w:sz w:val="12"/>
                <w:szCs w:val="12"/>
              </w:rPr>
              <w:t>12</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4E828896" w14:textId="77777777" w:rsidR="003A1E0C" w:rsidRDefault="003A1E0C">
            <w:pPr>
              <w:jc w:val="center"/>
            </w:pPr>
            <w:r>
              <w:rPr>
                <w:rFonts w:ascii="Calibri" w:eastAsia="Calibri" w:hAnsi="Calibri" w:cs="Calibri"/>
                <w:b/>
                <w:bCs/>
                <w:color w:val="FFFFFF"/>
                <w:sz w:val="12"/>
                <w:szCs w:val="12"/>
              </w:rPr>
              <w:t>13</w:t>
            </w:r>
          </w:p>
        </w:tc>
        <w:tc>
          <w:tcPr>
            <w:tcW w:w="546" w:type="dxa"/>
            <w:tcBorders>
              <w:top w:val="single" w:sz="4" w:space="0" w:color="auto"/>
              <w:left w:val="single" w:sz="4" w:space="0" w:color="auto"/>
              <w:bottom w:val="single" w:sz="4" w:space="0" w:color="auto"/>
              <w:right w:val="single" w:sz="4" w:space="0" w:color="auto"/>
            </w:tcBorders>
            <w:shd w:val="clear" w:color="auto" w:fill="1F4E79"/>
            <w:tcMar>
              <w:top w:w="40" w:type="dxa"/>
              <w:left w:w="0" w:type="dxa"/>
              <w:bottom w:w="40" w:type="dxa"/>
              <w:right w:w="0" w:type="dxa"/>
            </w:tcMar>
            <w:vAlign w:val="center"/>
            <w:hideMark/>
          </w:tcPr>
          <w:p w14:paraId="00BED4C3" w14:textId="77777777" w:rsidR="003A1E0C" w:rsidRDefault="003A1E0C">
            <w:pPr>
              <w:jc w:val="center"/>
            </w:pPr>
            <w:r>
              <w:rPr>
                <w:rFonts w:ascii="Calibri" w:eastAsia="Calibri" w:hAnsi="Calibri" w:cs="Calibri"/>
                <w:b/>
                <w:bCs/>
                <w:color w:val="FFFFFF"/>
                <w:sz w:val="12"/>
                <w:szCs w:val="12"/>
              </w:rPr>
              <w:t>14</w:t>
            </w:r>
          </w:p>
        </w:tc>
      </w:tr>
      <w:tr w:rsidR="003A1E0C" w14:paraId="418D9746"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56B704F8" w14:textId="77777777" w:rsidR="003A1E0C" w:rsidRDefault="003A1E0C">
            <w:r>
              <w:rPr>
                <w:rFonts w:ascii="Calibri" w:eastAsia="Calibri" w:hAnsi="Calibri" w:cs="Calibri"/>
                <w:sz w:val="16"/>
                <w:szCs w:val="16"/>
              </w:rPr>
              <w:t>1. Proposal &amp; Ethics Approval</w:t>
            </w:r>
          </w:p>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46467ED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97DC180"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0874FD7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B2D111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AF50B59"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5C1426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21E3B6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CDA6052"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20AE0B93"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4FFEBB73"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7A6A1BB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3B54B3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D143966"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BEB00E1" w14:textId="77777777" w:rsidR="003A1E0C" w:rsidRDefault="003A1E0C"/>
        </w:tc>
      </w:tr>
      <w:tr w:rsidR="003A1E0C" w14:paraId="3CD1EED5"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6FF1229B" w14:textId="77777777" w:rsidR="003A1E0C" w:rsidRDefault="003A1E0C">
            <w:r>
              <w:rPr>
                <w:rFonts w:ascii="Calibri" w:eastAsia="Calibri" w:hAnsi="Calibri" w:cs="Calibri"/>
                <w:sz w:val="16"/>
                <w:szCs w:val="16"/>
              </w:rPr>
              <w:t>2. Systematic Search</w:t>
            </w:r>
          </w:p>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10C98DC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F5082FA"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6EBD8470"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78EB1CC"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847DBB7"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7C4D80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159FF7C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4F27852"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4FEBD80"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4BB8BDE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95B128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5E382D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41E4C5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19646DB8" w14:textId="77777777" w:rsidR="003A1E0C" w:rsidRDefault="003A1E0C"/>
        </w:tc>
      </w:tr>
      <w:tr w:rsidR="003A1E0C" w14:paraId="2082867B"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5CC423B0" w14:textId="77777777" w:rsidR="003A1E0C" w:rsidRDefault="003A1E0C">
            <w:r>
              <w:rPr>
                <w:rFonts w:ascii="Calibri" w:eastAsia="Calibri" w:hAnsi="Calibri" w:cs="Calibri"/>
                <w:sz w:val="16"/>
                <w:szCs w:val="16"/>
              </w:rPr>
              <w:t>3. Data Extraction</w:t>
            </w:r>
          </w:p>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B9A0D9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1009822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7D3C419"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216E56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36C411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B0AF07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0DB8EE77"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0AA0F2CC"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5B8F2BF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E976560"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118CCE6"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1F794FC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BF72073"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22A49F5D" w14:textId="77777777" w:rsidR="003A1E0C" w:rsidRDefault="003A1E0C"/>
        </w:tc>
      </w:tr>
      <w:tr w:rsidR="003A1E0C" w14:paraId="0EB61AC1"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4A6DF267" w14:textId="77777777" w:rsidR="003A1E0C" w:rsidRDefault="003A1E0C">
            <w:r>
              <w:rPr>
                <w:rFonts w:ascii="Calibri" w:eastAsia="Calibri" w:hAnsi="Calibri" w:cs="Calibri"/>
                <w:sz w:val="16"/>
                <w:szCs w:val="16"/>
              </w:rPr>
              <w:t>4. Thematic Synthesis</w:t>
            </w:r>
          </w:p>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76F92B76"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0054A19"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75F88136"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981F68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9DC0B22"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39A412FC"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66791C2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4F39A609"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1A3850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29325A1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BB81A53"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0D6AB6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67B8D87"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CF14378" w14:textId="77777777" w:rsidR="003A1E0C" w:rsidRDefault="003A1E0C"/>
        </w:tc>
      </w:tr>
      <w:tr w:rsidR="003A1E0C" w14:paraId="67CCA4B6"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7B2D0E84" w14:textId="77777777" w:rsidR="003A1E0C" w:rsidRDefault="003A1E0C">
            <w:r>
              <w:rPr>
                <w:rFonts w:ascii="Calibri" w:eastAsia="Calibri" w:hAnsi="Calibri" w:cs="Calibri"/>
                <w:sz w:val="16"/>
                <w:szCs w:val="16"/>
              </w:rPr>
              <w:t>5. Writing &amp; Integration</w:t>
            </w:r>
          </w:p>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A92C4D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B95E1F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000B931C"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571757BC"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358DBAD7"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9458EA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C7EF15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4CFC76E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0C6B85B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13F6987A"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6443A9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32897F04"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FDA782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B4100E8" w14:textId="77777777" w:rsidR="003A1E0C" w:rsidRDefault="003A1E0C"/>
        </w:tc>
      </w:tr>
      <w:tr w:rsidR="003A1E0C" w14:paraId="38502D81" w14:textId="77777777" w:rsidTr="003A1E0C">
        <w:trPr>
          <w:trHeight w:val="260"/>
        </w:trPr>
        <w:tc>
          <w:tcPr>
            <w:tcW w:w="2878" w:type="dxa"/>
            <w:tcBorders>
              <w:top w:val="single" w:sz="4" w:space="0" w:color="auto"/>
              <w:left w:val="single" w:sz="4" w:space="0" w:color="auto"/>
              <w:bottom w:val="single" w:sz="4" w:space="0" w:color="auto"/>
              <w:right w:val="single" w:sz="4" w:space="0" w:color="auto"/>
            </w:tcBorders>
            <w:tcMar>
              <w:top w:w="40" w:type="dxa"/>
              <w:left w:w="80" w:type="dxa"/>
              <w:bottom w:w="40" w:type="dxa"/>
              <w:right w:w="80" w:type="dxa"/>
            </w:tcMar>
            <w:vAlign w:val="center"/>
            <w:hideMark/>
          </w:tcPr>
          <w:p w14:paraId="30D7D18E" w14:textId="77777777" w:rsidR="003A1E0C" w:rsidRDefault="003A1E0C">
            <w:r>
              <w:rPr>
                <w:rFonts w:ascii="Calibri" w:eastAsia="Calibri" w:hAnsi="Calibri" w:cs="Calibri"/>
                <w:sz w:val="16"/>
                <w:szCs w:val="16"/>
              </w:rPr>
              <w:t>6. Review &amp; Submission</w:t>
            </w:r>
          </w:p>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28EFC97"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227D1C0D"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4A9E77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75221B78"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884B6D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5668284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74DD3BF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6653A58A" w14:textId="77777777" w:rsidR="003A1E0C" w:rsidRDefault="003A1E0C"/>
        </w:tc>
        <w:tc>
          <w:tcPr>
            <w:tcW w:w="546" w:type="dxa"/>
            <w:tcBorders>
              <w:top w:val="single" w:sz="4" w:space="0" w:color="auto"/>
              <w:left w:val="single" w:sz="4" w:space="0" w:color="auto"/>
              <w:bottom w:val="single" w:sz="4" w:space="0" w:color="auto"/>
              <w:right w:val="single" w:sz="4" w:space="0" w:color="auto"/>
            </w:tcBorders>
            <w:tcMar>
              <w:top w:w="40" w:type="dxa"/>
              <w:left w:w="0" w:type="dxa"/>
              <w:bottom w:w="40" w:type="dxa"/>
              <w:right w:w="0" w:type="dxa"/>
            </w:tcMar>
          </w:tcPr>
          <w:p w14:paraId="32027B5F"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2443B5FE"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54A999E1"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098126F5"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3AC02CCB" w14:textId="77777777" w:rsidR="003A1E0C" w:rsidRDefault="003A1E0C"/>
        </w:tc>
        <w:tc>
          <w:tcPr>
            <w:tcW w:w="546" w:type="dxa"/>
            <w:tcBorders>
              <w:top w:val="single" w:sz="4" w:space="0" w:color="auto"/>
              <w:left w:val="single" w:sz="4" w:space="0" w:color="auto"/>
              <w:bottom w:val="single" w:sz="4" w:space="0" w:color="auto"/>
              <w:right w:val="single" w:sz="4" w:space="0" w:color="auto"/>
            </w:tcBorders>
            <w:shd w:val="clear" w:color="auto" w:fill="2E75B6"/>
            <w:tcMar>
              <w:top w:w="40" w:type="dxa"/>
              <w:left w:w="0" w:type="dxa"/>
              <w:bottom w:w="40" w:type="dxa"/>
              <w:right w:w="0" w:type="dxa"/>
            </w:tcMar>
          </w:tcPr>
          <w:p w14:paraId="79832C87" w14:textId="77777777" w:rsidR="003A1E0C" w:rsidRDefault="003A1E0C"/>
        </w:tc>
      </w:tr>
    </w:tbl>
    <w:p w14:paraId="76EE8E71" w14:textId="77777777" w:rsidR="003A1E0C" w:rsidRDefault="003A1E0C" w:rsidP="003A1E0C">
      <w:pPr>
        <w:spacing w:after="200"/>
      </w:pPr>
    </w:p>
    <w:tbl>
      <w:tblPr>
        <w:tblW w:w="11047"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47"/>
        <w:gridCol w:w="6300"/>
        <w:gridCol w:w="1600"/>
      </w:tblGrid>
      <w:tr w:rsidR="003A1E0C" w14:paraId="36B63BDD" w14:textId="77777777" w:rsidTr="003A1E0C">
        <w:tc>
          <w:tcPr>
            <w:tcW w:w="3147" w:type="dxa"/>
            <w:tcBorders>
              <w:top w:val="single" w:sz="4" w:space="0" w:color="auto"/>
              <w:left w:val="single" w:sz="4" w:space="0" w:color="auto"/>
              <w:bottom w:val="single" w:sz="4" w:space="0" w:color="auto"/>
              <w:right w:val="single" w:sz="4" w:space="0" w:color="auto"/>
            </w:tcBorders>
            <w:shd w:val="clear" w:color="auto" w:fill="1F4E79"/>
            <w:tcMar>
              <w:top w:w="100" w:type="dxa"/>
              <w:left w:w="120" w:type="dxa"/>
              <w:bottom w:w="100" w:type="dxa"/>
              <w:right w:w="120" w:type="dxa"/>
            </w:tcMar>
            <w:hideMark/>
          </w:tcPr>
          <w:p w14:paraId="38DB8A6D" w14:textId="77777777" w:rsidR="003A1E0C" w:rsidRDefault="003A1E0C">
            <w:r>
              <w:rPr>
                <w:rFonts w:ascii="Calibri" w:eastAsia="Calibri" w:hAnsi="Calibri" w:cs="Calibri"/>
                <w:b/>
                <w:bCs/>
                <w:color w:val="FFFFFF"/>
              </w:rPr>
              <w:t>Phase</w:t>
            </w:r>
          </w:p>
        </w:tc>
        <w:tc>
          <w:tcPr>
            <w:tcW w:w="6300" w:type="dxa"/>
            <w:tcBorders>
              <w:top w:val="single" w:sz="4" w:space="0" w:color="auto"/>
              <w:left w:val="single" w:sz="4" w:space="0" w:color="auto"/>
              <w:bottom w:val="single" w:sz="4" w:space="0" w:color="auto"/>
              <w:right w:val="single" w:sz="4" w:space="0" w:color="auto"/>
            </w:tcBorders>
            <w:shd w:val="clear" w:color="auto" w:fill="1F4E79"/>
            <w:tcMar>
              <w:top w:w="100" w:type="dxa"/>
              <w:left w:w="120" w:type="dxa"/>
              <w:bottom w:w="100" w:type="dxa"/>
              <w:right w:w="120" w:type="dxa"/>
            </w:tcMar>
            <w:hideMark/>
          </w:tcPr>
          <w:p w14:paraId="595A375C" w14:textId="77777777" w:rsidR="003A1E0C" w:rsidRDefault="003A1E0C">
            <w:r>
              <w:rPr>
                <w:rFonts w:ascii="Calibri" w:eastAsia="Calibri" w:hAnsi="Calibri" w:cs="Calibri"/>
                <w:b/>
                <w:bCs/>
                <w:color w:val="FFFFFF"/>
              </w:rPr>
              <w:t>Key Activities</w:t>
            </w:r>
          </w:p>
        </w:tc>
        <w:tc>
          <w:tcPr>
            <w:tcW w:w="1600" w:type="dxa"/>
            <w:tcBorders>
              <w:top w:val="single" w:sz="4" w:space="0" w:color="auto"/>
              <w:left w:val="single" w:sz="4" w:space="0" w:color="auto"/>
              <w:bottom w:val="single" w:sz="4" w:space="0" w:color="auto"/>
              <w:right w:val="single" w:sz="4" w:space="0" w:color="auto"/>
            </w:tcBorders>
            <w:shd w:val="clear" w:color="auto" w:fill="1F4E79"/>
            <w:tcMar>
              <w:top w:w="100" w:type="dxa"/>
              <w:left w:w="120" w:type="dxa"/>
              <w:bottom w:w="100" w:type="dxa"/>
              <w:right w:w="120" w:type="dxa"/>
            </w:tcMar>
            <w:hideMark/>
          </w:tcPr>
          <w:p w14:paraId="750AB45D" w14:textId="77777777" w:rsidR="003A1E0C" w:rsidRDefault="003A1E0C">
            <w:r>
              <w:rPr>
                <w:rFonts w:ascii="Calibri" w:eastAsia="Calibri" w:hAnsi="Calibri" w:cs="Calibri"/>
                <w:b/>
                <w:bCs/>
                <w:color w:val="FFFFFF"/>
              </w:rPr>
              <w:t>Weeks</w:t>
            </w:r>
          </w:p>
        </w:tc>
      </w:tr>
      <w:tr w:rsidR="003A1E0C" w14:paraId="0A1716A3"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08234C4E" w14:textId="77777777" w:rsidR="003A1E0C" w:rsidRDefault="003A1E0C">
            <w:r>
              <w:rPr>
                <w:rFonts w:ascii="Calibri" w:eastAsia="Calibri" w:hAnsi="Calibri" w:cs="Calibri"/>
              </w:rPr>
              <w:t>1. Proposal &amp; Ethics Approval</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4D32F698" w14:textId="629A3D8E" w:rsidR="003A1E0C" w:rsidRDefault="003A1E0C">
            <w:r>
              <w:rPr>
                <w:rFonts w:ascii="Calibri" w:eastAsia="Calibri" w:hAnsi="Calibri" w:cs="Calibri"/>
              </w:rPr>
              <w:t>Finalise proposal; submit for ethical approval; finalise search strategy and databases.</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372B1024" w14:textId="77777777" w:rsidR="003A1E0C" w:rsidRDefault="003A1E0C">
            <w:r>
              <w:rPr>
                <w:rFonts w:ascii="Calibri" w:eastAsia="Calibri" w:hAnsi="Calibri" w:cs="Calibri"/>
              </w:rPr>
              <w:t>Weeks 1–3</w:t>
            </w:r>
          </w:p>
        </w:tc>
      </w:tr>
      <w:tr w:rsidR="003A1E0C" w14:paraId="29BEB090"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32CC31B9" w14:textId="77777777" w:rsidR="003A1E0C" w:rsidRDefault="003A1E0C">
            <w:r>
              <w:rPr>
                <w:rFonts w:ascii="Calibri" w:eastAsia="Calibri" w:hAnsi="Calibri" w:cs="Calibri"/>
              </w:rPr>
              <w:t>2. Systematic Search</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5E9C5D1F" w14:textId="57A7FCCE" w:rsidR="003A1E0C" w:rsidRDefault="003A1E0C">
            <w:r>
              <w:rPr>
                <w:rFonts w:ascii="Calibri" w:eastAsia="Calibri" w:hAnsi="Calibri" w:cs="Calibri"/>
              </w:rPr>
              <w:t>Run searches across databases; apply inclusion or exclusion criteria; screen titles/abstracts and full texts (PRISMA style).</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FAD6314" w14:textId="77777777" w:rsidR="003A1E0C" w:rsidRDefault="003A1E0C">
            <w:r>
              <w:rPr>
                <w:rFonts w:ascii="Calibri" w:eastAsia="Calibri" w:hAnsi="Calibri" w:cs="Calibri"/>
              </w:rPr>
              <w:t>Weeks 2–4</w:t>
            </w:r>
          </w:p>
        </w:tc>
      </w:tr>
      <w:tr w:rsidR="003A1E0C" w14:paraId="2D34E378"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38843EE" w14:textId="77777777" w:rsidR="003A1E0C" w:rsidRDefault="003A1E0C">
            <w:r>
              <w:rPr>
                <w:rFonts w:ascii="Calibri" w:eastAsia="Calibri" w:hAnsi="Calibri" w:cs="Calibri"/>
              </w:rPr>
              <w:t>3. Data Extraction</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DA2BD1A" w14:textId="77777777" w:rsidR="003A1E0C" w:rsidRDefault="003A1E0C">
            <w:r>
              <w:rPr>
                <w:rFonts w:ascii="Calibri" w:eastAsia="Calibri" w:hAnsi="Calibri" w:cs="Calibri"/>
              </w:rPr>
              <w:t>Extract and tabulate key details from included sources into the data-extraction matrix; critically appraise sources.</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73D7EC4" w14:textId="77777777" w:rsidR="003A1E0C" w:rsidRDefault="003A1E0C">
            <w:r>
              <w:rPr>
                <w:rFonts w:ascii="Calibri" w:eastAsia="Calibri" w:hAnsi="Calibri" w:cs="Calibri"/>
              </w:rPr>
              <w:t>Weeks 4–10</w:t>
            </w:r>
          </w:p>
        </w:tc>
      </w:tr>
      <w:tr w:rsidR="003A1E0C" w14:paraId="42E05BE3"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1074A42" w14:textId="77777777" w:rsidR="003A1E0C" w:rsidRDefault="003A1E0C">
            <w:r>
              <w:rPr>
                <w:rFonts w:ascii="Calibri" w:eastAsia="Calibri" w:hAnsi="Calibri" w:cs="Calibri"/>
              </w:rPr>
              <w:t>4. Thematic Synthesis</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FB8B3BE" w14:textId="77777777" w:rsidR="003A1E0C" w:rsidRDefault="003A1E0C">
            <w:r>
              <w:rPr>
                <w:rFonts w:ascii="Calibri" w:eastAsia="Calibri" w:hAnsi="Calibri" w:cs="Calibri"/>
              </w:rPr>
              <w:t>Synthesise findings across sources by theme; identify patterns, contradictions and gaps in the evidence.</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1BD48433" w14:textId="77777777" w:rsidR="003A1E0C" w:rsidRDefault="003A1E0C">
            <w:r>
              <w:rPr>
                <w:rFonts w:ascii="Calibri" w:eastAsia="Calibri" w:hAnsi="Calibri" w:cs="Calibri"/>
              </w:rPr>
              <w:t>Weeks 6–10</w:t>
            </w:r>
          </w:p>
        </w:tc>
      </w:tr>
      <w:tr w:rsidR="003A1E0C" w14:paraId="0DD91CBF"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3431F89E" w14:textId="77777777" w:rsidR="003A1E0C" w:rsidRDefault="003A1E0C">
            <w:r>
              <w:rPr>
                <w:rFonts w:ascii="Calibri" w:eastAsia="Calibri" w:hAnsi="Calibri" w:cs="Calibri"/>
              </w:rPr>
              <w:lastRenderedPageBreak/>
              <w:t>5. Writing &amp; Integration</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7C1BA77A" w14:textId="1A4F09EE" w:rsidR="003A1E0C" w:rsidRDefault="003A1E0C">
            <w:r>
              <w:rPr>
                <w:rFonts w:ascii="Calibri" w:eastAsia="Calibri" w:hAnsi="Calibri" w:cs="Calibri"/>
              </w:rPr>
              <w:t>Draft literature review, findings, discussion, and recommendations chapters.</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4BF4EA9B" w14:textId="77777777" w:rsidR="003A1E0C" w:rsidRDefault="003A1E0C">
            <w:r>
              <w:rPr>
                <w:rFonts w:ascii="Calibri" w:eastAsia="Calibri" w:hAnsi="Calibri" w:cs="Calibri"/>
              </w:rPr>
              <w:t>Weeks 4–12</w:t>
            </w:r>
          </w:p>
        </w:tc>
      </w:tr>
      <w:tr w:rsidR="003A1E0C" w14:paraId="7582B631" w14:textId="77777777" w:rsidTr="003A1E0C">
        <w:tc>
          <w:tcPr>
            <w:tcW w:w="3147"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5D307618" w14:textId="77777777" w:rsidR="003A1E0C" w:rsidRDefault="003A1E0C">
            <w:r>
              <w:rPr>
                <w:rFonts w:ascii="Calibri" w:eastAsia="Calibri" w:hAnsi="Calibri" w:cs="Calibri"/>
              </w:rPr>
              <w:t>6. Review &amp; Submission</w:t>
            </w:r>
          </w:p>
        </w:tc>
        <w:tc>
          <w:tcPr>
            <w:tcW w:w="63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272F6517" w14:textId="77777777" w:rsidR="003A1E0C" w:rsidRDefault="003A1E0C">
            <w:r>
              <w:rPr>
                <w:rFonts w:ascii="Calibri" w:eastAsia="Calibri" w:hAnsi="Calibri" w:cs="Calibri"/>
              </w:rPr>
              <w:t>Supervisor feedback, proofreading, final formatting and submission.</w:t>
            </w:r>
          </w:p>
        </w:tc>
        <w:tc>
          <w:tcPr>
            <w:tcW w:w="1600" w:type="dxa"/>
            <w:tcBorders>
              <w:top w:val="single" w:sz="4" w:space="0" w:color="auto"/>
              <w:left w:val="single" w:sz="4" w:space="0" w:color="auto"/>
              <w:bottom w:val="single" w:sz="4" w:space="0" w:color="auto"/>
              <w:right w:val="single" w:sz="4" w:space="0" w:color="auto"/>
            </w:tcBorders>
            <w:tcMar>
              <w:top w:w="100" w:type="dxa"/>
              <w:left w:w="120" w:type="dxa"/>
              <w:bottom w:w="100" w:type="dxa"/>
              <w:right w:w="120" w:type="dxa"/>
            </w:tcMar>
            <w:hideMark/>
          </w:tcPr>
          <w:p w14:paraId="6045EC2F" w14:textId="77777777" w:rsidR="003A1E0C" w:rsidRDefault="003A1E0C">
            <w:r>
              <w:rPr>
                <w:rFonts w:ascii="Calibri" w:eastAsia="Calibri" w:hAnsi="Calibri" w:cs="Calibri"/>
              </w:rPr>
              <w:t>Weeks 10–14</w:t>
            </w:r>
          </w:p>
        </w:tc>
      </w:tr>
    </w:tbl>
    <w:p w14:paraId="52921993" w14:textId="77777777" w:rsidR="00525052" w:rsidRDefault="00525052">
      <w:pPr>
        <w:spacing w:after="200"/>
      </w:pPr>
    </w:p>
    <w:p w14:paraId="49EBFB7C" w14:textId="77777777" w:rsidR="00525052" w:rsidRDefault="00000000">
      <w:pPr>
        <w:pStyle w:val="Heading1"/>
        <w:spacing w:before="360" w:after="200"/>
      </w:pPr>
      <w:r>
        <w:rPr>
          <w:rFonts w:ascii="Calibri" w:eastAsia="Calibri" w:hAnsi="Calibri" w:cs="Calibri"/>
          <w:b/>
          <w:bCs/>
          <w:color w:val="1F4E79"/>
          <w:sz w:val="28"/>
          <w:szCs w:val="28"/>
        </w:rPr>
        <w:t>7. Conclusion</w:t>
      </w:r>
    </w:p>
    <w:p w14:paraId="7D1BB124" w14:textId="3C98F45F" w:rsidR="00525052" w:rsidRDefault="00000000">
      <w:pPr>
        <w:spacing w:after="180" w:line="276" w:lineRule="auto"/>
        <w:jc w:val="both"/>
      </w:pPr>
      <w:r>
        <w:rPr>
          <w:rFonts w:ascii="Calibri" w:eastAsia="Calibri" w:hAnsi="Calibri" w:cs="Calibri"/>
          <w:sz w:val="22"/>
          <w:szCs w:val="22"/>
        </w:rPr>
        <w:t>As AI becomes further embedded within organisational and HR practice, understanding its human consequences is no longer optional for responsible management. This proposal has set out a research plan to investigate how AI adoption affects employee wellbeing and perceived job security, and, critically, what role HR practices can play in mitigating the risks this technological shift presents. By systematically reviewing and synthesising existing evidence within a JD-R theoretical framework, the study is designed to move beyond documenting the problem of AI-related anxiety towards identifying practical, evidence-based HR responses and clarifying where further primary research is needed. It is anticipated that the research will contribute both to academic understanding of AI's psychological impact in the workplace and to practical guidance that HR professionals can apply when managing AI</w:t>
      </w:r>
      <w:r w:rsidR="001F3597">
        <w:rPr>
          <w:rFonts w:ascii="Calibri" w:eastAsia="Calibri" w:hAnsi="Calibri" w:cs="Calibri"/>
          <w:sz w:val="22"/>
          <w:szCs w:val="22"/>
        </w:rPr>
        <w:t xml:space="preserve"> </w:t>
      </w:r>
      <w:r>
        <w:rPr>
          <w:rFonts w:ascii="Calibri" w:eastAsia="Calibri" w:hAnsi="Calibri" w:cs="Calibri"/>
          <w:sz w:val="22"/>
          <w:szCs w:val="22"/>
        </w:rPr>
        <w:t>driven organisational change, ultimately supporting a workforce that is not only technologically capable but also psychologically secure.</w:t>
      </w:r>
    </w:p>
    <w:p w14:paraId="2A679DE7" w14:textId="77777777" w:rsidR="00525052" w:rsidRDefault="00000000">
      <w:pPr>
        <w:pStyle w:val="Heading1"/>
        <w:spacing w:before="360" w:after="200"/>
      </w:pPr>
      <w:r>
        <w:rPr>
          <w:rFonts w:ascii="Calibri" w:eastAsia="Calibri" w:hAnsi="Calibri" w:cs="Calibri"/>
          <w:b/>
          <w:bCs/>
          <w:color w:val="1F4E79"/>
          <w:sz w:val="28"/>
          <w:szCs w:val="28"/>
        </w:rPr>
        <w:t>8. References</w:t>
      </w:r>
    </w:p>
    <w:p w14:paraId="70C90D03" w14:textId="77777777" w:rsidR="00525052" w:rsidRDefault="00000000">
      <w:pPr>
        <w:spacing w:after="160" w:line="276" w:lineRule="auto"/>
        <w:ind w:left="720" w:hanging="720"/>
      </w:pPr>
      <w:r>
        <w:rPr>
          <w:rFonts w:ascii="Calibri" w:eastAsia="Calibri" w:hAnsi="Calibri" w:cs="Calibri"/>
          <w:sz w:val="22"/>
          <w:szCs w:val="22"/>
        </w:rPr>
        <w:t>AIHR (2026) AI and Employee Wellbeing: Why HR Should Take Action Now. Available at: https://www.aihr.com/blog/ai-and-employee-wellbeing/ (Accessed: 8 July 2026).</w:t>
      </w:r>
    </w:p>
    <w:p w14:paraId="6C0529BE" w14:textId="77777777" w:rsidR="00525052" w:rsidRDefault="00000000">
      <w:pPr>
        <w:spacing w:after="160" w:line="276" w:lineRule="auto"/>
        <w:ind w:left="720" w:hanging="720"/>
      </w:pPr>
      <w:r>
        <w:rPr>
          <w:rFonts w:ascii="Calibri" w:eastAsia="Calibri" w:hAnsi="Calibri" w:cs="Calibri"/>
          <w:sz w:val="22"/>
          <w:szCs w:val="22"/>
        </w:rPr>
        <w:t>Bakker, A.B. and Demerouti, E. (2007) 'The job demands-resources model: state of the art', Journal of Managerial Psychology, 22(3), pp. 309–328.</w:t>
      </w:r>
    </w:p>
    <w:p w14:paraId="1D1F4F64" w14:textId="77777777" w:rsidR="00525052" w:rsidRDefault="00000000">
      <w:pPr>
        <w:spacing w:after="160" w:line="276" w:lineRule="auto"/>
        <w:ind w:left="720" w:hanging="720"/>
      </w:pPr>
      <w:r>
        <w:rPr>
          <w:rFonts w:ascii="Calibri" w:eastAsia="Calibri" w:hAnsi="Calibri" w:cs="Calibri"/>
          <w:sz w:val="22"/>
          <w:szCs w:val="22"/>
        </w:rPr>
        <w:t>Bakker, A.B. and Demerouti, E. (2017) 'Job demands–resources theory: taking stock and looking forward', Journal of Occupational Health Psychology, 22(3), pp. 273–285.</w:t>
      </w:r>
    </w:p>
    <w:p w14:paraId="5535826C" w14:textId="77777777" w:rsidR="00525052" w:rsidRDefault="00000000">
      <w:pPr>
        <w:spacing w:after="160" w:line="276" w:lineRule="auto"/>
        <w:ind w:left="720" w:hanging="720"/>
      </w:pPr>
      <w:r>
        <w:rPr>
          <w:rFonts w:ascii="Calibri" w:eastAsia="Calibri" w:hAnsi="Calibri" w:cs="Calibri"/>
          <w:sz w:val="22"/>
          <w:szCs w:val="22"/>
        </w:rPr>
        <w:t>Bibi, M., Tan, T.G. and Yao, H. (2025) 'Exploring the impact of AI capabilities on employee well-being: a mediated moderation analysis', SAGE Open, 15(3).</w:t>
      </w:r>
    </w:p>
    <w:p w14:paraId="00D953F0" w14:textId="77777777" w:rsidR="00525052" w:rsidRDefault="00000000">
      <w:pPr>
        <w:spacing w:after="160" w:line="276" w:lineRule="auto"/>
        <w:ind w:left="720" w:hanging="720"/>
      </w:pPr>
      <w:r>
        <w:rPr>
          <w:rFonts w:ascii="Calibri" w:eastAsia="Calibri" w:hAnsi="Calibri" w:cs="Calibri"/>
          <w:sz w:val="22"/>
          <w:szCs w:val="22"/>
        </w:rPr>
        <w:t>Braun, V. and Clarke, V. (2006) 'Using thematic analysis in psychology', Qualitative Research in Psychology, 3(2), pp. 77–101.</w:t>
      </w:r>
    </w:p>
    <w:p w14:paraId="2C75C47A" w14:textId="77777777" w:rsidR="00525052" w:rsidRDefault="00000000">
      <w:pPr>
        <w:spacing w:after="160" w:line="276" w:lineRule="auto"/>
        <w:ind w:left="720" w:hanging="720"/>
      </w:pPr>
      <w:r>
        <w:rPr>
          <w:rFonts w:ascii="Calibri" w:eastAsia="Calibri" w:hAnsi="Calibri" w:cs="Calibri"/>
          <w:sz w:val="22"/>
          <w:szCs w:val="22"/>
        </w:rPr>
        <w:t>Frontiers in Psychology (2025) 'When digital-AI transformation sparks adaptation: job crafting and AI knowledge in job insecurity contexts', Frontiers in Psychology, 16.</w:t>
      </w:r>
    </w:p>
    <w:p w14:paraId="3CFF4F31" w14:textId="77777777" w:rsidR="00525052" w:rsidRDefault="00000000">
      <w:pPr>
        <w:spacing w:after="160" w:line="276" w:lineRule="auto"/>
        <w:ind w:left="720" w:hanging="720"/>
      </w:pPr>
      <w:r>
        <w:rPr>
          <w:rFonts w:ascii="Calibri" w:eastAsia="Calibri" w:hAnsi="Calibri" w:cs="Calibri"/>
          <w:sz w:val="22"/>
          <w:szCs w:val="22"/>
        </w:rPr>
        <w:t>Frontiers in Psychology (2026) 'The impact of artificial intelligence application on employees' job insecurity: the moderating roles of self-efficacy and transformational leadership', Frontiers in Psychology, 17.</w:t>
      </w:r>
    </w:p>
    <w:p w14:paraId="298DEC19" w14:textId="77777777" w:rsidR="00525052" w:rsidRDefault="00000000">
      <w:pPr>
        <w:spacing w:after="160" w:line="276" w:lineRule="auto"/>
        <w:ind w:left="720" w:hanging="720"/>
      </w:pPr>
      <w:r>
        <w:rPr>
          <w:rFonts w:ascii="Calibri" w:eastAsia="Calibri" w:hAnsi="Calibri" w:cs="Calibri"/>
          <w:sz w:val="22"/>
          <w:szCs w:val="22"/>
        </w:rPr>
        <w:t>Kim, B.-J., Kim, M.-J. and Lee, J. (2025) 'The dark side of artificial intelligence adoption: linking artificial intelligence adoption to employee depression via psychological safety and ethical leadership', Humanities and Social Sciences Communications, 12, article 704.</w:t>
      </w:r>
    </w:p>
    <w:p w14:paraId="44A73C6B" w14:textId="77777777" w:rsidR="00525052" w:rsidRDefault="00000000">
      <w:pPr>
        <w:spacing w:after="160" w:line="276" w:lineRule="auto"/>
        <w:ind w:left="720" w:hanging="720"/>
      </w:pPr>
      <w:proofErr w:type="spellStart"/>
      <w:r>
        <w:rPr>
          <w:rFonts w:ascii="Calibri" w:eastAsia="Calibri" w:hAnsi="Calibri" w:cs="Calibri"/>
          <w:sz w:val="22"/>
          <w:szCs w:val="22"/>
        </w:rPr>
        <w:t>Soulami</w:t>
      </w:r>
      <w:proofErr w:type="spellEnd"/>
      <w:r>
        <w:rPr>
          <w:rFonts w:ascii="Calibri" w:eastAsia="Calibri" w:hAnsi="Calibri" w:cs="Calibri"/>
          <w:sz w:val="22"/>
          <w:szCs w:val="22"/>
        </w:rPr>
        <w:t>, K.B., Benchekroun, R. and Galiulina, K. (2024) 'Exploring how AI adoption in the workplace affects employees: a bibliometric and systematic review', Frontiers in Artificial Intelligence, 7.</w:t>
      </w:r>
    </w:p>
    <w:p w14:paraId="5EC5BDB2" w14:textId="77777777" w:rsidR="00525052" w:rsidRDefault="00000000">
      <w:pPr>
        <w:spacing w:after="160" w:line="276" w:lineRule="auto"/>
        <w:ind w:left="720" w:hanging="720"/>
      </w:pPr>
      <w:r>
        <w:rPr>
          <w:rFonts w:ascii="Calibri" w:eastAsia="Calibri" w:hAnsi="Calibri" w:cs="Calibri"/>
          <w:sz w:val="22"/>
          <w:szCs w:val="22"/>
        </w:rPr>
        <w:t>Spring Health (2026) The Hidden Cost of AI Anxiety: What HR Leaders Need to Know About This Workplace Stressor. Available at: https://www.springhealth.com/blog/hidden-cost-ai-anxiety-workplace-stressor (Accessed: 8 July 2026).</w:t>
      </w:r>
    </w:p>
    <w:p w14:paraId="630B33EC" w14:textId="0003891E" w:rsidR="00525052" w:rsidRDefault="00000000">
      <w:pPr>
        <w:spacing w:after="160" w:line="276" w:lineRule="auto"/>
        <w:ind w:left="720" w:hanging="720"/>
        <w:rPr>
          <w:rFonts w:ascii="Calibri" w:eastAsia="Calibri" w:hAnsi="Calibri" w:cs="Calibri"/>
          <w:sz w:val="22"/>
          <w:szCs w:val="22"/>
        </w:rPr>
      </w:pPr>
      <w:r>
        <w:rPr>
          <w:rFonts w:ascii="Calibri" w:eastAsia="Calibri" w:hAnsi="Calibri" w:cs="Calibri"/>
          <w:sz w:val="22"/>
          <w:szCs w:val="22"/>
        </w:rPr>
        <w:lastRenderedPageBreak/>
        <w:t>Zhang, Y., Liu, X., Yan, Q. and Na, M. (2025) 'Empowering workforces in AI-driven environments: co-skilling, organizational support, and mitigating job insecurity', Frontiers in Psychology, 16.</w:t>
      </w:r>
    </w:p>
    <w:p w14:paraId="4B2FE158" w14:textId="77777777" w:rsidR="003A1E0C" w:rsidRDefault="003A1E0C" w:rsidP="003A1E0C">
      <w:pPr>
        <w:spacing w:after="160" w:line="276" w:lineRule="auto"/>
        <w:ind w:left="720" w:hanging="720"/>
      </w:pPr>
      <w:r>
        <w:rPr>
          <w:rFonts w:ascii="Calibri" w:eastAsia="Calibri" w:hAnsi="Calibri" w:cs="Calibri"/>
          <w:sz w:val="22"/>
          <w:szCs w:val="22"/>
        </w:rPr>
        <w:t>Borges, A.F.S., Laurindo, F.J.B., Spínola, M.M., Gonçalves, R.F. and Mattos, C.A. (2021) 'The strategic use of artificial intelligence in the digital era: systematic literature review and future research directions', International Journal of Information Management, 57, article 102225.</w:t>
      </w:r>
    </w:p>
    <w:p w14:paraId="06E4DB91" w14:textId="77777777" w:rsidR="003A1E0C" w:rsidRDefault="003A1E0C" w:rsidP="003A1E0C">
      <w:pPr>
        <w:spacing w:after="160" w:line="276" w:lineRule="auto"/>
        <w:ind w:left="720" w:hanging="720"/>
      </w:pPr>
      <w:proofErr w:type="spellStart"/>
      <w:r>
        <w:rPr>
          <w:rFonts w:ascii="Calibri" w:eastAsia="Calibri" w:hAnsi="Calibri" w:cs="Calibri"/>
          <w:sz w:val="22"/>
          <w:szCs w:val="22"/>
        </w:rPr>
        <w:t>Budhwar</w:t>
      </w:r>
      <w:proofErr w:type="spellEnd"/>
      <w:r>
        <w:rPr>
          <w:rFonts w:ascii="Calibri" w:eastAsia="Calibri" w:hAnsi="Calibri" w:cs="Calibri"/>
          <w:sz w:val="22"/>
          <w:szCs w:val="22"/>
        </w:rPr>
        <w:t xml:space="preserve">, P., Malik, A., De Silva, M.T.T. and </w:t>
      </w:r>
      <w:proofErr w:type="spellStart"/>
      <w:r>
        <w:rPr>
          <w:rFonts w:ascii="Calibri" w:eastAsia="Calibri" w:hAnsi="Calibri" w:cs="Calibri"/>
          <w:sz w:val="22"/>
          <w:szCs w:val="22"/>
        </w:rPr>
        <w:t>Thevisuthan</w:t>
      </w:r>
      <w:proofErr w:type="spellEnd"/>
      <w:r>
        <w:rPr>
          <w:rFonts w:ascii="Calibri" w:eastAsia="Calibri" w:hAnsi="Calibri" w:cs="Calibri"/>
          <w:sz w:val="22"/>
          <w:szCs w:val="22"/>
        </w:rPr>
        <w:t>, P. (2022) 'Artificial intelligence–challenges and opportunities for international HRM: a review and research agenda', International Journal of Human Resource Management, 33(6), pp. 1065–1097.</w:t>
      </w:r>
    </w:p>
    <w:p w14:paraId="14C8010D" w14:textId="77777777" w:rsidR="003A1E0C" w:rsidRDefault="003A1E0C" w:rsidP="003A1E0C">
      <w:pPr>
        <w:spacing w:after="160" w:line="276" w:lineRule="auto"/>
        <w:ind w:left="720" w:hanging="720"/>
      </w:pPr>
      <w:proofErr w:type="spellStart"/>
      <w:r>
        <w:rPr>
          <w:rFonts w:ascii="Calibri" w:eastAsia="Calibri" w:hAnsi="Calibri" w:cs="Calibri"/>
          <w:sz w:val="22"/>
          <w:szCs w:val="22"/>
        </w:rPr>
        <w:t>Ekuma</w:t>
      </w:r>
      <w:proofErr w:type="spellEnd"/>
      <w:r>
        <w:rPr>
          <w:rFonts w:ascii="Calibri" w:eastAsia="Calibri" w:hAnsi="Calibri" w:cs="Calibri"/>
          <w:sz w:val="22"/>
          <w:szCs w:val="22"/>
        </w:rPr>
        <w:t>, K. (2024) 'Artificial intelligence and automation in human resource development: a systematic review', Human Resource Development Review, 23(2), pp. 199–229.</w:t>
      </w:r>
    </w:p>
    <w:p w14:paraId="57DD0C1D" w14:textId="77777777" w:rsidR="003A1E0C" w:rsidRDefault="003A1E0C" w:rsidP="003A1E0C">
      <w:pPr>
        <w:spacing w:after="160" w:line="276" w:lineRule="auto"/>
        <w:ind w:left="720" w:hanging="720"/>
      </w:pPr>
    </w:p>
    <w:p w14:paraId="56269DCF" w14:textId="77777777" w:rsidR="003A1E0C" w:rsidRDefault="003A1E0C" w:rsidP="003A1E0C">
      <w:pPr>
        <w:spacing w:after="160" w:line="276" w:lineRule="auto"/>
        <w:ind w:left="720" w:hanging="720"/>
      </w:pPr>
      <w:r>
        <w:rPr>
          <w:rFonts w:ascii="Calibri" w:eastAsia="Calibri" w:hAnsi="Calibri" w:cs="Calibri"/>
          <w:sz w:val="22"/>
          <w:szCs w:val="22"/>
        </w:rPr>
        <w:t>Ghosh, D., Ghosh, R., Chowdhury, S.R. and Ganguly, B. (2024) 'AI-exposure and labour market: a systematic literature review on estimations, validations, and perceptions', Management Review Quarterly, 75, pp. 677–704.</w:t>
      </w:r>
    </w:p>
    <w:p w14:paraId="2280EFE8" w14:textId="77777777" w:rsidR="003A1E0C" w:rsidRDefault="003A1E0C" w:rsidP="003A1E0C">
      <w:pPr>
        <w:spacing w:after="160" w:line="276" w:lineRule="auto"/>
        <w:ind w:left="720" w:hanging="720"/>
      </w:pPr>
      <w:r>
        <w:rPr>
          <w:rFonts w:ascii="Calibri" w:eastAsia="Calibri" w:hAnsi="Calibri" w:cs="Calibri"/>
          <w:sz w:val="22"/>
          <w:szCs w:val="22"/>
        </w:rPr>
        <w:t>Han, Z., Song, G., Zhang, Y. and Yan, L. (2025) 'Enhancing employees' workplace well-being through workplace digitization: exploring the mediating roles of job demands and digital anxiety', Frontiers in Psychology, 16, article 1642489.</w:t>
      </w:r>
    </w:p>
    <w:p w14:paraId="47806BBA" w14:textId="77777777" w:rsidR="003A1E0C" w:rsidRDefault="003A1E0C" w:rsidP="003A1E0C">
      <w:pPr>
        <w:spacing w:after="160" w:line="276" w:lineRule="auto"/>
        <w:ind w:left="720" w:hanging="720"/>
      </w:pPr>
      <w:r>
        <w:rPr>
          <w:rFonts w:ascii="Calibri" w:eastAsia="Calibri" w:hAnsi="Calibri" w:cs="Calibri"/>
          <w:sz w:val="22"/>
          <w:szCs w:val="22"/>
        </w:rPr>
        <w:t>McKinsey &amp; Company (2025) The State of AI in 2025: Agents, Innovation, and Transformation. Available at: https://www.mckinsey.com/capabilities/quantumblack/our-insights/the-state-of-ai (Accessed: 15 July 2026).</w:t>
      </w:r>
    </w:p>
    <w:p w14:paraId="24B18D3F" w14:textId="77777777" w:rsidR="003A1E0C" w:rsidRDefault="003A1E0C" w:rsidP="003A1E0C">
      <w:pPr>
        <w:spacing w:after="160" w:line="276" w:lineRule="auto"/>
        <w:ind w:left="720" w:hanging="720"/>
      </w:pPr>
      <w:r>
        <w:rPr>
          <w:rFonts w:ascii="Calibri" w:eastAsia="Calibri" w:hAnsi="Calibri" w:cs="Calibri"/>
          <w:sz w:val="22"/>
          <w:szCs w:val="22"/>
        </w:rPr>
        <w:t xml:space="preserve">Page, M.J., McKenzie, J.E., Bossuyt, P.M., </w:t>
      </w:r>
      <w:proofErr w:type="spellStart"/>
      <w:r>
        <w:rPr>
          <w:rFonts w:ascii="Calibri" w:eastAsia="Calibri" w:hAnsi="Calibri" w:cs="Calibri"/>
          <w:sz w:val="22"/>
          <w:szCs w:val="22"/>
        </w:rPr>
        <w:t>Boutron</w:t>
      </w:r>
      <w:proofErr w:type="spellEnd"/>
      <w:r>
        <w:rPr>
          <w:rFonts w:ascii="Calibri" w:eastAsia="Calibri" w:hAnsi="Calibri" w:cs="Calibri"/>
          <w:sz w:val="22"/>
          <w:szCs w:val="22"/>
        </w:rPr>
        <w:t>, I., Hoffmann, T.C., Mulrow, C.D., et al. (2021) 'The PRISMA 2020 statement: an updated guideline for reporting systematic reviews', BMJ, 372, n71.</w:t>
      </w:r>
    </w:p>
    <w:p w14:paraId="4A847916" w14:textId="77777777" w:rsidR="003A1E0C" w:rsidRDefault="003A1E0C" w:rsidP="003A1E0C">
      <w:pPr>
        <w:spacing w:after="160" w:line="276" w:lineRule="auto"/>
        <w:ind w:left="720" w:hanging="720"/>
      </w:pPr>
      <w:r>
        <w:rPr>
          <w:rFonts w:ascii="Calibri" w:eastAsia="Calibri" w:hAnsi="Calibri" w:cs="Calibri"/>
          <w:sz w:val="22"/>
          <w:szCs w:val="22"/>
        </w:rPr>
        <w:t>PwC (2025) PwC 2025 Global AI Jobs Barometer. Available at: https://www.pwc.com/gx/en/services/ai/ai-jobs-barometer.html (Accessed: 15 July 2026).</w:t>
      </w:r>
    </w:p>
    <w:p w14:paraId="57261A9B" w14:textId="77777777" w:rsidR="003A1E0C" w:rsidRDefault="003A1E0C" w:rsidP="003A1E0C">
      <w:pPr>
        <w:spacing w:after="160" w:line="276" w:lineRule="auto"/>
        <w:ind w:left="720" w:hanging="720"/>
      </w:pPr>
      <w:r>
        <w:rPr>
          <w:rFonts w:ascii="Calibri" w:eastAsia="Calibri" w:hAnsi="Calibri" w:cs="Calibri"/>
          <w:sz w:val="22"/>
          <w:szCs w:val="22"/>
        </w:rPr>
        <w:t>Ragu-Nathan, T.S., Tarafdar, M., Tu, Q. and Ragu-Nathan, B.S. (2008) 'The consequences of technostress for end users in organizations: conceptual development and empirical validation', Information Systems Research, 19(4), pp. 417–433.</w:t>
      </w:r>
    </w:p>
    <w:p w14:paraId="6BD78F70" w14:textId="77777777" w:rsidR="003A1E0C" w:rsidRDefault="003A1E0C" w:rsidP="003A1E0C">
      <w:pPr>
        <w:spacing w:after="160" w:line="276" w:lineRule="auto"/>
        <w:ind w:left="720" w:hanging="720"/>
      </w:pPr>
      <w:r>
        <w:rPr>
          <w:rFonts w:ascii="Calibri" w:eastAsia="Calibri" w:hAnsi="Calibri" w:cs="Calibri"/>
          <w:sz w:val="22"/>
          <w:szCs w:val="22"/>
        </w:rPr>
        <w:t>Vasquez Salvador, R.Y., Vera Chavez, L.P. and Torres Velasquez, J.W. (2025) 'Artificial intelligence-powered human resource management: a systematic literature review between 2023–2024', LACCEI, 2(13).</w:t>
      </w:r>
    </w:p>
    <w:p w14:paraId="47A6A171" w14:textId="77777777" w:rsidR="003A1E0C" w:rsidRDefault="003A1E0C" w:rsidP="003A1E0C">
      <w:pPr>
        <w:spacing w:after="160" w:line="276" w:lineRule="auto"/>
        <w:ind w:left="720" w:hanging="720"/>
      </w:pPr>
      <w:r>
        <w:rPr>
          <w:rFonts w:ascii="Calibri" w:eastAsia="Calibri" w:hAnsi="Calibri" w:cs="Calibri"/>
          <w:sz w:val="22"/>
          <w:szCs w:val="22"/>
        </w:rPr>
        <w:t>World Economic Forum (2025) The Future of Jobs Report 2025. Geneva: World Economic Forum. Available at: https://www.weforum.org/publications/the-future-of-jobs-report-2025/ (Accessed: 15 July 2026).</w:t>
      </w:r>
    </w:p>
    <w:p w14:paraId="5E8C394D" w14:textId="77777777" w:rsidR="003A1E0C" w:rsidRDefault="003A1E0C" w:rsidP="003A1E0C">
      <w:pPr>
        <w:spacing w:after="160" w:line="276" w:lineRule="auto"/>
        <w:ind w:left="720" w:hanging="720"/>
      </w:pPr>
      <w:proofErr w:type="spellStart"/>
      <w:r>
        <w:rPr>
          <w:rFonts w:ascii="Calibri" w:eastAsia="Calibri" w:hAnsi="Calibri" w:cs="Calibri"/>
          <w:sz w:val="22"/>
          <w:szCs w:val="22"/>
        </w:rPr>
        <w:t>Zeike</w:t>
      </w:r>
      <w:proofErr w:type="spellEnd"/>
      <w:r>
        <w:rPr>
          <w:rFonts w:ascii="Calibri" w:eastAsia="Calibri" w:hAnsi="Calibri" w:cs="Calibri"/>
          <w:sz w:val="22"/>
          <w:szCs w:val="22"/>
        </w:rPr>
        <w:t>, S., Choi, K.-E., Lindert, L. and Pfaff, H. (2019) 'Managers' well-being in the digital era: is it associated with perceived choice overload and pressure from digitalization? An exploratory study', International Journal of Environmental Research and Public Health, 16(10), article 1746.</w:t>
      </w:r>
    </w:p>
    <w:p w14:paraId="5133CC42" w14:textId="77777777" w:rsidR="003A1E0C" w:rsidRDefault="003A1E0C">
      <w:pPr>
        <w:spacing w:after="160" w:line="276" w:lineRule="auto"/>
        <w:ind w:left="720" w:hanging="720"/>
      </w:pPr>
    </w:p>
    <w:sectPr w:rsidR="003A1E0C">
      <w:pgSz w:w="11906" w:h="16838"/>
      <w:pgMar w:top="1134" w:right="1134" w:bottom="1134" w:left="1134"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8967B4"/>
    <w:multiLevelType w:val="hybridMultilevel"/>
    <w:tmpl w:val="9DA445DE"/>
    <w:lvl w:ilvl="0" w:tplc="C02289EC">
      <w:start w:val="1"/>
      <w:numFmt w:val="bullet"/>
      <w:lvlText w:val="●"/>
      <w:lvlJc w:val="left"/>
      <w:pPr>
        <w:ind w:left="720" w:hanging="360"/>
      </w:pPr>
    </w:lvl>
    <w:lvl w:ilvl="1" w:tplc="9EC6B428">
      <w:start w:val="1"/>
      <w:numFmt w:val="bullet"/>
      <w:lvlText w:val="○"/>
      <w:lvlJc w:val="left"/>
      <w:pPr>
        <w:ind w:left="1440" w:hanging="360"/>
      </w:pPr>
    </w:lvl>
    <w:lvl w:ilvl="2" w:tplc="1AB28788">
      <w:start w:val="1"/>
      <w:numFmt w:val="bullet"/>
      <w:lvlText w:val="■"/>
      <w:lvlJc w:val="left"/>
      <w:pPr>
        <w:ind w:left="2160" w:hanging="360"/>
      </w:pPr>
    </w:lvl>
    <w:lvl w:ilvl="3" w:tplc="13B80062">
      <w:start w:val="1"/>
      <w:numFmt w:val="bullet"/>
      <w:lvlText w:val="●"/>
      <w:lvlJc w:val="left"/>
      <w:pPr>
        <w:ind w:left="2880" w:hanging="360"/>
      </w:pPr>
    </w:lvl>
    <w:lvl w:ilvl="4" w:tplc="0E620360">
      <w:start w:val="1"/>
      <w:numFmt w:val="bullet"/>
      <w:lvlText w:val="○"/>
      <w:lvlJc w:val="left"/>
      <w:pPr>
        <w:ind w:left="3600" w:hanging="360"/>
      </w:pPr>
    </w:lvl>
    <w:lvl w:ilvl="5" w:tplc="B464146A">
      <w:start w:val="1"/>
      <w:numFmt w:val="bullet"/>
      <w:lvlText w:val="■"/>
      <w:lvlJc w:val="left"/>
      <w:pPr>
        <w:ind w:left="4320" w:hanging="360"/>
      </w:pPr>
    </w:lvl>
    <w:lvl w:ilvl="6" w:tplc="9E5A7122">
      <w:start w:val="1"/>
      <w:numFmt w:val="bullet"/>
      <w:lvlText w:val="●"/>
      <w:lvlJc w:val="left"/>
      <w:pPr>
        <w:ind w:left="5040" w:hanging="360"/>
      </w:pPr>
    </w:lvl>
    <w:lvl w:ilvl="7" w:tplc="81D0987C">
      <w:start w:val="1"/>
      <w:numFmt w:val="bullet"/>
      <w:lvlText w:val="●"/>
      <w:lvlJc w:val="left"/>
      <w:pPr>
        <w:ind w:left="5760" w:hanging="360"/>
      </w:pPr>
    </w:lvl>
    <w:lvl w:ilvl="8" w:tplc="42D8AE28">
      <w:start w:val="1"/>
      <w:numFmt w:val="bullet"/>
      <w:lvlText w:val="●"/>
      <w:lvlJc w:val="left"/>
      <w:pPr>
        <w:ind w:left="6480" w:hanging="360"/>
      </w:pPr>
    </w:lvl>
  </w:abstractNum>
  <w:abstractNum w:abstractNumId="1" w15:restartNumberingAfterBreak="0">
    <w:nsid w:val="7A3E01BE"/>
    <w:multiLevelType w:val="hybridMultilevel"/>
    <w:tmpl w:val="1ED89940"/>
    <w:lvl w:ilvl="0" w:tplc="BBBA449E">
      <w:start w:val="1"/>
      <w:numFmt w:val="bullet"/>
      <w:lvlText w:val="•"/>
      <w:lvlJc w:val="left"/>
      <w:pPr>
        <w:ind w:left="576" w:hanging="288"/>
      </w:pPr>
    </w:lvl>
    <w:lvl w:ilvl="1" w:tplc="CA5A70A4">
      <w:numFmt w:val="decimal"/>
      <w:lvlText w:val=""/>
      <w:lvlJc w:val="left"/>
    </w:lvl>
    <w:lvl w:ilvl="2" w:tplc="ACF0155E">
      <w:numFmt w:val="decimal"/>
      <w:lvlText w:val=""/>
      <w:lvlJc w:val="left"/>
    </w:lvl>
    <w:lvl w:ilvl="3" w:tplc="045ECD90">
      <w:numFmt w:val="decimal"/>
      <w:lvlText w:val=""/>
      <w:lvlJc w:val="left"/>
    </w:lvl>
    <w:lvl w:ilvl="4" w:tplc="A0DECDBA">
      <w:numFmt w:val="decimal"/>
      <w:lvlText w:val=""/>
      <w:lvlJc w:val="left"/>
    </w:lvl>
    <w:lvl w:ilvl="5" w:tplc="E1226C5E">
      <w:numFmt w:val="decimal"/>
      <w:lvlText w:val=""/>
      <w:lvlJc w:val="left"/>
    </w:lvl>
    <w:lvl w:ilvl="6" w:tplc="EC229228">
      <w:numFmt w:val="decimal"/>
      <w:lvlText w:val=""/>
      <w:lvlJc w:val="left"/>
    </w:lvl>
    <w:lvl w:ilvl="7" w:tplc="9B743C86">
      <w:numFmt w:val="decimal"/>
      <w:lvlText w:val=""/>
      <w:lvlJc w:val="left"/>
    </w:lvl>
    <w:lvl w:ilvl="8" w:tplc="6E8A3DDE">
      <w:numFmt w:val="decimal"/>
      <w:lvlText w:val=""/>
      <w:lvlJc w:val="left"/>
    </w:lvl>
  </w:abstractNum>
  <w:num w:numId="1" w16cid:durableId="806168318">
    <w:abstractNumId w:val="0"/>
    <w:lvlOverride w:ilvl="0">
      <w:startOverride w:val="1"/>
    </w:lvlOverride>
  </w:num>
  <w:num w:numId="2" w16cid:durableId="1533108617">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5052"/>
    <w:rsid w:val="00036D48"/>
    <w:rsid w:val="001F3597"/>
    <w:rsid w:val="00225568"/>
    <w:rsid w:val="003059C0"/>
    <w:rsid w:val="00325408"/>
    <w:rsid w:val="003A1E0C"/>
    <w:rsid w:val="004C5379"/>
    <w:rsid w:val="00525052"/>
    <w:rsid w:val="00597A18"/>
    <w:rsid w:val="00663D3A"/>
    <w:rsid w:val="00717B14"/>
    <w:rsid w:val="00886A13"/>
    <w:rsid w:val="00AD40DF"/>
    <w:rsid w:val="00BC2877"/>
    <w:rsid w:val="00CC5567"/>
    <w:rsid w:val="00D111CA"/>
    <w:rsid w:val="00D675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4A0C9"/>
  <w15:docId w15:val="{624C0EC2-4A4F-49E5-9EF3-4A04BC7BC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8</Pages>
  <Words>3504</Words>
  <Characters>19975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mahendra singh</cp:lastModifiedBy>
  <cp:revision>10</cp:revision>
  <dcterms:created xsi:type="dcterms:W3CDTF">2026-07-11T23:59:00Z</dcterms:created>
  <dcterms:modified xsi:type="dcterms:W3CDTF">2026-07-16T15:20:00Z</dcterms:modified>
</cp:coreProperties>
</file>