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079DC" w14:textId="334FC0C5" w:rsidR="00A05C80" w:rsidRDefault="00A05C80" w:rsidP="00A05C80"/>
    <w:p w14:paraId="15A302DC" w14:textId="29B17BBA" w:rsidR="00A05C80" w:rsidRDefault="00A05C80" w:rsidP="00A05C80"/>
    <w:p w14:paraId="68FFAE7B" w14:textId="27530293" w:rsidR="004E69B9" w:rsidRDefault="004E69B9" w:rsidP="004E69B9">
      <w:r>
        <w:t>3.1. Dating Exercise (Medieval)</w:t>
      </w:r>
    </w:p>
    <w:p w14:paraId="45F36020" w14:textId="4E0EE03D" w:rsidR="004E69B9" w:rsidRDefault="004E69B9" w:rsidP="004E69B9"/>
    <w:p w14:paraId="2BBD52D6" w14:textId="77777777" w:rsidR="0031438E" w:rsidRDefault="0031438E" w:rsidP="004E69B9"/>
    <w:p w14:paraId="24BB76B5" w14:textId="77777777" w:rsidR="004E69B9" w:rsidRDefault="004E69B9" w:rsidP="004E69B9">
      <w:r>
        <w:t xml:space="preserve">(a)          Memorandum that the Thursday after </w:t>
      </w:r>
      <w:r w:rsidRPr="00057745">
        <w:rPr>
          <w:highlight w:val="yellow"/>
        </w:rPr>
        <w:t>the Assumption</w:t>
      </w:r>
      <w:r>
        <w:t xml:space="preserve"> of the Blessed Virgin Mary in the </w:t>
      </w:r>
      <w:r w:rsidRPr="00057745">
        <w:rPr>
          <w:highlight w:val="yellow"/>
        </w:rPr>
        <w:t>8th year of King Richard II the</w:t>
      </w:r>
      <w:r>
        <w:t xml:space="preserve"> abbot of Byland was accused in the wapentake court held at Pickering.</w:t>
      </w:r>
    </w:p>
    <w:p w14:paraId="46C5B161" w14:textId="36C81DF7" w:rsidR="004E69B9" w:rsidRDefault="004E69B9" w:rsidP="004E69B9"/>
    <w:p w14:paraId="36325C75" w14:textId="79F9092C" w:rsidR="00FD61E4" w:rsidRDefault="00A12545" w:rsidP="004E69B9">
      <w:r>
        <w:t>In order to find the dates of</w:t>
      </w:r>
      <w:r w:rsidR="00FD61E4">
        <w:t xml:space="preserve"> </w:t>
      </w:r>
      <w:r>
        <w:t>the</w:t>
      </w:r>
      <w:r w:rsidR="00FD61E4">
        <w:t xml:space="preserve"> </w:t>
      </w:r>
      <w:r w:rsidR="003266FD">
        <w:t>8</w:t>
      </w:r>
      <w:r w:rsidR="003266FD" w:rsidRPr="003266FD">
        <w:rPr>
          <w:vertAlign w:val="superscript"/>
        </w:rPr>
        <w:t>th</w:t>
      </w:r>
      <w:r w:rsidR="003266FD">
        <w:t xml:space="preserve"> </w:t>
      </w:r>
      <w:r w:rsidR="00FD61E4">
        <w:t>regnal year of Richard II</w:t>
      </w:r>
      <w:r w:rsidR="004B4143">
        <w:t xml:space="preserve">, </w:t>
      </w:r>
      <w:r w:rsidR="008941F2">
        <w:t>Cheney</w:t>
      </w:r>
      <w:r w:rsidR="008941F2">
        <w:rPr>
          <w:rStyle w:val="FootnoteReference"/>
        </w:rPr>
        <w:footnoteReference w:id="1"/>
      </w:r>
      <w:r w:rsidR="008941F2">
        <w:t xml:space="preserve"> </w:t>
      </w:r>
      <w:r>
        <w:t xml:space="preserve">will be used. This gives the dates as </w:t>
      </w:r>
      <w:r w:rsidR="003266FD">
        <w:t>22 June 1384 – 21 June 1385.</w:t>
      </w:r>
    </w:p>
    <w:p w14:paraId="61C36AEF" w14:textId="0825F429" w:rsidR="003266FD" w:rsidRDefault="00A12545" w:rsidP="004E69B9">
      <w:r>
        <w:t>To find the date of the</w:t>
      </w:r>
      <w:r w:rsidR="003266FD">
        <w:t xml:space="preserve"> Assumption of the B</w:t>
      </w:r>
      <w:r>
        <w:t xml:space="preserve">lessed </w:t>
      </w:r>
      <w:r w:rsidR="003266FD">
        <w:t>V</w:t>
      </w:r>
      <w:r>
        <w:t xml:space="preserve">irgin </w:t>
      </w:r>
      <w:r w:rsidR="003266FD">
        <w:t>M</w:t>
      </w:r>
      <w:r>
        <w:t>ary</w:t>
      </w:r>
      <w:r w:rsidR="003266FD">
        <w:t xml:space="preserve"> for that year, the same book</w:t>
      </w:r>
      <w:r>
        <w:t xml:space="preserve"> can be used.</w:t>
      </w:r>
      <w:r w:rsidR="003266FD">
        <w:t xml:space="preserve"> </w:t>
      </w:r>
      <w:r>
        <w:t>This gives</w:t>
      </w:r>
      <w:r w:rsidR="003266FD">
        <w:t xml:space="preserve"> 15 August (1384)</w:t>
      </w:r>
      <w:r>
        <w:t>.</w:t>
      </w:r>
    </w:p>
    <w:p w14:paraId="6934ED77" w14:textId="3DA010FB" w:rsidR="003266FD" w:rsidRDefault="003266FD" w:rsidP="004E69B9">
      <w:r>
        <w:t>Then</w:t>
      </w:r>
      <w:r w:rsidR="00A12545">
        <w:t xml:space="preserve"> it is necessary to</w:t>
      </w:r>
      <w:r>
        <w:t xml:space="preserve"> find out what day of the week this was in 1384</w:t>
      </w:r>
      <w:r w:rsidR="008C6EEE">
        <w:t xml:space="preserve"> – for this, I have used an online source</w:t>
      </w:r>
      <w:r w:rsidR="00A12545">
        <w:t>.</w:t>
      </w:r>
      <w:r w:rsidR="008C6EEE">
        <w:rPr>
          <w:rStyle w:val="FootnoteReference"/>
        </w:rPr>
        <w:footnoteReference w:id="2"/>
      </w:r>
      <w:r w:rsidR="008C6EEE">
        <w:t xml:space="preserve">  </w:t>
      </w:r>
      <w:r w:rsidR="00A12545">
        <w:t>U</w:t>
      </w:r>
      <w:r w:rsidR="00105219">
        <w:t>nder the Julian calendar, this date was a Monday.</w:t>
      </w:r>
    </w:p>
    <w:p w14:paraId="62CBD87A" w14:textId="5C7AC97A" w:rsidR="00105219" w:rsidRPr="00A736ED" w:rsidRDefault="00105219" w:rsidP="004E69B9">
      <w:pPr>
        <w:rPr>
          <w:b/>
          <w:bCs/>
        </w:rPr>
      </w:pPr>
      <w:r w:rsidRPr="00A736ED">
        <w:rPr>
          <w:b/>
          <w:bCs/>
        </w:rPr>
        <w:t>Therefore, the abbot must have been accused three days later, on 18 August 1384.</w:t>
      </w:r>
    </w:p>
    <w:p w14:paraId="2932B5D9" w14:textId="77777777" w:rsidR="004E69B9" w:rsidRDefault="004E69B9" w:rsidP="004E69B9">
      <w:r>
        <w:t xml:space="preserve"> </w:t>
      </w:r>
    </w:p>
    <w:p w14:paraId="197716FB" w14:textId="77777777" w:rsidR="004E69B9" w:rsidRDefault="004E69B9" w:rsidP="004E69B9"/>
    <w:p w14:paraId="08B96A29" w14:textId="77777777" w:rsidR="004E69B9" w:rsidRDefault="004E69B9" w:rsidP="004E69B9">
      <w:r>
        <w:t xml:space="preserve">(b)          Confirmation by </w:t>
      </w:r>
      <w:r w:rsidRPr="00A201EA">
        <w:rPr>
          <w:highlight w:val="yellow"/>
        </w:rPr>
        <w:t xml:space="preserve">Bishop </w:t>
      </w:r>
      <w:proofErr w:type="spellStart"/>
      <w:r w:rsidRPr="00A201EA">
        <w:rPr>
          <w:highlight w:val="yellow"/>
        </w:rPr>
        <w:t>Anian</w:t>
      </w:r>
      <w:proofErr w:type="spellEnd"/>
      <w:r w:rsidRPr="00A201EA">
        <w:rPr>
          <w:highlight w:val="yellow"/>
        </w:rPr>
        <w:t xml:space="preserve"> of St Asaph</w:t>
      </w:r>
      <w:r>
        <w:t xml:space="preserve"> of the charters for Shrewsbury Abbey issued by his predecessors </w:t>
      </w:r>
      <w:r w:rsidRPr="00A201EA">
        <w:t>Bishops Reiner, Abraham, and Hugh</w:t>
      </w:r>
      <w:r>
        <w:t xml:space="preserve">. Given at Shrewsbury </w:t>
      </w:r>
      <w:r w:rsidRPr="00A201EA">
        <w:rPr>
          <w:highlight w:val="yellow"/>
        </w:rPr>
        <w:t>the day after St Mary Magdalene</w:t>
      </w:r>
      <w:r>
        <w:t xml:space="preserve"> in the </w:t>
      </w:r>
      <w:r w:rsidRPr="00A201EA">
        <w:rPr>
          <w:highlight w:val="yellow"/>
        </w:rPr>
        <w:t>first year of his pontificate</w:t>
      </w:r>
      <w:r>
        <w:t>.</w:t>
      </w:r>
    </w:p>
    <w:p w14:paraId="19FC0F93" w14:textId="77777777" w:rsidR="00F62BA9" w:rsidRDefault="00F62BA9" w:rsidP="004E69B9"/>
    <w:p w14:paraId="4C2A6B9A" w14:textId="0F2E67D8" w:rsidR="004E69B9" w:rsidRDefault="00F62BA9" w:rsidP="004E69B9">
      <w:r>
        <w:t xml:space="preserve">The first step is to look for when </w:t>
      </w:r>
      <w:proofErr w:type="spellStart"/>
      <w:r>
        <w:t>Anian</w:t>
      </w:r>
      <w:proofErr w:type="spellEnd"/>
      <w:r>
        <w:t xml:space="preserve"> was Bishop of St Asaph (</w:t>
      </w:r>
      <w:proofErr w:type="spellStart"/>
      <w:r>
        <w:t>Llanelwy</w:t>
      </w:r>
      <w:proofErr w:type="spellEnd"/>
      <w:r>
        <w:t xml:space="preserve">). For this, I will use the </w:t>
      </w:r>
      <w:r w:rsidRPr="00F62BA9">
        <w:rPr>
          <w:i/>
          <w:iCs/>
        </w:rPr>
        <w:t>Handbook of British Chronology</w:t>
      </w:r>
      <w:r>
        <w:t xml:space="preserve">, </w:t>
      </w:r>
      <w:r w:rsidR="0042081A">
        <w:t>using the list of Welsh bishops</w:t>
      </w:r>
      <w:r>
        <w:t>.</w:t>
      </w:r>
      <w:r>
        <w:rPr>
          <w:rStyle w:val="FootnoteReference"/>
        </w:rPr>
        <w:footnoteReference w:id="3"/>
      </w:r>
      <w:r>
        <w:t xml:space="preserve"> </w:t>
      </w:r>
      <w:r w:rsidR="00FF1AD9">
        <w:t xml:space="preserve">Given the list of predecessors, this seems likely to be the first </w:t>
      </w:r>
      <w:proofErr w:type="spellStart"/>
      <w:r w:rsidR="00FF1AD9">
        <w:t>Anian</w:t>
      </w:r>
      <w:proofErr w:type="spellEnd"/>
      <w:r w:rsidR="00FF1AD9">
        <w:t xml:space="preserve"> of that name. </w:t>
      </w:r>
      <w:r w:rsidR="00D437A2">
        <w:t xml:space="preserve">The date of the Chancery writ which would have been sent to the tenants of the see recognising Bishop </w:t>
      </w:r>
      <w:proofErr w:type="spellStart"/>
      <w:r w:rsidR="00D437A2">
        <w:t>Anian’s</w:t>
      </w:r>
      <w:proofErr w:type="spellEnd"/>
      <w:r w:rsidR="00D437A2">
        <w:t xml:space="preserve"> rights</w:t>
      </w:r>
      <w:r w:rsidR="00F042AB">
        <w:t xml:space="preserve"> </w:t>
      </w:r>
      <w:r w:rsidR="00D437A2">
        <w:t>to the proceeds of the see was dated</w:t>
      </w:r>
      <w:r w:rsidR="00F042AB">
        <w:t xml:space="preserve"> 27 September</w:t>
      </w:r>
      <w:r w:rsidR="00D437A2">
        <w:t xml:space="preserve"> 1249,</w:t>
      </w:r>
      <w:r w:rsidR="00D13FC5">
        <w:rPr>
          <w:rStyle w:val="FootnoteReference"/>
        </w:rPr>
        <w:footnoteReference w:id="4"/>
      </w:r>
      <w:r w:rsidR="00D437A2">
        <w:t xml:space="preserve"> though the date given for when he was</w:t>
      </w:r>
      <w:r w:rsidR="007877E6">
        <w:t xml:space="preserve"> consecrated</w:t>
      </w:r>
      <w:r w:rsidR="00D437A2">
        <w:t xml:space="preserve"> is not until</w:t>
      </w:r>
      <w:r w:rsidR="007877E6">
        <w:t xml:space="preserve"> November 1249.</w:t>
      </w:r>
      <w:r w:rsidR="00CB226C">
        <w:rPr>
          <w:rStyle w:val="FootnoteReference"/>
        </w:rPr>
        <w:footnoteReference w:id="5"/>
      </w:r>
      <w:r w:rsidR="00F042AB">
        <w:t xml:space="preserve"> </w:t>
      </w:r>
      <w:r w:rsidR="002000C9">
        <w:t>Once I have determined when St Mary Magdalen’s day is (</w:t>
      </w:r>
      <w:r w:rsidR="00DC5CF3">
        <w:t>with the hope that it does not fall between those two dates), I will be better able to determine which date to use in determining the first year of his pontificate.</w:t>
      </w:r>
    </w:p>
    <w:p w14:paraId="0252748F" w14:textId="3E317BEE" w:rsidR="00DC5CF3" w:rsidRDefault="00DC5CF3" w:rsidP="004E69B9">
      <w:r>
        <w:lastRenderedPageBreak/>
        <w:t>Using Cheney for the feast day</w:t>
      </w:r>
      <w:r w:rsidR="00A12545">
        <w:t xml:space="preserve"> gives the date of 22 July</w:t>
      </w:r>
      <w:r w:rsidR="00A12545">
        <w:rPr>
          <w:rStyle w:val="FootnoteReference"/>
        </w:rPr>
        <w:footnoteReference w:id="6"/>
      </w:r>
      <w:r w:rsidR="00A12545">
        <w:t xml:space="preserve"> – fortunately, it does not fall between those dates. Therefore, this must have been 22 July 1250.</w:t>
      </w:r>
    </w:p>
    <w:p w14:paraId="126EE271" w14:textId="3986D0A0" w:rsidR="004E69B9" w:rsidRPr="00A736ED" w:rsidRDefault="00A12545" w:rsidP="004E69B9">
      <w:pPr>
        <w:rPr>
          <w:b/>
          <w:bCs/>
        </w:rPr>
      </w:pPr>
      <w:r w:rsidRPr="00A736ED">
        <w:rPr>
          <w:b/>
          <w:bCs/>
        </w:rPr>
        <w:t xml:space="preserve">This, then, leads to the conclusion that Bishop </w:t>
      </w:r>
      <w:proofErr w:type="spellStart"/>
      <w:r w:rsidRPr="00A736ED">
        <w:rPr>
          <w:b/>
          <w:bCs/>
        </w:rPr>
        <w:t>Anian</w:t>
      </w:r>
      <w:proofErr w:type="spellEnd"/>
      <w:r w:rsidRPr="00A736ED">
        <w:rPr>
          <w:b/>
          <w:bCs/>
        </w:rPr>
        <w:t xml:space="preserve"> confirmed the charters of Shrewsbury Abbey on 23 July 1250.</w:t>
      </w:r>
    </w:p>
    <w:p w14:paraId="42F1C751" w14:textId="77777777" w:rsidR="004E69B9" w:rsidRDefault="004E69B9" w:rsidP="004E69B9"/>
    <w:p w14:paraId="50784617" w14:textId="681E62D3" w:rsidR="004E69B9" w:rsidRDefault="004E69B9" w:rsidP="004E69B9">
      <w:r>
        <w:t xml:space="preserve">(c) Downham: court held on Thursday the day after </w:t>
      </w:r>
      <w:r w:rsidRPr="00A12545">
        <w:rPr>
          <w:highlight w:val="yellow"/>
        </w:rPr>
        <w:t>Ash Wednesday</w:t>
      </w:r>
      <w:r>
        <w:t xml:space="preserve"> in the </w:t>
      </w:r>
      <w:r w:rsidRPr="00A12545">
        <w:rPr>
          <w:highlight w:val="yellow"/>
        </w:rPr>
        <w:t>fourth year of the reign of King Edward</w:t>
      </w:r>
      <w:r>
        <w:t xml:space="preserve"> and the </w:t>
      </w:r>
      <w:r w:rsidRPr="00EB71AD">
        <w:rPr>
          <w:highlight w:val="yellow"/>
        </w:rPr>
        <w:t>first year of the episcopate of John de Ketene</w:t>
      </w:r>
      <w:r>
        <w:t xml:space="preserve"> [</w:t>
      </w:r>
      <w:proofErr w:type="spellStart"/>
      <w:r>
        <w:t>Ketton</w:t>
      </w:r>
      <w:proofErr w:type="spellEnd"/>
      <w:r>
        <w:t>]</w:t>
      </w:r>
    </w:p>
    <w:p w14:paraId="62B6CF01" w14:textId="77777777" w:rsidR="00D02FA5" w:rsidRDefault="00D02FA5" w:rsidP="004E69B9"/>
    <w:p w14:paraId="3125CE20" w14:textId="02CF0153" w:rsidR="004E69B9" w:rsidRDefault="00EB71AD" w:rsidP="004E69B9">
      <w:r>
        <w:t xml:space="preserve">The first step will be to work out the dates for the first year of John </w:t>
      </w:r>
      <w:proofErr w:type="spellStart"/>
      <w:r w:rsidR="00C21295">
        <w:t>Ketton</w:t>
      </w:r>
      <w:proofErr w:type="spellEnd"/>
      <w:r>
        <w:t xml:space="preserve">, since there is nothing otherwise to determine which King Edward is in play here. For this, the </w:t>
      </w:r>
      <w:r w:rsidRPr="00EB71AD">
        <w:rPr>
          <w:i/>
          <w:iCs/>
        </w:rPr>
        <w:t>Handbook of British Chronology</w:t>
      </w:r>
      <w:r>
        <w:t xml:space="preserve"> will be used</w:t>
      </w:r>
      <w:r w:rsidR="00C21295">
        <w:t xml:space="preserve"> (after a quick Google search to determine where John </w:t>
      </w:r>
      <w:proofErr w:type="spellStart"/>
      <w:r w:rsidR="00C21295">
        <w:t>Ketton</w:t>
      </w:r>
      <w:proofErr w:type="spellEnd"/>
      <w:r w:rsidR="00C21295">
        <w:t xml:space="preserve"> was bishop)</w:t>
      </w:r>
      <w:r>
        <w:t>.</w:t>
      </w:r>
      <w:r w:rsidR="00BD68D8">
        <w:t xml:space="preserve"> </w:t>
      </w:r>
      <w:proofErr w:type="spellStart"/>
      <w:r w:rsidR="00BD68D8">
        <w:t>Ketton</w:t>
      </w:r>
      <w:proofErr w:type="spellEnd"/>
      <w:r w:rsidR="00BD68D8">
        <w:t xml:space="preserve"> was bishop of Ely, and the first year of his episcopate was 1310-11 (the particular days are not needed).</w:t>
      </w:r>
      <w:r w:rsidR="005A569E" w:rsidRPr="005A569E">
        <w:rPr>
          <w:rStyle w:val="Footer"/>
        </w:rPr>
        <w:t xml:space="preserve"> </w:t>
      </w:r>
      <w:r w:rsidR="005A569E">
        <w:rPr>
          <w:rStyle w:val="FootnoteReference"/>
        </w:rPr>
        <w:footnoteReference w:id="7"/>
      </w:r>
    </w:p>
    <w:p w14:paraId="70A892FA" w14:textId="0C112DB7" w:rsidR="00BD68D8" w:rsidRDefault="00BD68D8" w:rsidP="004E69B9">
      <w:r>
        <w:t xml:space="preserve">Returning then to Cheney, it is clear from these dates that the Edward in question is Edward II, and the first year of </w:t>
      </w:r>
      <w:proofErr w:type="spellStart"/>
      <w:r>
        <w:t>Ketton’s</w:t>
      </w:r>
      <w:proofErr w:type="spellEnd"/>
      <w:r>
        <w:t xml:space="preserve"> episcopate is indeed the fourth year of his reign: 8 July 1310 – 7 July 1311.</w:t>
      </w:r>
      <w:r>
        <w:rPr>
          <w:rStyle w:val="FootnoteReference"/>
        </w:rPr>
        <w:footnoteReference w:id="8"/>
      </w:r>
    </w:p>
    <w:p w14:paraId="56FBEAEC" w14:textId="77777777" w:rsidR="002E1A71" w:rsidRDefault="00E0041D" w:rsidP="004E69B9">
      <w:r>
        <w:t xml:space="preserve">Staying with Cheney, </w:t>
      </w:r>
      <w:r w:rsidR="00AE37FB">
        <w:t>Easter Day, 1311 was on 11 April</w:t>
      </w:r>
      <w:r w:rsidR="002E1A71">
        <w:t>,</w:t>
      </w:r>
      <w:r w:rsidR="00AE37FB">
        <w:rPr>
          <w:rStyle w:val="FootnoteReference"/>
        </w:rPr>
        <w:footnoteReference w:id="9"/>
      </w:r>
      <w:r w:rsidR="00AE37FB">
        <w:t xml:space="preserve"> so </w:t>
      </w:r>
      <w:r>
        <w:t xml:space="preserve">Ash Wednesday was on </w:t>
      </w:r>
      <w:r w:rsidR="002E1A71">
        <w:t>24 February.</w:t>
      </w:r>
      <w:r w:rsidR="002E1A71">
        <w:rPr>
          <w:rStyle w:val="FootnoteReference"/>
        </w:rPr>
        <w:footnoteReference w:id="10"/>
      </w:r>
      <w:r w:rsidR="002E1A71">
        <w:t xml:space="preserve"> </w:t>
      </w:r>
    </w:p>
    <w:p w14:paraId="0A137C08" w14:textId="16DDD332" w:rsidR="00E0041D" w:rsidRPr="00A736ED" w:rsidRDefault="002E1A71" w:rsidP="004E69B9">
      <w:pPr>
        <w:rPr>
          <w:b/>
          <w:bCs/>
        </w:rPr>
      </w:pPr>
      <w:r w:rsidRPr="00A736ED">
        <w:rPr>
          <w:b/>
          <w:bCs/>
        </w:rPr>
        <w:t>The court at Downham, therefore, was held on 25 February 1311.</w:t>
      </w:r>
    </w:p>
    <w:p w14:paraId="12617F70" w14:textId="2CD55A1D" w:rsidR="004E69B9" w:rsidRDefault="004E69B9" w:rsidP="004E69B9"/>
    <w:p w14:paraId="01E24484" w14:textId="79F20B59" w:rsidR="004E69B9" w:rsidRDefault="004E69B9" w:rsidP="004E69B9">
      <w:r>
        <w:t xml:space="preserve">(d)   Henry, </w:t>
      </w:r>
      <w:r w:rsidRPr="009F42E2">
        <w:rPr>
          <w:highlight w:val="yellow"/>
        </w:rPr>
        <w:t>king of the English</w:t>
      </w:r>
      <w:r>
        <w:t xml:space="preserve">, greets the bishop of Lincoln and </w:t>
      </w:r>
      <w:r w:rsidRPr="00AE1DB4">
        <w:rPr>
          <w:highlight w:val="yellow"/>
        </w:rPr>
        <w:t>Earl David</w:t>
      </w:r>
      <w:r>
        <w:t xml:space="preserve"> and the earl of Leicester, and </w:t>
      </w:r>
      <w:r w:rsidRPr="009F42E2">
        <w:rPr>
          <w:highlight w:val="yellow"/>
        </w:rPr>
        <w:t xml:space="preserve">Earl </w:t>
      </w:r>
      <w:proofErr w:type="spellStart"/>
      <w:r w:rsidRPr="009F42E2">
        <w:rPr>
          <w:highlight w:val="yellow"/>
        </w:rPr>
        <w:t>Rannulf</w:t>
      </w:r>
      <w:proofErr w:type="spellEnd"/>
      <w:r w:rsidRPr="009F42E2">
        <w:rPr>
          <w:highlight w:val="yellow"/>
        </w:rPr>
        <w:t xml:space="preserve"> of Chester</w:t>
      </w:r>
      <w:r>
        <w:t xml:space="preserve">, and all the barons and lords of whom </w:t>
      </w:r>
      <w:r w:rsidRPr="00BC4FAB">
        <w:rPr>
          <w:highlight w:val="yellow"/>
        </w:rPr>
        <w:t xml:space="preserve">Geoffrey </w:t>
      </w:r>
      <w:proofErr w:type="spellStart"/>
      <w:r w:rsidRPr="00BC4FAB">
        <w:rPr>
          <w:highlight w:val="yellow"/>
        </w:rPr>
        <w:t>Ridel</w:t>
      </w:r>
      <w:proofErr w:type="spellEnd"/>
      <w:r>
        <w:t xml:space="preserve"> held lands, and all the sheriffs within whose jurisdiction he held them. Know that I have given to </w:t>
      </w:r>
      <w:r w:rsidRPr="00BC4FAB">
        <w:rPr>
          <w:highlight w:val="yellow"/>
        </w:rPr>
        <w:t>Richard Basset</w:t>
      </w:r>
      <w:r>
        <w:t xml:space="preserve"> the daughter of Geoffrey </w:t>
      </w:r>
      <w:proofErr w:type="spellStart"/>
      <w:r>
        <w:t>Ridel</w:t>
      </w:r>
      <w:proofErr w:type="spellEnd"/>
      <w:r>
        <w:t xml:space="preserve"> to wife, and the custody of Geoffrey </w:t>
      </w:r>
      <w:proofErr w:type="spellStart"/>
      <w:r>
        <w:t>Ridel’s</w:t>
      </w:r>
      <w:proofErr w:type="spellEnd"/>
      <w:r>
        <w:t xml:space="preserve"> land until Robert </w:t>
      </w:r>
      <w:proofErr w:type="spellStart"/>
      <w:r>
        <w:t>Ridel</w:t>
      </w:r>
      <w:proofErr w:type="spellEnd"/>
      <w:r>
        <w:t xml:space="preserve"> can be made a knight and marry the granddaughter of Ralph Basset, namely the daughter of one of his daughters. … And this gift and compact have been made at the request and with the advice of </w:t>
      </w:r>
      <w:bookmarkStart w:id="2" w:name="_Hlk87281846"/>
      <w:proofErr w:type="spellStart"/>
      <w:r>
        <w:t>Rannulf</w:t>
      </w:r>
      <w:proofErr w:type="spellEnd"/>
      <w:r>
        <w:t xml:space="preserve">, earl of Chester, and William his brother, and Nigel </w:t>
      </w:r>
      <w:proofErr w:type="spellStart"/>
      <w:r>
        <w:t>d’Aubigny</w:t>
      </w:r>
      <w:proofErr w:type="spellEnd"/>
      <w:r>
        <w:t xml:space="preserve"> and Robert </w:t>
      </w:r>
      <w:proofErr w:type="spellStart"/>
      <w:r>
        <w:t>Ridel’s</w:t>
      </w:r>
      <w:proofErr w:type="spellEnd"/>
      <w:r>
        <w:t xml:space="preserve"> other kin and </w:t>
      </w:r>
      <w:proofErr w:type="spellStart"/>
      <w:r>
        <w:t>Geva</w:t>
      </w:r>
      <w:proofErr w:type="spellEnd"/>
      <w:r>
        <w:t xml:space="preserve"> his mother, and Geoffrey the earl’s chancellor, and </w:t>
      </w:r>
      <w:r w:rsidRPr="009F42E2">
        <w:rPr>
          <w:highlight w:val="yellow"/>
        </w:rPr>
        <w:t>Simon, dean of Lincoln</w:t>
      </w:r>
      <w:r>
        <w:t xml:space="preserve">, and William, son of </w:t>
      </w:r>
      <w:proofErr w:type="spellStart"/>
      <w:r>
        <w:t>Rannulf</w:t>
      </w:r>
      <w:proofErr w:type="spellEnd"/>
      <w:r>
        <w:t xml:space="preserve">, and Thomas of St John and Geoffrey de Clinton, and </w:t>
      </w:r>
      <w:proofErr w:type="spellStart"/>
      <w:r>
        <w:t>Payn</w:t>
      </w:r>
      <w:proofErr w:type="spellEnd"/>
      <w:r>
        <w:t xml:space="preserve"> son of John, and William </w:t>
      </w:r>
      <w:proofErr w:type="spellStart"/>
      <w:r>
        <w:t>d’Aubigny</w:t>
      </w:r>
      <w:proofErr w:type="spellEnd"/>
      <w:r>
        <w:t xml:space="preserve"> and </w:t>
      </w:r>
      <w:r w:rsidRPr="000D0314">
        <w:t xml:space="preserve">Humphrey de </w:t>
      </w:r>
      <w:proofErr w:type="spellStart"/>
      <w:r w:rsidRPr="000D0314">
        <w:t>Bohun</w:t>
      </w:r>
      <w:proofErr w:type="spellEnd"/>
      <w:r>
        <w:t xml:space="preserve"> and Robert </w:t>
      </w:r>
      <w:proofErr w:type="spellStart"/>
      <w:r>
        <w:t>Musard</w:t>
      </w:r>
      <w:proofErr w:type="spellEnd"/>
      <w:r>
        <w:t xml:space="preserve"> and Robert Basset and Osmund Basset and Thurstan Basset and William, constable of Earl </w:t>
      </w:r>
      <w:proofErr w:type="spellStart"/>
      <w:r>
        <w:t>Rannulf</w:t>
      </w:r>
      <w:proofErr w:type="spellEnd"/>
      <w:r>
        <w:t xml:space="preserve"> of Chester, and Ralph, son of Norman, and Hugh </w:t>
      </w:r>
      <w:proofErr w:type="spellStart"/>
      <w:r>
        <w:t>Maubanc</w:t>
      </w:r>
      <w:proofErr w:type="spellEnd"/>
      <w:r>
        <w:t>. At Woodstock.</w:t>
      </w:r>
      <w:bookmarkEnd w:id="2"/>
    </w:p>
    <w:p w14:paraId="55AA5CA7" w14:textId="03B14E4F" w:rsidR="00D02FA5" w:rsidRDefault="00D02FA5" w:rsidP="004E69B9"/>
    <w:p w14:paraId="5A1F86B3" w14:textId="5C79405C" w:rsidR="000A5D94" w:rsidRDefault="00D02FA5" w:rsidP="004E69B9">
      <w:r>
        <w:t xml:space="preserve">The use of ‘king of the English’ immediately alerts the reader that this is an earlier Henry, as </w:t>
      </w:r>
      <w:r w:rsidR="009F42E2">
        <w:t>later Henries would have been titled ‘king of England’.</w:t>
      </w:r>
      <w:r w:rsidR="000A5D94" w:rsidRPr="000A5D94">
        <w:t xml:space="preserve"> </w:t>
      </w:r>
      <w:r w:rsidR="000A5D94">
        <w:t>This is a v</w:t>
      </w:r>
      <w:r w:rsidR="000A5D94" w:rsidRPr="000A5D94">
        <w:t>ague recollection from earlier days studying history, so no academic source for this</w:t>
      </w:r>
      <w:r w:rsidR="000A5D94">
        <w:t xml:space="preserve"> is</w:t>
      </w:r>
      <w:r w:rsidR="000A5D94" w:rsidRPr="000A5D94">
        <w:t xml:space="preserve"> to hand. However, a quick glance at Wikipedia </w:t>
      </w:r>
      <w:r w:rsidR="000A5D94" w:rsidRPr="000A5D94">
        <w:lastRenderedPageBreak/>
        <w:t>suggests that this means either Henry I or II</w:t>
      </w:r>
      <w:r w:rsidR="000A5D94">
        <w:t>.</w:t>
      </w:r>
      <w:r w:rsidR="009F42E2">
        <w:rPr>
          <w:rStyle w:val="FootnoteReference"/>
        </w:rPr>
        <w:footnoteReference w:id="11"/>
      </w:r>
      <w:r w:rsidR="009F42E2">
        <w:t xml:space="preserve"> </w:t>
      </w:r>
      <w:r w:rsidR="000A5D94">
        <w:t>That would give an overall time frame of either being between 5 August 1100 to 1 December 1135 or between 19 December 1154 to 6 July 1189.</w:t>
      </w:r>
      <w:r w:rsidR="000A5D94">
        <w:rPr>
          <w:rStyle w:val="FootnoteReference"/>
        </w:rPr>
        <w:footnoteReference w:id="12"/>
      </w:r>
    </w:p>
    <w:p w14:paraId="4415E5CB" w14:textId="362B2984" w:rsidR="00D02FA5" w:rsidRDefault="009F42E2" w:rsidP="004E69B9">
      <w:r>
        <w:t xml:space="preserve">The next step, then, will be to have a look at the Handbook of British Chronology, to see what </w:t>
      </w:r>
      <w:r w:rsidR="000A5D94">
        <w:t xml:space="preserve">looking up ‘Earl </w:t>
      </w:r>
      <w:proofErr w:type="spellStart"/>
      <w:r w:rsidR="000A5D94">
        <w:t>Rannulf</w:t>
      </w:r>
      <w:proofErr w:type="spellEnd"/>
      <w:r w:rsidR="000A5D94">
        <w:t xml:space="preserve"> of Chester’ might yield. </w:t>
      </w:r>
      <w:r w:rsidR="00B57583">
        <w:t>There are three of these, and unfortunately, all three fall within our possible time periods.</w:t>
      </w:r>
      <w:r w:rsidR="00B57583">
        <w:rPr>
          <w:rStyle w:val="FootnoteReference"/>
        </w:rPr>
        <w:footnoteReference w:id="13"/>
      </w:r>
      <w:r w:rsidR="00B57583">
        <w:t xml:space="preserve"> I will return to these if it is necessary to narrow down the dates.</w:t>
      </w:r>
    </w:p>
    <w:p w14:paraId="606B37AB" w14:textId="75B39374" w:rsidR="004E69B9" w:rsidRDefault="000D0314" w:rsidP="004E69B9">
      <w:r>
        <w:t>I will next look for Simon, dean of Lincoln</w:t>
      </w:r>
      <w:r w:rsidR="00B97DED">
        <w:t xml:space="preserve"> in </w:t>
      </w:r>
      <w:r w:rsidR="00B97DED" w:rsidRPr="00B97DED">
        <w:rPr>
          <w:i/>
          <w:iCs/>
        </w:rPr>
        <w:t xml:space="preserve">Fasti Ecclesiae </w:t>
      </w:r>
      <w:proofErr w:type="spellStart"/>
      <w:r w:rsidR="00B97DED" w:rsidRPr="00B97DED">
        <w:rPr>
          <w:i/>
          <w:iCs/>
        </w:rPr>
        <w:t>Anglicanae</w:t>
      </w:r>
      <w:proofErr w:type="spellEnd"/>
      <w:r>
        <w:t>.</w:t>
      </w:r>
      <w:r w:rsidR="00B97DED">
        <w:rPr>
          <w:rStyle w:val="FootnoteReference"/>
        </w:rPr>
        <w:footnoteReference w:id="14"/>
      </w:r>
      <w:r>
        <w:t xml:space="preserve"> The only possibility given there is Simon </w:t>
      </w:r>
      <w:proofErr w:type="spellStart"/>
      <w:r>
        <w:t>Bloet</w:t>
      </w:r>
      <w:proofErr w:type="spellEnd"/>
      <w:r>
        <w:t xml:space="preserve">, who was dean after 1093 and </w:t>
      </w:r>
      <w:r w:rsidR="005A61EA">
        <w:t>before</w:t>
      </w:r>
      <w:r>
        <w:t xml:space="preserve"> 113</w:t>
      </w:r>
      <w:r w:rsidR="002C53A1">
        <w:t>4</w:t>
      </w:r>
      <w:r w:rsidR="005A61EA">
        <w:t>. This would indicate that this charter was one of Henry I</w:t>
      </w:r>
      <w:r w:rsidR="00BB6131">
        <w:t>, and therefore narrows our dates down to between 5 August 1100 and before 1134.</w:t>
      </w:r>
    </w:p>
    <w:p w14:paraId="6E83D54F" w14:textId="27B58643" w:rsidR="00BC1EFB" w:rsidRDefault="00BC1EFB" w:rsidP="00BC1EFB">
      <w:r>
        <w:t xml:space="preserve">The list of Earls in the Handbook of British Chronology is relatively short, so I am next going to see if I can find a David within the relevant time period. </w:t>
      </w:r>
      <w:r w:rsidR="00AE1DB4">
        <w:t>And indeed, there is one, and interestingly, he later became David I of Scotland. David was earl of Huntingdon and Northampton between either 1113 or 1114 until 1136.</w:t>
      </w:r>
      <w:r w:rsidR="00AE1DB4">
        <w:rPr>
          <w:rStyle w:val="FootnoteReference"/>
        </w:rPr>
        <w:footnoteReference w:id="15"/>
      </w:r>
      <w:r w:rsidR="00AE1DB4">
        <w:t xml:space="preserve"> This, then, narrows our dates down further to between 1113-14 and 1134.</w:t>
      </w:r>
    </w:p>
    <w:p w14:paraId="79EC7315" w14:textId="17685459" w:rsidR="0004410F" w:rsidRDefault="0004410F" w:rsidP="00BC1EFB">
      <w:r>
        <w:t xml:space="preserve">Backing up then (which suggests perhaps I should have done this earlier), I am going to try to find more information on the deceased Geoffrey </w:t>
      </w:r>
      <w:proofErr w:type="spellStart"/>
      <w:r>
        <w:t>Ridel</w:t>
      </w:r>
      <w:proofErr w:type="spellEnd"/>
      <w:r>
        <w:t>. For this, I am turning to the Oxford Dictionary of National Biography. Here, I find that he died in 1120.</w:t>
      </w:r>
      <w:r>
        <w:rPr>
          <w:rStyle w:val="FootnoteReference"/>
        </w:rPr>
        <w:footnoteReference w:id="16"/>
      </w:r>
      <w:r w:rsidR="00BC4FAB">
        <w:t xml:space="preserve"> This narrows the dates down further to between 1120 and 1134, and presumably the custody of his lands would be confirmed to Richard Basset relatively quickly after his death.</w:t>
      </w:r>
    </w:p>
    <w:p w14:paraId="5B08B327" w14:textId="458B378A" w:rsidR="00532433" w:rsidRDefault="00BC4FAB" w:rsidP="00A05C80">
      <w:r>
        <w:t xml:space="preserve">Therefore, I will use this same source to see what it yields for Richard Basset. Here, his marriage to </w:t>
      </w:r>
      <w:proofErr w:type="spellStart"/>
      <w:r>
        <w:t>Ridel’s</w:t>
      </w:r>
      <w:proofErr w:type="spellEnd"/>
      <w:r>
        <w:t xml:space="preserve"> daughter is given as being ‘</w:t>
      </w:r>
      <w:proofErr w:type="spellStart"/>
      <w:r w:rsidRPr="00BC4FAB">
        <w:t>some</w:t>
      </w:r>
      <w:r w:rsidR="00AD387A">
        <w:t xml:space="preserve"> </w:t>
      </w:r>
      <w:r w:rsidRPr="00BC4FAB">
        <w:t>time</w:t>
      </w:r>
      <w:proofErr w:type="spellEnd"/>
      <w:r w:rsidRPr="00BC4FAB">
        <w:t xml:space="preserve"> </w:t>
      </w:r>
      <w:r w:rsidRPr="00A736ED">
        <w:rPr>
          <w:b/>
          <w:bCs/>
        </w:rPr>
        <w:t>between November 1120 and April 1123</w:t>
      </w:r>
      <w:r>
        <w:t>’</w:t>
      </w:r>
      <w:r w:rsidR="008F15EF">
        <w:rPr>
          <w:rStyle w:val="FootnoteReference"/>
        </w:rPr>
        <w:footnoteReference w:id="17"/>
      </w:r>
      <w:r w:rsidR="008F15EF">
        <w:t>,</w:t>
      </w:r>
      <w:r w:rsidR="004D370E">
        <w:t xml:space="preserve"> though the reasoning for the end date is not given</w:t>
      </w:r>
      <w:r>
        <w:t xml:space="preserve">. If that is as close as the </w:t>
      </w:r>
      <w:r w:rsidRPr="00BC4FAB">
        <w:t>Emeritus Professor of Medieval History</w:t>
      </w:r>
      <w:r w:rsidR="00ED0020">
        <w:t xml:space="preserve"> at</w:t>
      </w:r>
      <w:r w:rsidR="00A7221A">
        <w:t xml:space="preserve"> University of Edinburgh,</w:t>
      </w:r>
      <w:r>
        <w:t xml:space="preserve"> Judith Green</w:t>
      </w:r>
      <w:r w:rsidR="00ED0020">
        <w:t>,</w:t>
      </w:r>
      <w:r>
        <w:t xml:space="preserve"> can get it, then I doubt I can get much further</w:t>
      </w:r>
      <w:r w:rsidR="00AD387A">
        <w:t>. Therefore, it seems likely that the charter also dates from around that time.</w:t>
      </w:r>
    </w:p>
    <w:p w14:paraId="29DD97CC" w14:textId="77777777" w:rsidR="00532433" w:rsidRDefault="00532433" w:rsidP="00A05C80"/>
    <w:p w14:paraId="0A3EC1C0" w14:textId="4546175A" w:rsidR="00532433" w:rsidRDefault="00EB574F" w:rsidP="00A05C80">
      <w:r>
        <w:t xml:space="preserve">Word count, excluding footnotes, </w:t>
      </w:r>
      <w:r w:rsidR="005C08B3">
        <w:t>reference list</w:t>
      </w:r>
      <w:r>
        <w:t xml:space="preserve"> and the set texts: 838</w:t>
      </w:r>
    </w:p>
    <w:p w14:paraId="7E74D109" w14:textId="77777777" w:rsidR="00532433" w:rsidRDefault="00532433" w:rsidP="00A05C80"/>
    <w:p w14:paraId="04D30143" w14:textId="77777777" w:rsidR="00532433" w:rsidRDefault="00532433" w:rsidP="00A05C80"/>
    <w:p w14:paraId="25161C62" w14:textId="77777777" w:rsidR="00532433" w:rsidRDefault="00532433" w:rsidP="00A05C80"/>
    <w:p w14:paraId="59F92138" w14:textId="77777777" w:rsidR="00532433" w:rsidRDefault="00532433" w:rsidP="00A05C80"/>
    <w:p w14:paraId="2C3B8535" w14:textId="457C5748" w:rsidR="001A2F35" w:rsidRDefault="003266FD" w:rsidP="00A05C80">
      <w:r>
        <w:lastRenderedPageBreak/>
        <w:t>References</w:t>
      </w:r>
    </w:p>
    <w:p w14:paraId="7CEF3608" w14:textId="124FF852" w:rsidR="003266FD" w:rsidRDefault="003266FD" w:rsidP="00A05C80">
      <w:r>
        <w:t xml:space="preserve">Cheney, C. R., </w:t>
      </w:r>
      <w:r w:rsidRPr="008941F2">
        <w:rPr>
          <w:i/>
          <w:iCs/>
        </w:rPr>
        <w:t>A Handbook Of Dates For Students Of British History</w:t>
      </w:r>
      <w:r w:rsidRPr="008941F2">
        <w:t>, rev. by Michael Jones (Cambridge: Cambridge University Press, 2000)</w:t>
      </w:r>
    </w:p>
    <w:p w14:paraId="20F60ED3" w14:textId="4E68413A" w:rsidR="00105219" w:rsidRDefault="00105219" w:rsidP="00A05C80">
      <w:r>
        <w:t>Day of the Week, &lt;https://www.dayoftheweek.org/?m=August&amp;d=15&amp;y=1384&amp;go=Go&gt; [accessed 27 October 2021]</w:t>
      </w:r>
    </w:p>
    <w:p w14:paraId="109B34F3" w14:textId="4FF6F40B" w:rsidR="0042081A" w:rsidRDefault="0042081A" w:rsidP="00A05C80">
      <w:proofErr w:type="spellStart"/>
      <w:r w:rsidRPr="0042081A">
        <w:t>Fryde</w:t>
      </w:r>
      <w:proofErr w:type="spellEnd"/>
      <w:r>
        <w:t>,</w:t>
      </w:r>
      <w:r w:rsidRPr="0042081A">
        <w:t xml:space="preserve"> E.B. et al (eds), </w:t>
      </w:r>
      <w:r w:rsidRPr="0042081A">
        <w:rPr>
          <w:i/>
          <w:iCs/>
        </w:rPr>
        <w:t xml:space="preserve">Handbook Of British Chronology </w:t>
      </w:r>
      <w:r w:rsidRPr="0042081A">
        <w:t xml:space="preserve">3rd </w:t>
      </w:r>
      <w:r>
        <w:t>Edition,</w:t>
      </w:r>
      <w:r w:rsidRPr="0042081A">
        <w:t xml:space="preserve"> (London: Royal Historical Society, 1986)</w:t>
      </w:r>
    </w:p>
    <w:p w14:paraId="512498A8" w14:textId="7558417C" w:rsidR="00AD387A" w:rsidRDefault="00AD387A" w:rsidP="00A05C80">
      <w:bookmarkStart w:id="4" w:name="_Hlk87281058"/>
      <w:r>
        <w:t xml:space="preserve">Green, Judith A., </w:t>
      </w:r>
      <w:r w:rsidRPr="00AD387A">
        <w:t>‘Basset, Richard (d. in or before 1144), Justice’ (Oxford University Press, 2004) &lt;https://doi.org/10.1093/ref:odnb/1647&gt; [accessed 8 November 2021]</w:t>
      </w:r>
    </w:p>
    <w:p w14:paraId="1B179193" w14:textId="3D0DAFF8" w:rsidR="0004410F" w:rsidRDefault="00BC4FAB" w:rsidP="00A05C80">
      <w:r w:rsidRPr="00BC4FAB">
        <w:t>Green, Judith A., ‘</w:t>
      </w:r>
      <w:proofErr w:type="spellStart"/>
      <w:r w:rsidRPr="00BC4FAB">
        <w:t>Ridel</w:t>
      </w:r>
      <w:proofErr w:type="spellEnd"/>
      <w:r w:rsidRPr="00BC4FAB">
        <w:t>, Geoffrey (d. 1120), Justice’ (Oxford University Press, 2008) &lt;https://doi.org/10.1093/ref:odnb/23617&gt;</w:t>
      </w:r>
      <w:r>
        <w:t xml:space="preserve"> [accessed 8 November 2021]</w:t>
      </w:r>
    </w:p>
    <w:p w14:paraId="4FFD3452" w14:textId="766F6EC8" w:rsidR="00B97DED" w:rsidRDefault="00B97DED" w:rsidP="00A05C80">
      <w:r>
        <w:t xml:space="preserve">Greenway, Diana (ed), </w:t>
      </w:r>
      <w:r w:rsidRPr="00B97DED">
        <w:rPr>
          <w:i/>
          <w:iCs/>
        </w:rPr>
        <w:t xml:space="preserve">Fasti Ecclesiae </w:t>
      </w:r>
      <w:proofErr w:type="spellStart"/>
      <w:r w:rsidRPr="00B97DED">
        <w:rPr>
          <w:i/>
          <w:iCs/>
        </w:rPr>
        <w:t>Anglicanae</w:t>
      </w:r>
      <w:proofErr w:type="spellEnd"/>
      <w:r w:rsidRPr="00B97DED">
        <w:rPr>
          <w:i/>
          <w:iCs/>
        </w:rPr>
        <w:t xml:space="preserve"> 1066-1300: vol 3, Lincoln</w:t>
      </w:r>
      <w:r>
        <w:t>,</w:t>
      </w:r>
      <w:r w:rsidRPr="00B97DED"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  <w:t xml:space="preserve"> </w:t>
      </w:r>
      <w:r w:rsidRPr="00B97DED">
        <w:t>(London, 1977), </w:t>
      </w:r>
      <w:r w:rsidR="002C53A1">
        <w:t xml:space="preserve">pp. 5-12 </w:t>
      </w:r>
      <w:r w:rsidRPr="00B97DED">
        <w:rPr>
          <w:i/>
          <w:iCs/>
        </w:rPr>
        <w:t>British History Online</w:t>
      </w:r>
      <w:r w:rsidRPr="00B97DED">
        <w:t> http://www.british-history.ac.uk/fasti-ecclesiae/1066-1300/vol3 [accessed 8 November 2021]</w:t>
      </w:r>
      <w:bookmarkEnd w:id="4"/>
    </w:p>
    <w:sectPr w:rsidR="00B97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98535" w14:textId="77777777" w:rsidR="00A01726" w:rsidRDefault="00A01726" w:rsidP="00A949C8">
      <w:pPr>
        <w:spacing w:after="0" w:line="240" w:lineRule="auto"/>
      </w:pPr>
      <w:r>
        <w:separator/>
      </w:r>
    </w:p>
  </w:endnote>
  <w:endnote w:type="continuationSeparator" w:id="0">
    <w:p w14:paraId="2BFF065B" w14:textId="77777777" w:rsidR="00A01726" w:rsidRDefault="00A01726" w:rsidP="00A9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BC00A" w14:textId="77777777" w:rsidR="00A949C8" w:rsidRDefault="00A949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9BD4" w14:textId="77777777" w:rsidR="00A949C8" w:rsidRDefault="00A949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45C3" w14:textId="77777777" w:rsidR="00A949C8" w:rsidRDefault="00A949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11162" w14:textId="77777777" w:rsidR="00A01726" w:rsidRDefault="00A01726" w:rsidP="00A949C8">
      <w:pPr>
        <w:spacing w:after="0" w:line="240" w:lineRule="auto"/>
      </w:pPr>
      <w:r>
        <w:separator/>
      </w:r>
    </w:p>
  </w:footnote>
  <w:footnote w:type="continuationSeparator" w:id="0">
    <w:p w14:paraId="6A48E808" w14:textId="77777777" w:rsidR="00A01726" w:rsidRDefault="00A01726" w:rsidP="00A949C8">
      <w:pPr>
        <w:spacing w:after="0" w:line="240" w:lineRule="auto"/>
      </w:pPr>
      <w:r>
        <w:continuationSeparator/>
      </w:r>
    </w:p>
  </w:footnote>
  <w:footnote w:id="1">
    <w:p w14:paraId="75609B0C" w14:textId="3630BEAB" w:rsidR="008941F2" w:rsidRDefault="008941F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266FD">
        <w:t xml:space="preserve">C. R. </w:t>
      </w:r>
      <w:r>
        <w:t xml:space="preserve">Cheney, </w:t>
      </w:r>
      <w:r w:rsidRPr="008941F2">
        <w:rPr>
          <w:i/>
          <w:iCs/>
        </w:rPr>
        <w:t>A Handbook Of Dates For Students Of British History</w:t>
      </w:r>
      <w:r w:rsidRPr="008941F2">
        <w:t>, rev. by Michael Jones (Cambridge: Cambridge University Press, 2000)</w:t>
      </w:r>
      <w:r w:rsidR="003266FD">
        <w:t xml:space="preserve"> p.</w:t>
      </w:r>
      <w:r w:rsidR="00BD68D8">
        <w:t xml:space="preserve"> </w:t>
      </w:r>
      <w:r w:rsidR="003266FD">
        <w:t>35</w:t>
      </w:r>
      <w:r w:rsidR="00A12545">
        <w:t>.</w:t>
      </w:r>
    </w:p>
  </w:footnote>
  <w:footnote w:id="2">
    <w:p w14:paraId="57E54144" w14:textId="3C770530" w:rsidR="008C6EEE" w:rsidRDefault="008C6E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86229711"/>
      <w:r w:rsidR="00105219">
        <w:t xml:space="preserve">Day of the Week, &lt;https://www.dayoftheweek.org/?m=August&amp;d=15&amp;y=1384&amp;go=Go&gt; [accessed 27 October 2021] </w:t>
      </w:r>
      <w:bookmarkEnd w:id="0"/>
      <w:r w:rsidR="00A12545">
        <w:t>.</w:t>
      </w:r>
    </w:p>
  </w:footnote>
  <w:footnote w:id="3">
    <w:p w14:paraId="00898983" w14:textId="7B7E6F0B" w:rsidR="00F62BA9" w:rsidRPr="00A12545" w:rsidRDefault="00F62B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87186046"/>
      <w:r>
        <w:t xml:space="preserve">E.B. </w:t>
      </w:r>
      <w:proofErr w:type="spellStart"/>
      <w:r>
        <w:t>Fryde</w:t>
      </w:r>
      <w:proofErr w:type="spellEnd"/>
      <w:r>
        <w:t xml:space="preserve"> et al (eds), </w:t>
      </w:r>
      <w:r w:rsidRPr="0042081A">
        <w:rPr>
          <w:i/>
          <w:iCs/>
        </w:rPr>
        <w:t>Handbook Of British Chronology</w:t>
      </w:r>
      <w:r>
        <w:t xml:space="preserve"> 3</w:t>
      </w:r>
      <w:r w:rsidRPr="00F62BA9">
        <w:rPr>
          <w:vertAlign w:val="superscript"/>
        </w:rPr>
        <w:t>rd</w:t>
      </w:r>
      <w:r>
        <w:t xml:space="preserve"> </w:t>
      </w:r>
      <w:r w:rsidR="0042081A">
        <w:t>E</w:t>
      </w:r>
      <w:r>
        <w:t>dition</w:t>
      </w:r>
      <w:r w:rsidR="0042081A">
        <w:t>,</w:t>
      </w:r>
      <w:r>
        <w:t xml:space="preserve"> (</w:t>
      </w:r>
      <w:r w:rsidR="0042081A">
        <w:t>London: Royal Historical Society, 1986) p. 2</w:t>
      </w:r>
      <w:bookmarkEnd w:id="1"/>
      <w:r w:rsidR="00CB226C">
        <w:t xml:space="preserve">89 </w:t>
      </w:r>
      <w:r w:rsidR="00CB226C" w:rsidRPr="00CB226C">
        <w:rPr>
          <w:i/>
          <w:iCs/>
        </w:rPr>
        <w:t>et seq</w:t>
      </w:r>
      <w:r w:rsidR="00A12545">
        <w:t>.</w:t>
      </w:r>
    </w:p>
  </w:footnote>
  <w:footnote w:id="4">
    <w:p w14:paraId="21D1F43F" w14:textId="2029B7D7" w:rsidR="00D13FC5" w:rsidRDefault="00D13FC5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  <w:r w:rsidRPr="00CB226C">
        <w:t>p. 295</w:t>
      </w:r>
      <w:r w:rsidR="00A12545">
        <w:t>.</w:t>
      </w:r>
    </w:p>
  </w:footnote>
  <w:footnote w:id="5">
    <w:p w14:paraId="3BF84689" w14:textId="1A135960" w:rsidR="00CB226C" w:rsidRDefault="00CB22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3FC5">
        <w:t>ibid.</w:t>
      </w:r>
    </w:p>
  </w:footnote>
  <w:footnote w:id="6">
    <w:p w14:paraId="53EABB3B" w14:textId="237AB9A5" w:rsidR="00A12545" w:rsidRDefault="00A12545">
      <w:pPr>
        <w:pStyle w:val="FootnoteText"/>
      </w:pPr>
      <w:r>
        <w:rPr>
          <w:rStyle w:val="FootnoteReference"/>
        </w:rPr>
        <w:footnoteRef/>
      </w:r>
      <w:r>
        <w:t xml:space="preserve"> Cheney, </w:t>
      </w:r>
      <w:r w:rsidRPr="00A12545">
        <w:rPr>
          <w:i/>
          <w:iCs/>
        </w:rPr>
        <w:t>Handbook of Dates</w:t>
      </w:r>
      <w:r>
        <w:t>, p.</w:t>
      </w:r>
      <w:r w:rsidR="00BD68D8">
        <w:t xml:space="preserve"> </w:t>
      </w:r>
      <w:r>
        <w:t>78.</w:t>
      </w:r>
    </w:p>
  </w:footnote>
  <w:footnote w:id="7">
    <w:p w14:paraId="6EFD345F" w14:textId="77777777" w:rsidR="005A569E" w:rsidRDefault="005A569E" w:rsidP="005A56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Fryde</w:t>
      </w:r>
      <w:proofErr w:type="spellEnd"/>
      <w:r>
        <w:t xml:space="preserve"> et al, </w:t>
      </w:r>
      <w:r w:rsidRPr="00BD68D8">
        <w:rPr>
          <w:i/>
          <w:iCs/>
        </w:rPr>
        <w:t>Handbook of British Chronology</w:t>
      </w:r>
      <w:r>
        <w:t>, p. 244.</w:t>
      </w:r>
    </w:p>
  </w:footnote>
  <w:footnote w:id="8">
    <w:p w14:paraId="520F9D9D" w14:textId="57278DE0" w:rsidR="00BD68D8" w:rsidRDefault="00BD68D8">
      <w:pPr>
        <w:pStyle w:val="FootnoteText"/>
      </w:pPr>
      <w:r>
        <w:rPr>
          <w:rStyle w:val="FootnoteReference"/>
        </w:rPr>
        <w:footnoteRef/>
      </w:r>
      <w:r>
        <w:t xml:space="preserve"> Cheney, </w:t>
      </w:r>
      <w:r w:rsidRPr="00E0041D">
        <w:rPr>
          <w:i/>
          <w:iCs/>
        </w:rPr>
        <w:t>Handbook of Dates</w:t>
      </w:r>
      <w:r>
        <w:t>, p. 34.</w:t>
      </w:r>
    </w:p>
  </w:footnote>
  <w:footnote w:id="9">
    <w:p w14:paraId="70CDB896" w14:textId="6D41A782" w:rsidR="00AE37FB" w:rsidRDefault="00AE37FB">
      <w:pPr>
        <w:pStyle w:val="FootnoteText"/>
      </w:pPr>
      <w:r>
        <w:rPr>
          <w:rStyle w:val="FootnoteReference"/>
        </w:rPr>
        <w:footnoteRef/>
      </w:r>
      <w:r>
        <w:t xml:space="preserve"> ibid. p. 229.</w:t>
      </w:r>
    </w:p>
  </w:footnote>
  <w:footnote w:id="10">
    <w:p w14:paraId="4264728D" w14:textId="74C42102" w:rsidR="002E1A71" w:rsidRDefault="002E1A71">
      <w:pPr>
        <w:pStyle w:val="FootnoteText"/>
      </w:pPr>
      <w:r>
        <w:rPr>
          <w:rStyle w:val="FootnoteReference"/>
        </w:rPr>
        <w:footnoteRef/>
      </w:r>
      <w:r>
        <w:t xml:space="preserve"> ibid. p. 196.</w:t>
      </w:r>
    </w:p>
  </w:footnote>
  <w:footnote w:id="11">
    <w:p w14:paraId="12147DF6" w14:textId="4D77C06F" w:rsidR="009F42E2" w:rsidRDefault="009F42E2">
      <w:pPr>
        <w:pStyle w:val="FootnoteText"/>
      </w:pPr>
      <w:r>
        <w:rPr>
          <w:rStyle w:val="FootnoteReference"/>
        </w:rPr>
        <w:footnoteRef/>
      </w:r>
      <w:r w:rsidR="000A5D94">
        <w:t xml:space="preserve"> </w:t>
      </w:r>
      <w:r>
        <w:t xml:space="preserve">Wikipedia, </w:t>
      </w:r>
      <w:r w:rsidRPr="009F42E2">
        <w:rPr>
          <w:i/>
          <w:iCs/>
        </w:rPr>
        <w:t>Kingdom of England</w:t>
      </w:r>
      <w:r>
        <w:t>, 2021 &lt;</w:t>
      </w:r>
      <w:r w:rsidRPr="009F42E2">
        <w:t>https://en.wikipedia.org/wiki/Kingdom_of_England</w:t>
      </w:r>
      <w:r>
        <w:t>&gt; [accessed 8 November 2021].</w:t>
      </w:r>
    </w:p>
  </w:footnote>
  <w:footnote w:id="12">
    <w:p w14:paraId="32A70342" w14:textId="55951232" w:rsidR="000A5D94" w:rsidRDefault="000A5D94">
      <w:pPr>
        <w:pStyle w:val="FootnoteText"/>
      </w:pPr>
      <w:r>
        <w:rPr>
          <w:rStyle w:val="FootnoteReference"/>
        </w:rPr>
        <w:footnoteRef/>
      </w:r>
      <w:r>
        <w:t xml:space="preserve"> Cheney, </w:t>
      </w:r>
      <w:r w:rsidRPr="00B57583">
        <w:rPr>
          <w:i/>
          <w:iCs/>
        </w:rPr>
        <w:t>Handbook of Dates</w:t>
      </w:r>
      <w:r w:rsidR="00B57583">
        <w:t>, p.32.</w:t>
      </w:r>
    </w:p>
  </w:footnote>
  <w:footnote w:id="13">
    <w:p w14:paraId="163AEABA" w14:textId="6BF50B25" w:rsidR="00B57583" w:rsidRDefault="00B575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Fryde</w:t>
      </w:r>
      <w:proofErr w:type="spellEnd"/>
      <w:r>
        <w:t xml:space="preserve"> et al, </w:t>
      </w:r>
      <w:r w:rsidRPr="00B57583">
        <w:rPr>
          <w:i/>
          <w:iCs/>
        </w:rPr>
        <w:t>Handbook of British Chronology</w:t>
      </w:r>
      <w:r>
        <w:t>, p. 454.</w:t>
      </w:r>
    </w:p>
  </w:footnote>
  <w:footnote w:id="14">
    <w:p w14:paraId="221F43B8" w14:textId="116C82F4" w:rsidR="00B97DED" w:rsidRDefault="00B97D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53A1">
        <w:t xml:space="preserve">Diana </w:t>
      </w:r>
      <w:r w:rsidR="002C53A1" w:rsidRPr="002C53A1">
        <w:t xml:space="preserve">Greenway (ed), </w:t>
      </w:r>
      <w:r w:rsidR="002C53A1" w:rsidRPr="002C53A1">
        <w:rPr>
          <w:i/>
          <w:iCs/>
        </w:rPr>
        <w:t xml:space="preserve">Fasti Ecclesiae </w:t>
      </w:r>
      <w:proofErr w:type="spellStart"/>
      <w:r w:rsidR="002C53A1" w:rsidRPr="002C53A1">
        <w:rPr>
          <w:i/>
          <w:iCs/>
        </w:rPr>
        <w:t>Anglicanae</w:t>
      </w:r>
      <w:proofErr w:type="spellEnd"/>
      <w:r w:rsidR="002C53A1" w:rsidRPr="002C53A1">
        <w:rPr>
          <w:i/>
          <w:iCs/>
        </w:rPr>
        <w:t xml:space="preserve"> 1066-1300: vol 3, Lincoln</w:t>
      </w:r>
      <w:r w:rsidR="002C53A1" w:rsidRPr="002C53A1">
        <w:t>, (London, 1977), </w:t>
      </w:r>
      <w:r w:rsidR="002C53A1" w:rsidRPr="002C53A1">
        <w:rPr>
          <w:i/>
          <w:iCs/>
        </w:rPr>
        <w:t>British History Online</w:t>
      </w:r>
      <w:r w:rsidR="002C53A1" w:rsidRPr="002C53A1">
        <w:t> http://www.british-history.ac.uk/fasti-ecclesiae/1066-1300/vol3 [accessed 8 November 2021].</w:t>
      </w:r>
    </w:p>
  </w:footnote>
  <w:footnote w:id="15">
    <w:p w14:paraId="0DBD4523" w14:textId="7CE2F334" w:rsidR="00AE1DB4" w:rsidRDefault="00AE1D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Fryde</w:t>
      </w:r>
      <w:proofErr w:type="spellEnd"/>
      <w:r>
        <w:t xml:space="preserve"> et al, </w:t>
      </w:r>
      <w:r w:rsidRPr="00AE1DB4">
        <w:rPr>
          <w:i/>
          <w:iCs/>
        </w:rPr>
        <w:t>Handbook of British Chronology</w:t>
      </w:r>
      <w:r>
        <w:t>, p. 466.</w:t>
      </w:r>
    </w:p>
  </w:footnote>
  <w:footnote w:id="16">
    <w:p w14:paraId="7CE47419" w14:textId="53BEDFBA" w:rsidR="0004410F" w:rsidRDefault="000441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4FAB" w:rsidRPr="00BC4FAB">
        <w:t>Judith A. Green, ‘</w:t>
      </w:r>
      <w:proofErr w:type="spellStart"/>
      <w:r w:rsidR="00BC4FAB" w:rsidRPr="00BC4FAB">
        <w:t>Ridel</w:t>
      </w:r>
      <w:proofErr w:type="spellEnd"/>
      <w:r w:rsidR="00BC4FAB" w:rsidRPr="00BC4FAB">
        <w:t>, Geoffrey (d. 1120), Justice’ (Oxford University Press, 2008) &lt;https://doi.org/10.1093/ref:odnb/23617&gt;</w:t>
      </w:r>
      <w:r w:rsidR="00BC4FAB">
        <w:t xml:space="preserve"> [accessed 8 November 2021].</w:t>
      </w:r>
    </w:p>
  </w:footnote>
  <w:footnote w:id="17">
    <w:p w14:paraId="0FC3F40A" w14:textId="77777777" w:rsidR="008F15EF" w:rsidRDefault="008F15EF" w:rsidP="008F15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C4FAB">
        <w:t xml:space="preserve">Judith A. Green, </w:t>
      </w:r>
      <w:bookmarkStart w:id="3" w:name="_Hlk87284394"/>
      <w:r w:rsidRPr="00BC4FAB">
        <w:t>‘Basset, Richard (d. in or before 1144), Justice’ (Oxford University Press, 2004) &lt;https://doi.org/10.1093/ref:odnb/1647&gt;</w:t>
      </w:r>
      <w:r>
        <w:t xml:space="preserve"> [accessed 8 November 2021]</w:t>
      </w:r>
      <w:r w:rsidRPr="00BC4FAB">
        <w:t>.</w:t>
      </w:r>
      <w:bookmarkEnd w:id="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FEECE" w14:textId="77777777" w:rsidR="00A949C8" w:rsidRDefault="00A949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2513A" w14:textId="43D56B33" w:rsidR="00A949C8" w:rsidRDefault="00A949C8">
    <w:pPr>
      <w:pStyle w:val="Header"/>
    </w:pPr>
    <w:r>
      <w:t>HPHI7016 Past Peoples</w:t>
    </w:r>
    <w:r>
      <w:ptab w:relativeTo="margin" w:alignment="center" w:leader="none"/>
    </w:r>
    <w:r>
      <w:t>A</w:t>
    </w:r>
    <w:r w:rsidR="00EF332B">
      <w:t>ssignment 3</w:t>
    </w:r>
    <w:r>
      <w:ptab w:relativeTo="margin" w:alignment="right" w:leader="none"/>
    </w:r>
    <w:r>
      <w:t>Carrie Fox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470A" w14:textId="77777777" w:rsidR="00A949C8" w:rsidRDefault="00A949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CE3"/>
    <w:rsid w:val="0004410F"/>
    <w:rsid w:val="00057745"/>
    <w:rsid w:val="000972CA"/>
    <w:rsid w:val="000A5D94"/>
    <w:rsid w:val="000D0314"/>
    <w:rsid w:val="000F4A17"/>
    <w:rsid w:val="00105219"/>
    <w:rsid w:val="001A2F35"/>
    <w:rsid w:val="001C5295"/>
    <w:rsid w:val="002000C9"/>
    <w:rsid w:val="00231054"/>
    <w:rsid w:val="002C53A1"/>
    <w:rsid w:val="002E1A71"/>
    <w:rsid w:val="0031438E"/>
    <w:rsid w:val="003266FD"/>
    <w:rsid w:val="003429DE"/>
    <w:rsid w:val="0042081A"/>
    <w:rsid w:val="0043428B"/>
    <w:rsid w:val="004B4143"/>
    <w:rsid w:val="004D370E"/>
    <w:rsid w:val="004E0B2F"/>
    <w:rsid w:val="004E69B9"/>
    <w:rsid w:val="004F4F70"/>
    <w:rsid w:val="005258AC"/>
    <w:rsid w:val="00532433"/>
    <w:rsid w:val="005A569E"/>
    <w:rsid w:val="005A61EA"/>
    <w:rsid w:val="005C08B3"/>
    <w:rsid w:val="006D3176"/>
    <w:rsid w:val="007877E6"/>
    <w:rsid w:val="007939EF"/>
    <w:rsid w:val="00844584"/>
    <w:rsid w:val="00890FCB"/>
    <w:rsid w:val="008941F2"/>
    <w:rsid w:val="008C6EEE"/>
    <w:rsid w:val="008F15EF"/>
    <w:rsid w:val="00980765"/>
    <w:rsid w:val="009A633E"/>
    <w:rsid w:val="009B70D4"/>
    <w:rsid w:val="009D2BC7"/>
    <w:rsid w:val="009F42E2"/>
    <w:rsid w:val="00A01726"/>
    <w:rsid w:val="00A052F1"/>
    <w:rsid w:val="00A05C80"/>
    <w:rsid w:val="00A12545"/>
    <w:rsid w:val="00A201EA"/>
    <w:rsid w:val="00A42599"/>
    <w:rsid w:val="00A7221A"/>
    <w:rsid w:val="00A736ED"/>
    <w:rsid w:val="00A8320A"/>
    <w:rsid w:val="00A949C8"/>
    <w:rsid w:val="00AC462B"/>
    <w:rsid w:val="00AD387A"/>
    <w:rsid w:val="00AE1DB4"/>
    <w:rsid w:val="00AE37FB"/>
    <w:rsid w:val="00B07A0E"/>
    <w:rsid w:val="00B57583"/>
    <w:rsid w:val="00B97DED"/>
    <w:rsid w:val="00BB6131"/>
    <w:rsid w:val="00BC1EFB"/>
    <w:rsid w:val="00BC4FAB"/>
    <w:rsid w:val="00BD68D8"/>
    <w:rsid w:val="00C21295"/>
    <w:rsid w:val="00C93CF3"/>
    <w:rsid w:val="00CB226C"/>
    <w:rsid w:val="00CF6CE3"/>
    <w:rsid w:val="00D02FA5"/>
    <w:rsid w:val="00D13FC5"/>
    <w:rsid w:val="00D31818"/>
    <w:rsid w:val="00D437A2"/>
    <w:rsid w:val="00D75896"/>
    <w:rsid w:val="00DA75DC"/>
    <w:rsid w:val="00DC5CF3"/>
    <w:rsid w:val="00E0041D"/>
    <w:rsid w:val="00E34079"/>
    <w:rsid w:val="00E71930"/>
    <w:rsid w:val="00E85886"/>
    <w:rsid w:val="00EB574F"/>
    <w:rsid w:val="00EB71AD"/>
    <w:rsid w:val="00ED0020"/>
    <w:rsid w:val="00EF332B"/>
    <w:rsid w:val="00F042AB"/>
    <w:rsid w:val="00F07771"/>
    <w:rsid w:val="00F62BA9"/>
    <w:rsid w:val="00FD61E4"/>
    <w:rsid w:val="00FF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907027"/>
  <w15:chartTrackingRefBased/>
  <w15:docId w15:val="{383BD9FE-21CA-4244-9D0B-3E4F8B28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9C8"/>
  </w:style>
  <w:style w:type="paragraph" w:styleId="Footer">
    <w:name w:val="footer"/>
    <w:basedOn w:val="Normal"/>
    <w:link w:val="FooterChar"/>
    <w:uiPriority w:val="99"/>
    <w:unhideWhenUsed/>
    <w:rsid w:val="00A94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9C8"/>
  </w:style>
  <w:style w:type="paragraph" w:styleId="FootnoteText">
    <w:name w:val="footnote text"/>
    <w:basedOn w:val="Normal"/>
    <w:link w:val="FootnoteTextChar"/>
    <w:uiPriority w:val="99"/>
    <w:semiHidden/>
    <w:unhideWhenUsed/>
    <w:rsid w:val="008941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41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41F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052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2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577DB-C7AA-4883-8291-2AFB110DC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4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Fox</dc:creator>
  <cp:keywords/>
  <dc:description/>
  <cp:lastModifiedBy>C Fox</cp:lastModifiedBy>
  <cp:revision>43</cp:revision>
  <dcterms:created xsi:type="dcterms:W3CDTF">2021-10-25T13:26:00Z</dcterms:created>
  <dcterms:modified xsi:type="dcterms:W3CDTF">2021-11-13T17:17:00Z</dcterms:modified>
</cp:coreProperties>
</file>