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12462" w14:textId="076421B9" w:rsidR="00F6199E" w:rsidRDefault="0038792F" w:rsidP="00AD28D7">
      <w:pPr>
        <w:pStyle w:val="NoSpacing"/>
        <w:jc w:val="both"/>
        <w:rPr>
          <w:rFonts w:ascii="Corbel" w:hAnsi="Corbel"/>
          <w:sz w:val="24"/>
          <w:szCs w:val="24"/>
        </w:rPr>
      </w:pPr>
      <w:r>
        <w:rPr>
          <w:rFonts w:ascii="Corbel" w:hAnsi="Corbel"/>
          <w:i w:val="0"/>
          <w:iCs w:val="0"/>
          <w:sz w:val="24"/>
          <w:szCs w:val="24"/>
        </w:rPr>
        <w:t xml:space="preserve">In </w:t>
      </w:r>
      <w:r w:rsidR="009C2AF7">
        <w:rPr>
          <w:rFonts w:ascii="Corbel" w:hAnsi="Corbel"/>
          <w:i w:val="0"/>
          <w:iCs w:val="0"/>
          <w:sz w:val="24"/>
          <w:szCs w:val="24"/>
        </w:rPr>
        <w:t>order to discuss whether</w:t>
      </w:r>
      <w:r w:rsidR="0083723B">
        <w:rPr>
          <w:rFonts w:ascii="Corbel" w:hAnsi="Corbel"/>
          <w:i w:val="0"/>
          <w:iCs w:val="0"/>
          <w:sz w:val="24"/>
          <w:szCs w:val="24"/>
        </w:rPr>
        <w:t xml:space="preserve"> or not it is correct that</w:t>
      </w:r>
      <w:r w:rsidR="009C2AF7">
        <w:rPr>
          <w:rFonts w:ascii="Corbel" w:hAnsi="Corbel"/>
          <w:i w:val="0"/>
          <w:iCs w:val="0"/>
          <w:sz w:val="24"/>
          <w:szCs w:val="24"/>
        </w:rPr>
        <w:t xml:space="preserve"> the statement all occupiers are considered liable fo</w:t>
      </w:r>
      <w:r w:rsidR="0083723B">
        <w:rPr>
          <w:rFonts w:ascii="Corbel" w:hAnsi="Corbel"/>
          <w:i w:val="0"/>
          <w:iCs w:val="0"/>
          <w:sz w:val="24"/>
          <w:szCs w:val="24"/>
        </w:rPr>
        <w:t>r accidents which occur on their property</w:t>
      </w:r>
      <w:r w:rsidR="001B4A8B">
        <w:rPr>
          <w:rFonts w:ascii="Corbel" w:hAnsi="Corbel"/>
          <w:i w:val="0"/>
          <w:iCs w:val="0"/>
          <w:sz w:val="24"/>
          <w:szCs w:val="24"/>
        </w:rPr>
        <w:t xml:space="preserve">, we </w:t>
      </w:r>
      <w:r w:rsidR="00D95931">
        <w:rPr>
          <w:rFonts w:ascii="Corbel" w:hAnsi="Corbel"/>
          <w:i w:val="0"/>
          <w:iCs w:val="0"/>
          <w:sz w:val="24"/>
          <w:szCs w:val="24"/>
        </w:rPr>
        <w:t xml:space="preserve">need to look at various different sources of information, such as legislation and statutory provision, case law and other relevant factors. </w:t>
      </w:r>
      <w:r w:rsidR="00167452">
        <w:rPr>
          <w:rFonts w:ascii="Corbel" w:hAnsi="Corbel"/>
          <w:i w:val="0"/>
          <w:iCs w:val="0"/>
          <w:sz w:val="24"/>
          <w:szCs w:val="24"/>
        </w:rPr>
        <w:t xml:space="preserve">Firstly, we need to consider how the law defines an occupier. </w:t>
      </w:r>
      <w:r w:rsidR="009A3811">
        <w:rPr>
          <w:rFonts w:ascii="Corbel" w:hAnsi="Corbel"/>
          <w:i w:val="0"/>
          <w:iCs w:val="0"/>
          <w:sz w:val="24"/>
          <w:szCs w:val="24"/>
        </w:rPr>
        <w:t>There are two legislative Acts that</w:t>
      </w:r>
      <w:r w:rsidR="00CB5D31">
        <w:rPr>
          <w:rFonts w:ascii="Corbel" w:hAnsi="Corbel"/>
          <w:i w:val="0"/>
          <w:iCs w:val="0"/>
          <w:sz w:val="24"/>
          <w:szCs w:val="24"/>
        </w:rPr>
        <w:t xml:space="preserve"> </w:t>
      </w:r>
      <w:r w:rsidR="00450385">
        <w:rPr>
          <w:rFonts w:ascii="Corbel" w:hAnsi="Corbel"/>
          <w:i w:val="0"/>
          <w:iCs w:val="0"/>
          <w:sz w:val="24"/>
          <w:szCs w:val="24"/>
        </w:rPr>
        <w:t xml:space="preserve">govern this area of </w:t>
      </w:r>
      <w:r w:rsidR="000D37BB">
        <w:rPr>
          <w:rFonts w:ascii="Corbel" w:hAnsi="Corbel"/>
          <w:i w:val="0"/>
          <w:iCs w:val="0"/>
          <w:sz w:val="24"/>
          <w:szCs w:val="24"/>
        </w:rPr>
        <w:t>law,</w:t>
      </w:r>
      <w:r w:rsidR="00450385">
        <w:rPr>
          <w:rFonts w:ascii="Corbel" w:hAnsi="Corbel"/>
          <w:i w:val="0"/>
          <w:iCs w:val="0"/>
          <w:sz w:val="24"/>
          <w:szCs w:val="24"/>
        </w:rPr>
        <w:t xml:space="preserve"> and they are the Occupiers Liability Act 1957 (OLA 1957) and the Occupiers Liability Act 1984 (OLA 1984), respectively. </w:t>
      </w:r>
      <w:r w:rsidR="009D22B9">
        <w:rPr>
          <w:rFonts w:ascii="Corbel" w:hAnsi="Corbel"/>
          <w:i w:val="0"/>
          <w:iCs w:val="0"/>
          <w:sz w:val="24"/>
          <w:szCs w:val="24"/>
        </w:rPr>
        <w:t xml:space="preserve">The OLA 1957 is a statutory provision </w:t>
      </w:r>
      <w:r w:rsidR="000D37BB">
        <w:rPr>
          <w:rFonts w:ascii="Corbel" w:hAnsi="Corbel"/>
          <w:i w:val="0"/>
          <w:iCs w:val="0"/>
          <w:sz w:val="24"/>
          <w:szCs w:val="24"/>
        </w:rPr>
        <w:t xml:space="preserve">to deal with those who are </w:t>
      </w:r>
      <w:r w:rsidR="00A57355">
        <w:rPr>
          <w:rFonts w:ascii="Corbel" w:hAnsi="Corbel"/>
          <w:i w:val="0"/>
          <w:iCs w:val="0"/>
          <w:sz w:val="24"/>
          <w:szCs w:val="24"/>
        </w:rPr>
        <w:t>considered lawful visitors and using the premises for its intended use</w:t>
      </w:r>
      <w:r w:rsidR="00F45673">
        <w:rPr>
          <w:rFonts w:ascii="Corbel" w:hAnsi="Corbel"/>
          <w:i w:val="0"/>
          <w:iCs w:val="0"/>
          <w:sz w:val="24"/>
          <w:szCs w:val="24"/>
        </w:rPr>
        <w:t xml:space="preserve">, whereas the OLA 1984 is a piece of legislation which deals with unlawful visitors – or those using who are not using the premises for its intended use or purpose. </w:t>
      </w:r>
      <w:r w:rsidR="00636002">
        <w:rPr>
          <w:rFonts w:ascii="Corbel" w:hAnsi="Corbel"/>
          <w:i w:val="0"/>
          <w:iCs w:val="0"/>
          <w:sz w:val="24"/>
          <w:szCs w:val="24"/>
        </w:rPr>
        <w:t>There is no legal or statutory definition of an occupie</w:t>
      </w:r>
      <w:r w:rsidR="00E46A49">
        <w:rPr>
          <w:rFonts w:ascii="Corbel" w:hAnsi="Corbel"/>
          <w:i w:val="0"/>
          <w:iCs w:val="0"/>
          <w:sz w:val="24"/>
          <w:szCs w:val="24"/>
        </w:rPr>
        <w:t>r</w:t>
      </w:r>
      <w:r w:rsidR="00975C07">
        <w:rPr>
          <w:rFonts w:ascii="Corbel" w:hAnsi="Corbel"/>
          <w:i w:val="0"/>
          <w:iCs w:val="0"/>
          <w:sz w:val="24"/>
          <w:szCs w:val="24"/>
        </w:rPr>
        <w:t xml:space="preserve"> however, </w:t>
      </w:r>
      <w:r w:rsidR="00F05AFD">
        <w:rPr>
          <w:rFonts w:ascii="Corbel" w:hAnsi="Corbel"/>
          <w:i w:val="0"/>
          <w:iCs w:val="0"/>
          <w:sz w:val="24"/>
          <w:szCs w:val="24"/>
        </w:rPr>
        <w:t xml:space="preserve">in the case of Wheat v </w:t>
      </w:r>
      <w:proofErr w:type="spellStart"/>
      <w:r w:rsidR="00F05AFD">
        <w:rPr>
          <w:rFonts w:ascii="Corbel" w:hAnsi="Corbel"/>
          <w:i w:val="0"/>
          <w:iCs w:val="0"/>
          <w:sz w:val="24"/>
          <w:szCs w:val="24"/>
        </w:rPr>
        <w:t>Lacon</w:t>
      </w:r>
      <w:proofErr w:type="spellEnd"/>
      <w:r w:rsidR="00F05AFD">
        <w:rPr>
          <w:rFonts w:ascii="Corbel" w:hAnsi="Corbel"/>
          <w:i w:val="0"/>
          <w:iCs w:val="0"/>
          <w:sz w:val="24"/>
          <w:szCs w:val="24"/>
        </w:rPr>
        <w:t xml:space="preserve"> (1966), </w:t>
      </w:r>
      <w:r w:rsidR="00450469">
        <w:rPr>
          <w:rFonts w:ascii="Corbel" w:hAnsi="Corbel"/>
          <w:i w:val="0"/>
          <w:iCs w:val="0"/>
          <w:sz w:val="24"/>
          <w:szCs w:val="24"/>
        </w:rPr>
        <w:t xml:space="preserve">Lord Denning </w:t>
      </w:r>
      <w:r w:rsidR="00D4501D">
        <w:rPr>
          <w:rFonts w:ascii="Corbel" w:hAnsi="Corbel"/>
          <w:i w:val="0"/>
          <w:iCs w:val="0"/>
          <w:sz w:val="24"/>
          <w:szCs w:val="24"/>
        </w:rPr>
        <w:t>states</w:t>
      </w:r>
      <w:r w:rsidR="00CA4CA3">
        <w:rPr>
          <w:rFonts w:ascii="Corbel" w:hAnsi="Corbel"/>
          <w:i w:val="0"/>
          <w:iCs w:val="0"/>
          <w:sz w:val="24"/>
          <w:szCs w:val="24"/>
        </w:rPr>
        <w:t>:</w:t>
      </w:r>
      <w:r w:rsidR="00AD28D7">
        <w:rPr>
          <w:rFonts w:ascii="Corbel" w:hAnsi="Corbel"/>
          <w:i w:val="0"/>
          <w:iCs w:val="0"/>
          <w:sz w:val="24"/>
          <w:szCs w:val="24"/>
        </w:rPr>
        <w:t xml:space="preserve"> </w:t>
      </w:r>
      <w:r w:rsidR="00CA4CA3">
        <w:rPr>
          <w:rFonts w:ascii="Corbel" w:hAnsi="Corbel"/>
          <w:sz w:val="24"/>
          <w:szCs w:val="24"/>
        </w:rPr>
        <w:t xml:space="preserve">“In order to be an ‘occupier’ </w:t>
      </w:r>
      <w:r w:rsidR="00811504">
        <w:rPr>
          <w:rFonts w:ascii="Corbel" w:hAnsi="Corbel"/>
          <w:sz w:val="24"/>
          <w:szCs w:val="24"/>
        </w:rPr>
        <w:t xml:space="preserve">it is not necessary for a person to have entire control over the premises. </w:t>
      </w:r>
      <w:r w:rsidR="00F6199E">
        <w:rPr>
          <w:rFonts w:ascii="Corbel" w:hAnsi="Corbel"/>
          <w:sz w:val="24"/>
          <w:szCs w:val="24"/>
        </w:rPr>
        <w:t xml:space="preserve">He need not have exclusive occupation suffice it that he has some degree of control. </w:t>
      </w:r>
      <w:r w:rsidR="008856DA">
        <w:rPr>
          <w:rFonts w:ascii="Corbel" w:hAnsi="Corbel"/>
          <w:sz w:val="24"/>
          <w:szCs w:val="24"/>
        </w:rPr>
        <w:t>He may share that control with others</w:t>
      </w:r>
      <w:r w:rsidR="00A036C1">
        <w:rPr>
          <w:rFonts w:ascii="Corbel" w:hAnsi="Corbel"/>
          <w:sz w:val="24"/>
          <w:szCs w:val="24"/>
        </w:rPr>
        <w:t>. Two or more may be ‘occupiers’</w:t>
      </w:r>
      <w:r w:rsidR="00B9320A">
        <w:rPr>
          <w:rFonts w:ascii="Corbel" w:hAnsi="Corbel"/>
          <w:sz w:val="24"/>
          <w:szCs w:val="24"/>
        </w:rPr>
        <w:t>… If each fails in his duty</w:t>
      </w:r>
      <w:r w:rsidR="001271EA">
        <w:rPr>
          <w:rFonts w:ascii="Corbel" w:hAnsi="Corbel"/>
          <w:sz w:val="24"/>
          <w:szCs w:val="24"/>
        </w:rPr>
        <w:t>, each is liable to a visitor who is injured in consequence of his failure</w:t>
      </w:r>
      <w:r w:rsidR="00C70D0F">
        <w:rPr>
          <w:rFonts w:ascii="Corbel" w:hAnsi="Corbel"/>
          <w:sz w:val="24"/>
          <w:szCs w:val="24"/>
        </w:rPr>
        <w:t xml:space="preserve">.” </w:t>
      </w:r>
    </w:p>
    <w:p w14:paraId="51A3D2A3" w14:textId="77777777" w:rsidR="006A1EFD" w:rsidRDefault="006A1EFD" w:rsidP="00AD28D7">
      <w:pPr>
        <w:pStyle w:val="NoSpacing"/>
        <w:jc w:val="both"/>
        <w:rPr>
          <w:rFonts w:ascii="Corbel" w:hAnsi="Corbel"/>
          <w:i w:val="0"/>
          <w:iCs w:val="0"/>
          <w:sz w:val="24"/>
          <w:szCs w:val="24"/>
        </w:rPr>
      </w:pPr>
    </w:p>
    <w:p w14:paraId="4DEFE26A" w14:textId="6F0E21E6" w:rsidR="00601CF2" w:rsidRPr="00F909AA" w:rsidRDefault="002F3DE6" w:rsidP="00AD28D7">
      <w:pPr>
        <w:pStyle w:val="NoSpacing"/>
        <w:jc w:val="both"/>
        <w:rPr>
          <w:rFonts w:ascii="Corbel" w:hAnsi="Corbel"/>
          <w:i w:val="0"/>
          <w:iCs w:val="0"/>
          <w:sz w:val="24"/>
          <w:szCs w:val="24"/>
        </w:rPr>
      </w:pPr>
      <w:r>
        <w:rPr>
          <w:rFonts w:ascii="Corbel" w:hAnsi="Corbel"/>
          <w:i w:val="0"/>
          <w:iCs w:val="0"/>
          <w:sz w:val="24"/>
          <w:szCs w:val="24"/>
        </w:rPr>
        <w:t xml:space="preserve">For balance and to show that </w:t>
      </w:r>
      <w:r w:rsidR="00F909AA">
        <w:rPr>
          <w:rFonts w:ascii="Corbel" w:hAnsi="Corbel"/>
          <w:i w:val="0"/>
          <w:iCs w:val="0"/>
          <w:sz w:val="24"/>
          <w:szCs w:val="24"/>
        </w:rPr>
        <w:t xml:space="preserve">there are various other examples of an occupier being defined in case law, </w:t>
      </w:r>
      <w:r w:rsidR="000A0D15">
        <w:rPr>
          <w:rFonts w:ascii="Corbel" w:hAnsi="Corbel"/>
          <w:i w:val="0"/>
          <w:iCs w:val="0"/>
          <w:sz w:val="24"/>
          <w:szCs w:val="24"/>
        </w:rPr>
        <w:t xml:space="preserve">Dan Squires QC – sitting as a Deputy High Court Judge – heard the case of </w:t>
      </w:r>
      <w:r w:rsidR="00654196">
        <w:rPr>
          <w:rFonts w:ascii="Corbel" w:hAnsi="Corbel"/>
          <w:i w:val="0"/>
          <w:iCs w:val="0"/>
          <w:sz w:val="24"/>
          <w:szCs w:val="24"/>
        </w:rPr>
        <w:t>Mathewson v Crump &amp; Another (2020). H</w:t>
      </w:r>
      <w:r w:rsidR="00B77195">
        <w:rPr>
          <w:rFonts w:ascii="Corbel" w:hAnsi="Corbel"/>
          <w:i w:val="0"/>
          <w:iCs w:val="0"/>
          <w:sz w:val="24"/>
          <w:szCs w:val="24"/>
        </w:rPr>
        <w:t>e defined an occupier by</w:t>
      </w:r>
      <w:r w:rsidR="00B43883">
        <w:rPr>
          <w:rFonts w:ascii="Corbel" w:hAnsi="Corbel"/>
          <w:i w:val="0"/>
          <w:iCs w:val="0"/>
          <w:sz w:val="24"/>
          <w:szCs w:val="24"/>
        </w:rPr>
        <w:t xml:space="preserve"> differentiating between an occupier and an owner</w:t>
      </w:r>
      <w:r w:rsidR="00B77195">
        <w:rPr>
          <w:rFonts w:ascii="Corbel" w:hAnsi="Corbel"/>
          <w:i w:val="0"/>
          <w:iCs w:val="0"/>
          <w:sz w:val="24"/>
          <w:szCs w:val="24"/>
        </w:rPr>
        <w:t xml:space="preserve"> stating </w:t>
      </w:r>
      <w:r w:rsidR="008D20CD">
        <w:rPr>
          <w:rFonts w:ascii="Corbel" w:hAnsi="Corbel"/>
          <w:sz w:val="24"/>
          <w:szCs w:val="24"/>
        </w:rPr>
        <w:t xml:space="preserve">“Occupation cannot be equated with ownership. </w:t>
      </w:r>
      <w:r w:rsidR="00F13812">
        <w:rPr>
          <w:rFonts w:ascii="Corbel" w:hAnsi="Corbel"/>
          <w:sz w:val="24"/>
          <w:szCs w:val="24"/>
        </w:rPr>
        <w:t xml:space="preserve">Being an owner of a premises is neither a necessary requirement </w:t>
      </w:r>
      <w:r w:rsidR="0067651A">
        <w:rPr>
          <w:rFonts w:ascii="Corbel" w:hAnsi="Corbel"/>
          <w:sz w:val="24"/>
          <w:szCs w:val="24"/>
        </w:rPr>
        <w:t xml:space="preserve">for occupation, nor sufficient to establish it. A person can be the owner of a property without occupying it, </w:t>
      </w:r>
      <w:r w:rsidR="00B43883">
        <w:rPr>
          <w:rFonts w:ascii="Corbel" w:hAnsi="Corbel"/>
          <w:sz w:val="24"/>
          <w:szCs w:val="24"/>
        </w:rPr>
        <w:t>and a person</w:t>
      </w:r>
      <w:r w:rsidR="006E3B0F">
        <w:rPr>
          <w:rFonts w:ascii="Corbel" w:hAnsi="Corbel"/>
          <w:sz w:val="24"/>
          <w:szCs w:val="24"/>
        </w:rPr>
        <w:t xml:space="preserve"> can occupy a property without owning it.”</w:t>
      </w:r>
      <w:r w:rsidR="00F909AA">
        <w:rPr>
          <w:rFonts w:ascii="Corbel" w:hAnsi="Corbel"/>
          <w:i w:val="0"/>
          <w:iCs w:val="0"/>
          <w:sz w:val="24"/>
          <w:szCs w:val="24"/>
        </w:rPr>
        <w:t xml:space="preserve"> </w:t>
      </w:r>
      <w:r w:rsidR="00743657">
        <w:rPr>
          <w:rFonts w:ascii="Corbel" w:hAnsi="Corbel"/>
          <w:i w:val="0"/>
          <w:iCs w:val="0"/>
          <w:sz w:val="24"/>
          <w:szCs w:val="24"/>
        </w:rPr>
        <w:t>However,</w:t>
      </w:r>
      <w:r w:rsidR="00D764C3">
        <w:rPr>
          <w:rFonts w:ascii="Corbel" w:hAnsi="Corbel"/>
          <w:i w:val="0"/>
          <w:iCs w:val="0"/>
          <w:sz w:val="24"/>
          <w:szCs w:val="24"/>
        </w:rPr>
        <w:t xml:space="preserve"> </w:t>
      </w:r>
      <w:r w:rsidR="00F909AA">
        <w:rPr>
          <w:rFonts w:ascii="Corbel" w:hAnsi="Corbel"/>
          <w:i w:val="0"/>
          <w:iCs w:val="0"/>
          <w:sz w:val="24"/>
          <w:szCs w:val="24"/>
        </w:rPr>
        <w:t>Wheat v</w:t>
      </w:r>
      <w:r w:rsidR="009331C2">
        <w:rPr>
          <w:rFonts w:ascii="Corbel" w:hAnsi="Corbel"/>
          <w:i w:val="0"/>
          <w:iCs w:val="0"/>
          <w:sz w:val="24"/>
          <w:szCs w:val="24"/>
        </w:rPr>
        <w:t xml:space="preserve"> </w:t>
      </w:r>
      <w:proofErr w:type="spellStart"/>
      <w:r w:rsidR="009331C2">
        <w:rPr>
          <w:rFonts w:ascii="Corbel" w:hAnsi="Corbel"/>
          <w:i w:val="0"/>
          <w:iCs w:val="0"/>
          <w:sz w:val="24"/>
          <w:szCs w:val="24"/>
        </w:rPr>
        <w:t>Lacon</w:t>
      </w:r>
      <w:proofErr w:type="spellEnd"/>
      <w:r w:rsidR="009331C2">
        <w:rPr>
          <w:rFonts w:ascii="Corbel" w:hAnsi="Corbel"/>
          <w:i w:val="0"/>
          <w:iCs w:val="0"/>
          <w:sz w:val="24"/>
          <w:szCs w:val="24"/>
        </w:rPr>
        <w:t xml:space="preserve"> sets the precedent </w:t>
      </w:r>
      <w:r w:rsidR="00D764C3">
        <w:rPr>
          <w:rFonts w:ascii="Corbel" w:hAnsi="Corbel"/>
          <w:i w:val="0"/>
          <w:iCs w:val="0"/>
          <w:sz w:val="24"/>
          <w:szCs w:val="24"/>
        </w:rPr>
        <w:t xml:space="preserve">when defining an occupier when a new case for Occupiers Liability is brought and most judges consider this definition when </w:t>
      </w:r>
      <w:r w:rsidR="007845EF">
        <w:rPr>
          <w:rFonts w:ascii="Corbel" w:hAnsi="Corbel"/>
          <w:i w:val="0"/>
          <w:iCs w:val="0"/>
          <w:sz w:val="24"/>
          <w:szCs w:val="24"/>
        </w:rPr>
        <w:t xml:space="preserve">applying it to their own cases. </w:t>
      </w:r>
    </w:p>
    <w:p w14:paraId="23C59111" w14:textId="77777777" w:rsidR="00165062" w:rsidRDefault="00165062" w:rsidP="00C70D0F">
      <w:pPr>
        <w:pStyle w:val="NoSpacing"/>
        <w:jc w:val="both"/>
        <w:rPr>
          <w:rFonts w:ascii="Corbel" w:hAnsi="Corbel"/>
          <w:i w:val="0"/>
          <w:iCs w:val="0"/>
          <w:sz w:val="24"/>
          <w:szCs w:val="24"/>
        </w:rPr>
      </w:pPr>
    </w:p>
    <w:p w14:paraId="078E9EE7" w14:textId="6447361B" w:rsidR="00713190" w:rsidRDefault="00050CD8" w:rsidP="00C70D0F">
      <w:pPr>
        <w:pStyle w:val="NoSpacing"/>
        <w:jc w:val="both"/>
        <w:rPr>
          <w:rFonts w:ascii="Corbel" w:hAnsi="Corbel"/>
          <w:i w:val="0"/>
          <w:iCs w:val="0"/>
          <w:sz w:val="24"/>
          <w:szCs w:val="24"/>
        </w:rPr>
      </w:pPr>
      <w:r>
        <w:rPr>
          <w:rFonts w:ascii="Corbel" w:hAnsi="Corbel"/>
          <w:i w:val="0"/>
          <w:iCs w:val="0"/>
          <w:sz w:val="24"/>
          <w:szCs w:val="24"/>
        </w:rPr>
        <w:t xml:space="preserve">Now that we have </w:t>
      </w:r>
      <w:r w:rsidR="00945EAF">
        <w:rPr>
          <w:rFonts w:ascii="Corbel" w:hAnsi="Corbel"/>
          <w:i w:val="0"/>
          <w:iCs w:val="0"/>
          <w:sz w:val="24"/>
          <w:szCs w:val="24"/>
        </w:rPr>
        <w:t xml:space="preserve">an </w:t>
      </w:r>
      <w:r w:rsidR="0015641A">
        <w:rPr>
          <w:rFonts w:ascii="Corbel" w:hAnsi="Corbel"/>
          <w:i w:val="0"/>
          <w:iCs w:val="0"/>
          <w:sz w:val="24"/>
          <w:szCs w:val="24"/>
        </w:rPr>
        <w:t xml:space="preserve">established legal </w:t>
      </w:r>
      <w:r w:rsidR="00945EAF">
        <w:rPr>
          <w:rFonts w:ascii="Corbel" w:hAnsi="Corbel"/>
          <w:i w:val="0"/>
          <w:iCs w:val="0"/>
          <w:sz w:val="24"/>
          <w:szCs w:val="24"/>
        </w:rPr>
        <w:t xml:space="preserve">definition </w:t>
      </w:r>
      <w:r w:rsidR="0015641A">
        <w:rPr>
          <w:rFonts w:ascii="Corbel" w:hAnsi="Corbel"/>
          <w:i w:val="0"/>
          <w:iCs w:val="0"/>
          <w:sz w:val="24"/>
          <w:szCs w:val="24"/>
        </w:rPr>
        <w:t xml:space="preserve">of </w:t>
      </w:r>
      <w:r w:rsidR="0000240C">
        <w:rPr>
          <w:rFonts w:ascii="Corbel" w:hAnsi="Corbel"/>
          <w:i w:val="0"/>
          <w:iCs w:val="0"/>
          <w:sz w:val="24"/>
          <w:szCs w:val="24"/>
        </w:rPr>
        <w:t xml:space="preserve">an occupier you need to </w:t>
      </w:r>
      <w:r w:rsidR="00B57AEB">
        <w:rPr>
          <w:rFonts w:ascii="Corbel" w:hAnsi="Corbel"/>
          <w:i w:val="0"/>
          <w:iCs w:val="0"/>
          <w:sz w:val="24"/>
          <w:szCs w:val="24"/>
        </w:rPr>
        <w:t>give them something or somewhere to occupy</w:t>
      </w:r>
      <w:r w:rsidR="005C7FC0">
        <w:rPr>
          <w:rFonts w:ascii="Corbel" w:hAnsi="Corbel"/>
          <w:i w:val="0"/>
          <w:iCs w:val="0"/>
          <w:sz w:val="24"/>
          <w:szCs w:val="24"/>
        </w:rPr>
        <w:t xml:space="preserve">, and to do this we have to look at the legislation to determine what is considered </w:t>
      </w:r>
      <w:r w:rsidR="00945EAF">
        <w:rPr>
          <w:rFonts w:ascii="Corbel" w:hAnsi="Corbel"/>
          <w:i w:val="0"/>
          <w:iCs w:val="0"/>
          <w:sz w:val="24"/>
          <w:szCs w:val="24"/>
        </w:rPr>
        <w:t xml:space="preserve">to be a premises. </w:t>
      </w:r>
      <w:r w:rsidR="001C2CA9">
        <w:rPr>
          <w:rFonts w:ascii="Corbel" w:hAnsi="Corbel"/>
          <w:i w:val="0"/>
          <w:iCs w:val="0"/>
          <w:sz w:val="24"/>
          <w:szCs w:val="24"/>
        </w:rPr>
        <w:t>The Occup</w:t>
      </w:r>
      <w:r w:rsidR="003E7802">
        <w:rPr>
          <w:rFonts w:ascii="Corbel" w:hAnsi="Corbel"/>
          <w:i w:val="0"/>
          <w:iCs w:val="0"/>
          <w:sz w:val="24"/>
          <w:szCs w:val="24"/>
        </w:rPr>
        <w:t>iers Liability Act 1957 s</w:t>
      </w:r>
      <w:r w:rsidR="000E4C6F">
        <w:rPr>
          <w:rFonts w:ascii="Corbel" w:hAnsi="Corbel"/>
          <w:i w:val="0"/>
          <w:iCs w:val="0"/>
          <w:sz w:val="24"/>
          <w:szCs w:val="24"/>
        </w:rPr>
        <w:t xml:space="preserve"> 1(3)(a)</w:t>
      </w:r>
      <w:r w:rsidR="007E7D0E">
        <w:rPr>
          <w:rFonts w:ascii="Corbel" w:hAnsi="Corbel"/>
          <w:i w:val="0"/>
          <w:iCs w:val="0"/>
          <w:sz w:val="24"/>
          <w:szCs w:val="24"/>
        </w:rPr>
        <w:t xml:space="preserve"> and s1(3)(b) states that a premises is not just considered </w:t>
      </w:r>
      <w:r w:rsidR="00CC1467">
        <w:rPr>
          <w:rFonts w:ascii="Corbel" w:hAnsi="Corbel"/>
          <w:i w:val="0"/>
          <w:iCs w:val="0"/>
          <w:sz w:val="24"/>
          <w:szCs w:val="24"/>
        </w:rPr>
        <w:t>to be property or land but also moveable structures</w:t>
      </w:r>
      <w:r w:rsidR="009D6263">
        <w:rPr>
          <w:rFonts w:ascii="Corbel" w:hAnsi="Corbel"/>
          <w:i w:val="0"/>
          <w:iCs w:val="0"/>
          <w:sz w:val="24"/>
          <w:szCs w:val="24"/>
        </w:rPr>
        <w:t xml:space="preserve"> and vessels, such as</w:t>
      </w:r>
      <w:r w:rsidR="007E65B3">
        <w:rPr>
          <w:rFonts w:ascii="Corbel" w:hAnsi="Corbel"/>
          <w:i w:val="0"/>
          <w:iCs w:val="0"/>
          <w:sz w:val="24"/>
          <w:szCs w:val="24"/>
        </w:rPr>
        <w:t xml:space="preserve"> boats or ships, </w:t>
      </w:r>
      <w:r w:rsidR="00BA7543">
        <w:rPr>
          <w:rFonts w:ascii="Corbel" w:hAnsi="Corbel"/>
          <w:i w:val="0"/>
          <w:iCs w:val="0"/>
          <w:sz w:val="24"/>
          <w:szCs w:val="24"/>
        </w:rPr>
        <w:t xml:space="preserve">airplanes and cars. Meaning that the person responsible for </w:t>
      </w:r>
      <w:r w:rsidR="00AC4B24">
        <w:rPr>
          <w:rFonts w:ascii="Corbel" w:hAnsi="Corbel"/>
          <w:i w:val="0"/>
          <w:iCs w:val="0"/>
          <w:sz w:val="24"/>
          <w:szCs w:val="24"/>
        </w:rPr>
        <w:t>occupying such a premises could be liable if an accident occurred in that premises</w:t>
      </w:r>
      <w:r w:rsidR="00915A15">
        <w:rPr>
          <w:rFonts w:ascii="Corbel" w:hAnsi="Corbel"/>
          <w:i w:val="0"/>
          <w:iCs w:val="0"/>
          <w:sz w:val="24"/>
          <w:szCs w:val="24"/>
        </w:rPr>
        <w:t xml:space="preserve"> (</w:t>
      </w:r>
      <w:r w:rsidR="00744AC5">
        <w:rPr>
          <w:rFonts w:ascii="Corbel" w:hAnsi="Corbel"/>
          <w:i w:val="0"/>
          <w:iCs w:val="0"/>
          <w:sz w:val="24"/>
          <w:szCs w:val="24"/>
        </w:rPr>
        <w:t>Wilson</w:t>
      </w:r>
      <w:r w:rsidR="00915A15">
        <w:rPr>
          <w:rFonts w:ascii="Corbel" w:hAnsi="Corbel"/>
          <w:i w:val="0"/>
          <w:iCs w:val="0"/>
          <w:sz w:val="24"/>
          <w:szCs w:val="24"/>
        </w:rPr>
        <w:t>, 2023)</w:t>
      </w:r>
      <w:r w:rsidR="00AC4B24">
        <w:rPr>
          <w:rFonts w:ascii="Corbel" w:hAnsi="Corbel"/>
          <w:i w:val="0"/>
          <w:iCs w:val="0"/>
          <w:sz w:val="24"/>
          <w:szCs w:val="24"/>
        </w:rPr>
        <w:t xml:space="preserve">. </w:t>
      </w:r>
      <w:r w:rsidR="00A74D1F">
        <w:rPr>
          <w:rFonts w:ascii="Corbel" w:hAnsi="Corbel"/>
          <w:i w:val="0"/>
          <w:iCs w:val="0"/>
          <w:sz w:val="24"/>
          <w:szCs w:val="24"/>
        </w:rPr>
        <w:t xml:space="preserve">An occupier is considered liable for an accident or similar </w:t>
      </w:r>
      <w:r w:rsidR="00850DB3">
        <w:rPr>
          <w:rFonts w:ascii="Corbel" w:hAnsi="Corbel"/>
          <w:i w:val="0"/>
          <w:iCs w:val="0"/>
          <w:sz w:val="24"/>
          <w:szCs w:val="24"/>
        </w:rPr>
        <w:t>breach of duty when they fail to take reasonable care to ensure that potential risks</w:t>
      </w:r>
      <w:r w:rsidR="00BC1737">
        <w:rPr>
          <w:rFonts w:ascii="Corbel" w:hAnsi="Corbel"/>
          <w:i w:val="0"/>
          <w:iCs w:val="0"/>
          <w:sz w:val="24"/>
          <w:szCs w:val="24"/>
        </w:rPr>
        <w:t>, which are foreseen, are minimised</w:t>
      </w:r>
      <w:r w:rsidR="006C77CF">
        <w:rPr>
          <w:rFonts w:ascii="Corbel" w:hAnsi="Corbel"/>
          <w:i w:val="0"/>
          <w:iCs w:val="0"/>
          <w:sz w:val="24"/>
          <w:szCs w:val="24"/>
        </w:rPr>
        <w:t xml:space="preserve">. </w:t>
      </w:r>
      <w:r w:rsidR="0032016E">
        <w:rPr>
          <w:rFonts w:ascii="Corbel" w:hAnsi="Corbel"/>
          <w:i w:val="0"/>
          <w:iCs w:val="0"/>
          <w:sz w:val="24"/>
          <w:szCs w:val="24"/>
        </w:rPr>
        <w:t>S</w:t>
      </w:r>
      <w:r w:rsidR="009D64FF">
        <w:rPr>
          <w:rFonts w:ascii="Corbel" w:hAnsi="Corbel"/>
          <w:i w:val="0"/>
          <w:iCs w:val="0"/>
          <w:sz w:val="24"/>
          <w:szCs w:val="24"/>
        </w:rPr>
        <w:t xml:space="preserve">.2(2) of the OLA 1957 states that occupiers have a </w:t>
      </w:r>
      <w:r w:rsidR="002A7F7A">
        <w:rPr>
          <w:rFonts w:ascii="Corbel" w:hAnsi="Corbel"/>
          <w:i w:val="0"/>
          <w:iCs w:val="0"/>
          <w:sz w:val="24"/>
          <w:szCs w:val="24"/>
        </w:rPr>
        <w:t xml:space="preserve">duty of care to keep visitors reasonably safe for permitted purposes. </w:t>
      </w:r>
      <w:r w:rsidR="003E40CB">
        <w:rPr>
          <w:rFonts w:ascii="Corbel" w:hAnsi="Corbel"/>
          <w:i w:val="0"/>
          <w:iCs w:val="0"/>
          <w:sz w:val="24"/>
          <w:szCs w:val="24"/>
        </w:rPr>
        <w:t>If it is not practicable for an occupier to minimise the risk</w:t>
      </w:r>
      <w:r w:rsidR="004E2FBB">
        <w:rPr>
          <w:rFonts w:ascii="Corbel" w:hAnsi="Corbel"/>
          <w:i w:val="0"/>
          <w:iCs w:val="0"/>
          <w:sz w:val="24"/>
          <w:szCs w:val="24"/>
        </w:rPr>
        <w:t xml:space="preserve"> then they must warn visitors and potential visitors of the risk</w:t>
      </w:r>
      <w:r w:rsidR="005D69F7">
        <w:rPr>
          <w:rFonts w:ascii="Corbel" w:hAnsi="Corbel"/>
          <w:i w:val="0"/>
          <w:iCs w:val="0"/>
          <w:sz w:val="24"/>
          <w:szCs w:val="24"/>
        </w:rPr>
        <w:t xml:space="preserve"> that they may face being on the premises and if they still decide to enter and get injured then this would negate the</w:t>
      </w:r>
      <w:r w:rsidR="003E40CB">
        <w:rPr>
          <w:rFonts w:ascii="Corbel" w:hAnsi="Corbel"/>
          <w:i w:val="0"/>
          <w:iCs w:val="0"/>
          <w:sz w:val="24"/>
          <w:szCs w:val="24"/>
        </w:rPr>
        <w:t xml:space="preserve"> </w:t>
      </w:r>
      <w:r w:rsidR="005D69F7">
        <w:rPr>
          <w:rFonts w:ascii="Corbel" w:hAnsi="Corbel"/>
          <w:i w:val="0"/>
          <w:iCs w:val="0"/>
          <w:sz w:val="24"/>
          <w:szCs w:val="24"/>
        </w:rPr>
        <w:t xml:space="preserve">liability of the occupier </w:t>
      </w:r>
      <w:r w:rsidR="00107586">
        <w:rPr>
          <w:rFonts w:ascii="Corbel" w:hAnsi="Corbel"/>
          <w:i w:val="0"/>
          <w:iCs w:val="0"/>
          <w:sz w:val="24"/>
          <w:szCs w:val="24"/>
        </w:rPr>
        <w:t xml:space="preserve">because consent is a complete defence </w:t>
      </w:r>
      <w:r w:rsidR="005D69F7">
        <w:rPr>
          <w:rFonts w:ascii="Corbel" w:hAnsi="Corbel"/>
          <w:i w:val="0"/>
          <w:iCs w:val="0"/>
          <w:sz w:val="24"/>
          <w:szCs w:val="24"/>
        </w:rPr>
        <w:t xml:space="preserve">which they are afforded as the visitor was aware of what could happen and essentially accepted that was a possibility. </w:t>
      </w:r>
    </w:p>
    <w:p w14:paraId="5A13BAF3" w14:textId="77777777" w:rsidR="006C77CF" w:rsidRDefault="006C77CF" w:rsidP="00C70D0F">
      <w:pPr>
        <w:pStyle w:val="NoSpacing"/>
        <w:jc w:val="both"/>
        <w:rPr>
          <w:rFonts w:ascii="Corbel" w:hAnsi="Corbel"/>
          <w:i w:val="0"/>
          <w:iCs w:val="0"/>
          <w:sz w:val="24"/>
          <w:szCs w:val="24"/>
        </w:rPr>
      </w:pPr>
    </w:p>
    <w:p w14:paraId="291E44CB" w14:textId="58C2B7ED" w:rsidR="00A8453E" w:rsidRDefault="006C77CF" w:rsidP="00C70D0F">
      <w:pPr>
        <w:pStyle w:val="NoSpacing"/>
        <w:jc w:val="both"/>
        <w:rPr>
          <w:rFonts w:ascii="Corbel" w:hAnsi="Corbel"/>
          <w:i w:val="0"/>
          <w:iCs w:val="0"/>
          <w:sz w:val="24"/>
          <w:szCs w:val="24"/>
        </w:rPr>
      </w:pPr>
      <w:r>
        <w:rPr>
          <w:rFonts w:ascii="Corbel" w:hAnsi="Corbel"/>
          <w:i w:val="0"/>
          <w:iCs w:val="0"/>
          <w:sz w:val="24"/>
          <w:szCs w:val="24"/>
        </w:rPr>
        <w:t>The law s</w:t>
      </w:r>
      <w:r w:rsidR="00911607">
        <w:rPr>
          <w:rFonts w:ascii="Corbel" w:hAnsi="Corbel"/>
          <w:i w:val="0"/>
          <w:iCs w:val="0"/>
          <w:sz w:val="24"/>
          <w:szCs w:val="24"/>
        </w:rPr>
        <w:t xml:space="preserve">plits the categorisation into lawful and unlawful visitors. Lawful visitors </w:t>
      </w:r>
      <w:r w:rsidR="00C14B55">
        <w:rPr>
          <w:rFonts w:ascii="Corbel" w:hAnsi="Corbel"/>
          <w:i w:val="0"/>
          <w:iCs w:val="0"/>
          <w:sz w:val="24"/>
          <w:szCs w:val="24"/>
        </w:rPr>
        <w:t xml:space="preserve">are considered to have express or implied permission to be on the premises for its intended use, and unlawful visitors do not have such permission </w:t>
      </w:r>
      <w:r w:rsidR="00E81A10">
        <w:rPr>
          <w:rFonts w:ascii="Corbel" w:hAnsi="Corbel"/>
          <w:i w:val="0"/>
          <w:iCs w:val="0"/>
          <w:sz w:val="24"/>
          <w:szCs w:val="24"/>
        </w:rPr>
        <w:t>–</w:t>
      </w:r>
      <w:r w:rsidR="00C14B55">
        <w:rPr>
          <w:rFonts w:ascii="Corbel" w:hAnsi="Corbel"/>
          <w:i w:val="0"/>
          <w:iCs w:val="0"/>
          <w:sz w:val="24"/>
          <w:szCs w:val="24"/>
        </w:rPr>
        <w:t xml:space="preserve"> </w:t>
      </w:r>
      <w:r w:rsidR="00E81A10">
        <w:rPr>
          <w:rFonts w:ascii="Corbel" w:hAnsi="Corbel"/>
          <w:i w:val="0"/>
          <w:iCs w:val="0"/>
          <w:sz w:val="24"/>
          <w:szCs w:val="24"/>
        </w:rPr>
        <w:t xml:space="preserve">often being referred to as trespassers. </w:t>
      </w:r>
      <w:r w:rsidR="00E81A10">
        <w:rPr>
          <w:rFonts w:ascii="Corbel" w:hAnsi="Corbel"/>
          <w:i w:val="0"/>
          <w:iCs w:val="0"/>
          <w:sz w:val="24"/>
          <w:szCs w:val="24"/>
        </w:rPr>
        <w:lastRenderedPageBreak/>
        <w:t xml:space="preserve">There are also two different pieces of legislation which deals </w:t>
      </w:r>
      <w:r w:rsidR="008038AF">
        <w:rPr>
          <w:rFonts w:ascii="Corbel" w:hAnsi="Corbel"/>
          <w:i w:val="0"/>
          <w:iCs w:val="0"/>
          <w:sz w:val="24"/>
          <w:szCs w:val="24"/>
        </w:rPr>
        <w:t xml:space="preserve">with both sets of visitors. The Occupiers Liability Act 1957 deals with lawful visitors and sets out the legal process for making a </w:t>
      </w:r>
      <w:r w:rsidR="00175BF9">
        <w:rPr>
          <w:rFonts w:ascii="Corbel" w:hAnsi="Corbel"/>
          <w:i w:val="0"/>
          <w:iCs w:val="0"/>
          <w:sz w:val="24"/>
          <w:szCs w:val="24"/>
        </w:rPr>
        <w:t>claim, whereas the Occupiers Liability Act 1984 sets out such legislation for those considered as unlawful visitors.</w:t>
      </w:r>
      <w:r w:rsidR="00B9752B">
        <w:rPr>
          <w:rFonts w:ascii="Corbel" w:hAnsi="Corbel"/>
          <w:i w:val="0"/>
          <w:iCs w:val="0"/>
          <w:sz w:val="24"/>
          <w:szCs w:val="24"/>
        </w:rPr>
        <w:t xml:space="preserve"> Children are also considered lawful visitors </w:t>
      </w:r>
      <w:r w:rsidR="00C33512">
        <w:rPr>
          <w:rFonts w:ascii="Corbel" w:hAnsi="Corbel"/>
          <w:i w:val="0"/>
          <w:iCs w:val="0"/>
          <w:sz w:val="24"/>
          <w:szCs w:val="24"/>
        </w:rPr>
        <w:t xml:space="preserve">and s.2(3)(2) </w:t>
      </w:r>
      <w:r w:rsidR="00C30C98">
        <w:rPr>
          <w:rFonts w:ascii="Corbel" w:hAnsi="Corbel"/>
          <w:i w:val="0"/>
          <w:iCs w:val="0"/>
          <w:sz w:val="24"/>
          <w:szCs w:val="24"/>
        </w:rPr>
        <w:t>states that occupiers must be aware that children will be less careful than adults</w:t>
      </w:r>
      <w:r w:rsidR="00744984">
        <w:rPr>
          <w:rFonts w:ascii="Corbel" w:hAnsi="Corbel"/>
          <w:i w:val="0"/>
          <w:iCs w:val="0"/>
          <w:sz w:val="24"/>
          <w:szCs w:val="24"/>
        </w:rPr>
        <w:t>, and that this responsibility is shared with the parent or legal guardia</w:t>
      </w:r>
      <w:r w:rsidR="00F56BAB">
        <w:rPr>
          <w:rFonts w:ascii="Corbel" w:hAnsi="Corbel"/>
          <w:i w:val="0"/>
          <w:iCs w:val="0"/>
          <w:sz w:val="24"/>
          <w:szCs w:val="24"/>
        </w:rPr>
        <w:t xml:space="preserve">n. However, if an occupier reasonably foresees </w:t>
      </w:r>
      <w:r w:rsidR="00DA188D">
        <w:rPr>
          <w:rFonts w:ascii="Corbel" w:hAnsi="Corbel"/>
          <w:i w:val="0"/>
          <w:iCs w:val="0"/>
          <w:sz w:val="24"/>
          <w:szCs w:val="24"/>
        </w:rPr>
        <w:t xml:space="preserve">a risk which is specifically hazardous to </w:t>
      </w:r>
      <w:r w:rsidR="008D6440">
        <w:rPr>
          <w:rFonts w:ascii="Corbel" w:hAnsi="Corbel"/>
          <w:i w:val="0"/>
          <w:iCs w:val="0"/>
          <w:sz w:val="24"/>
          <w:szCs w:val="24"/>
        </w:rPr>
        <w:t xml:space="preserve">a child, or they are proven to be reckless as to whether </w:t>
      </w:r>
      <w:r w:rsidR="009373C0">
        <w:rPr>
          <w:rFonts w:ascii="Corbel" w:hAnsi="Corbel"/>
          <w:i w:val="0"/>
          <w:iCs w:val="0"/>
          <w:sz w:val="24"/>
          <w:szCs w:val="24"/>
        </w:rPr>
        <w:t xml:space="preserve">a child is injured on their premises then they are expected to take proactive steps to </w:t>
      </w:r>
      <w:r w:rsidR="003D151F">
        <w:rPr>
          <w:rFonts w:ascii="Corbel" w:hAnsi="Corbel"/>
          <w:i w:val="0"/>
          <w:iCs w:val="0"/>
          <w:sz w:val="24"/>
          <w:szCs w:val="24"/>
        </w:rPr>
        <w:t xml:space="preserve">ensure such a risk is as low as possible. </w:t>
      </w:r>
    </w:p>
    <w:p w14:paraId="3E99386D" w14:textId="77777777" w:rsidR="00F43741" w:rsidRDefault="00F43741" w:rsidP="00C70D0F">
      <w:pPr>
        <w:pStyle w:val="NoSpacing"/>
        <w:jc w:val="both"/>
        <w:rPr>
          <w:rFonts w:ascii="Corbel" w:hAnsi="Corbel"/>
          <w:i w:val="0"/>
          <w:iCs w:val="0"/>
          <w:sz w:val="24"/>
          <w:szCs w:val="24"/>
        </w:rPr>
      </w:pPr>
    </w:p>
    <w:p w14:paraId="569BA241" w14:textId="18076003" w:rsidR="00F43741" w:rsidRDefault="00F43741" w:rsidP="00C70D0F">
      <w:pPr>
        <w:pStyle w:val="NoSpacing"/>
        <w:jc w:val="both"/>
        <w:rPr>
          <w:rFonts w:ascii="Corbel" w:hAnsi="Corbel"/>
          <w:i w:val="0"/>
          <w:iCs w:val="0"/>
          <w:sz w:val="24"/>
          <w:szCs w:val="24"/>
        </w:rPr>
      </w:pPr>
      <w:r>
        <w:rPr>
          <w:rFonts w:ascii="Corbel" w:hAnsi="Corbel"/>
          <w:i w:val="0"/>
          <w:iCs w:val="0"/>
          <w:sz w:val="24"/>
          <w:szCs w:val="24"/>
        </w:rPr>
        <w:t xml:space="preserve">In the case of Glasgow v Taylor Corporation (1928) </w:t>
      </w:r>
      <w:r w:rsidR="00572AF6">
        <w:rPr>
          <w:rFonts w:ascii="Corbel" w:hAnsi="Corbel"/>
          <w:i w:val="0"/>
          <w:iCs w:val="0"/>
          <w:sz w:val="24"/>
          <w:szCs w:val="24"/>
        </w:rPr>
        <w:t>Mr. Taylor took his young son to visit the Glasgow Botanic Gardens</w:t>
      </w:r>
      <w:r w:rsidR="005C5DB1">
        <w:rPr>
          <w:rFonts w:ascii="Corbel" w:hAnsi="Corbel"/>
          <w:i w:val="0"/>
          <w:iCs w:val="0"/>
          <w:sz w:val="24"/>
          <w:szCs w:val="24"/>
        </w:rPr>
        <w:t xml:space="preserve">, and after the visit his child died after eating poisonous berries. He </w:t>
      </w:r>
      <w:r w:rsidR="009504CD">
        <w:rPr>
          <w:rFonts w:ascii="Corbel" w:hAnsi="Corbel"/>
          <w:i w:val="0"/>
          <w:iCs w:val="0"/>
          <w:sz w:val="24"/>
          <w:szCs w:val="24"/>
        </w:rPr>
        <w:t xml:space="preserve">sued the Glasgow Corporation for damages on the grounds of negligence, and it was the defences position that they could not be held liable for the actions of the child. It was held that they were liable in this case as they allowed the public access to a poisonous plant with no warning or any alternative to warn visitors, and it could be reasonably foreseen that a child could potentially pick a berry off a plant to eat it, and they were reckless as to whether or not injury or death occurred as a result. </w:t>
      </w:r>
    </w:p>
    <w:p w14:paraId="5F3D85F1" w14:textId="77777777" w:rsidR="00B9752B" w:rsidRDefault="00B9752B" w:rsidP="00C70D0F">
      <w:pPr>
        <w:pStyle w:val="NoSpacing"/>
        <w:jc w:val="both"/>
        <w:rPr>
          <w:rFonts w:ascii="Corbel" w:hAnsi="Corbel"/>
          <w:i w:val="0"/>
          <w:iCs w:val="0"/>
          <w:sz w:val="24"/>
          <w:szCs w:val="24"/>
        </w:rPr>
      </w:pPr>
    </w:p>
    <w:p w14:paraId="17323EE5" w14:textId="01C067D0" w:rsidR="00A8453E" w:rsidRPr="000243F6" w:rsidRDefault="00A8453E" w:rsidP="00C70D0F">
      <w:pPr>
        <w:pStyle w:val="NoSpacing"/>
        <w:jc w:val="both"/>
        <w:rPr>
          <w:rFonts w:ascii="Corbel" w:hAnsi="Corbel"/>
          <w:i w:val="0"/>
          <w:iCs w:val="0"/>
          <w:sz w:val="24"/>
          <w:szCs w:val="24"/>
        </w:rPr>
      </w:pPr>
      <w:r>
        <w:rPr>
          <w:rFonts w:ascii="Corbel" w:hAnsi="Corbel"/>
          <w:i w:val="0"/>
          <w:iCs w:val="0"/>
          <w:sz w:val="24"/>
          <w:szCs w:val="24"/>
        </w:rPr>
        <w:t xml:space="preserve">When it comes to lawful visitors, there are </w:t>
      </w:r>
      <w:r w:rsidR="00963FBB">
        <w:rPr>
          <w:rFonts w:ascii="Corbel" w:hAnsi="Corbel"/>
          <w:i w:val="0"/>
          <w:iCs w:val="0"/>
          <w:sz w:val="24"/>
          <w:szCs w:val="24"/>
        </w:rPr>
        <w:t xml:space="preserve">two types of visitor that can enter a premises and these are express visitors who have an invitation to be on the premises, and implied visitors who are </w:t>
      </w:r>
      <w:r w:rsidR="00F97661">
        <w:rPr>
          <w:rFonts w:ascii="Corbel" w:hAnsi="Corbel"/>
          <w:i w:val="0"/>
          <w:iCs w:val="0"/>
          <w:sz w:val="24"/>
          <w:szCs w:val="24"/>
        </w:rPr>
        <w:t xml:space="preserve">not expressly invited on to the property but it is accepted by the occupier that they need to be on the premises – these types of people could be the post man at your home or someone delivering food. </w:t>
      </w:r>
      <w:r w:rsidR="00136444">
        <w:rPr>
          <w:rFonts w:ascii="Corbel" w:hAnsi="Corbel"/>
          <w:i w:val="0"/>
          <w:iCs w:val="0"/>
          <w:sz w:val="24"/>
          <w:szCs w:val="24"/>
        </w:rPr>
        <w:t xml:space="preserve">Even visitors who have been invited on to the premises can have a limited invitation with regards to where on the premises they can go limiting them to a specific area, or limit that they are there for a specific amount of time. </w:t>
      </w:r>
      <w:r w:rsidR="005F2075">
        <w:rPr>
          <w:rFonts w:ascii="Corbel" w:hAnsi="Corbel"/>
          <w:i w:val="0"/>
          <w:iCs w:val="0"/>
          <w:sz w:val="24"/>
          <w:szCs w:val="24"/>
        </w:rPr>
        <w:t xml:space="preserve">In the case of The </w:t>
      </w:r>
      <w:proofErr w:type="spellStart"/>
      <w:r w:rsidR="005F2075">
        <w:rPr>
          <w:rFonts w:ascii="Corbel" w:hAnsi="Corbel"/>
          <w:i w:val="0"/>
          <w:iCs w:val="0"/>
          <w:sz w:val="24"/>
          <w:szCs w:val="24"/>
        </w:rPr>
        <w:t>Calgarth</w:t>
      </w:r>
      <w:proofErr w:type="spellEnd"/>
      <w:r w:rsidR="005F2075">
        <w:rPr>
          <w:rFonts w:ascii="Corbel" w:hAnsi="Corbel"/>
          <w:i w:val="0"/>
          <w:iCs w:val="0"/>
          <w:sz w:val="24"/>
          <w:szCs w:val="24"/>
        </w:rPr>
        <w:t xml:space="preserve"> (1927),</w:t>
      </w:r>
      <w:r w:rsidR="006E4FDB">
        <w:rPr>
          <w:rFonts w:ascii="Corbel" w:hAnsi="Corbel"/>
          <w:i w:val="0"/>
          <w:iCs w:val="0"/>
          <w:sz w:val="24"/>
          <w:szCs w:val="24"/>
        </w:rPr>
        <w:t xml:space="preserve"> Lord Justice </w:t>
      </w:r>
      <w:proofErr w:type="spellStart"/>
      <w:r w:rsidR="006E4FDB">
        <w:rPr>
          <w:rFonts w:ascii="Corbel" w:hAnsi="Corbel"/>
          <w:i w:val="0"/>
          <w:iCs w:val="0"/>
          <w:sz w:val="24"/>
          <w:szCs w:val="24"/>
        </w:rPr>
        <w:t>Scrutton</w:t>
      </w:r>
      <w:proofErr w:type="spellEnd"/>
      <w:r w:rsidR="006E4FDB">
        <w:rPr>
          <w:rFonts w:ascii="Corbel" w:hAnsi="Corbel"/>
          <w:i w:val="0"/>
          <w:iCs w:val="0"/>
          <w:sz w:val="24"/>
          <w:szCs w:val="24"/>
        </w:rPr>
        <w:t xml:space="preserve"> put it brilliantly when he </w:t>
      </w:r>
      <w:r w:rsidR="004E2FBB">
        <w:rPr>
          <w:rFonts w:ascii="Corbel" w:hAnsi="Corbel"/>
          <w:i w:val="0"/>
          <w:iCs w:val="0"/>
          <w:sz w:val="24"/>
          <w:szCs w:val="24"/>
        </w:rPr>
        <w:t xml:space="preserve">said: </w:t>
      </w:r>
      <w:r w:rsidR="006E4FDB">
        <w:rPr>
          <w:rFonts w:ascii="Corbel" w:hAnsi="Corbel"/>
          <w:sz w:val="24"/>
          <w:szCs w:val="24"/>
        </w:rPr>
        <w:t>“</w:t>
      </w:r>
      <w:r w:rsidR="00717A9E">
        <w:rPr>
          <w:rFonts w:ascii="Corbel" w:hAnsi="Corbel"/>
          <w:sz w:val="24"/>
          <w:szCs w:val="24"/>
        </w:rPr>
        <w:t>when you invite a person into your home to use the staircase, you do not invite them to slide down the bannisters.”</w:t>
      </w:r>
      <w:r w:rsidR="000243F6">
        <w:rPr>
          <w:rFonts w:ascii="Corbel" w:hAnsi="Corbel"/>
          <w:i w:val="0"/>
          <w:iCs w:val="0"/>
          <w:sz w:val="24"/>
          <w:szCs w:val="24"/>
        </w:rPr>
        <w:t xml:space="preserve"> </w:t>
      </w:r>
    </w:p>
    <w:p w14:paraId="11F06272" w14:textId="77777777" w:rsidR="001002F8" w:rsidRDefault="001002F8" w:rsidP="00C70D0F">
      <w:pPr>
        <w:pStyle w:val="NoSpacing"/>
        <w:jc w:val="both"/>
        <w:rPr>
          <w:rFonts w:ascii="Corbel" w:hAnsi="Corbel"/>
          <w:i w:val="0"/>
          <w:iCs w:val="0"/>
          <w:sz w:val="24"/>
          <w:szCs w:val="24"/>
        </w:rPr>
      </w:pPr>
    </w:p>
    <w:p w14:paraId="1549F4CF" w14:textId="77777777" w:rsidR="00DF0EC0" w:rsidRDefault="001002F8" w:rsidP="00C70D0F">
      <w:pPr>
        <w:pStyle w:val="NoSpacing"/>
        <w:jc w:val="both"/>
        <w:rPr>
          <w:rFonts w:ascii="Corbel" w:hAnsi="Corbel"/>
          <w:i w:val="0"/>
          <w:iCs w:val="0"/>
          <w:sz w:val="24"/>
          <w:szCs w:val="24"/>
        </w:rPr>
      </w:pPr>
      <w:r>
        <w:rPr>
          <w:rFonts w:ascii="Corbel" w:hAnsi="Corbel"/>
          <w:i w:val="0"/>
          <w:iCs w:val="0"/>
          <w:sz w:val="24"/>
          <w:szCs w:val="24"/>
        </w:rPr>
        <w:t>Before a claim for Occupier’s Liability can be brought</w:t>
      </w:r>
      <w:r w:rsidR="000822E1">
        <w:rPr>
          <w:rFonts w:ascii="Corbel" w:hAnsi="Corbel"/>
          <w:i w:val="0"/>
          <w:iCs w:val="0"/>
          <w:sz w:val="24"/>
          <w:szCs w:val="24"/>
        </w:rPr>
        <w:t xml:space="preserve"> however, there a few </w:t>
      </w:r>
      <w:r w:rsidR="007204C4">
        <w:rPr>
          <w:rFonts w:ascii="Corbel" w:hAnsi="Corbel"/>
          <w:i w:val="0"/>
          <w:iCs w:val="0"/>
          <w:sz w:val="24"/>
          <w:szCs w:val="24"/>
        </w:rPr>
        <w:t>points need to be explored, such as factual and legal causation, with factual needing to be proven before legal</w:t>
      </w:r>
      <w:r w:rsidR="00D70D03">
        <w:rPr>
          <w:rFonts w:ascii="Corbel" w:hAnsi="Corbel"/>
          <w:i w:val="0"/>
          <w:iCs w:val="0"/>
          <w:sz w:val="24"/>
          <w:szCs w:val="24"/>
        </w:rPr>
        <w:t xml:space="preserve"> and if you cannot prove causation then a case ultimately fails and proceedings cannot be brought.</w:t>
      </w:r>
      <w:r w:rsidR="00264D38">
        <w:rPr>
          <w:rFonts w:ascii="Corbel" w:hAnsi="Corbel"/>
          <w:i w:val="0"/>
          <w:iCs w:val="0"/>
          <w:sz w:val="24"/>
          <w:szCs w:val="24"/>
        </w:rPr>
        <w:t xml:space="preserve"> </w:t>
      </w:r>
      <w:r w:rsidR="00F267A5">
        <w:rPr>
          <w:rFonts w:ascii="Corbel" w:hAnsi="Corbel"/>
          <w:i w:val="0"/>
          <w:iCs w:val="0"/>
          <w:sz w:val="24"/>
          <w:szCs w:val="24"/>
        </w:rPr>
        <w:t>The main component of causation or</w:t>
      </w:r>
      <w:r w:rsidR="00DF3D9C">
        <w:rPr>
          <w:rFonts w:ascii="Corbel" w:hAnsi="Corbel"/>
          <w:i w:val="0"/>
          <w:iCs w:val="0"/>
          <w:sz w:val="24"/>
          <w:szCs w:val="24"/>
        </w:rPr>
        <w:t xml:space="preserve"> the method applied to cases to establish causation is called the but for test. In simple terms that means </w:t>
      </w:r>
      <w:r w:rsidR="00925094">
        <w:rPr>
          <w:rFonts w:ascii="Corbel" w:hAnsi="Corbel"/>
          <w:i w:val="0"/>
          <w:iCs w:val="0"/>
          <w:sz w:val="24"/>
          <w:szCs w:val="24"/>
        </w:rPr>
        <w:t>when applying it to a scenario, you ask would the same outcome have been achieved if a specific chain of events did not occur, such as the intervening act of a third pa</w:t>
      </w:r>
      <w:r w:rsidR="00167AFC">
        <w:rPr>
          <w:rFonts w:ascii="Corbel" w:hAnsi="Corbel"/>
          <w:i w:val="0"/>
          <w:iCs w:val="0"/>
          <w:sz w:val="24"/>
          <w:szCs w:val="24"/>
        </w:rPr>
        <w:t>rty or the actions of the claimant, for example.</w:t>
      </w:r>
      <w:r w:rsidR="00F206EB">
        <w:rPr>
          <w:rFonts w:ascii="Corbel" w:hAnsi="Corbel"/>
          <w:i w:val="0"/>
          <w:iCs w:val="0"/>
          <w:sz w:val="24"/>
          <w:szCs w:val="24"/>
        </w:rPr>
        <w:t xml:space="preserve"> </w:t>
      </w:r>
    </w:p>
    <w:p w14:paraId="538D2A85" w14:textId="77777777" w:rsidR="00DF0EC0" w:rsidRDefault="00DF0EC0" w:rsidP="00C70D0F">
      <w:pPr>
        <w:pStyle w:val="NoSpacing"/>
        <w:jc w:val="both"/>
        <w:rPr>
          <w:rFonts w:ascii="Corbel" w:hAnsi="Corbel"/>
          <w:i w:val="0"/>
          <w:iCs w:val="0"/>
          <w:sz w:val="24"/>
          <w:szCs w:val="24"/>
        </w:rPr>
      </w:pPr>
    </w:p>
    <w:p w14:paraId="0B3E70B3" w14:textId="13C5EA7F" w:rsidR="001002F8" w:rsidRDefault="00DF0EC0" w:rsidP="00C70D0F">
      <w:pPr>
        <w:pStyle w:val="NoSpacing"/>
        <w:jc w:val="both"/>
        <w:rPr>
          <w:rFonts w:ascii="Corbel" w:hAnsi="Corbel"/>
          <w:i w:val="0"/>
          <w:iCs w:val="0"/>
          <w:sz w:val="24"/>
          <w:szCs w:val="24"/>
        </w:rPr>
      </w:pPr>
      <w:r>
        <w:rPr>
          <w:rFonts w:ascii="Corbel" w:hAnsi="Corbel"/>
          <w:i w:val="0"/>
          <w:iCs w:val="0"/>
          <w:sz w:val="24"/>
          <w:szCs w:val="24"/>
        </w:rPr>
        <w:t xml:space="preserve"> </w:t>
      </w:r>
      <w:r w:rsidR="00862223">
        <w:rPr>
          <w:rFonts w:ascii="Corbel" w:hAnsi="Corbel"/>
          <w:i w:val="0"/>
          <w:iCs w:val="0"/>
          <w:sz w:val="24"/>
          <w:szCs w:val="24"/>
        </w:rPr>
        <w:t>The</w:t>
      </w:r>
      <w:r>
        <w:rPr>
          <w:rFonts w:ascii="Corbel" w:hAnsi="Corbel"/>
          <w:i w:val="0"/>
          <w:iCs w:val="0"/>
          <w:sz w:val="24"/>
          <w:szCs w:val="24"/>
        </w:rPr>
        <w:t xml:space="preserve"> </w:t>
      </w:r>
      <w:r w:rsidR="00FE2A21">
        <w:rPr>
          <w:rFonts w:ascii="Corbel" w:hAnsi="Corbel"/>
          <w:i w:val="0"/>
          <w:iCs w:val="0"/>
          <w:sz w:val="24"/>
          <w:szCs w:val="24"/>
        </w:rPr>
        <w:t>case of Barnett v Chelsea &amp; Kensington Hospital (1969)</w:t>
      </w:r>
      <w:r w:rsidR="00F8152D">
        <w:rPr>
          <w:rFonts w:ascii="Corbel" w:hAnsi="Corbel"/>
          <w:i w:val="0"/>
          <w:iCs w:val="0"/>
          <w:sz w:val="24"/>
          <w:szCs w:val="24"/>
        </w:rPr>
        <w:t xml:space="preserve">, </w:t>
      </w:r>
      <w:r w:rsidR="0023765F">
        <w:rPr>
          <w:rFonts w:ascii="Corbel" w:hAnsi="Corbel"/>
          <w:i w:val="0"/>
          <w:iCs w:val="0"/>
          <w:sz w:val="24"/>
          <w:szCs w:val="24"/>
        </w:rPr>
        <w:t xml:space="preserve">where </w:t>
      </w:r>
      <w:r w:rsidR="003D2413">
        <w:rPr>
          <w:rFonts w:ascii="Corbel" w:hAnsi="Corbel"/>
          <w:i w:val="0"/>
          <w:iCs w:val="0"/>
          <w:sz w:val="24"/>
          <w:szCs w:val="24"/>
        </w:rPr>
        <w:t xml:space="preserve">Mr. Barnett who attended the hospital presenting with symptoms of vomiting and severe abdominal pain. </w:t>
      </w:r>
      <w:r w:rsidR="005E4538">
        <w:rPr>
          <w:rFonts w:ascii="Corbel" w:hAnsi="Corbel"/>
          <w:i w:val="0"/>
          <w:iCs w:val="0"/>
          <w:sz w:val="24"/>
          <w:szCs w:val="24"/>
        </w:rPr>
        <w:t xml:space="preserve">When he was examined it was by a nurse and his only contact or medical advice from a doctor came from her via a telephone conversation she had with the doctor, meaning Mr. Barnett never directly spoke to anyone other than the nurse. </w:t>
      </w:r>
      <w:r w:rsidR="00BE670E">
        <w:rPr>
          <w:rFonts w:ascii="Corbel" w:hAnsi="Corbel"/>
          <w:i w:val="0"/>
          <w:iCs w:val="0"/>
          <w:sz w:val="24"/>
          <w:szCs w:val="24"/>
        </w:rPr>
        <w:t xml:space="preserve">The advice the doctor gave the nurse was to send him home with medication and to </w:t>
      </w:r>
      <w:r w:rsidR="00945E13">
        <w:rPr>
          <w:rFonts w:ascii="Corbel" w:hAnsi="Corbel"/>
          <w:i w:val="0"/>
          <w:iCs w:val="0"/>
          <w:sz w:val="24"/>
          <w:szCs w:val="24"/>
        </w:rPr>
        <w:t xml:space="preserve">tell him to contact his family GP the following morning. Mr. Barnett left the hospital and died at home several hours later with a </w:t>
      </w:r>
      <w:r w:rsidR="007B2CA1">
        <w:rPr>
          <w:rFonts w:ascii="Corbel" w:hAnsi="Corbel"/>
          <w:i w:val="0"/>
          <w:iCs w:val="0"/>
          <w:sz w:val="24"/>
          <w:szCs w:val="24"/>
        </w:rPr>
        <w:t>post-mortem</w:t>
      </w:r>
      <w:r w:rsidR="00945E13">
        <w:rPr>
          <w:rFonts w:ascii="Corbel" w:hAnsi="Corbel"/>
          <w:i w:val="0"/>
          <w:iCs w:val="0"/>
          <w:sz w:val="24"/>
          <w:szCs w:val="24"/>
        </w:rPr>
        <w:t xml:space="preserve"> showing that he </w:t>
      </w:r>
      <w:r w:rsidR="00F8152D">
        <w:rPr>
          <w:rFonts w:ascii="Corbel" w:hAnsi="Corbel"/>
          <w:i w:val="0"/>
          <w:iCs w:val="0"/>
          <w:sz w:val="24"/>
          <w:szCs w:val="24"/>
        </w:rPr>
        <w:t xml:space="preserve">had suffered from arsenic </w:t>
      </w:r>
      <w:r w:rsidR="007B2CA1">
        <w:rPr>
          <w:rFonts w:ascii="Corbel" w:hAnsi="Corbel"/>
          <w:i w:val="0"/>
          <w:iCs w:val="0"/>
          <w:sz w:val="24"/>
          <w:szCs w:val="24"/>
        </w:rPr>
        <w:t>poisoning</w:t>
      </w:r>
      <w:r w:rsidR="00F8152D">
        <w:rPr>
          <w:rFonts w:ascii="Corbel" w:hAnsi="Corbel"/>
          <w:i w:val="0"/>
          <w:iCs w:val="0"/>
          <w:sz w:val="24"/>
          <w:szCs w:val="24"/>
        </w:rPr>
        <w:t xml:space="preserve">. </w:t>
      </w:r>
      <w:r w:rsidR="006303E2">
        <w:rPr>
          <w:rFonts w:ascii="Corbel" w:hAnsi="Corbel"/>
          <w:i w:val="0"/>
          <w:iCs w:val="0"/>
          <w:sz w:val="24"/>
          <w:szCs w:val="24"/>
        </w:rPr>
        <w:t xml:space="preserve">This case introduced the </w:t>
      </w:r>
      <w:proofErr w:type="spellStart"/>
      <w:r w:rsidR="006303E2">
        <w:rPr>
          <w:rFonts w:ascii="Corbel" w:hAnsi="Corbel"/>
          <w:i w:val="0"/>
          <w:iCs w:val="0"/>
          <w:sz w:val="24"/>
          <w:szCs w:val="24"/>
        </w:rPr>
        <w:t>but</w:t>
      </w:r>
      <w:proofErr w:type="spellEnd"/>
      <w:r w:rsidR="006303E2">
        <w:rPr>
          <w:rFonts w:ascii="Corbel" w:hAnsi="Corbel"/>
          <w:i w:val="0"/>
          <w:iCs w:val="0"/>
          <w:sz w:val="24"/>
          <w:szCs w:val="24"/>
        </w:rPr>
        <w:t>-</w:t>
      </w:r>
      <w:r w:rsidR="006303E2">
        <w:rPr>
          <w:rFonts w:ascii="Corbel" w:hAnsi="Corbel"/>
          <w:i w:val="0"/>
          <w:iCs w:val="0"/>
          <w:sz w:val="24"/>
          <w:szCs w:val="24"/>
        </w:rPr>
        <w:lastRenderedPageBreak/>
        <w:t xml:space="preserve">for </w:t>
      </w:r>
      <w:r w:rsidR="00FA634F">
        <w:rPr>
          <w:rFonts w:ascii="Corbel" w:hAnsi="Corbel"/>
          <w:i w:val="0"/>
          <w:iCs w:val="0"/>
          <w:sz w:val="24"/>
          <w:szCs w:val="24"/>
        </w:rPr>
        <w:t>test and asked t</w:t>
      </w:r>
      <w:r w:rsidR="000C3F48">
        <w:rPr>
          <w:rFonts w:ascii="Corbel" w:hAnsi="Corbel"/>
          <w:i w:val="0"/>
          <w:iCs w:val="0"/>
          <w:sz w:val="24"/>
          <w:szCs w:val="24"/>
        </w:rPr>
        <w:t>he question would Mr. Barnet</w:t>
      </w:r>
      <w:r w:rsidR="00E034EC">
        <w:rPr>
          <w:rFonts w:ascii="Corbel" w:hAnsi="Corbel"/>
          <w:i w:val="0"/>
          <w:iCs w:val="0"/>
          <w:sz w:val="24"/>
          <w:szCs w:val="24"/>
        </w:rPr>
        <w:t>t</w:t>
      </w:r>
      <w:r w:rsidR="000C3F48">
        <w:rPr>
          <w:rFonts w:ascii="Corbel" w:hAnsi="Corbel"/>
          <w:i w:val="0"/>
          <w:iCs w:val="0"/>
          <w:sz w:val="24"/>
          <w:szCs w:val="24"/>
        </w:rPr>
        <w:t xml:space="preserve"> have survived if the doctor had examined him directly? </w:t>
      </w:r>
      <w:r w:rsidR="00700407">
        <w:rPr>
          <w:rFonts w:ascii="Corbel" w:hAnsi="Corbel"/>
          <w:i w:val="0"/>
          <w:iCs w:val="0"/>
          <w:sz w:val="24"/>
          <w:szCs w:val="24"/>
        </w:rPr>
        <w:t xml:space="preserve">It was decided that by the time he presented at the hospital, his condition was so severe that he would have died anyway, and it was held that this broke the chain of </w:t>
      </w:r>
      <w:r w:rsidR="00862223">
        <w:rPr>
          <w:rFonts w:ascii="Corbel" w:hAnsi="Corbel"/>
          <w:i w:val="0"/>
          <w:iCs w:val="0"/>
          <w:sz w:val="24"/>
          <w:szCs w:val="24"/>
        </w:rPr>
        <w:t>causation,</w:t>
      </w:r>
      <w:r w:rsidR="00700407">
        <w:rPr>
          <w:rFonts w:ascii="Corbel" w:hAnsi="Corbel"/>
          <w:i w:val="0"/>
          <w:iCs w:val="0"/>
          <w:sz w:val="24"/>
          <w:szCs w:val="24"/>
        </w:rPr>
        <w:t xml:space="preserve"> so the hospital was not liable for his death. </w:t>
      </w:r>
    </w:p>
    <w:p w14:paraId="25431F3D" w14:textId="77777777" w:rsidR="0028406B" w:rsidRDefault="0028406B" w:rsidP="00C70D0F">
      <w:pPr>
        <w:pStyle w:val="NoSpacing"/>
        <w:jc w:val="both"/>
        <w:rPr>
          <w:rFonts w:ascii="Corbel" w:hAnsi="Corbel"/>
          <w:i w:val="0"/>
          <w:iCs w:val="0"/>
          <w:sz w:val="24"/>
          <w:szCs w:val="24"/>
        </w:rPr>
      </w:pPr>
    </w:p>
    <w:p w14:paraId="045A82CC" w14:textId="7B71E14B" w:rsidR="0028406B" w:rsidRDefault="00B13718" w:rsidP="00C70D0F">
      <w:pPr>
        <w:pStyle w:val="NoSpacing"/>
        <w:jc w:val="both"/>
        <w:rPr>
          <w:rFonts w:ascii="Corbel" w:hAnsi="Corbel"/>
          <w:i w:val="0"/>
          <w:iCs w:val="0"/>
          <w:sz w:val="24"/>
          <w:szCs w:val="24"/>
        </w:rPr>
      </w:pPr>
      <w:r>
        <w:rPr>
          <w:rFonts w:ascii="Corbel" w:hAnsi="Corbel"/>
          <w:i w:val="0"/>
          <w:iCs w:val="0"/>
          <w:sz w:val="24"/>
          <w:szCs w:val="24"/>
        </w:rPr>
        <w:t>There are several defences open to defendants in Occupier’s Liability cases and these can include</w:t>
      </w:r>
      <w:r w:rsidR="00BC64EC">
        <w:rPr>
          <w:rFonts w:ascii="Corbel" w:hAnsi="Corbel"/>
          <w:i w:val="0"/>
          <w:iCs w:val="0"/>
          <w:sz w:val="24"/>
          <w:szCs w:val="24"/>
        </w:rPr>
        <w:t xml:space="preserve"> full defences such as illegality – if a person is injured on a premises while in the commission of a criminal act then they cannot bring a claim against the occupier for that incident. As mentioned earlier there is also the defence of </w:t>
      </w:r>
      <w:r w:rsidR="00541062">
        <w:rPr>
          <w:rFonts w:ascii="Corbel" w:hAnsi="Corbel"/>
          <w:i w:val="0"/>
          <w:iCs w:val="0"/>
          <w:sz w:val="24"/>
          <w:szCs w:val="24"/>
        </w:rPr>
        <w:t xml:space="preserve">consent where visitors accept the risk and still agree or volunteer to enter the premises anyway. These are considered complete defences </w:t>
      </w:r>
      <w:r w:rsidR="00F77FEB">
        <w:rPr>
          <w:rFonts w:ascii="Corbel" w:hAnsi="Corbel"/>
          <w:i w:val="0"/>
          <w:iCs w:val="0"/>
          <w:sz w:val="24"/>
          <w:szCs w:val="24"/>
        </w:rPr>
        <w:t xml:space="preserve">meaning the occupier can use either of these to completely defend themselves against liability. </w:t>
      </w:r>
      <w:r w:rsidR="00AC5EA8">
        <w:rPr>
          <w:rFonts w:ascii="Corbel" w:hAnsi="Corbel"/>
          <w:i w:val="0"/>
          <w:iCs w:val="0"/>
          <w:sz w:val="24"/>
          <w:szCs w:val="24"/>
        </w:rPr>
        <w:t xml:space="preserve">Then there </w:t>
      </w:r>
      <w:r w:rsidR="00605EED">
        <w:rPr>
          <w:rFonts w:ascii="Corbel" w:hAnsi="Corbel"/>
          <w:i w:val="0"/>
          <w:iCs w:val="0"/>
          <w:sz w:val="24"/>
          <w:szCs w:val="24"/>
        </w:rPr>
        <w:t>is</w:t>
      </w:r>
      <w:r w:rsidR="00AC5EA8">
        <w:rPr>
          <w:rFonts w:ascii="Corbel" w:hAnsi="Corbel"/>
          <w:i w:val="0"/>
          <w:iCs w:val="0"/>
          <w:sz w:val="24"/>
          <w:szCs w:val="24"/>
        </w:rPr>
        <w:t xml:space="preserve"> the defence of contributory negligence </w:t>
      </w:r>
      <w:r w:rsidR="00605EED">
        <w:rPr>
          <w:rFonts w:ascii="Corbel" w:hAnsi="Corbel"/>
          <w:i w:val="0"/>
          <w:iCs w:val="0"/>
          <w:sz w:val="24"/>
          <w:szCs w:val="24"/>
        </w:rPr>
        <w:t xml:space="preserve">which is a partial defence and will release the occupier of some liability – these types of cases could be </w:t>
      </w:r>
      <w:r w:rsidR="00EE5A4D">
        <w:rPr>
          <w:rFonts w:ascii="Corbel" w:hAnsi="Corbel"/>
          <w:i w:val="0"/>
          <w:iCs w:val="0"/>
          <w:sz w:val="24"/>
          <w:szCs w:val="24"/>
        </w:rPr>
        <w:t xml:space="preserve">for example being the passenger in a car accident and the driver has crashed but you were not wearing a seat belt – thus potentially contributing to your injuries. </w:t>
      </w:r>
    </w:p>
    <w:p w14:paraId="1F0251F4" w14:textId="77777777" w:rsidR="00153966" w:rsidRDefault="00153966" w:rsidP="00C70D0F">
      <w:pPr>
        <w:pStyle w:val="NoSpacing"/>
        <w:jc w:val="both"/>
        <w:rPr>
          <w:rFonts w:ascii="Corbel" w:hAnsi="Corbel"/>
          <w:i w:val="0"/>
          <w:iCs w:val="0"/>
          <w:sz w:val="24"/>
          <w:szCs w:val="24"/>
        </w:rPr>
      </w:pPr>
    </w:p>
    <w:p w14:paraId="4D063708" w14:textId="5FF688A8" w:rsidR="00153966" w:rsidRDefault="000A2DF9" w:rsidP="00C70D0F">
      <w:pPr>
        <w:pStyle w:val="NoSpacing"/>
        <w:jc w:val="both"/>
        <w:rPr>
          <w:rFonts w:ascii="Corbel" w:hAnsi="Corbel"/>
          <w:i w:val="0"/>
          <w:iCs w:val="0"/>
          <w:sz w:val="24"/>
          <w:szCs w:val="24"/>
        </w:rPr>
      </w:pPr>
      <w:r>
        <w:rPr>
          <w:rFonts w:ascii="Corbel" w:hAnsi="Corbel"/>
          <w:i w:val="0"/>
          <w:iCs w:val="0"/>
          <w:sz w:val="24"/>
          <w:szCs w:val="24"/>
        </w:rPr>
        <w:t xml:space="preserve">Through the research I have conducted and the class discussions, particularly surrounding the duty of care in relation to children I do not think there are any significant suggestions for reform with regards to </w:t>
      </w:r>
      <w:r w:rsidR="00411F32">
        <w:rPr>
          <w:rFonts w:ascii="Corbel" w:hAnsi="Corbel"/>
          <w:i w:val="0"/>
          <w:iCs w:val="0"/>
          <w:sz w:val="24"/>
          <w:szCs w:val="24"/>
        </w:rPr>
        <w:t>occupiers’</w:t>
      </w:r>
      <w:r>
        <w:rPr>
          <w:rFonts w:ascii="Corbel" w:hAnsi="Corbel"/>
          <w:i w:val="0"/>
          <w:iCs w:val="0"/>
          <w:sz w:val="24"/>
          <w:szCs w:val="24"/>
        </w:rPr>
        <w:t xml:space="preserve"> liability that I have come across </w:t>
      </w:r>
      <w:r w:rsidR="00B43069">
        <w:rPr>
          <w:rFonts w:ascii="Corbel" w:hAnsi="Corbel"/>
          <w:i w:val="0"/>
          <w:iCs w:val="0"/>
          <w:sz w:val="24"/>
          <w:szCs w:val="24"/>
        </w:rPr>
        <w:t xml:space="preserve">through both legislation and case law. It has also been asked whether parents sharing liability with </w:t>
      </w:r>
      <w:r w:rsidR="00411F32">
        <w:rPr>
          <w:rFonts w:ascii="Corbel" w:hAnsi="Corbel"/>
          <w:i w:val="0"/>
          <w:iCs w:val="0"/>
          <w:sz w:val="24"/>
          <w:szCs w:val="24"/>
        </w:rPr>
        <w:t>occupiers</w:t>
      </w:r>
      <w:r w:rsidR="00B43069">
        <w:rPr>
          <w:rFonts w:ascii="Corbel" w:hAnsi="Corbel"/>
          <w:i w:val="0"/>
          <w:iCs w:val="0"/>
          <w:sz w:val="24"/>
          <w:szCs w:val="24"/>
        </w:rPr>
        <w:t xml:space="preserve"> for accidents that their children may </w:t>
      </w:r>
      <w:r w:rsidR="00411F32">
        <w:rPr>
          <w:rFonts w:ascii="Corbel" w:hAnsi="Corbel"/>
          <w:i w:val="0"/>
          <w:iCs w:val="0"/>
          <w:sz w:val="24"/>
          <w:szCs w:val="24"/>
        </w:rPr>
        <w:t>suffer when visiting a premises is fair, a</w:t>
      </w:r>
      <w:r w:rsidR="00284A3F">
        <w:rPr>
          <w:rFonts w:ascii="Corbel" w:hAnsi="Corbel"/>
          <w:i w:val="0"/>
          <w:iCs w:val="0"/>
          <w:sz w:val="24"/>
          <w:szCs w:val="24"/>
        </w:rPr>
        <w:t xml:space="preserve">nd I think that is a fair point within the legislation as it is the parents or guardians that have ultimate responsibility for their children </w:t>
      </w:r>
      <w:r w:rsidR="00AB055B">
        <w:rPr>
          <w:rFonts w:ascii="Corbel" w:hAnsi="Corbel"/>
          <w:i w:val="0"/>
          <w:iCs w:val="0"/>
          <w:sz w:val="24"/>
          <w:szCs w:val="24"/>
        </w:rPr>
        <w:t xml:space="preserve">when they are in their care, and it is those care givers who bare the ultimate responsibility to ensure that child is free from harm. </w:t>
      </w:r>
      <w:proofErr w:type="gramStart"/>
      <w:r w:rsidR="007C5546">
        <w:rPr>
          <w:rFonts w:ascii="Corbel" w:hAnsi="Corbel"/>
          <w:i w:val="0"/>
          <w:iCs w:val="0"/>
          <w:sz w:val="24"/>
          <w:szCs w:val="24"/>
        </w:rPr>
        <w:t>So</w:t>
      </w:r>
      <w:proofErr w:type="gramEnd"/>
      <w:r w:rsidR="007C5546">
        <w:rPr>
          <w:rFonts w:ascii="Corbel" w:hAnsi="Corbel"/>
          <w:i w:val="0"/>
          <w:iCs w:val="0"/>
          <w:sz w:val="24"/>
          <w:szCs w:val="24"/>
        </w:rPr>
        <w:t xml:space="preserve"> considering that they at the time they are on the premises also share the duty of care to keep them safe it is only fair that they share the liability if an accident were to occur.</w:t>
      </w:r>
    </w:p>
    <w:p w14:paraId="7430C0C3" w14:textId="77777777" w:rsidR="007C5546" w:rsidRDefault="007C5546" w:rsidP="00C70D0F">
      <w:pPr>
        <w:pStyle w:val="NoSpacing"/>
        <w:jc w:val="both"/>
        <w:rPr>
          <w:rFonts w:ascii="Corbel" w:hAnsi="Corbel"/>
          <w:i w:val="0"/>
          <w:iCs w:val="0"/>
          <w:sz w:val="24"/>
          <w:szCs w:val="24"/>
        </w:rPr>
      </w:pPr>
    </w:p>
    <w:p w14:paraId="33248C4D" w14:textId="466A2B4B" w:rsidR="007C5546" w:rsidRDefault="007C5546" w:rsidP="00C70D0F">
      <w:pPr>
        <w:pStyle w:val="NoSpacing"/>
        <w:jc w:val="both"/>
        <w:rPr>
          <w:rFonts w:ascii="Corbel" w:hAnsi="Corbel"/>
          <w:i w:val="0"/>
          <w:iCs w:val="0"/>
          <w:sz w:val="24"/>
          <w:szCs w:val="24"/>
        </w:rPr>
      </w:pPr>
      <w:r>
        <w:rPr>
          <w:rFonts w:ascii="Corbel" w:hAnsi="Corbel"/>
          <w:i w:val="0"/>
          <w:iCs w:val="0"/>
          <w:sz w:val="24"/>
          <w:szCs w:val="24"/>
        </w:rPr>
        <w:t xml:space="preserve">That point brings me nicely on to the question of whether it is right that an occupier is always liable for accidents that occur on their properties. Although it is ultimately the responsibility of the occupier to ensure visitors are reasonably safe when </w:t>
      </w:r>
      <w:r w:rsidR="000A2F67">
        <w:rPr>
          <w:rFonts w:ascii="Corbel" w:hAnsi="Corbel"/>
          <w:i w:val="0"/>
          <w:iCs w:val="0"/>
          <w:sz w:val="24"/>
          <w:szCs w:val="24"/>
        </w:rPr>
        <w:t xml:space="preserve">attending their premises, as we have discussed in the defences section, there are instances where the occupier has taken reasonable steps to minimise the risk of injury where they have foreseen potential for an accident to take place, or to warn visitors of the risks before they </w:t>
      </w:r>
      <w:r w:rsidR="007A678F">
        <w:rPr>
          <w:rFonts w:ascii="Corbel" w:hAnsi="Corbel"/>
          <w:i w:val="0"/>
          <w:iCs w:val="0"/>
          <w:sz w:val="24"/>
          <w:szCs w:val="24"/>
        </w:rPr>
        <w:t xml:space="preserve">agree to enter the premises then they cannot be held liable as they did not fail in their legal duty of care to the visitor. Sometimes accidents and incidents happen that cannot be foreseen </w:t>
      </w:r>
      <w:r w:rsidR="00E9175A">
        <w:rPr>
          <w:rFonts w:ascii="Corbel" w:hAnsi="Corbel"/>
          <w:i w:val="0"/>
          <w:iCs w:val="0"/>
          <w:sz w:val="24"/>
          <w:szCs w:val="24"/>
        </w:rPr>
        <w:t>or planned around. However, where the</w:t>
      </w:r>
      <w:r w:rsidR="0015062A">
        <w:rPr>
          <w:rFonts w:ascii="Corbel" w:hAnsi="Corbel"/>
          <w:i w:val="0"/>
          <w:iCs w:val="0"/>
          <w:sz w:val="24"/>
          <w:szCs w:val="24"/>
        </w:rPr>
        <w:t xml:space="preserve">re has been flagrant disregard for the </w:t>
      </w:r>
      <w:proofErr w:type="gramStart"/>
      <w:r w:rsidR="0015062A">
        <w:rPr>
          <w:rFonts w:ascii="Corbel" w:hAnsi="Corbel"/>
          <w:i w:val="0"/>
          <w:iCs w:val="0"/>
          <w:sz w:val="24"/>
          <w:szCs w:val="24"/>
        </w:rPr>
        <w:t>law</w:t>
      </w:r>
      <w:proofErr w:type="gramEnd"/>
      <w:r w:rsidR="0015062A">
        <w:rPr>
          <w:rFonts w:ascii="Corbel" w:hAnsi="Corbel"/>
          <w:i w:val="0"/>
          <w:iCs w:val="0"/>
          <w:sz w:val="24"/>
          <w:szCs w:val="24"/>
        </w:rPr>
        <w:t xml:space="preserve"> or an occupier has deliberately or negligently </w:t>
      </w:r>
      <w:r w:rsidR="00161AB4">
        <w:rPr>
          <w:rFonts w:ascii="Corbel" w:hAnsi="Corbel"/>
          <w:i w:val="0"/>
          <w:iCs w:val="0"/>
          <w:sz w:val="24"/>
          <w:szCs w:val="24"/>
        </w:rPr>
        <w:t xml:space="preserve">not adhered to their duty of care then it is correct that a claim is brought against them and for the claimant to be awarded damages so they are in the position they were in before the accident occurred. </w:t>
      </w:r>
    </w:p>
    <w:p w14:paraId="45414814" w14:textId="77777777" w:rsidR="00161AB4" w:rsidRDefault="00161AB4" w:rsidP="00C70D0F">
      <w:pPr>
        <w:pStyle w:val="NoSpacing"/>
        <w:jc w:val="both"/>
        <w:rPr>
          <w:rFonts w:ascii="Corbel" w:hAnsi="Corbel"/>
          <w:i w:val="0"/>
          <w:iCs w:val="0"/>
          <w:sz w:val="24"/>
          <w:szCs w:val="24"/>
        </w:rPr>
      </w:pPr>
    </w:p>
    <w:p w14:paraId="1632A64F" w14:textId="77777777" w:rsidR="00161AB4" w:rsidRDefault="00161AB4" w:rsidP="00C70D0F">
      <w:pPr>
        <w:pStyle w:val="NoSpacing"/>
        <w:jc w:val="both"/>
        <w:rPr>
          <w:rFonts w:ascii="Corbel" w:hAnsi="Corbel"/>
          <w:i w:val="0"/>
          <w:iCs w:val="0"/>
          <w:sz w:val="24"/>
          <w:szCs w:val="24"/>
        </w:rPr>
      </w:pPr>
    </w:p>
    <w:p w14:paraId="4524F880" w14:textId="77777777" w:rsidR="00161AB4" w:rsidRDefault="00161AB4" w:rsidP="00C70D0F">
      <w:pPr>
        <w:pStyle w:val="NoSpacing"/>
        <w:jc w:val="both"/>
        <w:rPr>
          <w:rFonts w:ascii="Corbel" w:hAnsi="Corbel"/>
          <w:i w:val="0"/>
          <w:iCs w:val="0"/>
          <w:sz w:val="24"/>
          <w:szCs w:val="24"/>
        </w:rPr>
      </w:pPr>
    </w:p>
    <w:p w14:paraId="549B34CF" w14:textId="77777777" w:rsidR="00161AB4" w:rsidRDefault="00161AB4" w:rsidP="00C70D0F">
      <w:pPr>
        <w:pStyle w:val="NoSpacing"/>
        <w:jc w:val="both"/>
        <w:rPr>
          <w:rFonts w:ascii="Corbel" w:hAnsi="Corbel"/>
          <w:i w:val="0"/>
          <w:iCs w:val="0"/>
          <w:sz w:val="24"/>
          <w:szCs w:val="24"/>
        </w:rPr>
      </w:pPr>
    </w:p>
    <w:p w14:paraId="4FE47F70" w14:textId="77777777" w:rsidR="00161AB4" w:rsidRDefault="00161AB4" w:rsidP="00C70D0F">
      <w:pPr>
        <w:pStyle w:val="NoSpacing"/>
        <w:jc w:val="both"/>
        <w:rPr>
          <w:rFonts w:ascii="Corbel" w:hAnsi="Corbel"/>
          <w:i w:val="0"/>
          <w:iCs w:val="0"/>
          <w:sz w:val="24"/>
          <w:szCs w:val="24"/>
        </w:rPr>
      </w:pPr>
    </w:p>
    <w:p w14:paraId="085ADAE0" w14:textId="77777777" w:rsidR="00161AB4" w:rsidRDefault="00161AB4" w:rsidP="00C70D0F">
      <w:pPr>
        <w:pStyle w:val="NoSpacing"/>
        <w:jc w:val="both"/>
        <w:rPr>
          <w:rFonts w:ascii="Corbel" w:hAnsi="Corbel"/>
          <w:i w:val="0"/>
          <w:iCs w:val="0"/>
          <w:sz w:val="24"/>
          <w:szCs w:val="24"/>
        </w:rPr>
      </w:pPr>
    </w:p>
    <w:p w14:paraId="1F3373B3" w14:textId="77777777" w:rsidR="00161AB4" w:rsidRDefault="00161AB4" w:rsidP="00C70D0F">
      <w:pPr>
        <w:pStyle w:val="NoSpacing"/>
        <w:jc w:val="both"/>
        <w:rPr>
          <w:rFonts w:ascii="Corbel" w:hAnsi="Corbel"/>
          <w:i w:val="0"/>
          <w:iCs w:val="0"/>
          <w:sz w:val="24"/>
          <w:szCs w:val="24"/>
        </w:rPr>
      </w:pPr>
    </w:p>
    <w:p w14:paraId="3F3AE6CA" w14:textId="7E34A41A" w:rsidR="00161AB4" w:rsidRDefault="00531D81" w:rsidP="00531D81">
      <w:pPr>
        <w:pStyle w:val="NoSpacing"/>
        <w:jc w:val="center"/>
        <w:rPr>
          <w:rFonts w:ascii="Corbel" w:hAnsi="Corbel"/>
          <w:i w:val="0"/>
          <w:iCs w:val="0"/>
          <w:sz w:val="24"/>
          <w:szCs w:val="24"/>
        </w:rPr>
      </w:pPr>
      <w:r>
        <w:rPr>
          <w:rFonts w:ascii="Corbel" w:hAnsi="Corbel"/>
          <w:b/>
          <w:bCs/>
          <w:i w:val="0"/>
          <w:iCs w:val="0"/>
          <w:sz w:val="24"/>
          <w:szCs w:val="24"/>
          <w:u w:val="single"/>
        </w:rPr>
        <w:t>Reference List</w:t>
      </w:r>
    </w:p>
    <w:p w14:paraId="2FCEFA52" w14:textId="2853DEC2" w:rsidR="00FA7547" w:rsidRDefault="00FA7547" w:rsidP="00826D7F">
      <w:pPr>
        <w:pStyle w:val="NoSpacing"/>
        <w:jc w:val="both"/>
        <w:rPr>
          <w:rFonts w:ascii="Corbel" w:hAnsi="Corbel"/>
          <w:i w:val="0"/>
          <w:iCs w:val="0"/>
          <w:sz w:val="24"/>
          <w:szCs w:val="24"/>
        </w:rPr>
      </w:pPr>
      <w:r>
        <w:rPr>
          <w:rFonts w:ascii="Corbel" w:hAnsi="Corbel"/>
          <w:i w:val="0"/>
          <w:iCs w:val="0"/>
          <w:sz w:val="24"/>
          <w:szCs w:val="24"/>
        </w:rPr>
        <w:t>Barnett v Chelsea &amp; Kensington Hospital (1969)</w:t>
      </w:r>
    </w:p>
    <w:p w14:paraId="78C8AA45" w14:textId="77777777" w:rsidR="00B13A64" w:rsidRDefault="00B13A64" w:rsidP="00826D7F">
      <w:pPr>
        <w:pStyle w:val="NoSpacing"/>
        <w:jc w:val="both"/>
        <w:rPr>
          <w:rFonts w:ascii="Corbel" w:hAnsi="Corbel"/>
          <w:i w:val="0"/>
          <w:iCs w:val="0"/>
          <w:sz w:val="24"/>
          <w:szCs w:val="24"/>
        </w:rPr>
      </w:pPr>
    </w:p>
    <w:p w14:paraId="3BAD90AD" w14:textId="4AA4D7C2" w:rsidR="00B13A64" w:rsidRDefault="00B13A64" w:rsidP="00826D7F">
      <w:pPr>
        <w:pStyle w:val="NoSpacing"/>
        <w:jc w:val="both"/>
        <w:rPr>
          <w:rFonts w:ascii="Corbel" w:hAnsi="Corbel"/>
          <w:i w:val="0"/>
          <w:iCs w:val="0"/>
          <w:sz w:val="24"/>
          <w:szCs w:val="24"/>
        </w:rPr>
      </w:pPr>
      <w:r>
        <w:rPr>
          <w:rFonts w:ascii="Corbel" w:hAnsi="Corbel"/>
          <w:i w:val="0"/>
          <w:iCs w:val="0"/>
          <w:sz w:val="24"/>
          <w:szCs w:val="24"/>
        </w:rPr>
        <w:t>Glasgow Corporation v Taylor (1928)</w:t>
      </w:r>
    </w:p>
    <w:p w14:paraId="0AFA8545" w14:textId="77777777" w:rsidR="00FA7547" w:rsidRDefault="00FA7547" w:rsidP="00826D7F">
      <w:pPr>
        <w:pStyle w:val="NoSpacing"/>
        <w:jc w:val="both"/>
        <w:rPr>
          <w:rFonts w:ascii="Corbel" w:hAnsi="Corbel"/>
          <w:i w:val="0"/>
          <w:iCs w:val="0"/>
          <w:sz w:val="24"/>
          <w:szCs w:val="24"/>
        </w:rPr>
      </w:pPr>
    </w:p>
    <w:p w14:paraId="7B0D5DFD" w14:textId="00A70E0D" w:rsidR="00E607AE" w:rsidRDefault="00E607AE" w:rsidP="00826D7F">
      <w:pPr>
        <w:pStyle w:val="NoSpacing"/>
        <w:jc w:val="both"/>
        <w:rPr>
          <w:rFonts w:ascii="Corbel" w:hAnsi="Corbel"/>
          <w:i w:val="0"/>
          <w:iCs w:val="0"/>
          <w:sz w:val="24"/>
          <w:szCs w:val="24"/>
        </w:rPr>
      </w:pPr>
      <w:r>
        <w:rPr>
          <w:rFonts w:ascii="Corbel" w:hAnsi="Corbel"/>
          <w:i w:val="0"/>
          <w:iCs w:val="0"/>
          <w:sz w:val="24"/>
          <w:szCs w:val="24"/>
        </w:rPr>
        <w:t xml:space="preserve">Knightley v Johns (1982) </w:t>
      </w:r>
    </w:p>
    <w:p w14:paraId="6482799B" w14:textId="77777777" w:rsidR="00E607AE" w:rsidRDefault="00E607AE" w:rsidP="00826D7F">
      <w:pPr>
        <w:pStyle w:val="NoSpacing"/>
        <w:jc w:val="both"/>
        <w:rPr>
          <w:rFonts w:ascii="Corbel" w:hAnsi="Corbel"/>
          <w:i w:val="0"/>
          <w:iCs w:val="0"/>
          <w:sz w:val="24"/>
          <w:szCs w:val="24"/>
        </w:rPr>
      </w:pPr>
    </w:p>
    <w:p w14:paraId="5AFF3C44" w14:textId="7BB026D7" w:rsidR="00531D81" w:rsidRDefault="00826D7F" w:rsidP="00826D7F">
      <w:pPr>
        <w:pStyle w:val="NoSpacing"/>
        <w:jc w:val="both"/>
        <w:rPr>
          <w:rFonts w:ascii="Corbel" w:hAnsi="Corbel"/>
          <w:i w:val="0"/>
          <w:iCs w:val="0"/>
          <w:sz w:val="24"/>
          <w:szCs w:val="24"/>
        </w:rPr>
      </w:pPr>
      <w:r>
        <w:rPr>
          <w:rFonts w:ascii="Corbel" w:hAnsi="Corbel"/>
          <w:i w:val="0"/>
          <w:iCs w:val="0"/>
          <w:sz w:val="24"/>
          <w:szCs w:val="24"/>
        </w:rPr>
        <w:t>Mathewson v Crump &amp; Another (2020)</w:t>
      </w:r>
    </w:p>
    <w:p w14:paraId="734F0D9D" w14:textId="77777777" w:rsidR="000752D1" w:rsidRDefault="000752D1" w:rsidP="00531D81">
      <w:pPr>
        <w:pStyle w:val="NoSpacing"/>
        <w:jc w:val="both"/>
        <w:rPr>
          <w:rFonts w:ascii="Corbel" w:hAnsi="Corbel"/>
          <w:i w:val="0"/>
          <w:iCs w:val="0"/>
          <w:sz w:val="24"/>
          <w:szCs w:val="24"/>
        </w:rPr>
      </w:pPr>
    </w:p>
    <w:p w14:paraId="1BEB6DE2" w14:textId="2793FC9E" w:rsidR="007529A5" w:rsidRDefault="007529A5" w:rsidP="00531D81">
      <w:pPr>
        <w:pStyle w:val="NoSpacing"/>
        <w:jc w:val="both"/>
        <w:rPr>
          <w:rFonts w:ascii="Corbel" w:hAnsi="Corbel"/>
          <w:i w:val="0"/>
          <w:iCs w:val="0"/>
          <w:sz w:val="24"/>
          <w:szCs w:val="24"/>
        </w:rPr>
      </w:pPr>
      <w:r>
        <w:rPr>
          <w:rFonts w:ascii="Corbel" w:hAnsi="Corbel"/>
          <w:i w:val="0"/>
          <w:iCs w:val="0"/>
          <w:sz w:val="24"/>
          <w:szCs w:val="24"/>
        </w:rPr>
        <w:t>Occupiers Liability Act 1957</w:t>
      </w:r>
      <w:r w:rsidR="00A442B6">
        <w:rPr>
          <w:rFonts w:ascii="Corbel" w:hAnsi="Corbel"/>
          <w:i w:val="0"/>
          <w:iCs w:val="0"/>
          <w:sz w:val="24"/>
          <w:szCs w:val="24"/>
        </w:rPr>
        <w:t xml:space="preserve">, </w:t>
      </w:r>
      <w:hyperlink r:id="rId6" w:history="1">
        <w:r w:rsidR="00A442B6" w:rsidRPr="00B33E44">
          <w:rPr>
            <w:rStyle w:val="Hyperlink"/>
            <w:rFonts w:ascii="Corbel" w:hAnsi="Corbel"/>
            <w:i w:val="0"/>
            <w:iCs w:val="0"/>
            <w:sz w:val="24"/>
            <w:szCs w:val="24"/>
          </w:rPr>
          <w:t>https://www.legislation.gov.uk/ukpga/Eliz2/5-6/31/section/1</w:t>
        </w:r>
      </w:hyperlink>
      <w:r w:rsidR="00A442B6">
        <w:rPr>
          <w:rFonts w:ascii="Corbel" w:hAnsi="Corbel"/>
          <w:i w:val="0"/>
          <w:iCs w:val="0"/>
          <w:sz w:val="24"/>
          <w:szCs w:val="24"/>
        </w:rPr>
        <w:t xml:space="preserve"> (Accessed</w:t>
      </w:r>
      <w:r w:rsidR="00C93A55">
        <w:rPr>
          <w:rFonts w:ascii="Corbel" w:hAnsi="Corbel"/>
          <w:i w:val="0"/>
          <w:iCs w:val="0"/>
          <w:sz w:val="24"/>
          <w:szCs w:val="24"/>
        </w:rPr>
        <w:t>:</w:t>
      </w:r>
      <w:r w:rsidR="00A442B6">
        <w:rPr>
          <w:rFonts w:ascii="Corbel" w:hAnsi="Corbel"/>
          <w:i w:val="0"/>
          <w:iCs w:val="0"/>
          <w:sz w:val="24"/>
          <w:szCs w:val="24"/>
        </w:rPr>
        <w:t xml:space="preserve"> </w:t>
      </w:r>
      <w:r w:rsidR="00C93A55">
        <w:rPr>
          <w:rFonts w:ascii="Corbel" w:hAnsi="Corbel"/>
          <w:i w:val="0"/>
          <w:iCs w:val="0"/>
          <w:sz w:val="24"/>
          <w:szCs w:val="24"/>
        </w:rPr>
        <w:t xml:space="preserve">01/11/2023). </w:t>
      </w:r>
    </w:p>
    <w:p w14:paraId="5CBB81FA" w14:textId="77777777" w:rsidR="00C93A55" w:rsidRDefault="00C93A55" w:rsidP="00531D81">
      <w:pPr>
        <w:pStyle w:val="NoSpacing"/>
        <w:jc w:val="both"/>
        <w:rPr>
          <w:rFonts w:ascii="Corbel" w:hAnsi="Corbel"/>
          <w:i w:val="0"/>
          <w:iCs w:val="0"/>
          <w:sz w:val="24"/>
          <w:szCs w:val="24"/>
        </w:rPr>
      </w:pPr>
    </w:p>
    <w:p w14:paraId="355A30A9" w14:textId="6CB19EE2" w:rsidR="007529A5" w:rsidRDefault="007529A5" w:rsidP="00531D81">
      <w:pPr>
        <w:pStyle w:val="NoSpacing"/>
        <w:jc w:val="both"/>
        <w:rPr>
          <w:rFonts w:ascii="Corbel" w:hAnsi="Corbel"/>
          <w:i w:val="0"/>
          <w:iCs w:val="0"/>
          <w:sz w:val="24"/>
          <w:szCs w:val="24"/>
        </w:rPr>
      </w:pPr>
      <w:r>
        <w:rPr>
          <w:rFonts w:ascii="Corbel" w:hAnsi="Corbel"/>
          <w:i w:val="0"/>
          <w:iCs w:val="0"/>
          <w:sz w:val="24"/>
          <w:szCs w:val="24"/>
        </w:rPr>
        <w:t>Occupiers Liability Act 1984</w:t>
      </w:r>
      <w:r w:rsidR="00C93A55">
        <w:rPr>
          <w:rFonts w:ascii="Corbel" w:hAnsi="Corbel"/>
          <w:i w:val="0"/>
          <w:iCs w:val="0"/>
          <w:sz w:val="24"/>
          <w:szCs w:val="24"/>
        </w:rPr>
        <w:t xml:space="preserve">, </w:t>
      </w:r>
      <w:hyperlink r:id="rId7" w:history="1">
        <w:r w:rsidR="00C93A55" w:rsidRPr="00B33E44">
          <w:rPr>
            <w:rStyle w:val="Hyperlink"/>
            <w:rFonts w:ascii="Corbel" w:hAnsi="Corbel"/>
            <w:i w:val="0"/>
            <w:iCs w:val="0"/>
            <w:sz w:val="24"/>
            <w:szCs w:val="24"/>
          </w:rPr>
          <w:t>https://www.legislation.gov.uk/ukpga/1984/3</w:t>
        </w:r>
      </w:hyperlink>
      <w:r w:rsidR="00C93A55">
        <w:rPr>
          <w:rFonts w:ascii="Corbel" w:hAnsi="Corbel"/>
          <w:i w:val="0"/>
          <w:iCs w:val="0"/>
          <w:sz w:val="24"/>
          <w:szCs w:val="24"/>
        </w:rPr>
        <w:t xml:space="preserve"> (Accessed: 01/11/2023). </w:t>
      </w:r>
    </w:p>
    <w:p w14:paraId="3AD4D339" w14:textId="77777777" w:rsidR="00826D7F" w:rsidRDefault="00826D7F" w:rsidP="00531D81">
      <w:pPr>
        <w:pStyle w:val="NoSpacing"/>
        <w:jc w:val="both"/>
        <w:rPr>
          <w:rFonts w:ascii="Corbel" w:hAnsi="Corbel"/>
          <w:i w:val="0"/>
          <w:iCs w:val="0"/>
          <w:sz w:val="24"/>
          <w:szCs w:val="24"/>
        </w:rPr>
      </w:pPr>
    </w:p>
    <w:p w14:paraId="655B0D0C" w14:textId="6093889D" w:rsidR="007B1640" w:rsidRPr="007B1640" w:rsidRDefault="007B1640" w:rsidP="00531D81">
      <w:pPr>
        <w:pStyle w:val="NoSpacing"/>
        <w:jc w:val="both"/>
        <w:rPr>
          <w:rFonts w:ascii="Corbel" w:hAnsi="Corbel"/>
          <w:sz w:val="24"/>
          <w:szCs w:val="24"/>
        </w:rPr>
      </w:pPr>
      <w:r>
        <w:rPr>
          <w:rFonts w:ascii="Corbel" w:hAnsi="Corbel"/>
          <w:i w:val="0"/>
          <w:iCs w:val="0"/>
          <w:sz w:val="24"/>
          <w:szCs w:val="24"/>
        </w:rPr>
        <w:t xml:space="preserve">StudySmarter.co.uk, (2023), </w:t>
      </w:r>
      <w:r>
        <w:rPr>
          <w:rFonts w:ascii="Corbel" w:hAnsi="Corbel"/>
          <w:sz w:val="24"/>
          <w:szCs w:val="24"/>
        </w:rPr>
        <w:t>Tort Law, Occupiers Liability and Strict Liability</w:t>
      </w:r>
      <w:r>
        <w:rPr>
          <w:rFonts w:ascii="Corbel" w:hAnsi="Corbel"/>
          <w:i w:val="0"/>
          <w:iCs w:val="0"/>
          <w:sz w:val="24"/>
          <w:szCs w:val="24"/>
        </w:rPr>
        <w:t xml:space="preserve">, </w:t>
      </w:r>
      <w:hyperlink r:id="rId8" w:history="1">
        <w:r w:rsidR="00FB225B" w:rsidRPr="00B33E44">
          <w:rPr>
            <w:rStyle w:val="Hyperlink"/>
            <w:rFonts w:ascii="Corbel" w:hAnsi="Corbel"/>
            <w:i w:val="0"/>
            <w:iCs w:val="0"/>
            <w:sz w:val="24"/>
            <w:szCs w:val="24"/>
          </w:rPr>
          <w:t>https://www.studysmarter.co.uk/explanations/law/civil-law/strict-liability/</w:t>
        </w:r>
      </w:hyperlink>
      <w:r w:rsidR="00FB225B">
        <w:rPr>
          <w:rFonts w:ascii="Corbel" w:hAnsi="Corbel"/>
          <w:i w:val="0"/>
          <w:iCs w:val="0"/>
          <w:sz w:val="24"/>
          <w:szCs w:val="24"/>
        </w:rPr>
        <w:t xml:space="preserve"> (Accessed 05/11/2023)</w:t>
      </w:r>
      <w:r>
        <w:rPr>
          <w:rFonts w:ascii="Corbel" w:hAnsi="Corbel"/>
          <w:sz w:val="24"/>
          <w:szCs w:val="24"/>
        </w:rPr>
        <w:t xml:space="preserve"> </w:t>
      </w:r>
    </w:p>
    <w:p w14:paraId="1E939D02" w14:textId="77777777" w:rsidR="007B1640" w:rsidRDefault="007B1640" w:rsidP="00531D81">
      <w:pPr>
        <w:pStyle w:val="NoSpacing"/>
        <w:jc w:val="both"/>
        <w:rPr>
          <w:rFonts w:ascii="Corbel" w:hAnsi="Corbel"/>
          <w:i w:val="0"/>
          <w:iCs w:val="0"/>
          <w:sz w:val="24"/>
          <w:szCs w:val="24"/>
        </w:rPr>
      </w:pPr>
    </w:p>
    <w:p w14:paraId="5D2125B6" w14:textId="7294B130" w:rsidR="00826D7F" w:rsidRDefault="00826D7F" w:rsidP="00531D81">
      <w:pPr>
        <w:pStyle w:val="NoSpacing"/>
        <w:jc w:val="both"/>
        <w:rPr>
          <w:rFonts w:ascii="Corbel" w:hAnsi="Corbel"/>
          <w:i w:val="0"/>
          <w:iCs w:val="0"/>
          <w:sz w:val="24"/>
          <w:szCs w:val="24"/>
        </w:rPr>
      </w:pPr>
      <w:r>
        <w:rPr>
          <w:rFonts w:ascii="Corbel" w:hAnsi="Corbel"/>
          <w:i w:val="0"/>
          <w:iCs w:val="0"/>
          <w:sz w:val="24"/>
          <w:szCs w:val="24"/>
        </w:rPr>
        <w:t xml:space="preserve">The </w:t>
      </w:r>
      <w:proofErr w:type="spellStart"/>
      <w:r>
        <w:rPr>
          <w:rFonts w:ascii="Corbel" w:hAnsi="Corbel"/>
          <w:i w:val="0"/>
          <w:iCs w:val="0"/>
          <w:sz w:val="24"/>
          <w:szCs w:val="24"/>
        </w:rPr>
        <w:t>Calgarth</w:t>
      </w:r>
      <w:proofErr w:type="spellEnd"/>
      <w:r>
        <w:rPr>
          <w:rFonts w:ascii="Corbel" w:hAnsi="Corbel"/>
          <w:i w:val="0"/>
          <w:iCs w:val="0"/>
          <w:sz w:val="24"/>
          <w:szCs w:val="24"/>
        </w:rPr>
        <w:t xml:space="preserve"> (1927)</w:t>
      </w:r>
    </w:p>
    <w:p w14:paraId="441A19CF" w14:textId="77777777" w:rsidR="007529A5" w:rsidRDefault="007529A5" w:rsidP="00531D81">
      <w:pPr>
        <w:pStyle w:val="NoSpacing"/>
        <w:jc w:val="both"/>
        <w:rPr>
          <w:rFonts w:ascii="Corbel" w:hAnsi="Corbel"/>
          <w:i w:val="0"/>
          <w:iCs w:val="0"/>
          <w:sz w:val="24"/>
          <w:szCs w:val="24"/>
        </w:rPr>
      </w:pPr>
    </w:p>
    <w:p w14:paraId="7A066A7D" w14:textId="67D31330" w:rsidR="000752D1" w:rsidRDefault="00C93A55" w:rsidP="00531D81">
      <w:pPr>
        <w:pStyle w:val="NoSpacing"/>
        <w:jc w:val="both"/>
        <w:rPr>
          <w:rFonts w:ascii="Corbel" w:hAnsi="Corbel"/>
          <w:i w:val="0"/>
          <w:iCs w:val="0"/>
          <w:sz w:val="24"/>
          <w:szCs w:val="24"/>
        </w:rPr>
      </w:pPr>
      <w:r>
        <w:rPr>
          <w:rFonts w:ascii="Corbel" w:hAnsi="Corbel"/>
          <w:i w:val="0"/>
          <w:iCs w:val="0"/>
          <w:sz w:val="24"/>
          <w:szCs w:val="24"/>
        </w:rPr>
        <w:t xml:space="preserve">Wheat v </w:t>
      </w:r>
      <w:proofErr w:type="spellStart"/>
      <w:r>
        <w:rPr>
          <w:rFonts w:ascii="Corbel" w:hAnsi="Corbel"/>
          <w:i w:val="0"/>
          <w:iCs w:val="0"/>
          <w:sz w:val="24"/>
          <w:szCs w:val="24"/>
        </w:rPr>
        <w:t>Lacon</w:t>
      </w:r>
      <w:proofErr w:type="spellEnd"/>
      <w:r>
        <w:rPr>
          <w:rFonts w:ascii="Corbel" w:hAnsi="Corbel"/>
          <w:i w:val="0"/>
          <w:iCs w:val="0"/>
          <w:sz w:val="24"/>
          <w:szCs w:val="24"/>
        </w:rPr>
        <w:t xml:space="preserve"> (19</w:t>
      </w:r>
      <w:r w:rsidR="000752D1">
        <w:rPr>
          <w:rFonts w:ascii="Corbel" w:hAnsi="Corbel"/>
          <w:i w:val="0"/>
          <w:iCs w:val="0"/>
          <w:sz w:val="24"/>
          <w:szCs w:val="24"/>
        </w:rPr>
        <w:t>66)</w:t>
      </w:r>
    </w:p>
    <w:p w14:paraId="73B87A3D" w14:textId="77777777" w:rsidR="007529A5" w:rsidRDefault="007529A5" w:rsidP="00531D81">
      <w:pPr>
        <w:pStyle w:val="NoSpacing"/>
        <w:jc w:val="both"/>
        <w:rPr>
          <w:rFonts w:ascii="Corbel" w:hAnsi="Corbel"/>
          <w:i w:val="0"/>
          <w:iCs w:val="0"/>
          <w:sz w:val="24"/>
          <w:szCs w:val="24"/>
        </w:rPr>
      </w:pPr>
    </w:p>
    <w:p w14:paraId="27D1F265" w14:textId="14FAC732" w:rsidR="00531D81" w:rsidRPr="00C834F9" w:rsidRDefault="004778D7" w:rsidP="00531D81">
      <w:pPr>
        <w:pStyle w:val="NoSpacing"/>
        <w:jc w:val="both"/>
        <w:rPr>
          <w:rFonts w:ascii="Corbel" w:hAnsi="Corbel"/>
          <w:i w:val="0"/>
          <w:iCs w:val="0"/>
          <w:sz w:val="24"/>
          <w:szCs w:val="24"/>
        </w:rPr>
      </w:pPr>
      <w:r>
        <w:rPr>
          <w:rFonts w:ascii="Corbel" w:hAnsi="Corbel"/>
          <w:i w:val="0"/>
          <w:iCs w:val="0"/>
          <w:sz w:val="24"/>
          <w:szCs w:val="24"/>
        </w:rPr>
        <w:t xml:space="preserve">Wilson. A, (2023), </w:t>
      </w:r>
      <w:r w:rsidR="00C834F9">
        <w:rPr>
          <w:rFonts w:ascii="Corbel" w:hAnsi="Corbel"/>
          <w:sz w:val="24"/>
          <w:szCs w:val="24"/>
        </w:rPr>
        <w:t>Premises and Lawful Visitors in Occupiers Liability Claims</w:t>
      </w:r>
      <w:r w:rsidR="00C834F9">
        <w:rPr>
          <w:rFonts w:ascii="Corbel" w:hAnsi="Corbel"/>
          <w:i w:val="0"/>
          <w:iCs w:val="0"/>
          <w:sz w:val="24"/>
          <w:szCs w:val="24"/>
        </w:rPr>
        <w:t xml:space="preserve">, Lexis Nexis, </w:t>
      </w:r>
      <w:hyperlink r:id="rId9" w:history="1">
        <w:r w:rsidR="007529A5" w:rsidRPr="00B33E44">
          <w:rPr>
            <w:rStyle w:val="Hyperlink"/>
            <w:rFonts w:ascii="Corbel" w:hAnsi="Corbel"/>
            <w:i w:val="0"/>
            <w:iCs w:val="0"/>
            <w:sz w:val="24"/>
            <w:szCs w:val="24"/>
          </w:rPr>
          <w:t>https://www.lexisnexis.co.uk/legal/guidance/premises-lawful-visitors-in-occupiers-liability-claims</w:t>
        </w:r>
      </w:hyperlink>
      <w:r w:rsidR="007529A5">
        <w:rPr>
          <w:rFonts w:ascii="Corbel" w:hAnsi="Corbel"/>
          <w:i w:val="0"/>
          <w:iCs w:val="0"/>
          <w:sz w:val="24"/>
          <w:szCs w:val="24"/>
        </w:rPr>
        <w:t xml:space="preserve"> (Accessed: 08/11/2023). </w:t>
      </w:r>
    </w:p>
    <w:sectPr w:rsidR="00531D81" w:rsidRPr="00C834F9" w:rsidSect="00DD64FF">
      <w:headerReference w:type="default" r:id="rId10"/>
      <w:footerReference w:type="even" r:id="rId11"/>
      <w:footerReference w:type="default" r:id="rId12"/>
      <w:pgSz w:w="11906" w:h="16838"/>
      <w:pgMar w:top="1440" w:right="1440" w:bottom="1440" w:left="1440"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FB375" w14:textId="77777777" w:rsidR="00D5135F" w:rsidRDefault="00D5135F" w:rsidP="00D76083">
      <w:pPr>
        <w:spacing w:after="0" w:line="240" w:lineRule="auto"/>
      </w:pPr>
      <w:r>
        <w:separator/>
      </w:r>
    </w:p>
  </w:endnote>
  <w:endnote w:type="continuationSeparator" w:id="0">
    <w:p w14:paraId="3DAFAA52" w14:textId="77777777" w:rsidR="00D5135F" w:rsidRDefault="00D5135F" w:rsidP="00D76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795901"/>
      <w:docPartObj>
        <w:docPartGallery w:val="Page Numbers (Bottom of Page)"/>
        <w:docPartUnique/>
      </w:docPartObj>
    </w:sdtPr>
    <w:sdtContent>
      <w:p w14:paraId="0E127C64" w14:textId="4458159F" w:rsidR="00DD64FF" w:rsidRDefault="00DD64FF" w:rsidP="00367E6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DADA5B" w14:textId="77777777" w:rsidR="007274DA" w:rsidRDefault="007274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98457" w14:textId="5385C7E6" w:rsidR="00DD64FF" w:rsidRDefault="00DD64FF" w:rsidP="00671968">
    <w:pPr>
      <w:pStyle w:val="Footer"/>
      <w:tabs>
        <w:tab w:val="clear" w:pos="4513"/>
        <w:tab w:val="clear" w:pos="9026"/>
        <w:tab w:val="left" w:pos="4028"/>
      </w:tabs>
    </w:pPr>
    <w:r>
      <w:rPr>
        <w:rFonts w:ascii="Corbel" w:hAnsi="Corbel"/>
        <w:i w:val="0"/>
        <w:iCs w:val="0"/>
        <w:noProof/>
      </w:rPr>
      <mc:AlternateContent>
        <mc:Choice Requires="wps">
          <w:drawing>
            <wp:anchor distT="0" distB="0" distL="114300" distR="114300" simplePos="0" relativeHeight="251661312" behindDoc="0" locked="0" layoutInCell="1" allowOverlap="1" wp14:anchorId="6E2D3BB3" wp14:editId="275840A0">
              <wp:simplePos x="0" y="0"/>
              <wp:positionH relativeFrom="column">
                <wp:posOffset>-471805</wp:posOffset>
              </wp:positionH>
              <wp:positionV relativeFrom="paragraph">
                <wp:posOffset>173031</wp:posOffset>
              </wp:positionV>
              <wp:extent cx="6400800" cy="0"/>
              <wp:effectExtent l="0" t="0" r="12700" b="12700"/>
              <wp:wrapNone/>
              <wp:docPr id="876373220" name="Straight Connector 2"/>
              <wp:cNvGraphicFramePr/>
              <a:graphic xmlns:a="http://schemas.openxmlformats.org/drawingml/2006/main">
                <a:graphicData uri="http://schemas.microsoft.com/office/word/2010/wordprocessingShape">
                  <wps:wsp>
                    <wps:cNvCnPr/>
                    <wps:spPr>
                      <a:xfrm>
                        <a:off x="0" y="0"/>
                        <a:ext cx="6400800" cy="0"/>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line w14:anchorId="559D18B6" id="Straight Connector 2"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37.15pt,13.6pt" to="466.85pt,13.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" strokecolor="#f79646 [3209]" strokeweight="1pt">
              <v:stroke joinstyle="miter"/>
            </v:line>
          </w:pict>
        </mc:Fallback>
      </mc:AlternateContent>
    </w:r>
  </w:p>
  <w:sdt>
    <w:sdtPr>
      <w:rPr>
        <w:rStyle w:val="PageNumber"/>
      </w:rPr>
      <w:id w:val="-366061632"/>
      <w:docPartObj>
        <w:docPartGallery w:val="Page Numbers (Bottom of Page)"/>
        <w:docPartUnique/>
      </w:docPartObj>
    </w:sdtPr>
    <w:sdtContent>
      <w:p w14:paraId="4669EBB6" w14:textId="77777777" w:rsidR="00DD64FF" w:rsidRDefault="00DD64FF" w:rsidP="00DD64FF">
        <w:pPr>
          <w:pStyle w:val="Footer"/>
          <w:framePr w:wrap="none" w:vAnchor="text" w:hAnchor="page" w:x="5793" w:y="24"/>
          <w:rPr>
            <w:rStyle w:val="PageNumber"/>
          </w:rPr>
        </w:pPr>
        <w:r w:rsidRPr="00DD64FF">
          <w:rPr>
            <w:rStyle w:val="PageNumber"/>
            <w:rFonts w:ascii="Corbel" w:hAnsi="Corbel"/>
            <w:b/>
            <w:bCs/>
            <w:i w:val="0"/>
            <w:iCs w:val="0"/>
          </w:rPr>
          <w:fldChar w:fldCharType="begin"/>
        </w:r>
        <w:r w:rsidRPr="00DD64FF">
          <w:rPr>
            <w:rStyle w:val="PageNumber"/>
            <w:rFonts w:ascii="Corbel" w:hAnsi="Corbel"/>
            <w:b/>
            <w:bCs/>
            <w:i w:val="0"/>
            <w:iCs w:val="0"/>
          </w:rPr>
          <w:instrText xml:space="preserve"> PAGE </w:instrText>
        </w:r>
        <w:r w:rsidRPr="00DD64FF">
          <w:rPr>
            <w:rStyle w:val="PageNumber"/>
            <w:rFonts w:ascii="Corbel" w:hAnsi="Corbel"/>
            <w:b/>
            <w:bCs/>
            <w:i w:val="0"/>
            <w:iCs w:val="0"/>
          </w:rPr>
          <w:fldChar w:fldCharType="separate"/>
        </w:r>
        <w:r w:rsidRPr="00DD64FF">
          <w:rPr>
            <w:rStyle w:val="PageNumber"/>
            <w:rFonts w:ascii="Corbel" w:hAnsi="Corbel"/>
            <w:b/>
            <w:bCs/>
            <w:i w:val="0"/>
            <w:iCs w:val="0"/>
            <w:noProof/>
          </w:rPr>
          <w:t>- 1 -</w:t>
        </w:r>
        <w:r w:rsidRPr="00DD64FF">
          <w:rPr>
            <w:rStyle w:val="PageNumber"/>
            <w:rFonts w:ascii="Corbel" w:hAnsi="Corbel"/>
            <w:b/>
            <w:bCs/>
            <w:i w:val="0"/>
            <w:iCs w:val="0"/>
          </w:rPr>
          <w:fldChar w:fldCharType="end"/>
        </w:r>
      </w:p>
    </w:sdtContent>
  </w:sdt>
  <w:p w14:paraId="1A6FAB26" w14:textId="1F67BB4F" w:rsidR="00D76083" w:rsidRPr="00DD64FF" w:rsidRDefault="00DD64FF" w:rsidP="00671968">
    <w:pPr>
      <w:pStyle w:val="Footer"/>
      <w:tabs>
        <w:tab w:val="clear" w:pos="4513"/>
        <w:tab w:val="clear" w:pos="9026"/>
        <w:tab w:val="left" w:pos="4028"/>
      </w:tabs>
      <w:rPr>
        <w:rFonts w:ascii="Corbel" w:hAnsi="Corbel"/>
        <w:i w:val="0"/>
        <w:iCs w:val="0"/>
      </w:rPr>
    </w:pPr>
    <w:r w:rsidRPr="00DD64FF">
      <w:rPr>
        <w:rFonts w:ascii="Corbel" w:hAnsi="Corbel"/>
        <w:i w:val="0"/>
        <w:iCs w:val="0"/>
      </w:rPr>
      <w:t>Ryan Green</w:t>
    </w:r>
    <w:r w:rsidRPr="00DD64FF">
      <w:rPr>
        <w:rFonts w:ascii="Corbel" w:hAnsi="Corbel"/>
        <w:i w:val="0"/>
        <w:iCs w:val="0"/>
      </w:rPr>
      <w:tab/>
    </w:r>
    <w:r w:rsidRPr="00DD64FF">
      <w:rPr>
        <w:rFonts w:ascii="Corbel" w:hAnsi="Corbel"/>
        <w:i w:val="0"/>
        <w:iCs w:val="0"/>
      </w:rPr>
      <w:tab/>
    </w:r>
    <w:r w:rsidRPr="00DD64FF">
      <w:rPr>
        <w:rFonts w:ascii="Corbel" w:hAnsi="Corbel"/>
        <w:i w:val="0"/>
        <w:iCs w:val="0"/>
      </w:rPr>
      <w:tab/>
    </w:r>
    <w:r w:rsidRPr="00DD64FF">
      <w:rPr>
        <w:rFonts w:ascii="Corbel" w:hAnsi="Corbel"/>
        <w:i w:val="0"/>
        <w:iCs w:val="0"/>
      </w:rPr>
      <w:tab/>
    </w:r>
    <w:r w:rsidRPr="00DD64FF">
      <w:rPr>
        <w:rFonts w:ascii="Corbel" w:hAnsi="Corbel"/>
        <w:i w:val="0"/>
        <w:iCs w:val="0"/>
      </w:rPr>
      <w:tab/>
    </w:r>
    <w:r w:rsidRPr="00DD64FF">
      <w:rPr>
        <w:rFonts w:ascii="Corbel" w:hAnsi="Corbel"/>
        <w:i w:val="0"/>
        <w:iCs w:val="0"/>
      </w:rPr>
      <w:tab/>
      <w:t>Student No: 2017590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814EC" w14:textId="77777777" w:rsidR="00D5135F" w:rsidRDefault="00D5135F" w:rsidP="00D76083">
      <w:pPr>
        <w:spacing w:after="0" w:line="240" w:lineRule="auto"/>
      </w:pPr>
      <w:r>
        <w:separator/>
      </w:r>
    </w:p>
  </w:footnote>
  <w:footnote w:type="continuationSeparator" w:id="0">
    <w:p w14:paraId="6FFF523A" w14:textId="77777777" w:rsidR="00D5135F" w:rsidRDefault="00D5135F" w:rsidP="00D760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54AA0" w14:textId="3EC0F8EA" w:rsidR="002B5B0A" w:rsidRDefault="006B7EDB" w:rsidP="007A5AE6">
    <w:pPr>
      <w:pStyle w:val="NoSpacing"/>
      <w:jc w:val="right"/>
      <w:rPr>
        <w:rFonts w:ascii="Corbel" w:hAnsi="Corbel"/>
        <w:i w:val="0"/>
        <w:iCs w:val="0"/>
      </w:rPr>
    </w:pPr>
    <w:r>
      <w:rPr>
        <w:noProof/>
      </w:rPr>
      <w:drawing>
        <wp:anchor distT="0" distB="0" distL="114300" distR="114300" simplePos="0" relativeHeight="251658240" behindDoc="1" locked="0" layoutInCell="1" allowOverlap="1" wp14:anchorId="7F48146D" wp14:editId="32855FD8">
          <wp:simplePos x="0" y="0"/>
          <wp:positionH relativeFrom="column">
            <wp:posOffset>-537210</wp:posOffset>
          </wp:positionH>
          <wp:positionV relativeFrom="paragraph">
            <wp:posOffset>-118673</wp:posOffset>
          </wp:positionV>
          <wp:extent cx="1713053" cy="599941"/>
          <wp:effectExtent l="0" t="0" r="1905" b="0"/>
          <wp:wrapNone/>
          <wp:docPr id="1695449954" name="Picture 1" descr="Childhood Development Practice Foundation Degree (Twilight delivery) |  Gower College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hood Development Practice Foundation Degree (Twilight delivery) |  Gower College Swansea"/>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13053" cy="599941"/>
                  </a:xfrm>
                  <a:prstGeom prst="rect">
                    <a:avLst/>
                  </a:prstGeom>
                  <a:noFill/>
                  <a:ln>
                    <a:noFill/>
                  </a:ln>
                </pic:spPr>
              </pic:pic>
            </a:graphicData>
          </a:graphic>
          <wp14:sizeRelH relativeFrom="page">
            <wp14:pctWidth>0</wp14:pctWidth>
          </wp14:sizeRelH>
          <wp14:sizeRelV relativeFrom="page">
            <wp14:pctHeight>0</wp14:pctHeight>
          </wp14:sizeRelV>
        </wp:anchor>
      </w:drawing>
    </w:r>
    <w:r w:rsidR="00B015B4">
      <w:rPr>
        <w:rFonts w:ascii="Corbel" w:hAnsi="Corbel"/>
        <w:b/>
        <w:bCs/>
        <w:i w:val="0"/>
        <w:iCs w:val="0"/>
      </w:rPr>
      <w:t>UNIVERSITY OF WALES TRINITY SAINT DAVID</w:t>
    </w:r>
  </w:p>
  <w:p w14:paraId="2A7F3CC7" w14:textId="1406B312" w:rsidR="00B015B4" w:rsidRDefault="0063450C" w:rsidP="007A5AE6">
    <w:pPr>
      <w:pStyle w:val="NoSpacing"/>
      <w:jc w:val="right"/>
      <w:rPr>
        <w:rFonts w:ascii="Corbel" w:hAnsi="Corbel"/>
        <w:i w:val="0"/>
        <w:iCs w:val="0"/>
      </w:rPr>
    </w:pPr>
    <w:r>
      <w:rPr>
        <w:rFonts w:ascii="Corbel" w:hAnsi="Corbel"/>
        <w:i w:val="0"/>
        <w:iCs w:val="0"/>
      </w:rPr>
      <w:t xml:space="preserve">LLB Law and Legal Practice | Blue Light Academy | Swansea Business Campus </w:t>
    </w:r>
  </w:p>
  <w:p w14:paraId="2E3069DA" w14:textId="396A5162" w:rsidR="0063450C" w:rsidRDefault="006B7EDB" w:rsidP="007A5AE6">
    <w:pPr>
      <w:pStyle w:val="NoSpacing"/>
      <w:jc w:val="right"/>
      <w:rPr>
        <w:rFonts w:ascii="Corbel" w:hAnsi="Corbel"/>
        <w:i w:val="0"/>
        <w:iCs w:val="0"/>
      </w:rPr>
    </w:pPr>
    <w:r>
      <w:fldChar w:fldCharType="begin"/>
    </w:r>
    <w:r>
      <w:instrText xml:space="preserve"> INCLUDEPICTURE "/Users/ryangreen/Library/Group Containers/UBF8T346G9.ms/WebArchiveCopyPasteTempFiles/com.microsoft.Word/MN+bH2FRQAAAABJRU5ErkJggg==" \* MERGEFORMATINET </w:instrText>
    </w:r>
    <w:r w:rsidR="00000000">
      <w:fldChar w:fldCharType="separate"/>
    </w:r>
    <w:r>
      <w:fldChar w:fldCharType="end"/>
    </w:r>
    <w:r w:rsidR="0063450C">
      <w:rPr>
        <w:rFonts w:ascii="Corbel" w:hAnsi="Corbel"/>
        <w:i w:val="0"/>
        <w:iCs w:val="0"/>
      </w:rPr>
      <w:t>Tort Law (BMLW</w:t>
    </w:r>
    <w:r w:rsidR="008717DB">
      <w:rPr>
        <w:rFonts w:ascii="Corbel" w:hAnsi="Corbel"/>
        <w:i w:val="0"/>
        <w:iCs w:val="0"/>
      </w:rPr>
      <w:t>5012) | Assignment 1: Occupiers Liability | Lecturer: Zita Draper</w:t>
    </w:r>
  </w:p>
  <w:p w14:paraId="327A2557" w14:textId="3313C63F" w:rsidR="00E5489F" w:rsidRDefault="00E5489F" w:rsidP="007A5AE6">
    <w:pPr>
      <w:pStyle w:val="NoSpacing"/>
      <w:jc w:val="right"/>
      <w:rPr>
        <w:rFonts w:ascii="Corbel" w:hAnsi="Corbel"/>
        <w:i w:val="0"/>
        <w:iCs w:val="0"/>
      </w:rPr>
    </w:pPr>
    <w:r>
      <w:rPr>
        <w:rFonts w:ascii="Corbel" w:hAnsi="Corbel"/>
        <w:i w:val="0"/>
        <w:iCs w:val="0"/>
        <w:noProof/>
      </w:rPr>
      <mc:AlternateContent>
        <mc:Choice Requires="wps">
          <w:drawing>
            <wp:anchor distT="0" distB="0" distL="114300" distR="114300" simplePos="0" relativeHeight="251659264" behindDoc="0" locked="0" layoutInCell="1" allowOverlap="1" wp14:anchorId="18A92758" wp14:editId="236D6EE9">
              <wp:simplePos x="0" y="0"/>
              <wp:positionH relativeFrom="column">
                <wp:posOffset>-480349</wp:posOffset>
              </wp:positionH>
              <wp:positionV relativeFrom="paragraph">
                <wp:posOffset>107347</wp:posOffset>
              </wp:positionV>
              <wp:extent cx="6400800" cy="0"/>
              <wp:effectExtent l="0" t="0" r="12700" b="12700"/>
              <wp:wrapNone/>
              <wp:docPr id="199750242" name="Straight Connector 2"/>
              <wp:cNvGraphicFramePr/>
              <a:graphic xmlns:a="http://schemas.openxmlformats.org/drawingml/2006/main">
                <a:graphicData uri="http://schemas.microsoft.com/office/word/2010/wordprocessingShape">
                  <wps:wsp>
                    <wps:cNvCnPr/>
                    <wps:spPr>
                      <a:xfrm>
                        <a:off x="0" y="0"/>
                        <a:ext cx="6400800" cy="0"/>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line w14:anchorId="5925B1EE"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7.8pt,8.45pt" to="466.2pt,8.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" strokecolor="#f79646 [3209]" strokeweight="1pt">
              <v:stroke joinstyle="miter"/>
            </v:line>
          </w:pict>
        </mc:Fallback>
      </mc:AlternateContent>
    </w:r>
  </w:p>
  <w:p w14:paraId="1A959069" w14:textId="77777777" w:rsidR="007A5AE6" w:rsidRPr="00B015B4" w:rsidRDefault="007A5AE6" w:rsidP="00B015B4">
    <w:pPr>
      <w:pStyle w:val="NoSpacing"/>
      <w:jc w:val="center"/>
      <w:rPr>
        <w:rFonts w:ascii="Corbel" w:hAnsi="Corbel"/>
        <w:i w:val="0"/>
        <w:iCs w:val="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4E9"/>
    <w:rsid w:val="0000240C"/>
    <w:rsid w:val="000143A7"/>
    <w:rsid w:val="000243F6"/>
    <w:rsid w:val="00050CD8"/>
    <w:rsid w:val="0005218C"/>
    <w:rsid w:val="000752D1"/>
    <w:rsid w:val="000822E1"/>
    <w:rsid w:val="00084B19"/>
    <w:rsid w:val="000A0D15"/>
    <w:rsid w:val="000A2DF9"/>
    <w:rsid w:val="000A2F67"/>
    <w:rsid w:val="000B38B8"/>
    <w:rsid w:val="000C3F48"/>
    <w:rsid w:val="000C5D74"/>
    <w:rsid w:val="000D37BB"/>
    <w:rsid w:val="000E4C6F"/>
    <w:rsid w:val="000F2288"/>
    <w:rsid w:val="001002F8"/>
    <w:rsid w:val="0010709E"/>
    <w:rsid w:val="00107586"/>
    <w:rsid w:val="001125A5"/>
    <w:rsid w:val="001271EA"/>
    <w:rsid w:val="00136444"/>
    <w:rsid w:val="0015062A"/>
    <w:rsid w:val="001509D6"/>
    <w:rsid w:val="00153966"/>
    <w:rsid w:val="0015641A"/>
    <w:rsid w:val="00156BAD"/>
    <w:rsid w:val="00161AB4"/>
    <w:rsid w:val="00165062"/>
    <w:rsid w:val="00167452"/>
    <w:rsid w:val="00167AFC"/>
    <w:rsid w:val="00175BF9"/>
    <w:rsid w:val="001A6BEB"/>
    <w:rsid w:val="001B4A8B"/>
    <w:rsid w:val="001C2CA9"/>
    <w:rsid w:val="0023765F"/>
    <w:rsid w:val="00264D38"/>
    <w:rsid w:val="00280CE4"/>
    <w:rsid w:val="0028406B"/>
    <w:rsid w:val="00284A3F"/>
    <w:rsid w:val="002A06E5"/>
    <w:rsid w:val="002A1FA6"/>
    <w:rsid w:val="002A7F7A"/>
    <w:rsid w:val="002B5B0A"/>
    <w:rsid w:val="002F3DE6"/>
    <w:rsid w:val="002F5083"/>
    <w:rsid w:val="0032016E"/>
    <w:rsid w:val="00345F33"/>
    <w:rsid w:val="0038792F"/>
    <w:rsid w:val="003D151F"/>
    <w:rsid w:val="003D2413"/>
    <w:rsid w:val="003E40CB"/>
    <w:rsid w:val="003E7802"/>
    <w:rsid w:val="00402589"/>
    <w:rsid w:val="00411F32"/>
    <w:rsid w:val="0041334A"/>
    <w:rsid w:val="0044052B"/>
    <w:rsid w:val="00450385"/>
    <w:rsid w:val="00450469"/>
    <w:rsid w:val="004778D7"/>
    <w:rsid w:val="004E2FBB"/>
    <w:rsid w:val="00522848"/>
    <w:rsid w:val="00531D81"/>
    <w:rsid w:val="00541062"/>
    <w:rsid w:val="00572AF6"/>
    <w:rsid w:val="005C5DB1"/>
    <w:rsid w:val="005C7FC0"/>
    <w:rsid w:val="005D3C59"/>
    <w:rsid w:val="005D69F7"/>
    <w:rsid w:val="005E4538"/>
    <w:rsid w:val="005F2075"/>
    <w:rsid w:val="00601CF2"/>
    <w:rsid w:val="00605EED"/>
    <w:rsid w:val="00607A7C"/>
    <w:rsid w:val="00613C14"/>
    <w:rsid w:val="006303E2"/>
    <w:rsid w:val="0063450C"/>
    <w:rsid w:val="00636002"/>
    <w:rsid w:val="00645649"/>
    <w:rsid w:val="00654196"/>
    <w:rsid w:val="00671968"/>
    <w:rsid w:val="0067651A"/>
    <w:rsid w:val="006A1EFD"/>
    <w:rsid w:val="006B7EDB"/>
    <w:rsid w:val="006C3E04"/>
    <w:rsid w:val="006C77CF"/>
    <w:rsid w:val="006E3B0F"/>
    <w:rsid w:val="006E4FDB"/>
    <w:rsid w:val="006F3369"/>
    <w:rsid w:val="00700407"/>
    <w:rsid w:val="00711C95"/>
    <w:rsid w:val="00713190"/>
    <w:rsid w:val="00715C3E"/>
    <w:rsid w:val="00717A9E"/>
    <w:rsid w:val="007204C4"/>
    <w:rsid w:val="007247CF"/>
    <w:rsid w:val="007274DA"/>
    <w:rsid w:val="00743657"/>
    <w:rsid w:val="00744984"/>
    <w:rsid w:val="00744AC5"/>
    <w:rsid w:val="007529A5"/>
    <w:rsid w:val="00756C1E"/>
    <w:rsid w:val="0076196C"/>
    <w:rsid w:val="007845EF"/>
    <w:rsid w:val="007A5AE6"/>
    <w:rsid w:val="007A678F"/>
    <w:rsid w:val="007B1640"/>
    <w:rsid w:val="007B2CA1"/>
    <w:rsid w:val="007C5546"/>
    <w:rsid w:val="007E167D"/>
    <w:rsid w:val="007E65B3"/>
    <w:rsid w:val="007E7D0E"/>
    <w:rsid w:val="00802027"/>
    <w:rsid w:val="008038AF"/>
    <w:rsid w:val="00811504"/>
    <w:rsid w:val="00820413"/>
    <w:rsid w:val="00826D7F"/>
    <w:rsid w:val="00836BB4"/>
    <w:rsid w:val="0083723B"/>
    <w:rsid w:val="00850DB3"/>
    <w:rsid w:val="00862223"/>
    <w:rsid w:val="008717DB"/>
    <w:rsid w:val="008856DA"/>
    <w:rsid w:val="00890492"/>
    <w:rsid w:val="008B5F37"/>
    <w:rsid w:val="008D006C"/>
    <w:rsid w:val="008D20CD"/>
    <w:rsid w:val="008D6440"/>
    <w:rsid w:val="008D7C71"/>
    <w:rsid w:val="00911607"/>
    <w:rsid w:val="0091279E"/>
    <w:rsid w:val="00915A15"/>
    <w:rsid w:val="00925094"/>
    <w:rsid w:val="00931043"/>
    <w:rsid w:val="009331C2"/>
    <w:rsid w:val="009373C0"/>
    <w:rsid w:val="00945E13"/>
    <w:rsid w:val="00945EAF"/>
    <w:rsid w:val="009504CD"/>
    <w:rsid w:val="00963FBB"/>
    <w:rsid w:val="00975C07"/>
    <w:rsid w:val="009A3811"/>
    <w:rsid w:val="009C2AF7"/>
    <w:rsid w:val="009D22B9"/>
    <w:rsid w:val="009D6263"/>
    <w:rsid w:val="009D64FF"/>
    <w:rsid w:val="009F056C"/>
    <w:rsid w:val="00A036C1"/>
    <w:rsid w:val="00A442B6"/>
    <w:rsid w:val="00A44F19"/>
    <w:rsid w:val="00A57355"/>
    <w:rsid w:val="00A74D1F"/>
    <w:rsid w:val="00A8453E"/>
    <w:rsid w:val="00A95EF4"/>
    <w:rsid w:val="00AA73EA"/>
    <w:rsid w:val="00AB055B"/>
    <w:rsid w:val="00AC4B24"/>
    <w:rsid w:val="00AC5EA8"/>
    <w:rsid w:val="00AD0541"/>
    <w:rsid w:val="00AD28D7"/>
    <w:rsid w:val="00AE1766"/>
    <w:rsid w:val="00AE5DF8"/>
    <w:rsid w:val="00AF47C4"/>
    <w:rsid w:val="00B015B4"/>
    <w:rsid w:val="00B05CF5"/>
    <w:rsid w:val="00B13718"/>
    <w:rsid w:val="00B13A64"/>
    <w:rsid w:val="00B21626"/>
    <w:rsid w:val="00B3334B"/>
    <w:rsid w:val="00B34501"/>
    <w:rsid w:val="00B43069"/>
    <w:rsid w:val="00B43883"/>
    <w:rsid w:val="00B57AEB"/>
    <w:rsid w:val="00B633C2"/>
    <w:rsid w:val="00B77195"/>
    <w:rsid w:val="00B9320A"/>
    <w:rsid w:val="00B959A1"/>
    <w:rsid w:val="00B9752B"/>
    <w:rsid w:val="00BA7543"/>
    <w:rsid w:val="00BC1737"/>
    <w:rsid w:val="00BC64EC"/>
    <w:rsid w:val="00BD3F4D"/>
    <w:rsid w:val="00BE670E"/>
    <w:rsid w:val="00C07580"/>
    <w:rsid w:val="00C14B55"/>
    <w:rsid w:val="00C30C98"/>
    <w:rsid w:val="00C33512"/>
    <w:rsid w:val="00C70D0F"/>
    <w:rsid w:val="00C728B9"/>
    <w:rsid w:val="00C834F9"/>
    <w:rsid w:val="00C84CBF"/>
    <w:rsid w:val="00C93A55"/>
    <w:rsid w:val="00CA4CA3"/>
    <w:rsid w:val="00CB5D31"/>
    <w:rsid w:val="00CC1467"/>
    <w:rsid w:val="00D11C2D"/>
    <w:rsid w:val="00D4501D"/>
    <w:rsid w:val="00D5135F"/>
    <w:rsid w:val="00D53918"/>
    <w:rsid w:val="00D53FA3"/>
    <w:rsid w:val="00D70D03"/>
    <w:rsid w:val="00D76083"/>
    <w:rsid w:val="00D764C3"/>
    <w:rsid w:val="00D95931"/>
    <w:rsid w:val="00DA188D"/>
    <w:rsid w:val="00DB74E9"/>
    <w:rsid w:val="00DD64FF"/>
    <w:rsid w:val="00DF0EC0"/>
    <w:rsid w:val="00DF3D9C"/>
    <w:rsid w:val="00E034EC"/>
    <w:rsid w:val="00E24C30"/>
    <w:rsid w:val="00E43DED"/>
    <w:rsid w:val="00E46A49"/>
    <w:rsid w:val="00E5489F"/>
    <w:rsid w:val="00E607AE"/>
    <w:rsid w:val="00E81A10"/>
    <w:rsid w:val="00E9175A"/>
    <w:rsid w:val="00E92C01"/>
    <w:rsid w:val="00EB6D70"/>
    <w:rsid w:val="00EC522D"/>
    <w:rsid w:val="00EE5A4D"/>
    <w:rsid w:val="00F05AFD"/>
    <w:rsid w:val="00F13812"/>
    <w:rsid w:val="00F206EB"/>
    <w:rsid w:val="00F267A5"/>
    <w:rsid w:val="00F43741"/>
    <w:rsid w:val="00F45673"/>
    <w:rsid w:val="00F56BAB"/>
    <w:rsid w:val="00F604F2"/>
    <w:rsid w:val="00F6199E"/>
    <w:rsid w:val="00F77FEB"/>
    <w:rsid w:val="00F8152D"/>
    <w:rsid w:val="00F85292"/>
    <w:rsid w:val="00F909AA"/>
    <w:rsid w:val="00F97661"/>
    <w:rsid w:val="00FA634F"/>
    <w:rsid w:val="00FA7547"/>
    <w:rsid w:val="00FB225B"/>
    <w:rsid w:val="00FE2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741553"/>
  <w15:chartTrackingRefBased/>
  <w15:docId w15:val="{58C37FDD-B84C-0247-ACA3-18AB512F4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083"/>
    <w:rPr>
      <w:i/>
      <w:iCs/>
      <w:sz w:val="20"/>
      <w:szCs w:val="20"/>
    </w:rPr>
  </w:style>
  <w:style w:type="paragraph" w:styleId="Heading1">
    <w:name w:val="heading 1"/>
    <w:basedOn w:val="Normal"/>
    <w:next w:val="Normal"/>
    <w:link w:val="Heading1Char"/>
    <w:uiPriority w:val="9"/>
    <w:qFormat/>
    <w:rsid w:val="00D76083"/>
    <w:pPr>
      <w:pBdr>
        <w:top w:val="single" w:sz="8" w:space="0" w:color="C0504D" w:themeColor="accent2"/>
        <w:left w:val="single" w:sz="8" w:space="0" w:color="C0504D" w:themeColor="accent2"/>
        <w:bottom w:val="single" w:sz="8" w:space="0" w:color="C0504D" w:themeColor="accent2"/>
        <w:right w:val="single" w:sz="8" w:space="0" w:color="C0504D" w:themeColor="accent2"/>
      </w:pBdr>
      <w:shd w:val="clear" w:color="auto" w:fill="F2DBDB" w:themeFill="accent2" w:themeFillTint="33"/>
      <w:spacing w:before="480" w:after="100" w:line="269" w:lineRule="auto"/>
      <w:contextualSpacing/>
      <w:outlineLvl w:val="0"/>
    </w:pPr>
    <w:rPr>
      <w:rFonts w:asciiTheme="majorHAnsi" w:eastAsiaTheme="majorEastAsia" w:hAnsiTheme="majorHAnsi" w:cstheme="majorBidi"/>
      <w:b/>
      <w:bCs/>
      <w:color w:val="622423" w:themeColor="accent2" w:themeShade="7F"/>
      <w:sz w:val="22"/>
      <w:szCs w:val="22"/>
    </w:rPr>
  </w:style>
  <w:style w:type="paragraph" w:styleId="Heading2">
    <w:name w:val="heading 2"/>
    <w:basedOn w:val="Normal"/>
    <w:next w:val="Normal"/>
    <w:link w:val="Heading2Char"/>
    <w:uiPriority w:val="9"/>
    <w:semiHidden/>
    <w:unhideWhenUsed/>
    <w:qFormat/>
    <w:rsid w:val="00D76083"/>
    <w:pPr>
      <w:pBdr>
        <w:top w:val="single" w:sz="4" w:space="0" w:color="C0504D" w:themeColor="accent2"/>
        <w:left w:val="single" w:sz="48" w:space="2" w:color="C0504D" w:themeColor="accent2"/>
        <w:bottom w:val="single" w:sz="4" w:space="0" w:color="C0504D" w:themeColor="accent2"/>
        <w:right w:val="single" w:sz="4" w:space="4" w:color="C0504D" w:themeColor="accent2"/>
      </w:pBdr>
      <w:spacing w:before="200" w:after="100" w:line="269" w:lineRule="auto"/>
      <w:ind w:left="144"/>
      <w:contextualSpacing/>
      <w:outlineLvl w:val="1"/>
    </w:pPr>
    <w:rPr>
      <w:rFonts w:asciiTheme="majorHAnsi" w:eastAsiaTheme="majorEastAsia" w:hAnsiTheme="majorHAnsi" w:cstheme="majorBidi"/>
      <w:b/>
      <w:bCs/>
      <w:color w:val="943634" w:themeColor="accent2" w:themeShade="BF"/>
      <w:sz w:val="22"/>
      <w:szCs w:val="22"/>
    </w:rPr>
  </w:style>
  <w:style w:type="paragraph" w:styleId="Heading3">
    <w:name w:val="heading 3"/>
    <w:basedOn w:val="Normal"/>
    <w:next w:val="Normal"/>
    <w:link w:val="Heading3Char"/>
    <w:uiPriority w:val="9"/>
    <w:semiHidden/>
    <w:unhideWhenUsed/>
    <w:qFormat/>
    <w:rsid w:val="00D76083"/>
    <w:pPr>
      <w:pBdr>
        <w:left w:val="single" w:sz="48" w:space="2" w:color="C0504D" w:themeColor="accent2"/>
        <w:bottom w:val="single" w:sz="4" w:space="0" w:color="C0504D" w:themeColor="accent2"/>
      </w:pBdr>
      <w:spacing w:before="200" w:after="100" w:line="240" w:lineRule="auto"/>
      <w:ind w:left="144"/>
      <w:contextualSpacing/>
      <w:outlineLvl w:val="2"/>
    </w:pPr>
    <w:rPr>
      <w:rFonts w:asciiTheme="majorHAnsi" w:eastAsiaTheme="majorEastAsia" w:hAnsiTheme="majorHAnsi" w:cstheme="majorBidi"/>
      <w:b/>
      <w:bCs/>
      <w:color w:val="943634" w:themeColor="accent2" w:themeShade="BF"/>
      <w:sz w:val="22"/>
      <w:szCs w:val="22"/>
    </w:rPr>
  </w:style>
  <w:style w:type="paragraph" w:styleId="Heading4">
    <w:name w:val="heading 4"/>
    <w:basedOn w:val="Normal"/>
    <w:next w:val="Normal"/>
    <w:link w:val="Heading4Char"/>
    <w:uiPriority w:val="9"/>
    <w:semiHidden/>
    <w:unhideWhenUsed/>
    <w:qFormat/>
    <w:rsid w:val="00D76083"/>
    <w:pPr>
      <w:pBdr>
        <w:left w:val="single" w:sz="4" w:space="2" w:color="C0504D" w:themeColor="accent2"/>
        <w:bottom w:val="single" w:sz="4" w:space="2" w:color="C0504D" w:themeColor="accent2"/>
      </w:pBdr>
      <w:spacing w:before="200" w:after="100" w:line="240" w:lineRule="auto"/>
      <w:ind w:left="86"/>
      <w:contextualSpacing/>
      <w:outlineLvl w:val="3"/>
    </w:pPr>
    <w:rPr>
      <w:rFonts w:asciiTheme="majorHAnsi" w:eastAsiaTheme="majorEastAsia" w:hAnsiTheme="majorHAnsi" w:cstheme="majorBidi"/>
      <w:b/>
      <w:bCs/>
      <w:color w:val="943634" w:themeColor="accent2" w:themeShade="BF"/>
      <w:sz w:val="22"/>
      <w:szCs w:val="22"/>
    </w:rPr>
  </w:style>
  <w:style w:type="paragraph" w:styleId="Heading5">
    <w:name w:val="heading 5"/>
    <w:basedOn w:val="Normal"/>
    <w:next w:val="Normal"/>
    <w:link w:val="Heading5Char"/>
    <w:uiPriority w:val="9"/>
    <w:semiHidden/>
    <w:unhideWhenUsed/>
    <w:qFormat/>
    <w:rsid w:val="00D76083"/>
    <w:pPr>
      <w:pBdr>
        <w:left w:val="dotted" w:sz="4" w:space="2" w:color="C0504D" w:themeColor="accent2"/>
        <w:bottom w:val="dotted" w:sz="4" w:space="2" w:color="C0504D" w:themeColor="accent2"/>
      </w:pBdr>
      <w:spacing w:before="200" w:after="100" w:line="240" w:lineRule="auto"/>
      <w:ind w:left="86"/>
      <w:contextualSpacing/>
      <w:outlineLvl w:val="4"/>
    </w:pPr>
    <w:rPr>
      <w:rFonts w:asciiTheme="majorHAnsi" w:eastAsiaTheme="majorEastAsia" w:hAnsiTheme="majorHAnsi" w:cstheme="majorBidi"/>
      <w:b/>
      <w:bCs/>
      <w:color w:val="943634" w:themeColor="accent2" w:themeShade="BF"/>
      <w:sz w:val="22"/>
      <w:szCs w:val="22"/>
    </w:rPr>
  </w:style>
  <w:style w:type="paragraph" w:styleId="Heading6">
    <w:name w:val="heading 6"/>
    <w:basedOn w:val="Normal"/>
    <w:next w:val="Normal"/>
    <w:link w:val="Heading6Char"/>
    <w:uiPriority w:val="9"/>
    <w:semiHidden/>
    <w:unhideWhenUsed/>
    <w:qFormat/>
    <w:rsid w:val="00D76083"/>
    <w:pPr>
      <w:pBdr>
        <w:bottom w:val="single" w:sz="4" w:space="2" w:color="E5B8B7" w:themeColor="accent2" w:themeTint="66"/>
      </w:pBdr>
      <w:spacing w:before="200" w:after="100" w:line="240" w:lineRule="auto"/>
      <w:contextualSpacing/>
      <w:outlineLvl w:val="5"/>
    </w:pPr>
    <w:rPr>
      <w:rFonts w:asciiTheme="majorHAnsi" w:eastAsiaTheme="majorEastAsia" w:hAnsiTheme="majorHAnsi" w:cstheme="majorBidi"/>
      <w:color w:val="943634" w:themeColor="accent2" w:themeShade="BF"/>
      <w:sz w:val="22"/>
      <w:szCs w:val="22"/>
    </w:rPr>
  </w:style>
  <w:style w:type="paragraph" w:styleId="Heading7">
    <w:name w:val="heading 7"/>
    <w:basedOn w:val="Normal"/>
    <w:next w:val="Normal"/>
    <w:link w:val="Heading7Char"/>
    <w:uiPriority w:val="9"/>
    <w:semiHidden/>
    <w:unhideWhenUsed/>
    <w:qFormat/>
    <w:rsid w:val="00D76083"/>
    <w:pPr>
      <w:pBdr>
        <w:bottom w:val="dotted" w:sz="4" w:space="2" w:color="D99594" w:themeColor="accent2" w:themeTint="99"/>
      </w:pBdr>
      <w:spacing w:before="200" w:after="100" w:line="240" w:lineRule="auto"/>
      <w:contextualSpacing/>
      <w:outlineLvl w:val="6"/>
    </w:pPr>
    <w:rPr>
      <w:rFonts w:asciiTheme="majorHAnsi" w:eastAsiaTheme="majorEastAsia" w:hAnsiTheme="majorHAnsi" w:cstheme="majorBidi"/>
      <w:color w:val="943634" w:themeColor="accent2" w:themeShade="BF"/>
      <w:sz w:val="22"/>
      <w:szCs w:val="22"/>
    </w:rPr>
  </w:style>
  <w:style w:type="paragraph" w:styleId="Heading8">
    <w:name w:val="heading 8"/>
    <w:basedOn w:val="Normal"/>
    <w:next w:val="Normal"/>
    <w:link w:val="Heading8Char"/>
    <w:uiPriority w:val="9"/>
    <w:semiHidden/>
    <w:unhideWhenUsed/>
    <w:qFormat/>
    <w:rsid w:val="00D76083"/>
    <w:pPr>
      <w:spacing w:before="200" w:after="100" w:line="240" w:lineRule="auto"/>
      <w:contextualSpacing/>
      <w:outlineLvl w:val="7"/>
    </w:pPr>
    <w:rPr>
      <w:rFonts w:asciiTheme="majorHAnsi" w:eastAsiaTheme="majorEastAsia" w:hAnsiTheme="majorHAnsi" w:cstheme="majorBidi"/>
      <w:color w:val="C0504D" w:themeColor="accent2"/>
      <w:sz w:val="22"/>
      <w:szCs w:val="22"/>
    </w:rPr>
  </w:style>
  <w:style w:type="paragraph" w:styleId="Heading9">
    <w:name w:val="heading 9"/>
    <w:basedOn w:val="Normal"/>
    <w:next w:val="Normal"/>
    <w:link w:val="Heading9Char"/>
    <w:uiPriority w:val="9"/>
    <w:semiHidden/>
    <w:unhideWhenUsed/>
    <w:qFormat/>
    <w:rsid w:val="00D76083"/>
    <w:pPr>
      <w:spacing w:before="200" w:after="100" w:line="240" w:lineRule="auto"/>
      <w:contextualSpacing/>
      <w:outlineLvl w:val="8"/>
    </w:pPr>
    <w:rPr>
      <w:rFonts w:asciiTheme="majorHAnsi" w:eastAsiaTheme="majorEastAsia" w:hAnsiTheme="majorHAnsi" w:cstheme="majorBidi"/>
      <w:color w:val="C0504D"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6083"/>
    <w:pPr>
      <w:tabs>
        <w:tab w:val="center" w:pos="4513"/>
        <w:tab w:val="right" w:pos="9026"/>
      </w:tabs>
    </w:pPr>
  </w:style>
  <w:style w:type="character" w:customStyle="1" w:styleId="HeaderChar">
    <w:name w:val="Header Char"/>
    <w:basedOn w:val="DefaultParagraphFont"/>
    <w:link w:val="Header"/>
    <w:uiPriority w:val="99"/>
    <w:rsid w:val="00D76083"/>
  </w:style>
  <w:style w:type="paragraph" w:styleId="Footer">
    <w:name w:val="footer"/>
    <w:basedOn w:val="Normal"/>
    <w:link w:val="FooterChar"/>
    <w:uiPriority w:val="99"/>
    <w:unhideWhenUsed/>
    <w:rsid w:val="00D76083"/>
    <w:pPr>
      <w:tabs>
        <w:tab w:val="center" w:pos="4513"/>
        <w:tab w:val="right" w:pos="9026"/>
      </w:tabs>
    </w:pPr>
  </w:style>
  <w:style w:type="character" w:customStyle="1" w:styleId="FooterChar">
    <w:name w:val="Footer Char"/>
    <w:basedOn w:val="DefaultParagraphFont"/>
    <w:link w:val="Footer"/>
    <w:uiPriority w:val="99"/>
    <w:rsid w:val="00D76083"/>
  </w:style>
  <w:style w:type="character" w:customStyle="1" w:styleId="Heading1Char">
    <w:name w:val="Heading 1 Char"/>
    <w:basedOn w:val="DefaultParagraphFont"/>
    <w:link w:val="Heading1"/>
    <w:uiPriority w:val="9"/>
    <w:rsid w:val="00D76083"/>
    <w:rPr>
      <w:rFonts w:asciiTheme="majorHAnsi" w:eastAsiaTheme="majorEastAsia" w:hAnsiTheme="majorHAnsi" w:cstheme="majorBidi"/>
      <w:b/>
      <w:bCs/>
      <w:i/>
      <w:iCs/>
      <w:color w:val="622423" w:themeColor="accent2" w:themeShade="7F"/>
      <w:shd w:val="clear" w:color="auto" w:fill="F2DBDB" w:themeFill="accent2" w:themeFillTint="33"/>
    </w:rPr>
  </w:style>
  <w:style w:type="character" w:customStyle="1" w:styleId="Heading2Char">
    <w:name w:val="Heading 2 Char"/>
    <w:basedOn w:val="DefaultParagraphFont"/>
    <w:link w:val="Heading2"/>
    <w:uiPriority w:val="9"/>
    <w:semiHidden/>
    <w:rsid w:val="00D76083"/>
    <w:rPr>
      <w:rFonts w:asciiTheme="majorHAnsi" w:eastAsiaTheme="majorEastAsia" w:hAnsiTheme="majorHAnsi" w:cstheme="majorBidi"/>
      <w:b/>
      <w:bCs/>
      <w:i/>
      <w:iCs/>
      <w:color w:val="943634" w:themeColor="accent2" w:themeShade="BF"/>
    </w:rPr>
  </w:style>
  <w:style w:type="character" w:customStyle="1" w:styleId="Heading3Char">
    <w:name w:val="Heading 3 Char"/>
    <w:basedOn w:val="DefaultParagraphFont"/>
    <w:link w:val="Heading3"/>
    <w:uiPriority w:val="9"/>
    <w:semiHidden/>
    <w:rsid w:val="00D76083"/>
    <w:rPr>
      <w:rFonts w:asciiTheme="majorHAnsi" w:eastAsiaTheme="majorEastAsia" w:hAnsiTheme="majorHAnsi" w:cstheme="majorBidi"/>
      <w:b/>
      <w:bCs/>
      <w:i/>
      <w:iCs/>
      <w:color w:val="943634" w:themeColor="accent2" w:themeShade="BF"/>
    </w:rPr>
  </w:style>
  <w:style w:type="character" w:customStyle="1" w:styleId="Heading4Char">
    <w:name w:val="Heading 4 Char"/>
    <w:basedOn w:val="DefaultParagraphFont"/>
    <w:link w:val="Heading4"/>
    <w:uiPriority w:val="9"/>
    <w:semiHidden/>
    <w:rsid w:val="00D76083"/>
    <w:rPr>
      <w:rFonts w:asciiTheme="majorHAnsi" w:eastAsiaTheme="majorEastAsia" w:hAnsiTheme="majorHAnsi" w:cstheme="majorBidi"/>
      <w:b/>
      <w:bCs/>
      <w:i/>
      <w:iCs/>
      <w:color w:val="943634" w:themeColor="accent2" w:themeShade="BF"/>
    </w:rPr>
  </w:style>
  <w:style w:type="character" w:customStyle="1" w:styleId="Heading5Char">
    <w:name w:val="Heading 5 Char"/>
    <w:basedOn w:val="DefaultParagraphFont"/>
    <w:link w:val="Heading5"/>
    <w:uiPriority w:val="9"/>
    <w:semiHidden/>
    <w:rsid w:val="00D76083"/>
    <w:rPr>
      <w:rFonts w:asciiTheme="majorHAnsi" w:eastAsiaTheme="majorEastAsia" w:hAnsiTheme="majorHAnsi" w:cstheme="majorBidi"/>
      <w:b/>
      <w:bCs/>
      <w:i/>
      <w:iCs/>
      <w:color w:val="943634" w:themeColor="accent2" w:themeShade="BF"/>
    </w:rPr>
  </w:style>
  <w:style w:type="character" w:customStyle="1" w:styleId="Heading6Char">
    <w:name w:val="Heading 6 Char"/>
    <w:basedOn w:val="DefaultParagraphFont"/>
    <w:link w:val="Heading6"/>
    <w:uiPriority w:val="9"/>
    <w:semiHidden/>
    <w:rsid w:val="00D76083"/>
    <w:rPr>
      <w:rFonts w:asciiTheme="majorHAnsi" w:eastAsiaTheme="majorEastAsia" w:hAnsiTheme="majorHAnsi" w:cstheme="majorBidi"/>
      <w:i/>
      <w:iCs/>
      <w:color w:val="943634" w:themeColor="accent2" w:themeShade="BF"/>
    </w:rPr>
  </w:style>
  <w:style w:type="character" w:customStyle="1" w:styleId="Heading7Char">
    <w:name w:val="Heading 7 Char"/>
    <w:basedOn w:val="DefaultParagraphFont"/>
    <w:link w:val="Heading7"/>
    <w:uiPriority w:val="9"/>
    <w:semiHidden/>
    <w:rsid w:val="00D76083"/>
    <w:rPr>
      <w:rFonts w:asciiTheme="majorHAnsi" w:eastAsiaTheme="majorEastAsia" w:hAnsiTheme="majorHAnsi" w:cstheme="majorBidi"/>
      <w:i/>
      <w:iCs/>
      <w:color w:val="943634" w:themeColor="accent2" w:themeShade="BF"/>
    </w:rPr>
  </w:style>
  <w:style w:type="character" w:customStyle="1" w:styleId="Heading8Char">
    <w:name w:val="Heading 8 Char"/>
    <w:basedOn w:val="DefaultParagraphFont"/>
    <w:link w:val="Heading8"/>
    <w:uiPriority w:val="9"/>
    <w:semiHidden/>
    <w:rsid w:val="00D76083"/>
    <w:rPr>
      <w:rFonts w:asciiTheme="majorHAnsi" w:eastAsiaTheme="majorEastAsia" w:hAnsiTheme="majorHAnsi" w:cstheme="majorBidi"/>
      <w:i/>
      <w:iCs/>
      <w:color w:val="C0504D" w:themeColor="accent2"/>
    </w:rPr>
  </w:style>
  <w:style w:type="character" w:customStyle="1" w:styleId="Heading9Char">
    <w:name w:val="Heading 9 Char"/>
    <w:basedOn w:val="DefaultParagraphFont"/>
    <w:link w:val="Heading9"/>
    <w:uiPriority w:val="9"/>
    <w:semiHidden/>
    <w:rsid w:val="00D76083"/>
    <w:rPr>
      <w:rFonts w:asciiTheme="majorHAnsi" w:eastAsiaTheme="majorEastAsia" w:hAnsiTheme="majorHAnsi" w:cstheme="majorBidi"/>
      <w:i/>
      <w:iCs/>
      <w:color w:val="C0504D" w:themeColor="accent2"/>
      <w:sz w:val="20"/>
      <w:szCs w:val="20"/>
    </w:rPr>
  </w:style>
  <w:style w:type="paragraph" w:styleId="Caption">
    <w:name w:val="caption"/>
    <w:basedOn w:val="Normal"/>
    <w:next w:val="Normal"/>
    <w:uiPriority w:val="35"/>
    <w:semiHidden/>
    <w:unhideWhenUsed/>
    <w:qFormat/>
    <w:rsid w:val="00D76083"/>
    <w:rPr>
      <w:b/>
      <w:bCs/>
      <w:color w:val="943634" w:themeColor="accent2" w:themeShade="BF"/>
      <w:sz w:val="18"/>
      <w:szCs w:val="18"/>
    </w:rPr>
  </w:style>
  <w:style w:type="paragraph" w:styleId="Title">
    <w:name w:val="Title"/>
    <w:basedOn w:val="Normal"/>
    <w:next w:val="Normal"/>
    <w:link w:val="TitleChar"/>
    <w:uiPriority w:val="10"/>
    <w:qFormat/>
    <w:rsid w:val="00D76083"/>
    <w:pPr>
      <w:pBdr>
        <w:top w:val="single" w:sz="48" w:space="0" w:color="C0504D" w:themeColor="accent2"/>
        <w:bottom w:val="single" w:sz="48" w:space="0" w:color="C0504D" w:themeColor="accent2"/>
      </w:pBdr>
      <w:shd w:val="clear" w:color="auto" w:fill="C0504D"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D76083"/>
    <w:rPr>
      <w:rFonts w:asciiTheme="majorHAnsi" w:eastAsiaTheme="majorEastAsia" w:hAnsiTheme="majorHAnsi" w:cstheme="majorBidi"/>
      <w:i/>
      <w:iCs/>
      <w:color w:val="FFFFFF" w:themeColor="background1"/>
      <w:spacing w:val="10"/>
      <w:sz w:val="48"/>
      <w:szCs w:val="48"/>
      <w:shd w:val="clear" w:color="auto" w:fill="C0504D" w:themeFill="accent2"/>
    </w:rPr>
  </w:style>
  <w:style w:type="paragraph" w:styleId="Subtitle">
    <w:name w:val="Subtitle"/>
    <w:basedOn w:val="Normal"/>
    <w:next w:val="Normal"/>
    <w:link w:val="SubtitleChar"/>
    <w:uiPriority w:val="11"/>
    <w:qFormat/>
    <w:rsid w:val="00D76083"/>
    <w:pPr>
      <w:pBdr>
        <w:bottom w:val="dotted" w:sz="8" w:space="10" w:color="C0504D" w:themeColor="accent2"/>
      </w:pBdr>
      <w:spacing w:before="200" w:after="900" w:line="240" w:lineRule="auto"/>
      <w:jc w:val="center"/>
    </w:pPr>
    <w:rPr>
      <w:rFonts w:asciiTheme="majorHAnsi" w:eastAsiaTheme="majorEastAsia" w:hAnsiTheme="majorHAnsi" w:cstheme="majorBidi"/>
      <w:color w:val="622423" w:themeColor="accent2" w:themeShade="7F"/>
      <w:sz w:val="24"/>
      <w:szCs w:val="24"/>
    </w:rPr>
  </w:style>
  <w:style w:type="character" w:customStyle="1" w:styleId="SubtitleChar">
    <w:name w:val="Subtitle Char"/>
    <w:basedOn w:val="DefaultParagraphFont"/>
    <w:link w:val="Subtitle"/>
    <w:uiPriority w:val="11"/>
    <w:rsid w:val="00D76083"/>
    <w:rPr>
      <w:rFonts w:asciiTheme="majorHAnsi" w:eastAsiaTheme="majorEastAsia" w:hAnsiTheme="majorHAnsi" w:cstheme="majorBidi"/>
      <w:i/>
      <w:iCs/>
      <w:color w:val="622423" w:themeColor="accent2" w:themeShade="7F"/>
      <w:sz w:val="24"/>
      <w:szCs w:val="24"/>
    </w:rPr>
  </w:style>
  <w:style w:type="character" w:styleId="Strong">
    <w:name w:val="Strong"/>
    <w:uiPriority w:val="22"/>
    <w:qFormat/>
    <w:rsid w:val="00D76083"/>
    <w:rPr>
      <w:b/>
      <w:bCs/>
      <w:spacing w:val="0"/>
    </w:rPr>
  </w:style>
  <w:style w:type="character" w:styleId="Emphasis">
    <w:name w:val="Emphasis"/>
    <w:uiPriority w:val="20"/>
    <w:qFormat/>
    <w:rsid w:val="00D76083"/>
    <w:rPr>
      <w:rFonts w:asciiTheme="majorHAnsi" w:eastAsiaTheme="majorEastAsia" w:hAnsiTheme="majorHAnsi" w:cstheme="majorBidi"/>
      <w:b/>
      <w:bCs/>
      <w:i/>
      <w:iCs/>
      <w:color w:val="C0504D" w:themeColor="accent2"/>
      <w:bdr w:val="single" w:sz="18" w:space="0" w:color="F2DBDB" w:themeColor="accent2" w:themeTint="33"/>
      <w:shd w:val="clear" w:color="auto" w:fill="F2DBDB" w:themeFill="accent2" w:themeFillTint="33"/>
    </w:rPr>
  </w:style>
  <w:style w:type="paragraph" w:styleId="NoSpacing">
    <w:name w:val="No Spacing"/>
    <w:basedOn w:val="Normal"/>
    <w:link w:val="NoSpacingChar"/>
    <w:uiPriority w:val="1"/>
    <w:qFormat/>
    <w:rsid w:val="00D76083"/>
    <w:pPr>
      <w:spacing w:after="0" w:line="240" w:lineRule="auto"/>
    </w:pPr>
  </w:style>
  <w:style w:type="character" w:customStyle="1" w:styleId="NoSpacingChar">
    <w:name w:val="No Spacing Char"/>
    <w:basedOn w:val="DefaultParagraphFont"/>
    <w:link w:val="NoSpacing"/>
    <w:uiPriority w:val="1"/>
    <w:rsid w:val="00D76083"/>
    <w:rPr>
      <w:i/>
      <w:iCs/>
      <w:sz w:val="20"/>
      <w:szCs w:val="20"/>
    </w:rPr>
  </w:style>
  <w:style w:type="paragraph" w:styleId="ListParagraph">
    <w:name w:val="List Paragraph"/>
    <w:basedOn w:val="Normal"/>
    <w:uiPriority w:val="34"/>
    <w:qFormat/>
    <w:rsid w:val="00D76083"/>
    <w:pPr>
      <w:ind w:left="720"/>
      <w:contextualSpacing/>
    </w:pPr>
  </w:style>
  <w:style w:type="paragraph" w:styleId="Quote">
    <w:name w:val="Quote"/>
    <w:basedOn w:val="Normal"/>
    <w:next w:val="Normal"/>
    <w:link w:val="QuoteChar"/>
    <w:uiPriority w:val="29"/>
    <w:qFormat/>
    <w:rsid w:val="00D76083"/>
    <w:rPr>
      <w:i w:val="0"/>
      <w:iCs w:val="0"/>
      <w:color w:val="943634" w:themeColor="accent2" w:themeShade="BF"/>
    </w:rPr>
  </w:style>
  <w:style w:type="character" w:customStyle="1" w:styleId="QuoteChar">
    <w:name w:val="Quote Char"/>
    <w:basedOn w:val="DefaultParagraphFont"/>
    <w:link w:val="Quote"/>
    <w:uiPriority w:val="29"/>
    <w:rsid w:val="00D76083"/>
    <w:rPr>
      <w:color w:val="943634" w:themeColor="accent2" w:themeShade="BF"/>
      <w:sz w:val="20"/>
      <w:szCs w:val="20"/>
    </w:rPr>
  </w:style>
  <w:style w:type="paragraph" w:styleId="IntenseQuote">
    <w:name w:val="Intense Quote"/>
    <w:basedOn w:val="Normal"/>
    <w:next w:val="Normal"/>
    <w:link w:val="IntenseQuoteChar"/>
    <w:uiPriority w:val="30"/>
    <w:qFormat/>
    <w:rsid w:val="00D76083"/>
    <w:pPr>
      <w:pBdr>
        <w:top w:val="dotted" w:sz="8" w:space="10" w:color="C0504D" w:themeColor="accent2"/>
        <w:bottom w:val="dotted" w:sz="8" w:space="10" w:color="C0504D" w:themeColor="accent2"/>
      </w:pBdr>
      <w:spacing w:line="300" w:lineRule="auto"/>
      <w:ind w:left="2160" w:right="2160"/>
      <w:jc w:val="center"/>
    </w:pPr>
    <w:rPr>
      <w:rFonts w:asciiTheme="majorHAnsi" w:eastAsiaTheme="majorEastAsia" w:hAnsiTheme="majorHAnsi" w:cstheme="majorBidi"/>
      <w:b/>
      <w:bCs/>
      <w:color w:val="C0504D" w:themeColor="accent2"/>
    </w:rPr>
  </w:style>
  <w:style w:type="character" w:customStyle="1" w:styleId="IntenseQuoteChar">
    <w:name w:val="Intense Quote Char"/>
    <w:basedOn w:val="DefaultParagraphFont"/>
    <w:link w:val="IntenseQuote"/>
    <w:uiPriority w:val="30"/>
    <w:rsid w:val="00D76083"/>
    <w:rPr>
      <w:rFonts w:asciiTheme="majorHAnsi" w:eastAsiaTheme="majorEastAsia" w:hAnsiTheme="majorHAnsi" w:cstheme="majorBidi"/>
      <w:b/>
      <w:bCs/>
      <w:i/>
      <w:iCs/>
      <w:color w:val="C0504D" w:themeColor="accent2"/>
      <w:sz w:val="20"/>
      <w:szCs w:val="20"/>
    </w:rPr>
  </w:style>
  <w:style w:type="character" w:styleId="SubtleEmphasis">
    <w:name w:val="Subtle Emphasis"/>
    <w:uiPriority w:val="19"/>
    <w:qFormat/>
    <w:rsid w:val="00D76083"/>
    <w:rPr>
      <w:rFonts w:asciiTheme="majorHAnsi" w:eastAsiaTheme="majorEastAsia" w:hAnsiTheme="majorHAnsi" w:cstheme="majorBidi"/>
      <w:i/>
      <w:iCs/>
      <w:color w:val="C0504D" w:themeColor="accent2"/>
    </w:rPr>
  </w:style>
  <w:style w:type="character" w:styleId="IntenseEmphasis">
    <w:name w:val="Intense Emphasis"/>
    <w:uiPriority w:val="21"/>
    <w:qFormat/>
    <w:rsid w:val="00D76083"/>
    <w:rPr>
      <w:rFonts w:asciiTheme="majorHAnsi" w:eastAsiaTheme="majorEastAsia" w:hAnsiTheme="majorHAnsi" w:cstheme="majorBidi"/>
      <w:b/>
      <w:bCs/>
      <w:i/>
      <w:iCs/>
      <w:dstrike w:val="0"/>
      <w:color w:val="FFFFFF" w:themeColor="background1"/>
      <w:bdr w:val="single" w:sz="18" w:space="0" w:color="C0504D" w:themeColor="accent2"/>
      <w:shd w:val="clear" w:color="auto" w:fill="C0504D" w:themeFill="accent2"/>
      <w:vertAlign w:val="baseline"/>
    </w:rPr>
  </w:style>
  <w:style w:type="character" w:styleId="SubtleReference">
    <w:name w:val="Subtle Reference"/>
    <w:uiPriority w:val="31"/>
    <w:qFormat/>
    <w:rsid w:val="00D76083"/>
    <w:rPr>
      <w:i/>
      <w:iCs/>
      <w:smallCaps/>
      <w:color w:val="C0504D" w:themeColor="accent2"/>
      <w:u w:color="C0504D" w:themeColor="accent2"/>
    </w:rPr>
  </w:style>
  <w:style w:type="character" w:styleId="IntenseReference">
    <w:name w:val="Intense Reference"/>
    <w:uiPriority w:val="32"/>
    <w:qFormat/>
    <w:rsid w:val="00D76083"/>
    <w:rPr>
      <w:b/>
      <w:bCs/>
      <w:i/>
      <w:iCs/>
      <w:smallCaps/>
      <w:color w:val="C0504D" w:themeColor="accent2"/>
      <w:u w:color="C0504D" w:themeColor="accent2"/>
    </w:rPr>
  </w:style>
  <w:style w:type="character" w:styleId="BookTitle">
    <w:name w:val="Book Title"/>
    <w:uiPriority w:val="33"/>
    <w:qFormat/>
    <w:rsid w:val="00D76083"/>
    <w:rPr>
      <w:rFonts w:asciiTheme="majorHAnsi" w:eastAsiaTheme="majorEastAsia" w:hAnsiTheme="majorHAnsi" w:cstheme="majorBidi"/>
      <w:b/>
      <w:bCs/>
      <w:i/>
      <w:iCs/>
      <w:smallCaps/>
      <w:color w:val="943634" w:themeColor="accent2" w:themeShade="BF"/>
      <w:u w:val="single"/>
    </w:rPr>
  </w:style>
  <w:style w:type="paragraph" w:styleId="TOCHeading">
    <w:name w:val="TOC Heading"/>
    <w:basedOn w:val="Heading1"/>
    <w:next w:val="Normal"/>
    <w:uiPriority w:val="39"/>
    <w:semiHidden/>
    <w:unhideWhenUsed/>
    <w:qFormat/>
    <w:rsid w:val="00D76083"/>
    <w:pPr>
      <w:outlineLvl w:val="9"/>
    </w:pPr>
  </w:style>
  <w:style w:type="character" w:styleId="PageNumber">
    <w:name w:val="page number"/>
    <w:basedOn w:val="DefaultParagraphFont"/>
    <w:uiPriority w:val="99"/>
    <w:semiHidden/>
    <w:unhideWhenUsed/>
    <w:rsid w:val="00DD64FF"/>
  </w:style>
  <w:style w:type="character" w:styleId="CommentReference">
    <w:name w:val="annotation reference"/>
    <w:basedOn w:val="DefaultParagraphFont"/>
    <w:uiPriority w:val="99"/>
    <w:semiHidden/>
    <w:unhideWhenUsed/>
    <w:rsid w:val="007E167D"/>
    <w:rPr>
      <w:sz w:val="16"/>
      <w:szCs w:val="16"/>
    </w:rPr>
  </w:style>
  <w:style w:type="paragraph" w:styleId="CommentText">
    <w:name w:val="annotation text"/>
    <w:basedOn w:val="Normal"/>
    <w:link w:val="CommentTextChar"/>
    <w:uiPriority w:val="99"/>
    <w:semiHidden/>
    <w:unhideWhenUsed/>
    <w:rsid w:val="007E167D"/>
    <w:pPr>
      <w:spacing w:line="240" w:lineRule="auto"/>
    </w:pPr>
  </w:style>
  <w:style w:type="character" w:customStyle="1" w:styleId="CommentTextChar">
    <w:name w:val="Comment Text Char"/>
    <w:basedOn w:val="DefaultParagraphFont"/>
    <w:link w:val="CommentText"/>
    <w:uiPriority w:val="99"/>
    <w:semiHidden/>
    <w:rsid w:val="007E167D"/>
    <w:rPr>
      <w:i/>
      <w:iCs/>
      <w:sz w:val="20"/>
      <w:szCs w:val="20"/>
    </w:rPr>
  </w:style>
  <w:style w:type="paragraph" w:styleId="CommentSubject">
    <w:name w:val="annotation subject"/>
    <w:basedOn w:val="CommentText"/>
    <w:next w:val="CommentText"/>
    <w:link w:val="CommentSubjectChar"/>
    <w:uiPriority w:val="99"/>
    <w:semiHidden/>
    <w:unhideWhenUsed/>
    <w:rsid w:val="007E167D"/>
    <w:rPr>
      <w:b/>
      <w:bCs/>
    </w:rPr>
  </w:style>
  <w:style w:type="character" w:customStyle="1" w:styleId="CommentSubjectChar">
    <w:name w:val="Comment Subject Char"/>
    <w:basedOn w:val="CommentTextChar"/>
    <w:link w:val="CommentSubject"/>
    <w:uiPriority w:val="99"/>
    <w:semiHidden/>
    <w:rsid w:val="007E167D"/>
    <w:rPr>
      <w:b/>
      <w:bCs/>
      <w:i/>
      <w:iCs/>
      <w:sz w:val="20"/>
      <w:szCs w:val="20"/>
    </w:rPr>
  </w:style>
  <w:style w:type="character" w:styleId="Hyperlink">
    <w:name w:val="Hyperlink"/>
    <w:basedOn w:val="DefaultParagraphFont"/>
    <w:uiPriority w:val="99"/>
    <w:unhideWhenUsed/>
    <w:rsid w:val="007529A5"/>
    <w:rPr>
      <w:color w:val="0000FF" w:themeColor="hyperlink"/>
      <w:u w:val="single"/>
    </w:rPr>
  </w:style>
  <w:style w:type="character" w:styleId="UnresolvedMention">
    <w:name w:val="Unresolved Mention"/>
    <w:basedOn w:val="DefaultParagraphFont"/>
    <w:uiPriority w:val="99"/>
    <w:semiHidden/>
    <w:unhideWhenUsed/>
    <w:rsid w:val="007529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udysmarter.co.uk/explanations/law/civil-law/strict-liabilit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ukpga/1984/3"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Eliz2/5-6/31/section/1"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lexisnexis.co.uk/legal/guidance/premises-lawful-visitors-in-occupiers-liability-claims"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311</TotalTime>
  <Pages>4</Pages>
  <Words>1748</Words>
  <Characters>9964</Characters>
  <Application>Microsoft Office Word</Application>
  <DocSecurity>0</DocSecurity>
  <Lines>83</Lines>
  <Paragraphs>23</Paragraphs>
  <ScaleCrop>false</ScaleCrop>
  <Company>UWTSD - University of Wales Trinity Saint David</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Green (2017590)</dc:creator>
  <cp:keywords/>
  <dc:description/>
  <cp:lastModifiedBy>Ryan Green (2017590)</cp:lastModifiedBy>
  <cp:revision>235</cp:revision>
  <cp:lastPrinted>2023-10-30T13:49:00Z</cp:lastPrinted>
  <dcterms:created xsi:type="dcterms:W3CDTF">2023-10-30T13:39:00Z</dcterms:created>
  <dcterms:modified xsi:type="dcterms:W3CDTF">2023-11-10T23:53:00Z</dcterms:modified>
</cp:coreProperties>
</file>