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6922E7" w14:textId="77777777" w:rsidR="004278F0" w:rsidRDefault="004278F0" w:rsidP="004278F0">
      <w:pPr>
        <w:jc w:val="center"/>
        <w:rPr>
          <w:rFonts w:ascii="Times New Roman" w:hAnsi="Times New Roman" w:cs="Times New Roman"/>
          <w:b/>
          <w:sz w:val="28"/>
          <w:szCs w:val="24"/>
        </w:rPr>
      </w:pPr>
    </w:p>
    <w:p w14:paraId="613759F8" w14:textId="336E4121" w:rsidR="004278F0" w:rsidRDefault="000F274F" w:rsidP="004278F0">
      <w:pPr>
        <w:widowControl/>
        <w:jc w:val="center"/>
        <w:rPr>
          <w:rFonts w:ascii="Times New Roman" w:hAnsi="Times New Roman" w:cs="Times New Roman"/>
          <w:b/>
          <w:sz w:val="28"/>
          <w:szCs w:val="24"/>
        </w:rPr>
      </w:pPr>
      <w:r>
        <w:rPr>
          <w:rFonts w:ascii="Times New Roman" w:hAnsi="Times New Roman" w:cs="Times New Roman"/>
          <w:b/>
          <w:sz w:val="28"/>
          <w:szCs w:val="24"/>
        </w:rPr>
        <w:t>E</w:t>
      </w:r>
      <w:r w:rsidR="00923347" w:rsidRPr="00923347">
        <w:rPr>
          <w:rFonts w:ascii="Times New Roman" w:hAnsi="Times New Roman" w:cs="Times New Roman"/>
          <w:b/>
          <w:sz w:val="28"/>
          <w:szCs w:val="24"/>
        </w:rPr>
        <w:t>arnings management</w:t>
      </w:r>
    </w:p>
    <w:p w14:paraId="23836AEB" w14:textId="77777777" w:rsidR="004278F0" w:rsidRDefault="004278F0" w:rsidP="004278F0">
      <w:pPr>
        <w:widowControl/>
        <w:jc w:val="center"/>
        <w:rPr>
          <w:rFonts w:ascii="Times New Roman" w:hAnsi="Times New Roman" w:cs="Times New Roman"/>
          <w:b/>
          <w:sz w:val="28"/>
          <w:szCs w:val="24"/>
        </w:rPr>
      </w:pPr>
    </w:p>
    <w:p w14:paraId="03A97B76" w14:textId="77777777" w:rsidR="004278F0" w:rsidRDefault="004278F0" w:rsidP="004278F0">
      <w:pPr>
        <w:widowControl/>
        <w:jc w:val="center"/>
        <w:rPr>
          <w:rFonts w:ascii="Times New Roman" w:hAnsi="Times New Roman" w:cs="Times New Roman"/>
          <w:b/>
          <w:sz w:val="28"/>
          <w:szCs w:val="24"/>
        </w:rPr>
      </w:pPr>
    </w:p>
    <w:p w14:paraId="17F2194A" w14:textId="1D79DE50" w:rsidR="004278F0" w:rsidRDefault="00923347" w:rsidP="004278F0">
      <w:pPr>
        <w:widowControl/>
        <w:jc w:val="center"/>
        <w:rPr>
          <w:rFonts w:ascii="Times New Roman" w:hAnsi="Times New Roman" w:cs="Times New Roman"/>
          <w:b/>
          <w:sz w:val="28"/>
          <w:szCs w:val="24"/>
        </w:rPr>
      </w:pPr>
      <w:r>
        <w:rPr>
          <w:rFonts w:ascii="Times New Roman" w:hAnsi="Times New Roman" w:cs="Times New Roman"/>
          <w:b/>
          <w:noProof/>
          <w:sz w:val="28"/>
          <w:szCs w:val="24"/>
        </w:rPr>
        <w:drawing>
          <wp:anchor distT="0" distB="0" distL="114300" distR="114300" simplePos="0" relativeHeight="251658240" behindDoc="0" locked="0" layoutInCell="1" allowOverlap="1" wp14:anchorId="11F0AA38" wp14:editId="5A6DF112">
            <wp:simplePos x="0" y="0"/>
            <wp:positionH relativeFrom="margin">
              <wp:align>center</wp:align>
            </wp:positionH>
            <wp:positionV relativeFrom="paragraph">
              <wp:posOffset>208058</wp:posOffset>
            </wp:positionV>
            <wp:extent cx="1938911" cy="776653"/>
            <wp:effectExtent l="0" t="0" r="4445" b="0"/>
            <wp:wrapNone/>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38911" cy="776653"/>
                    </a:xfrm>
                    <a:prstGeom prst="rect">
                      <a:avLst/>
                    </a:prstGeom>
                    <a:noFill/>
                  </pic:spPr>
                </pic:pic>
              </a:graphicData>
            </a:graphic>
            <wp14:sizeRelH relativeFrom="margin">
              <wp14:pctWidth>0</wp14:pctWidth>
            </wp14:sizeRelH>
            <wp14:sizeRelV relativeFrom="margin">
              <wp14:pctHeight>0</wp14:pctHeight>
            </wp14:sizeRelV>
          </wp:anchor>
        </w:drawing>
      </w:r>
    </w:p>
    <w:p w14:paraId="3DC0E0EF" w14:textId="716904A3" w:rsidR="004278F0" w:rsidRDefault="004278F0" w:rsidP="004278F0">
      <w:pPr>
        <w:widowControl/>
        <w:jc w:val="center"/>
        <w:rPr>
          <w:rFonts w:ascii="Times New Roman" w:hAnsi="Times New Roman" w:cs="Times New Roman"/>
          <w:b/>
          <w:sz w:val="28"/>
          <w:szCs w:val="24"/>
        </w:rPr>
      </w:pPr>
    </w:p>
    <w:p w14:paraId="349587D0" w14:textId="77777777" w:rsidR="004278F0" w:rsidRDefault="004278F0" w:rsidP="00923347">
      <w:pPr>
        <w:widowControl/>
        <w:jc w:val="center"/>
        <w:rPr>
          <w:rFonts w:ascii="Times New Roman" w:hAnsi="Times New Roman" w:cs="Times New Roman"/>
          <w:b/>
          <w:sz w:val="28"/>
          <w:szCs w:val="24"/>
        </w:rPr>
      </w:pPr>
    </w:p>
    <w:p w14:paraId="67880CA7" w14:textId="77777777" w:rsidR="004278F0" w:rsidRDefault="004278F0" w:rsidP="004278F0">
      <w:pPr>
        <w:widowControl/>
        <w:jc w:val="center"/>
        <w:rPr>
          <w:rFonts w:ascii="Times New Roman" w:hAnsi="Times New Roman" w:cs="Times New Roman"/>
          <w:b/>
          <w:sz w:val="28"/>
          <w:szCs w:val="24"/>
        </w:rPr>
      </w:pPr>
    </w:p>
    <w:p w14:paraId="695A578E" w14:textId="77777777" w:rsidR="004278F0" w:rsidRDefault="004278F0" w:rsidP="004278F0">
      <w:pPr>
        <w:widowControl/>
        <w:jc w:val="center"/>
        <w:rPr>
          <w:rFonts w:ascii="Times New Roman" w:hAnsi="Times New Roman" w:cs="Times New Roman"/>
          <w:b/>
          <w:sz w:val="28"/>
          <w:szCs w:val="24"/>
        </w:rPr>
      </w:pPr>
    </w:p>
    <w:p w14:paraId="49DDCA36" w14:textId="77777777" w:rsidR="004278F0" w:rsidRDefault="004278F0" w:rsidP="004278F0">
      <w:pPr>
        <w:widowControl/>
        <w:jc w:val="center"/>
        <w:rPr>
          <w:rFonts w:ascii="Times New Roman" w:hAnsi="Times New Roman" w:cs="Times New Roman"/>
          <w:b/>
          <w:sz w:val="28"/>
          <w:szCs w:val="24"/>
        </w:rPr>
      </w:pPr>
    </w:p>
    <w:p w14:paraId="5CA35B79" w14:textId="5D0BB799" w:rsidR="004278F0" w:rsidRDefault="00B15CD3" w:rsidP="004278F0">
      <w:pPr>
        <w:widowControl/>
        <w:jc w:val="center"/>
        <w:rPr>
          <w:rFonts w:ascii="Times New Roman" w:hAnsi="Times New Roman" w:cs="Times New Roman"/>
          <w:b/>
          <w:sz w:val="28"/>
          <w:szCs w:val="24"/>
        </w:rPr>
      </w:pPr>
      <w:r>
        <w:rPr>
          <w:rFonts w:ascii="Times New Roman" w:hAnsi="Times New Roman" w:cs="Times New Roman"/>
          <w:b/>
          <w:sz w:val="28"/>
          <w:szCs w:val="24"/>
        </w:rPr>
        <w:t>M</w:t>
      </w:r>
      <w:r w:rsidR="00923347">
        <w:rPr>
          <w:rFonts w:ascii="Times New Roman" w:hAnsi="Times New Roman" w:cs="Times New Roman" w:hint="eastAsia"/>
          <w:b/>
          <w:sz w:val="28"/>
          <w:szCs w:val="24"/>
        </w:rPr>
        <w:t>arch</w:t>
      </w:r>
      <w:r w:rsidR="004278F0">
        <w:rPr>
          <w:rFonts w:ascii="Times New Roman" w:hAnsi="Times New Roman" w:cs="Times New Roman"/>
          <w:b/>
          <w:sz w:val="28"/>
          <w:szCs w:val="24"/>
        </w:rPr>
        <w:t xml:space="preserve"> 202</w:t>
      </w:r>
      <w:r w:rsidR="00923347">
        <w:rPr>
          <w:rFonts w:ascii="Times New Roman" w:hAnsi="Times New Roman" w:cs="Times New Roman"/>
          <w:b/>
          <w:sz w:val="28"/>
          <w:szCs w:val="24"/>
        </w:rPr>
        <w:t>3</w:t>
      </w:r>
    </w:p>
    <w:p w14:paraId="01F91358" w14:textId="77777777" w:rsidR="004278F0" w:rsidRDefault="004278F0" w:rsidP="004278F0">
      <w:pPr>
        <w:widowControl/>
        <w:jc w:val="center"/>
        <w:rPr>
          <w:rFonts w:ascii="Times New Roman" w:hAnsi="Times New Roman" w:cs="Times New Roman"/>
          <w:b/>
          <w:sz w:val="28"/>
          <w:szCs w:val="24"/>
        </w:rPr>
      </w:pPr>
    </w:p>
    <w:p w14:paraId="4B67B70A" w14:textId="77777777" w:rsidR="004278F0" w:rsidRDefault="004278F0" w:rsidP="004278F0">
      <w:pPr>
        <w:widowControl/>
        <w:jc w:val="center"/>
        <w:rPr>
          <w:rFonts w:ascii="Times New Roman" w:hAnsi="Times New Roman" w:cs="Times New Roman"/>
          <w:b/>
          <w:sz w:val="28"/>
          <w:szCs w:val="24"/>
        </w:rPr>
      </w:pPr>
    </w:p>
    <w:p w14:paraId="64E5CA95" w14:textId="77777777" w:rsidR="004278F0" w:rsidRDefault="004278F0" w:rsidP="004278F0">
      <w:pPr>
        <w:widowControl/>
        <w:jc w:val="center"/>
        <w:rPr>
          <w:rFonts w:ascii="Times New Roman" w:hAnsi="Times New Roman" w:cs="Times New Roman"/>
          <w:b/>
          <w:sz w:val="28"/>
          <w:szCs w:val="24"/>
        </w:rPr>
      </w:pPr>
    </w:p>
    <w:p w14:paraId="5E999FB4" w14:textId="126BB8BA" w:rsidR="004278F0" w:rsidRDefault="004278F0" w:rsidP="004278F0">
      <w:pPr>
        <w:widowControl/>
        <w:jc w:val="center"/>
        <w:rPr>
          <w:rFonts w:ascii="Times New Roman" w:hAnsi="Times New Roman" w:cs="Times New Roman"/>
          <w:b/>
          <w:sz w:val="28"/>
          <w:szCs w:val="24"/>
        </w:rPr>
      </w:pPr>
    </w:p>
    <w:p w14:paraId="499A84BF" w14:textId="47E370AC" w:rsidR="00923347" w:rsidRDefault="00923347" w:rsidP="004278F0">
      <w:pPr>
        <w:widowControl/>
        <w:jc w:val="center"/>
        <w:rPr>
          <w:rFonts w:ascii="Times New Roman" w:hAnsi="Times New Roman" w:cs="Times New Roman"/>
          <w:b/>
          <w:sz w:val="28"/>
          <w:szCs w:val="24"/>
        </w:rPr>
      </w:pPr>
    </w:p>
    <w:p w14:paraId="41781723" w14:textId="77777777" w:rsidR="00923347" w:rsidRDefault="00923347" w:rsidP="004278F0">
      <w:pPr>
        <w:widowControl/>
        <w:jc w:val="center"/>
        <w:rPr>
          <w:rFonts w:ascii="Times New Roman" w:hAnsi="Times New Roman" w:cs="Times New Roman"/>
          <w:b/>
          <w:sz w:val="28"/>
          <w:szCs w:val="24"/>
        </w:rPr>
      </w:pPr>
    </w:p>
    <w:p w14:paraId="4690939B" w14:textId="471CE3B7" w:rsidR="004278F0" w:rsidRDefault="004278F0" w:rsidP="00704C5D">
      <w:pPr>
        <w:widowControl/>
        <w:jc w:val="center"/>
        <w:rPr>
          <w:rFonts w:ascii="Times New Roman" w:hAnsi="Times New Roman" w:cs="Times New Roman"/>
          <w:b/>
          <w:sz w:val="28"/>
          <w:szCs w:val="24"/>
        </w:rPr>
      </w:pPr>
      <w:r w:rsidRPr="00696C9B">
        <w:rPr>
          <w:rFonts w:ascii="Times New Roman" w:hAnsi="Times New Roman" w:cs="Times New Roman"/>
          <w:b/>
          <w:sz w:val="28"/>
          <w:szCs w:val="24"/>
        </w:rPr>
        <w:t>Module name</w:t>
      </w:r>
      <w:r>
        <w:rPr>
          <w:rFonts w:ascii="Times New Roman" w:hAnsi="Times New Roman" w:cs="Times New Roman" w:hint="eastAsia"/>
          <w:b/>
          <w:sz w:val="28"/>
          <w:szCs w:val="24"/>
        </w:rPr>
        <w:t>:</w:t>
      </w:r>
      <w:r>
        <w:rPr>
          <w:rFonts w:ascii="Times New Roman" w:hAnsi="Times New Roman" w:cs="Times New Roman"/>
          <w:b/>
          <w:sz w:val="28"/>
          <w:szCs w:val="24"/>
        </w:rPr>
        <w:t xml:space="preserve"> </w:t>
      </w:r>
      <w:r w:rsidR="00704C5D" w:rsidRPr="00704C5D">
        <w:rPr>
          <w:rFonts w:ascii="Times New Roman" w:hAnsi="Times New Roman" w:cs="Times New Roman"/>
          <w:b/>
          <w:sz w:val="28"/>
          <w:szCs w:val="24"/>
        </w:rPr>
        <w:t>Corp</w:t>
      </w:r>
      <w:bookmarkStart w:id="0" w:name="_GoBack"/>
      <w:bookmarkEnd w:id="0"/>
      <w:r w:rsidR="00704C5D" w:rsidRPr="00704C5D">
        <w:rPr>
          <w:rFonts w:ascii="Times New Roman" w:hAnsi="Times New Roman" w:cs="Times New Roman"/>
          <w:b/>
          <w:sz w:val="28"/>
          <w:szCs w:val="24"/>
        </w:rPr>
        <w:t>orate Governance</w:t>
      </w:r>
      <w:r w:rsidRPr="004278F0">
        <w:rPr>
          <w:rFonts w:ascii="Times New Roman" w:hAnsi="Times New Roman" w:cs="Times New Roman"/>
          <w:b/>
          <w:sz w:val="28"/>
          <w:szCs w:val="24"/>
        </w:rPr>
        <w:t xml:space="preserve"> (</w:t>
      </w:r>
      <w:r w:rsidR="00704C5D" w:rsidRPr="00704C5D">
        <w:rPr>
          <w:rFonts w:ascii="Times New Roman" w:hAnsi="Times New Roman" w:cs="Times New Roman"/>
          <w:b/>
          <w:sz w:val="28"/>
          <w:szCs w:val="24"/>
        </w:rPr>
        <w:t>BMMB7018</w:t>
      </w:r>
      <w:r w:rsidRPr="004278F0">
        <w:rPr>
          <w:rFonts w:ascii="Times New Roman" w:hAnsi="Times New Roman" w:cs="Times New Roman"/>
          <w:b/>
          <w:sz w:val="28"/>
          <w:szCs w:val="24"/>
        </w:rPr>
        <w:t>)</w:t>
      </w:r>
    </w:p>
    <w:p w14:paraId="337B8BA2" w14:textId="77777777" w:rsidR="004278F0" w:rsidRDefault="004278F0" w:rsidP="00704C5D">
      <w:pPr>
        <w:widowControl/>
        <w:jc w:val="center"/>
        <w:rPr>
          <w:rFonts w:ascii="Times New Roman" w:hAnsi="Times New Roman" w:cs="Times New Roman"/>
          <w:b/>
          <w:sz w:val="28"/>
          <w:szCs w:val="24"/>
        </w:rPr>
      </w:pPr>
      <w:r>
        <w:rPr>
          <w:rFonts w:ascii="Times New Roman" w:hAnsi="Times New Roman" w:cs="Times New Roman"/>
          <w:b/>
          <w:sz w:val="28"/>
          <w:szCs w:val="24"/>
        </w:rPr>
        <w:t>Student N</w:t>
      </w:r>
      <w:r w:rsidRPr="00696C9B">
        <w:rPr>
          <w:rFonts w:ascii="Times New Roman" w:hAnsi="Times New Roman" w:cs="Times New Roman"/>
          <w:b/>
          <w:sz w:val="28"/>
          <w:szCs w:val="24"/>
        </w:rPr>
        <w:t>ame</w:t>
      </w:r>
      <w:r>
        <w:rPr>
          <w:rFonts w:ascii="Times New Roman" w:hAnsi="Times New Roman" w:cs="Times New Roman"/>
          <w:b/>
          <w:sz w:val="28"/>
          <w:szCs w:val="24"/>
        </w:rPr>
        <w:t xml:space="preserve">: </w:t>
      </w:r>
      <w:proofErr w:type="spellStart"/>
      <w:r>
        <w:rPr>
          <w:rFonts w:ascii="Times New Roman" w:hAnsi="Times New Roman" w:cs="Times New Roman"/>
          <w:b/>
          <w:sz w:val="28"/>
          <w:szCs w:val="24"/>
        </w:rPr>
        <w:t>Shiqi</w:t>
      </w:r>
      <w:proofErr w:type="spellEnd"/>
      <w:r>
        <w:rPr>
          <w:rFonts w:ascii="Times New Roman" w:hAnsi="Times New Roman" w:cs="Times New Roman"/>
          <w:b/>
          <w:sz w:val="28"/>
          <w:szCs w:val="24"/>
        </w:rPr>
        <w:t xml:space="preserve"> Ming</w:t>
      </w:r>
    </w:p>
    <w:p w14:paraId="67F901AA" w14:textId="4EF18305" w:rsidR="004278F0" w:rsidRPr="007945B2" w:rsidRDefault="004278F0" w:rsidP="00704C5D">
      <w:pPr>
        <w:widowControl/>
        <w:jc w:val="center"/>
        <w:rPr>
          <w:rFonts w:ascii="Times New Roman" w:hAnsi="Times New Roman" w:cs="Times New Roman"/>
          <w:b/>
          <w:sz w:val="28"/>
          <w:szCs w:val="24"/>
        </w:rPr>
      </w:pPr>
      <w:r>
        <w:rPr>
          <w:rFonts w:ascii="Times New Roman" w:hAnsi="Times New Roman" w:cs="Times New Roman"/>
          <w:b/>
          <w:sz w:val="28"/>
          <w:szCs w:val="24"/>
        </w:rPr>
        <w:t>S</w:t>
      </w:r>
      <w:r w:rsidRPr="00696C9B">
        <w:rPr>
          <w:rFonts w:ascii="Times New Roman" w:hAnsi="Times New Roman" w:cs="Times New Roman"/>
          <w:b/>
          <w:sz w:val="28"/>
          <w:szCs w:val="24"/>
        </w:rPr>
        <w:t xml:space="preserve">tudent </w:t>
      </w:r>
      <w:r>
        <w:rPr>
          <w:rFonts w:ascii="Times New Roman" w:hAnsi="Times New Roman" w:cs="Times New Roman"/>
          <w:b/>
          <w:sz w:val="28"/>
          <w:szCs w:val="24"/>
        </w:rPr>
        <w:t>N</w:t>
      </w:r>
      <w:r w:rsidRPr="00696C9B">
        <w:rPr>
          <w:rFonts w:ascii="Times New Roman" w:hAnsi="Times New Roman" w:cs="Times New Roman"/>
          <w:b/>
          <w:sz w:val="28"/>
          <w:szCs w:val="24"/>
        </w:rPr>
        <w:t>umber</w:t>
      </w:r>
      <w:r>
        <w:rPr>
          <w:rFonts w:ascii="Times New Roman" w:hAnsi="Times New Roman" w:cs="Times New Roman"/>
          <w:b/>
          <w:sz w:val="28"/>
          <w:szCs w:val="24"/>
        </w:rPr>
        <w:t>:</w:t>
      </w:r>
      <w:r w:rsidRPr="00696C9B">
        <w:t xml:space="preserve"> </w:t>
      </w:r>
      <w:r w:rsidRPr="00696C9B">
        <w:rPr>
          <w:rFonts w:ascii="Times New Roman" w:hAnsi="Times New Roman" w:cs="Times New Roman"/>
          <w:b/>
          <w:sz w:val="28"/>
          <w:szCs w:val="24"/>
        </w:rPr>
        <w:t>2121662</w:t>
      </w:r>
    </w:p>
    <w:p w14:paraId="61CE562A" w14:textId="77777777" w:rsidR="004278F0" w:rsidRDefault="004278F0">
      <w:pPr>
        <w:widowControl/>
        <w:jc w:val="left"/>
        <w:rPr>
          <w:rFonts w:ascii="Times New Roman" w:hAnsi="Times New Roman" w:cs="Times New Roman"/>
          <w:b/>
          <w:bCs/>
          <w:kern w:val="44"/>
          <w:sz w:val="24"/>
          <w:szCs w:val="24"/>
        </w:rPr>
      </w:pPr>
      <w:r>
        <w:rPr>
          <w:rFonts w:ascii="Times New Roman" w:hAnsi="Times New Roman" w:cs="Times New Roman"/>
          <w:sz w:val="24"/>
          <w:szCs w:val="24"/>
        </w:rPr>
        <w:br w:type="page"/>
      </w:r>
    </w:p>
    <w:p w14:paraId="339C9EFC" w14:textId="77777777" w:rsidR="007945B2" w:rsidRDefault="007945B2" w:rsidP="007945B2">
      <w:pPr>
        <w:jc w:val="center"/>
        <w:outlineLvl w:val="0"/>
        <w:rPr>
          <w:rFonts w:ascii="Times New Roman" w:hAnsi="Times New Roman" w:cs="Times New Roman"/>
          <w:b/>
          <w:sz w:val="28"/>
          <w:szCs w:val="24"/>
        </w:rPr>
      </w:pPr>
      <w:bookmarkStart w:id="1" w:name="_Toc122102421"/>
      <w:bookmarkStart w:id="2" w:name="_Toc122111148"/>
      <w:bookmarkStart w:id="3" w:name="_Toc130830354"/>
      <w:bookmarkStart w:id="4" w:name="_Toc130830418"/>
      <w:r w:rsidRPr="009C60E9">
        <w:rPr>
          <w:rFonts w:ascii="Times New Roman" w:hAnsi="Times New Roman" w:cs="Times New Roman"/>
          <w:b/>
          <w:sz w:val="28"/>
          <w:szCs w:val="24"/>
        </w:rPr>
        <w:lastRenderedPageBreak/>
        <w:t>Table of Content</w:t>
      </w:r>
      <w:bookmarkEnd w:id="1"/>
      <w:bookmarkEnd w:id="2"/>
      <w:bookmarkEnd w:id="3"/>
      <w:bookmarkEnd w:id="4"/>
    </w:p>
    <w:sdt>
      <w:sdtPr>
        <w:rPr>
          <w:rFonts w:asciiTheme="minorHAnsi" w:eastAsiaTheme="majorEastAsia" w:hAnsiTheme="minorHAnsi" w:cstheme="minorBidi"/>
          <w:noProof w:val="0"/>
          <w:color w:val="2F5496" w:themeColor="accent1" w:themeShade="BF"/>
          <w:kern w:val="0"/>
          <w:sz w:val="21"/>
          <w:szCs w:val="32"/>
          <w:lang w:val="zh-CN"/>
        </w:rPr>
        <w:id w:val="837267356"/>
        <w:docPartObj>
          <w:docPartGallery w:val="Table of Contents"/>
          <w:docPartUnique/>
        </w:docPartObj>
      </w:sdtPr>
      <w:sdtEndPr>
        <w:rPr>
          <w:rFonts w:asciiTheme="majorHAnsi" w:hAnsiTheme="majorHAnsi" w:cstheme="majorBidi"/>
          <w:b/>
          <w:bCs/>
          <w:sz w:val="32"/>
        </w:rPr>
      </w:sdtEndPr>
      <w:sdtContent>
        <w:p w14:paraId="19F3FE41" w14:textId="77777777" w:rsidR="00B15CD3" w:rsidRDefault="00B15CD3">
          <w:pPr>
            <w:pStyle w:val="TOC1"/>
            <w:rPr>
              <w:rFonts w:asciiTheme="minorHAnsi" w:hAnsiTheme="minorHAnsi" w:cstheme="minorBidi"/>
              <w:sz w:val="21"/>
              <w:lang w:val="zh-CN"/>
            </w:rPr>
          </w:pPr>
        </w:p>
        <w:p w14:paraId="32222F49" w14:textId="113A6F4B" w:rsidR="00B15CD3" w:rsidRPr="00D22D71" w:rsidRDefault="00B15CD3" w:rsidP="00D22D71">
          <w:pPr>
            <w:pStyle w:val="TOC1"/>
            <w:spacing w:line="400" w:lineRule="exact"/>
            <w:rPr>
              <w:sz w:val="22"/>
            </w:rPr>
          </w:pPr>
          <w:r w:rsidRPr="00D22D71">
            <w:rPr>
              <w:bCs/>
              <w:sz w:val="22"/>
              <w:lang w:val="zh-CN"/>
            </w:rPr>
            <w:fldChar w:fldCharType="begin"/>
          </w:r>
          <w:r w:rsidRPr="00D22D71">
            <w:rPr>
              <w:bCs/>
              <w:sz w:val="22"/>
              <w:lang w:val="zh-CN"/>
            </w:rPr>
            <w:instrText xml:space="preserve"> TOC \o "1-4" \h \z \u </w:instrText>
          </w:r>
          <w:r w:rsidRPr="00D22D71">
            <w:rPr>
              <w:bCs/>
              <w:sz w:val="22"/>
              <w:lang w:val="zh-CN"/>
            </w:rPr>
            <w:fldChar w:fldCharType="separate"/>
          </w:r>
          <w:hyperlink w:anchor="_Toc130830419" w:history="1">
            <w:r w:rsidRPr="00D22D71">
              <w:rPr>
                <w:rStyle w:val="af"/>
                <w:sz w:val="22"/>
              </w:rPr>
              <w:t>1. Executive summary</w:t>
            </w:r>
            <w:r w:rsidRPr="00D22D71">
              <w:rPr>
                <w:webHidden/>
                <w:sz w:val="22"/>
              </w:rPr>
              <w:tab/>
            </w:r>
            <w:r w:rsidRPr="00D22D71">
              <w:rPr>
                <w:webHidden/>
                <w:sz w:val="22"/>
              </w:rPr>
              <w:fldChar w:fldCharType="begin"/>
            </w:r>
            <w:r w:rsidRPr="00D22D71">
              <w:rPr>
                <w:webHidden/>
                <w:sz w:val="22"/>
              </w:rPr>
              <w:instrText xml:space="preserve"> PAGEREF _Toc130830419 \h </w:instrText>
            </w:r>
            <w:r w:rsidRPr="00D22D71">
              <w:rPr>
                <w:webHidden/>
                <w:sz w:val="22"/>
              </w:rPr>
            </w:r>
            <w:r w:rsidRPr="00D22D71">
              <w:rPr>
                <w:webHidden/>
                <w:sz w:val="22"/>
              </w:rPr>
              <w:fldChar w:fldCharType="separate"/>
            </w:r>
            <w:r w:rsidR="00D55507">
              <w:rPr>
                <w:webHidden/>
                <w:sz w:val="22"/>
              </w:rPr>
              <w:t>1</w:t>
            </w:r>
            <w:r w:rsidRPr="00D22D71">
              <w:rPr>
                <w:webHidden/>
                <w:sz w:val="22"/>
              </w:rPr>
              <w:fldChar w:fldCharType="end"/>
            </w:r>
          </w:hyperlink>
        </w:p>
        <w:p w14:paraId="647CD4D1" w14:textId="278375B8" w:rsidR="00B15CD3" w:rsidRPr="00D22D71" w:rsidRDefault="008147AE" w:rsidP="00D22D71">
          <w:pPr>
            <w:pStyle w:val="TOC1"/>
            <w:spacing w:line="400" w:lineRule="exact"/>
            <w:rPr>
              <w:sz w:val="22"/>
            </w:rPr>
          </w:pPr>
          <w:hyperlink w:anchor="_Toc130830420" w:history="1">
            <w:r w:rsidR="00B15CD3" w:rsidRPr="00D22D71">
              <w:rPr>
                <w:rStyle w:val="af"/>
                <w:sz w:val="22"/>
              </w:rPr>
              <w:t>2. Introduction</w:t>
            </w:r>
            <w:r w:rsidR="00B15CD3" w:rsidRPr="00D22D71">
              <w:rPr>
                <w:webHidden/>
                <w:sz w:val="22"/>
              </w:rPr>
              <w:tab/>
            </w:r>
            <w:r w:rsidR="00B15CD3" w:rsidRPr="00D22D71">
              <w:rPr>
                <w:webHidden/>
                <w:sz w:val="22"/>
              </w:rPr>
              <w:fldChar w:fldCharType="begin"/>
            </w:r>
            <w:r w:rsidR="00B15CD3" w:rsidRPr="00D22D71">
              <w:rPr>
                <w:webHidden/>
                <w:sz w:val="22"/>
              </w:rPr>
              <w:instrText xml:space="preserve"> PAGEREF _Toc130830420 \h </w:instrText>
            </w:r>
            <w:r w:rsidR="00B15CD3" w:rsidRPr="00D22D71">
              <w:rPr>
                <w:webHidden/>
                <w:sz w:val="22"/>
              </w:rPr>
            </w:r>
            <w:r w:rsidR="00B15CD3" w:rsidRPr="00D22D71">
              <w:rPr>
                <w:webHidden/>
                <w:sz w:val="22"/>
              </w:rPr>
              <w:fldChar w:fldCharType="separate"/>
            </w:r>
            <w:r w:rsidR="00D55507">
              <w:rPr>
                <w:webHidden/>
                <w:sz w:val="22"/>
              </w:rPr>
              <w:t>1</w:t>
            </w:r>
            <w:r w:rsidR="00B15CD3" w:rsidRPr="00D22D71">
              <w:rPr>
                <w:webHidden/>
                <w:sz w:val="22"/>
              </w:rPr>
              <w:fldChar w:fldCharType="end"/>
            </w:r>
          </w:hyperlink>
        </w:p>
        <w:p w14:paraId="23FD32D7" w14:textId="356AD63D"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21" w:history="1">
            <w:r w:rsidR="00B15CD3" w:rsidRPr="00D22D71">
              <w:rPr>
                <w:rStyle w:val="af"/>
                <w:rFonts w:ascii="Times New Roman" w:hAnsi="Times New Roman" w:cs="Times New Roman"/>
                <w:noProof/>
                <w:sz w:val="22"/>
              </w:rPr>
              <w:t>2.1 Motivation for earnings management</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_Toc130830421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1</w:t>
            </w:r>
            <w:r w:rsidR="00B15CD3" w:rsidRPr="00D22D71">
              <w:rPr>
                <w:rFonts w:ascii="Times New Roman" w:hAnsi="Times New Roman" w:cs="Times New Roman"/>
                <w:noProof/>
                <w:webHidden/>
                <w:sz w:val="22"/>
              </w:rPr>
              <w:fldChar w:fldCharType="end"/>
            </w:r>
          </w:hyperlink>
        </w:p>
        <w:p w14:paraId="43941E93" w14:textId="0C02A31B"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22" w:history="1">
            <w:r w:rsidR="00B15CD3" w:rsidRPr="00D22D71">
              <w:rPr>
                <w:rStyle w:val="af"/>
                <w:rFonts w:ascii="Times New Roman" w:hAnsi="Times New Roman" w:cs="Times New Roman"/>
                <w:noProof/>
                <w:sz w:val="22"/>
              </w:rPr>
              <w:t>2.2 Factors influencing earnings management</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_Toc130830422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2</w:t>
            </w:r>
            <w:r w:rsidR="00B15CD3" w:rsidRPr="00D22D71">
              <w:rPr>
                <w:rFonts w:ascii="Times New Roman" w:hAnsi="Times New Roman" w:cs="Times New Roman"/>
                <w:noProof/>
                <w:webHidden/>
                <w:sz w:val="22"/>
              </w:rPr>
              <w:fldChar w:fldCharType="end"/>
            </w:r>
          </w:hyperlink>
        </w:p>
        <w:p w14:paraId="2465B749" w14:textId="1CA8A751"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23" w:history="1">
            <w:r w:rsidR="00B15CD3" w:rsidRPr="00D22D71">
              <w:rPr>
                <w:rStyle w:val="af"/>
                <w:rFonts w:ascii="Times New Roman" w:hAnsi="Times New Roman" w:cs="Times New Roman"/>
                <w:noProof/>
                <w:sz w:val="22"/>
              </w:rPr>
              <w:t>2.2 Meaning of earnings management</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_Toc130830423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3</w:t>
            </w:r>
            <w:r w:rsidR="00B15CD3" w:rsidRPr="00D22D71">
              <w:rPr>
                <w:rFonts w:ascii="Times New Roman" w:hAnsi="Times New Roman" w:cs="Times New Roman"/>
                <w:noProof/>
                <w:webHidden/>
                <w:sz w:val="22"/>
              </w:rPr>
              <w:fldChar w:fldCharType="end"/>
            </w:r>
          </w:hyperlink>
        </w:p>
        <w:p w14:paraId="6D3522BD" w14:textId="6E47EFD3" w:rsidR="00B15CD3" w:rsidRPr="00D22D71" w:rsidRDefault="008147AE" w:rsidP="00D22D71">
          <w:pPr>
            <w:pStyle w:val="TOC1"/>
            <w:spacing w:line="400" w:lineRule="exact"/>
            <w:rPr>
              <w:sz w:val="22"/>
            </w:rPr>
          </w:pPr>
          <w:hyperlink w:anchor="_Toc130830424" w:history="1">
            <w:r w:rsidR="00B15CD3" w:rsidRPr="00D22D71">
              <w:rPr>
                <w:rStyle w:val="af"/>
                <w:sz w:val="22"/>
              </w:rPr>
              <w:t>3. Case evaluation</w:t>
            </w:r>
            <w:r w:rsidR="00B15CD3" w:rsidRPr="00D22D71">
              <w:rPr>
                <w:webHidden/>
                <w:sz w:val="22"/>
              </w:rPr>
              <w:tab/>
            </w:r>
            <w:r w:rsidR="00B15CD3" w:rsidRPr="00D22D71">
              <w:rPr>
                <w:webHidden/>
                <w:sz w:val="22"/>
              </w:rPr>
              <w:fldChar w:fldCharType="begin"/>
            </w:r>
            <w:r w:rsidR="00B15CD3" w:rsidRPr="00D22D71">
              <w:rPr>
                <w:webHidden/>
                <w:sz w:val="22"/>
              </w:rPr>
              <w:instrText xml:space="preserve"> PAGEREF _Toc130830424 \h </w:instrText>
            </w:r>
            <w:r w:rsidR="00B15CD3" w:rsidRPr="00D22D71">
              <w:rPr>
                <w:webHidden/>
                <w:sz w:val="22"/>
              </w:rPr>
            </w:r>
            <w:r w:rsidR="00B15CD3" w:rsidRPr="00D22D71">
              <w:rPr>
                <w:webHidden/>
                <w:sz w:val="22"/>
              </w:rPr>
              <w:fldChar w:fldCharType="separate"/>
            </w:r>
            <w:r w:rsidR="00D55507">
              <w:rPr>
                <w:webHidden/>
                <w:sz w:val="22"/>
              </w:rPr>
              <w:t>4</w:t>
            </w:r>
            <w:r w:rsidR="00B15CD3" w:rsidRPr="00D22D71">
              <w:rPr>
                <w:webHidden/>
                <w:sz w:val="22"/>
              </w:rPr>
              <w:fldChar w:fldCharType="end"/>
            </w:r>
          </w:hyperlink>
        </w:p>
        <w:p w14:paraId="2A82A7D8" w14:textId="471BDB87"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25" w:history="1">
            <w:r w:rsidR="00B15CD3" w:rsidRPr="00D22D71">
              <w:rPr>
                <w:rStyle w:val="af"/>
                <w:rFonts w:ascii="Times New Roman" w:hAnsi="Times New Roman" w:cs="Times New Roman"/>
                <w:noProof/>
                <w:sz w:val="22"/>
              </w:rPr>
              <w:t>3.1 Case background</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_Toc130830425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4</w:t>
            </w:r>
            <w:r w:rsidR="00B15CD3" w:rsidRPr="00D22D71">
              <w:rPr>
                <w:rFonts w:ascii="Times New Roman" w:hAnsi="Times New Roman" w:cs="Times New Roman"/>
                <w:noProof/>
                <w:webHidden/>
                <w:sz w:val="22"/>
              </w:rPr>
              <w:fldChar w:fldCharType="end"/>
            </w:r>
          </w:hyperlink>
        </w:p>
        <w:p w14:paraId="716DD49E" w14:textId="065F5482"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26" w:history="1">
            <w:r w:rsidR="00B15CD3" w:rsidRPr="00D22D71">
              <w:rPr>
                <w:rStyle w:val="af"/>
                <w:rFonts w:ascii="Times New Roman" w:hAnsi="Times New Roman" w:cs="Times New Roman"/>
                <w:noProof/>
                <w:sz w:val="22"/>
              </w:rPr>
              <w:t>3.2 Identification of Datang Telecom's earnings management behavior</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_Toc130830426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5</w:t>
            </w:r>
            <w:r w:rsidR="00B15CD3" w:rsidRPr="00D22D71">
              <w:rPr>
                <w:rFonts w:ascii="Times New Roman" w:hAnsi="Times New Roman" w:cs="Times New Roman"/>
                <w:noProof/>
                <w:webHidden/>
                <w:sz w:val="22"/>
              </w:rPr>
              <w:fldChar w:fldCharType="end"/>
            </w:r>
          </w:hyperlink>
        </w:p>
        <w:p w14:paraId="1D82B8B9" w14:textId="7308B116" w:rsidR="00B15CD3" w:rsidRPr="00D22D71" w:rsidRDefault="008147AE" w:rsidP="00D22D71">
          <w:pPr>
            <w:pStyle w:val="TOC3"/>
            <w:tabs>
              <w:tab w:val="right" w:leader="dot" w:pos="8296"/>
            </w:tabs>
            <w:spacing w:line="400" w:lineRule="exact"/>
            <w:rPr>
              <w:rFonts w:ascii="Times New Roman" w:hAnsi="Times New Roman" w:cs="Times New Roman"/>
              <w:noProof/>
              <w:sz w:val="22"/>
            </w:rPr>
          </w:pPr>
          <w:hyperlink w:anchor="_Toc130830427" w:history="1">
            <w:r w:rsidR="00B15CD3" w:rsidRPr="00D22D71">
              <w:rPr>
                <w:rStyle w:val="af"/>
                <w:rFonts w:ascii="Times New Roman" w:hAnsi="Times New Roman" w:cs="Times New Roman"/>
                <w:noProof/>
                <w:sz w:val="22"/>
              </w:rPr>
              <w:t>3.2.1 Abnormal profit exclusion method</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_Toc130830427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5</w:t>
            </w:r>
            <w:r w:rsidR="00B15CD3" w:rsidRPr="00D22D71">
              <w:rPr>
                <w:rFonts w:ascii="Times New Roman" w:hAnsi="Times New Roman" w:cs="Times New Roman"/>
                <w:noProof/>
                <w:webHidden/>
                <w:sz w:val="22"/>
              </w:rPr>
              <w:fldChar w:fldCharType="end"/>
            </w:r>
          </w:hyperlink>
        </w:p>
        <w:p w14:paraId="3AF5467B" w14:textId="7532FE68" w:rsidR="00B15CD3" w:rsidRPr="00D22D71" w:rsidRDefault="008147AE" w:rsidP="00D22D71">
          <w:pPr>
            <w:pStyle w:val="TOC3"/>
            <w:tabs>
              <w:tab w:val="right" w:leader="dot" w:pos="8296"/>
            </w:tabs>
            <w:spacing w:line="400" w:lineRule="exact"/>
            <w:rPr>
              <w:rFonts w:ascii="Times New Roman" w:hAnsi="Times New Roman" w:cs="Times New Roman"/>
              <w:noProof/>
              <w:sz w:val="22"/>
            </w:rPr>
          </w:pPr>
          <w:hyperlink w:anchor="_Toc130830428" w:history="1">
            <w:r w:rsidR="00B15CD3" w:rsidRPr="00D22D71">
              <w:rPr>
                <w:rStyle w:val="af"/>
                <w:rFonts w:ascii="Times New Roman" w:hAnsi="Times New Roman" w:cs="Times New Roman"/>
                <w:noProof/>
                <w:sz w:val="22"/>
              </w:rPr>
              <w:t>3.2.2 Identify non-recurring P&amp;L items</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_Toc130830428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7</w:t>
            </w:r>
            <w:r w:rsidR="00B15CD3" w:rsidRPr="00D22D71">
              <w:rPr>
                <w:rFonts w:ascii="Times New Roman" w:hAnsi="Times New Roman" w:cs="Times New Roman"/>
                <w:noProof/>
                <w:webHidden/>
                <w:sz w:val="22"/>
              </w:rPr>
              <w:fldChar w:fldCharType="end"/>
            </w:r>
          </w:hyperlink>
        </w:p>
        <w:p w14:paraId="6E9DBC24" w14:textId="0777319C" w:rsidR="00B15CD3" w:rsidRPr="00D22D71" w:rsidRDefault="008147AE" w:rsidP="00D22D71">
          <w:pPr>
            <w:pStyle w:val="TOC3"/>
            <w:tabs>
              <w:tab w:val="right" w:leader="dot" w:pos="8296"/>
            </w:tabs>
            <w:spacing w:line="400" w:lineRule="exact"/>
            <w:rPr>
              <w:rFonts w:ascii="Times New Roman" w:hAnsi="Times New Roman" w:cs="Times New Roman"/>
              <w:noProof/>
              <w:sz w:val="22"/>
            </w:rPr>
          </w:pPr>
          <w:hyperlink w:anchor="_Toc130830429" w:history="1">
            <w:r w:rsidR="00B15CD3" w:rsidRPr="00D22D71">
              <w:rPr>
                <w:rStyle w:val="af"/>
                <w:rFonts w:ascii="Times New Roman" w:hAnsi="Times New Roman" w:cs="Times New Roman"/>
                <w:noProof/>
                <w:sz w:val="22"/>
              </w:rPr>
              <w:t>3.2.3 Utilize accounting estimate identification</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_Toc130830429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9</w:t>
            </w:r>
            <w:r w:rsidR="00B15CD3" w:rsidRPr="00D22D71">
              <w:rPr>
                <w:rFonts w:ascii="Times New Roman" w:hAnsi="Times New Roman" w:cs="Times New Roman"/>
                <w:noProof/>
                <w:webHidden/>
                <w:sz w:val="22"/>
              </w:rPr>
              <w:fldChar w:fldCharType="end"/>
            </w:r>
          </w:hyperlink>
        </w:p>
        <w:p w14:paraId="34479AA7" w14:textId="3F3B84AC" w:rsidR="00B15CD3" w:rsidRPr="00D22D71" w:rsidRDefault="008147AE" w:rsidP="00D22D71">
          <w:pPr>
            <w:pStyle w:val="TOC1"/>
            <w:spacing w:line="400" w:lineRule="exact"/>
            <w:rPr>
              <w:sz w:val="22"/>
            </w:rPr>
          </w:pPr>
          <w:hyperlink w:anchor="_Toc130830430" w:history="1">
            <w:r w:rsidR="00B15CD3" w:rsidRPr="00D22D71">
              <w:rPr>
                <w:rStyle w:val="af"/>
                <w:sz w:val="22"/>
              </w:rPr>
              <w:t>4. Conclusion</w:t>
            </w:r>
            <w:r w:rsidR="00B15CD3" w:rsidRPr="00D22D71">
              <w:rPr>
                <w:webHidden/>
                <w:sz w:val="22"/>
              </w:rPr>
              <w:tab/>
            </w:r>
            <w:r w:rsidR="00B15CD3" w:rsidRPr="00D22D71">
              <w:rPr>
                <w:webHidden/>
                <w:sz w:val="22"/>
              </w:rPr>
              <w:fldChar w:fldCharType="begin"/>
            </w:r>
            <w:r w:rsidR="00B15CD3" w:rsidRPr="00D22D71">
              <w:rPr>
                <w:webHidden/>
                <w:sz w:val="22"/>
              </w:rPr>
              <w:instrText xml:space="preserve"> PAGEREF _Toc130830430 \h </w:instrText>
            </w:r>
            <w:r w:rsidR="00B15CD3" w:rsidRPr="00D22D71">
              <w:rPr>
                <w:webHidden/>
                <w:sz w:val="22"/>
              </w:rPr>
            </w:r>
            <w:r w:rsidR="00B15CD3" w:rsidRPr="00D22D71">
              <w:rPr>
                <w:webHidden/>
                <w:sz w:val="22"/>
              </w:rPr>
              <w:fldChar w:fldCharType="separate"/>
            </w:r>
            <w:r w:rsidR="00D55507">
              <w:rPr>
                <w:webHidden/>
                <w:sz w:val="22"/>
              </w:rPr>
              <w:t>10</w:t>
            </w:r>
            <w:r w:rsidR="00B15CD3" w:rsidRPr="00D22D71">
              <w:rPr>
                <w:webHidden/>
                <w:sz w:val="22"/>
              </w:rPr>
              <w:fldChar w:fldCharType="end"/>
            </w:r>
          </w:hyperlink>
        </w:p>
        <w:p w14:paraId="3A04CFF6" w14:textId="36646744" w:rsidR="00B15CD3" w:rsidRPr="00D22D71" w:rsidRDefault="008147AE" w:rsidP="00D22D71">
          <w:pPr>
            <w:pStyle w:val="TOC1"/>
            <w:spacing w:line="400" w:lineRule="exact"/>
            <w:rPr>
              <w:sz w:val="22"/>
            </w:rPr>
          </w:pPr>
          <w:hyperlink w:anchor="_Toc130830431" w:history="1">
            <w:r w:rsidR="00B15CD3" w:rsidRPr="00D22D71">
              <w:rPr>
                <w:rStyle w:val="af"/>
                <w:sz w:val="22"/>
              </w:rPr>
              <w:t>5. Recommendations</w:t>
            </w:r>
            <w:r w:rsidR="00B15CD3" w:rsidRPr="00D22D71">
              <w:rPr>
                <w:webHidden/>
                <w:sz w:val="22"/>
              </w:rPr>
              <w:tab/>
            </w:r>
            <w:r w:rsidR="00B15CD3" w:rsidRPr="00D22D71">
              <w:rPr>
                <w:webHidden/>
                <w:sz w:val="22"/>
              </w:rPr>
              <w:fldChar w:fldCharType="begin"/>
            </w:r>
            <w:r w:rsidR="00B15CD3" w:rsidRPr="00D22D71">
              <w:rPr>
                <w:webHidden/>
                <w:sz w:val="22"/>
              </w:rPr>
              <w:instrText xml:space="preserve"> PAGEREF _Toc130830431 \h </w:instrText>
            </w:r>
            <w:r w:rsidR="00B15CD3" w:rsidRPr="00D22D71">
              <w:rPr>
                <w:webHidden/>
                <w:sz w:val="22"/>
              </w:rPr>
            </w:r>
            <w:r w:rsidR="00B15CD3" w:rsidRPr="00D22D71">
              <w:rPr>
                <w:webHidden/>
                <w:sz w:val="22"/>
              </w:rPr>
              <w:fldChar w:fldCharType="separate"/>
            </w:r>
            <w:r w:rsidR="00D55507">
              <w:rPr>
                <w:webHidden/>
                <w:sz w:val="22"/>
              </w:rPr>
              <w:t>10</w:t>
            </w:r>
            <w:r w:rsidR="00B15CD3" w:rsidRPr="00D22D71">
              <w:rPr>
                <w:webHidden/>
                <w:sz w:val="22"/>
              </w:rPr>
              <w:fldChar w:fldCharType="end"/>
            </w:r>
          </w:hyperlink>
        </w:p>
        <w:p w14:paraId="65AADB4B" w14:textId="27AA280F"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32" w:history="1">
            <w:r w:rsidR="00B15CD3" w:rsidRPr="00D22D71">
              <w:rPr>
                <w:rStyle w:val="af"/>
                <w:rFonts w:ascii="Times New Roman" w:hAnsi="Times New Roman" w:cs="Times New Roman"/>
                <w:noProof/>
                <w:sz w:val="22"/>
              </w:rPr>
              <w:t>5.1 Optimize the shareholding structure and lay the foundation for the internal governance structure</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_Toc130830432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10</w:t>
            </w:r>
            <w:r w:rsidR="00B15CD3" w:rsidRPr="00D22D71">
              <w:rPr>
                <w:rFonts w:ascii="Times New Roman" w:hAnsi="Times New Roman" w:cs="Times New Roman"/>
                <w:noProof/>
                <w:webHidden/>
                <w:sz w:val="22"/>
              </w:rPr>
              <w:fldChar w:fldCharType="end"/>
            </w:r>
          </w:hyperlink>
        </w:p>
        <w:p w14:paraId="66ABBEA9" w14:textId="429F2F26"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33" w:history="1">
            <w:r w:rsidR="00B15CD3" w:rsidRPr="00D22D71">
              <w:rPr>
                <w:rStyle w:val="af"/>
                <w:rFonts w:ascii="Times New Roman" w:hAnsi="Times New Roman" w:cs="Times New Roman"/>
                <w:noProof/>
                <w:sz w:val="22"/>
              </w:rPr>
              <w:t>5.2 Improve the structure of the board of directors and strengthen the functions of the board of directors</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_Toc130830433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10</w:t>
            </w:r>
            <w:r w:rsidR="00B15CD3" w:rsidRPr="00D22D71">
              <w:rPr>
                <w:rFonts w:ascii="Times New Roman" w:hAnsi="Times New Roman" w:cs="Times New Roman"/>
                <w:noProof/>
                <w:webHidden/>
                <w:sz w:val="22"/>
              </w:rPr>
              <w:fldChar w:fldCharType="end"/>
            </w:r>
          </w:hyperlink>
        </w:p>
        <w:p w14:paraId="65BE413E" w14:textId="3B81C266"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34" w:history="1">
            <w:r w:rsidR="00B15CD3" w:rsidRPr="00D22D71">
              <w:rPr>
                <w:rStyle w:val="af"/>
                <w:rFonts w:ascii="Times New Roman" w:hAnsi="Times New Roman" w:cs="Times New Roman"/>
                <w:noProof/>
                <w:sz w:val="22"/>
              </w:rPr>
              <w:t>5.3 Improve the operation mechanism of the board of supervisors and raise the governance level of the board of supervisors</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_Toc130830434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11</w:t>
            </w:r>
            <w:r w:rsidR="00B15CD3" w:rsidRPr="00D22D71">
              <w:rPr>
                <w:rFonts w:ascii="Times New Roman" w:hAnsi="Times New Roman" w:cs="Times New Roman"/>
                <w:noProof/>
                <w:webHidden/>
                <w:sz w:val="22"/>
              </w:rPr>
              <w:fldChar w:fldCharType="end"/>
            </w:r>
          </w:hyperlink>
        </w:p>
        <w:p w14:paraId="4ED9DE49" w14:textId="365AC0FB" w:rsidR="00B15CD3" w:rsidRPr="00D22D71" w:rsidRDefault="008147AE" w:rsidP="00D22D71">
          <w:pPr>
            <w:pStyle w:val="TOC2"/>
            <w:tabs>
              <w:tab w:val="right" w:leader="dot" w:pos="8296"/>
            </w:tabs>
            <w:spacing w:line="400" w:lineRule="exact"/>
            <w:rPr>
              <w:rFonts w:ascii="Times New Roman" w:hAnsi="Times New Roman" w:cs="Times New Roman"/>
              <w:noProof/>
              <w:sz w:val="22"/>
            </w:rPr>
          </w:pPr>
          <w:hyperlink w:anchor="_Toc130830435" w:history="1">
            <w:r w:rsidR="00B15CD3" w:rsidRPr="00D22D71">
              <w:rPr>
                <w:rStyle w:val="af"/>
                <w:rFonts w:ascii="Times New Roman" w:hAnsi="Times New Roman" w:cs="Times New Roman"/>
                <w:noProof/>
                <w:sz w:val="22"/>
              </w:rPr>
              <w:t>5.4 Promote the further construction of professional committees and fully realize the functions of professional committees</w:t>
            </w:r>
            <w:r w:rsidR="00B15CD3" w:rsidRPr="00D22D71">
              <w:rPr>
                <w:rFonts w:ascii="Times New Roman" w:hAnsi="Times New Roman" w:cs="Times New Roman"/>
                <w:noProof/>
                <w:webHidden/>
                <w:sz w:val="22"/>
              </w:rPr>
              <w:tab/>
            </w:r>
            <w:r w:rsidR="00B15CD3" w:rsidRPr="00D22D71">
              <w:rPr>
                <w:rFonts w:ascii="Times New Roman" w:hAnsi="Times New Roman" w:cs="Times New Roman"/>
                <w:noProof/>
                <w:webHidden/>
                <w:sz w:val="22"/>
              </w:rPr>
              <w:fldChar w:fldCharType="begin"/>
            </w:r>
            <w:r w:rsidR="00B15CD3" w:rsidRPr="00D22D71">
              <w:rPr>
                <w:rFonts w:ascii="Times New Roman" w:hAnsi="Times New Roman" w:cs="Times New Roman"/>
                <w:noProof/>
                <w:webHidden/>
                <w:sz w:val="22"/>
              </w:rPr>
              <w:instrText xml:space="preserve"> PAGEREF _Toc130830435 \h </w:instrText>
            </w:r>
            <w:r w:rsidR="00B15CD3" w:rsidRPr="00D22D71">
              <w:rPr>
                <w:rFonts w:ascii="Times New Roman" w:hAnsi="Times New Roman" w:cs="Times New Roman"/>
                <w:noProof/>
                <w:webHidden/>
                <w:sz w:val="22"/>
              </w:rPr>
            </w:r>
            <w:r w:rsidR="00B15CD3" w:rsidRPr="00D22D71">
              <w:rPr>
                <w:rFonts w:ascii="Times New Roman" w:hAnsi="Times New Roman" w:cs="Times New Roman"/>
                <w:noProof/>
                <w:webHidden/>
                <w:sz w:val="22"/>
              </w:rPr>
              <w:fldChar w:fldCharType="separate"/>
            </w:r>
            <w:r w:rsidR="00D55507">
              <w:rPr>
                <w:rFonts w:ascii="Times New Roman" w:hAnsi="Times New Roman" w:cs="Times New Roman"/>
                <w:noProof/>
                <w:webHidden/>
                <w:sz w:val="22"/>
              </w:rPr>
              <w:t>11</w:t>
            </w:r>
            <w:r w:rsidR="00B15CD3" w:rsidRPr="00D22D71">
              <w:rPr>
                <w:rFonts w:ascii="Times New Roman" w:hAnsi="Times New Roman" w:cs="Times New Roman"/>
                <w:noProof/>
                <w:webHidden/>
                <w:sz w:val="22"/>
              </w:rPr>
              <w:fldChar w:fldCharType="end"/>
            </w:r>
          </w:hyperlink>
        </w:p>
        <w:p w14:paraId="17316C8A" w14:textId="4EF11188" w:rsidR="00B15CD3" w:rsidRPr="00D22D71" w:rsidRDefault="008147AE" w:rsidP="00D22D71">
          <w:pPr>
            <w:pStyle w:val="TOC1"/>
            <w:spacing w:line="400" w:lineRule="exact"/>
            <w:rPr>
              <w:rFonts w:asciiTheme="minorHAnsi" w:hAnsiTheme="minorHAnsi" w:cstheme="minorBidi"/>
              <w:sz w:val="22"/>
            </w:rPr>
          </w:pPr>
          <w:hyperlink w:anchor="_Toc130830436" w:history="1">
            <w:r w:rsidR="00B15CD3" w:rsidRPr="00D22D71">
              <w:rPr>
                <w:rStyle w:val="af"/>
                <w:sz w:val="22"/>
              </w:rPr>
              <w:t>References</w:t>
            </w:r>
            <w:r w:rsidR="00B15CD3" w:rsidRPr="00D22D71">
              <w:rPr>
                <w:webHidden/>
                <w:sz w:val="22"/>
              </w:rPr>
              <w:tab/>
            </w:r>
            <w:r w:rsidR="00B15CD3" w:rsidRPr="00D22D71">
              <w:rPr>
                <w:webHidden/>
                <w:sz w:val="22"/>
              </w:rPr>
              <w:fldChar w:fldCharType="begin"/>
            </w:r>
            <w:r w:rsidR="00B15CD3" w:rsidRPr="00D22D71">
              <w:rPr>
                <w:webHidden/>
                <w:sz w:val="22"/>
              </w:rPr>
              <w:instrText xml:space="preserve"> PAGEREF _Toc130830436 \h </w:instrText>
            </w:r>
            <w:r w:rsidR="00B15CD3" w:rsidRPr="00D22D71">
              <w:rPr>
                <w:webHidden/>
                <w:sz w:val="22"/>
              </w:rPr>
            </w:r>
            <w:r w:rsidR="00B15CD3" w:rsidRPr="00D22D71">
              <w:rPr>
                <w:webHidden/>
                <w:sz w:val="22"/>
              </w:rPr>
              <w:fldChar w:fldCharType="separate"/>
            </w:r>
            <w:r w:rsidR="00D55507">
              <w:rPr>
                <w:webHidden/>
                <w:sz w:val="22"/>
              </w:rPr>
              <w:t>11</w:t>
            </w:r>
            <w:r w:rsidR="00B15CD3" w:rsidRPr="00D22D71">
              <w:rPr>
                <w:webHidden/>
                <w:sz w:val="22"/>
              </w:rPr>
              <w:fldChar w:fldCharType="end"/>
            </w:r>
          </w:hyperlink>
        </w:p>
        <w:p w14:paraId="201C0ABF" w14:textId="580E43F4" w:rsidR="007945B2" w:rsidRPr="00923347" w:rsidRDefault="00B15CD3" w:rsidP="00D22D71">
          <w:pPr>
            <w:pStyle w:val="TOC"/>
            <w:spacing w:line="400" w:lineRule="exact"/>
            <w:rPr>
              <w:rFonts w:asciiTheme="minorHAnsi" w:hAnsiTheme="minorHAnsi" w:cstheme="minorBidi"/>
              <w:sz w:val="21"/>
              <w:szCs w:val="22"/>
            </w:rPr>
          </w:pPr>
          <w:r w:rsidRPr="00D22D71">
            <w:rPr>
              <w:bCs/>
              <w:noProof/>
              <w:sz w:val="22"/>
              <w:szCs w:val="22"/>
              <w:lang w:val="zh-CN"/>
            </w:rPr>
            <w:fldChar w:fldCharType="end"/>
          </w:r>
        </w:p>
      </w:sdtContent>
    </w:sdt>
    <w:p w14:paraId="7FAABB70" w14:textId="77777777" w:rsidR="007945B2" w:rsidRDefault="007945B2">
      <w:pPr>
        <w:widowControl/>
        <w:jc w:val="left"/>
        <w:rPr>
          <w:rFonts w:ascii="Times New Roman" w:hAnsi="Times New Roman" w:cs="Times New Roman"/>
          <w:b/>
          <w:bCs/>
          <w:kern w:val="44"/>
          <w:sz w:val="28"/>
          <w:szCs w:val="24"/>
        </w:rPr>
      </w:pPr>
      <w:r>
        <w:rPr>
          <w:rFonts w:ascii="Times New Roman" w:hAnsi="Times New Roman" w:cs="Times New Roman"/>
          <w:sz w:val="28"/>
          <w:szCs w:val="24"/>
        </w:rPr>
        <w:br w:type="page"/>
      </w:r>
    </w:p>
    <w:p w14:paraId="25D1B30A" w14:textId="77777777" w:rsidR="007945B2" w:rsidRDefault="007945B2" w:rsidP="00764679">
      <w:pPr>
        <w:pStyle w:val="1"/>
        <w:spacing w:before="0" w:after="0" w:line="240" w:lineRule="auto"/>
        <w:rPr>
          <w:rFonts w:ascii="Times New Roman" w:hAnsi="Times New Roman" w:cs="Times New Roman"/>
          <w:sz w:val="28"/>
          <w:szCs w:val="24"/>
        </w:rPr>
        <w:sectPr w:rsidR="007945B2">
          <w:footerReference w:type="default" r:id="rId8"/>
          <w:pgSz w:w="11906" w:h="16838"/>
          <w:pgMar w:top="1440" w:right="1800" w:bottom="1440" w:left="1800" w:header="851" w:footer="992" w:gutter="0"/>
          <w:cols w:space="425"/>
          <w:docGrid w:type="lines" w:linePitch="312"/>
        </w:sectPr>
      </w:pPr>
    </w:p>
    <w:p w14:paraId="122E71CC" w14:textId="0F01D77A" w:rsidR="00764679" w:rsidRPr="00D22D71" w:rsidRDefault="00764679" w:rsidP="00764679">
      <w:pPr>
        <w:pStyle w:val="1"/>
        <w:spacing w:before="0" w:after="0" w:line="240" w:lineRule="auto"/>
        <w:rPr>
          <w:rFonts w:ascii="Times New Roman" w:hAnsi="Times New Roman" w:cs="Times New Roman"/>
          <w:sz w:val="28"/>
          <w:szCs w:val="24"/>
        </w:rPr>
      </w:pPr>
      <w:bookmarkStart w:id="5" w:name="_Toc130830419"/>
      <w:r w:rsidRPr="00D22D71">
        <w:rPr>
          <w:rFonts w:ascii="Times New Roman" w:hAnsi="Times New Roman" w:cs="Times New Roman"/>
          <w:sz w:val="28"/>
          <w:szCs w:val="24"/>
        </w:rPr>
        <w:lastRenderedPageBreak/>
        <w:t>1. Executive summary</w:t>
      </w:r>
      <w:bookmarkEnd w:id="5"/>
    </w:p>
    <w:p w14:paraId="583C18AB" w14:textId="77777777" w:rsidR="002378AF" w:rsidRPr="00D55507" w:rsidRDefault="002378A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This </w:t>
      </w:r>
      <w:r w:rsidRPr="00D55507">
        <w:rPr>
          <w:rFonts w:ascii="Times New Roman" w:hAnsi="Times New Roman" w:cs="Times New Roman" w:hint="eastAsia"/>
          <w:kern w:val="0"/>
          <w:sz w:val="24"/>
          <w:szCs w:val="24"/>
          <w:lang w:val="en-GB" w:eastAsia="en-US"/>
        </w:rPr>
        <w:t>research</w:t>
      </w:r>
      <w:r w:rsidRPr="00D55507">
        <w:rPr>
          <w:rFonts w:ascii="Times New Roman" w:hAnsi="Times New Roman" w:cs="Times New Roman"/>
          <w:kern w:val="0"/>
          <w:sz w:val="24"/>
          <w:szCs w:val="24"/>
          <w:lang w:val="en-GB" w:eastAsia="en-US"/>
        </w:rPr>
        <w:t xml:space="preserve"> first discusses the motivation of earnings management and the concept of earnings management of listed companies, and secondly, evaluates the earnings management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 listed company in China, through a case evaluation. Although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successfully turned losses into profits through various ways of earnings management, its operating capacity and solvency have not been greatly improved, and even lost investors' confidence in the company's investment. Overall, the impact of implementing earnings management does more harm than good. The main reasons are that there are major deficiencies in the company's internal governance, as well as imperfect laws and regulations, and the lack of external supervision are also important factors for the company to dare to carry out earnings management. Finally, by analyzing the role of UK corporate governance institutions in restraining earnings management, relevant suggestions for improving the corporate governance structure are put forward to help avoid the occurrence of related accounting scandals.</w:t>
      </w:r>
    </w:p>
    <w:p w14:paraId="44987AB1" w14:textId="065A7B62" w:rsidR="00764679" w:rsidRPr="004278F0" w:rsidRDefault="00764679" w:rsidP="00764679">
      <w:pPr>
        <w:pStyle w:val="1"/>
        <w:spacing w:before="0" w:after="0" w:line="240" w:lineRule="auto"/>
        <w:rPr>
          <w:rFonts w:ascii="Times New Roman" w:hAnsi="Times New Roman" w:cs="Times New Roman"/>
          <w:sz w:val="28"/>
          <w:szCs w:val="24"/>
        </w:rPr>
      </w:pPr>
      <w:bookmarkStart w:id="6" w:name="_Toc130830420"/>
      <w:r w:rsidRPr="004278F0">
        <w:rPr>
          <w:rFonts w:ascii="Times New Roman" w:hAnsi="Times New Roman" w:cs="Times New Roman"/>
          <w:sz w:val="28"/>
          <w:szCs w:val="24"/>
        </w:rPr>
        <w:t>2. Introduction</w:t>
      </w:r>
      <w:bookmarkEnd w:id="6"/>
    </w:p>
    <w:p w14:paraId="52B53F00" w14:textId="1EF072B4" w:rsidR="00764679" w:rsidRDefault="00764679" w:rsidP="00764679">
      <w:pPr>
        <w:pStyle w:val="2"/>
        <w:spacing w:before="0" w:after="0" w:line="240" w:lineRule="auto"/>
        <w:rPr>
          <w:rFonts w:ascii="Times New Roman" w:hAnsi="Times New Roman" w:cs="Times New Roman"/>
          <w:sz w:val="28"/>
          <w:szCs w:val="24"/>
          <w:lang w:eastAsia="zh-CN"/>
        </w:rPr>
      </w:pPr>
      <w:bookmarkStart w:id="7" w:name="_Toc130830421"/>
      <w:r w:rsidRPr="004278F0">
        <w:rPr>
          <w:rFonts w:ascii="Times New Roman" w:hAnsi="Times New Roman" w:cs="Times New Roman"/>
          <w:sz w:val="28"/>
          <w:szCs w:val="24"/>
          <w:lang w:eastAsia="zh-CN"/>
        </w:rPr>
        <w:t xml:space="preserve">2.1 </w:t>
      </w:r>
      <w:r w:rsidR="002378AF" w:rsidRPr="002378AF">
        <w:rPr>
          <w:rFonts w:ascii="Times New Roman" w:hAnsi="Times New Roman" w:cs="Times New Roman"/>
          <w:sz w:val="28"/>
          <w:szCs w:val="24"/>
          <w:lang w:eastAsia="zh-CN"/>
        </w:rPr>
        <w:t>Motivation for earnings management</w:t>
      </w:r>
      <w:bookmarkEnd w:id="7"/>
    </w:p>
    <w:p w14:paraId="096D1EAA" w14:textId="0B95A39E" w:rsidR="00923347" w:rsidRPr="00D55507" w:rsidRDefault="00923347"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From the collation and analysis of current research on earnings management by domestic and foreign scholars, it can be found that most of the research is discussing the motivation and influencing factors of earnings management. In terms of the motivation of earnings management, it can be mainly divided into capital market motivation, contract motivation and regulatory motivation, which is also the classification method that has been adopted by mainstream academic research until now (Healy et al, 1999, p. 377).</w:t>
      </w:r>
    </w:p>
    <w:p w14:paraId="42F7116F" w14:textId="7FDEBC73" w:rsidR="00764679" w:rsidRPr="00C20223" w:rsidRDefault="00764679" w:rsidP="00C20223">
      <w:pPr>
        <w:rPr>
          <w:rFonts w:ascii="Times New Roman" w:hAnsi="Times New Roman" w:cs="Times New Roman"/>
          <w:b/>
          <w:sz w:val="28"/>
        </w:rPr>
      </w:pPr>
      <w:r w:rsidRPr="00C20223">
        <w:rPr>
          <w:rFonts w:ascii="Times New Roman" w:hAnsi="Times New Roman" w:cs="Times New Roman"/>
          <w:b/>
          <w:sz w:val="28"/>
        </w:rPr>
        <w:t xml:space="preserve">2.1.1 </w:t>
      </w:r>
      <w:r w:rsidR="00923347" w:rsidRPr="00923347">
        <w:rPr>
          <w:rFonts w:ascii="Times New Roman" w:hAnsi="Times New Roman" w:cs="Times New Roman"/>
          <w:b/>
          <w:sz w:val="28"/>
        </w:rPr>
        <w:t>Capital market motivation</w:t>
      </w:r>
    </w:p>
    <w:p w14:paraId="7B335BF0" w14:textId="2745595A" w:rsidR="00BE1736" w:rsidRPr="00D55507" w:rsidRDefault="00F50545" w:rsidP="00D55507">
      <w:pPr>
        <w:widowControl/>
        <w:spacing w:afterLines="50" w:after="156"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Aharnoy</w:t>
      </w:r>
      <w:proofErr w:type="spellEnd"/>
      <w:r w:rsidRPr="00D55507">
        <w:rPr>
          <w:rFonts w:ascii="Times New Roman" w:hAnsi="Times New Roman" w:cs="Times New Roman"/>
          <w:kern w:val="0"/>
          <w:sz w:val="24"/>
          <w:szCs w:val="24"/>
          <w:lang w:val="en-GB" w:eastAsia="en-US"/>
        </w:rPr>
        <w:t xml:space="preserve"> compared and </w:t>
      </w:r>
      <w:proofErr w:type="spellStart"/>
      <w:r w:rsidRPr="00D55507">
        <w:rPr>
          <w:rFonts w:ascii="Times New Roman" w:hAnsi="Times New Roman" w:cs="Times New Roman"/>
          <w:kern w:val="0"/>
          <w:sz w:val="24"/>
          <w:szCs w:val="24"/>
          <w:lang w:val="en-GB" w:eastAsia="en-US"/>
        </w:rPr>
        <w:t>analyzed</w:t>
      </w:r>
      <w:proofErr w:type="spellEnd"/>
      <w:r w:rsidRPr="00D55507">
        <w:rPr>
          <w:rFonts w:ascii="Times New Roman" w:hAnsi="Times New Roman" w:cs="Times New Roman"/>
          <w:kern w:val="0"/>
          <w:sz w:val="24"/>
          <w:szCs w:val="24"/>
          <w:lang w:val="en-GB" w:eastAsia="en-US"/>
        </w:rPr>
        <w:t xml:space="preserve"> the earnings behavior of companies before and after the issuance of shares, and found that companies engaged in more earnings manipulation before the IPO, and this manipulation gradually decreased over a longer period of time after the public offering (</w:t>
      </w:r>
      <w:proofErr w:type="spellStart"/>
      <w:r w:rsidRPr="00D55507">
        <w:rPr>
          <w:rFonts w:ascii="Times New Roman" w:hAnsi="Times New Roman" w:cs="Times New Roman"/>
          <w:kern w:val="0"/>
          <w:sz w:val="24"/>
          <w:szCs w:val="24"/>
          <w:lang w:val="en-GB" w:eastAsia="en-US"/>
        </w:rPr>
        <w:t>Aharony</w:t>
      </w:r>
      <w:proofErr w:type="spellEnd"/>
      <w:r w:rsidRPr="00D55507">
        <w:rPr>
          <w:rFonts w:ascii="Times New Roman" w:hAnsi="Times New Roman" w:cs="Times New Roman"/>
          <w:kern w:val="0"/>
          <w:sz w:val="24"/>
          <w:szCs w:val="24"/>
          <w:lang w:val="en-GB" w:eastAsia="en-US"/>
        </w:rPr>
        <w:t xml:space="preserve"> et al, 2000, p. 107). Badertscher argues that companies often use more concealed real earnings management to increase reported profits in order to avoid delisting (Badertscher, 2011, p. 166). Eli pointed out that in order to increase stock prices, corporate management uses earnings management to make the company's earnings meet analysts' expectations (Eli et al, 2002, p. 177). Jeffery et al. also demonstrated that corporate management adjusts profits to meet analyst forecasts (Jeffery et al, 2003, p. 126).</w:t>
      </w:r>
    </w:p>
    <w:p w14:paraId="28602F43" w14:textId="2D06BB45" w:rsidR="00923347" w:rsidRPr="00C20223" w:rsidRDefault="00923347" w:rsidP="00923347">
      <w:pPr>
        <w:rPr>
          <w:rFonts w:ascii="Times New Roman" w:hAnsi="Times New Roman" w:cs="Times New Roman"/>
          <w:b/>
          <w:sz w:val="28"/>
        </w:rPr>
      </w:pPr>
      <w:r w:rsidRPr="00C20223">
        <w:rPr>
          <w:rFonts w:ascii="Times New Roman" w:hAnsi="Times New Roman" w:cs="Times New Roman"/>
          <w:b/>
          <w:sz w:val="28"/>
        </w:rPr>
        <w:t>2.1.</w:t>
      </w:r>
      <w:r>
        <w:rPr>
          <w:rFonts w:ascii="Times New Roman" w:hAnsi="Times New Roman" w:cs="Times New Roman"/>
          <w:b/>
          <w:sz w:val="28"/>
        </w:rPr>
        <w:t>2</w:t>
      </w:r>
      <w:r w:rsidRPr="00C20223">
        <w:rPr>
          <w:rFonts w:ascii="Times New Roman" w:hAnsi="Times New Roman" w:cs="Times New Roman"/>
          <w:b/>
          <w:sz w:val="28"/>
        </w:rPr>
        <w:t xml:space="preserve"> </w:t>
      </w:r>
      <w:r w:rsidRPr="00923347">
        <w:rPr>
          <w:rFonts w:ascii="Times New Roman" w:hAnsi="Times New Roman" w:cs="Times New Roman"/>
          <w:b/>
          <w:sz w:val="28"/>
        </w:rPr>
        <w:t>Contractual motivation</w:t>
      </w:r>
    </w:p>
    <w:p w14:paraId="62004B83" w14:textId="2A81A47E" w:rsidR="00B37F1F" w:rsidRPr="00D55507" w:rsidRDefault="00B37F1F"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lastRenderedPageBreak/>
        <w:t>Amy based on their research and analysis of the motivation of debt contracts, found that debtors often sign debt contract contracts with the other party when raising funds from creditors to protect the interests of creditors and debtors from being infringed by either party. When the business of a company is in trouble, the funds lent by creditors to the debtor may not be guaranteed. Therefore, when creditors lend funds to the debtor, they usually have certain requirements for their business performance and profitability in the debt contract. Therefore, when the debtor's profitability deteriorates and it is difficult to timely and fully pay the creditor's funds, the debtor's management will have a strong incentive to use earnings management to avoid the cost of arrears (Amy et al, 1994, p. 298). Angelo believe that when a company faces or is about to incur debt defaults, the company's management will take some positive earnings management measures to avoid possible losses caused by debt defaults (Angelo et al., 1994, p. 127). Cormier found that firms cater to the interests of all parties by increasing earnings manipulation to meet external expectations (Cormier et al, 2006, p. 302)</w:t>
      </w:r>
    </w:p>
    <w:p w14:paraId="51A77F89" w14:textId="78845E22" w:rsidR="00B37F1F" w:rsidRPr="00923347" w:rsidRDefault="00923347" w:rsidP="00B37F1F">
      <w:pPr>
        <w:rPr>
          <w:rFonts w:ascii="Times New Roman" w:hAnsi="Times New Roman" w:cs="Times New Roman"/>
          <w:b/>
          <w:sz w:val="28"/>
        </w:rPr>
      </w:pPr>
      <w:r w:rsidRPr="00C20223">
        <w:rPr>
          <w:rFonts w:ascii="Times New Roman" w:hAnsi="Times New Roman" w:cs="Times New Roman"/>
          <w:b/>
          <w:sz w:val="28"/>
        </w:rPr>
        <w:t>2.1.</w:t>
      </w:r>
      <w:r>
        <w:rPr>
          <w:rFonts w:ascii="Times New Roman" w:hAnsi="Times New Roman" w:cs="Times New Roman"/>
          <w:b/>
          <w:sz w:val="28"/>
        </w:rPr>
        <w:t>3</w:t>
      </w:r>
      <w:r w:rsidRPr="00C20223">
        <w:rPr>
          <w:rFonts w:ascii="Times New Roman" w:hAnsi="Times New Roman" w:cs="Times New Roman"/>
          <w:b/>
          <w:sz w:val="28"/>
        </w:rPr>
        <w:t xml:space="preserve"> </w:t>
      </w:r>
      <w:r w:rsidRPr="00923347">
        <w:rPr>
          <w:rFonts w:ascii="Times New Roman" w:hAnsi="Times New Roman" w:cs="Times New Roman"/>
          <w:b/>
          <w:sz w:val="28"/>
        </w:rPr>
        <w:t>Political motivation</w:t>
      </w:r>
    </w:p>
    <w:p w14:paraId="13CCCAF0" w14:textId="5ECB8A7C" w:rsidR="00B37F1F" w:rsidRPr="00D55507" w:rsidRDefault="00B37F1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Government departments usually set some terms for tax refunds, and Jones found through research on the tax situation of enterprises that enterprises will use surplus management to reduce their income level in the current year in order to meet the tax refund conditions stipulated by the government (Jones, 1991, p. 199). Grace studied companies with large changes in performance and found that when the company's business improved significantly in a fiscal year, management deliberately hid part of the profit to smoothly manage the surplus and maintain the soundness of the financial statements (Grace et al, 2010, p.33). Michal believes that in order to cope with tax department inspections and avoid tax risks, enterprises will consciously reduce their earnings management activities and reduce their earnings management level (Michal et al, 2020, p. 77).</w:t>
      </w:r>
    </w:p>
    <w:p w14:paraId="56C8C4CC" w14:textId="03D51391" w:rsidR="00923347" w:rsidRDefault="00923347" w:rsidP="00923347">
      <w:pPr>
        <w:pStyle w:val="2"/>
        <w:spacing w:before="0" w:after="0" w:line="240" w:lineRule="auto"/>
        <w:rPr>
          <w:rFonts w:ascii="Times New Roman" w:hAnsi="Times New Roman" w:cs="Times New Roman"/>
          <w:sz w:val="28"/>
          <w:szCs w:val="24"/>
          <w:lang w:eastAsia="zh-CN"/>
        </w:rPr>
      </w:pPr>
      <w:bookmarkStart w:id="8" w:name="_Toc130830422"/>
      <w:r w:rsidRPr="004278F0">
        <w:rPr>
          <w:rFonts w:ascii="Times New Roman" w:hAnsi="Times New Roman" w:cs="Times New Roman"/>
          <w:sz w:val="28"/>
          <w:szCs w:val="24"/>
          <w:lang w:eastAsia="zh-CN"/>
        </w:rPr>
        <w:t>2.</w:t>
      </w:r>
      <w:r>
        <w:rPr>
          <w:rFonts w:ascii="Times New Roman" w:hAnsi="Times New Roman" w:cs="Times New Roman"/>
          <w:sz w:val="28"/>
          <w:szCs w:val="24"/>
          <w:lang w:eastAsia="zh-CN"/>
        </w:rPr>
        <w:t>2</w:t>
      </w:r>
      <w:r w:rsidRPr="004278F0">
        <w:rPr>
          <w:rFonts w:ascii="Times New Roman" w:hAnsi="Times New Roman" w:cs="Times New Roman"/>
          <w:sz w:val="28"/>
          <w:szCs w:val="24"/>
          <w:lang w:eastAsia="zh-CN"/>
        </w:rPr>
        <w:t xml:space="preserve"> </w:t>
      </w:r>
      <w:r w:rsidRPr="00923347">
        <w:rPr>
          <w:rFonts w:ascii="Times New Roman" w:hAnsi="Times New Roman" w:cs="Times New Roman"/>
          <w:sz w:val="28"/>
          <w:szCs w:val="24"/>
          <w:lang w:eastAsia="zh-CN"/>
        </w:rPr>
        <w:t>Factors influencing earnings management</w:t>
      </w:r>
      <w:bookmarkEnd w:id="8"/>
    </w:p>
    <w:p w14:paraId="39C60A9E" w14:textId="2D05DAF7" w:rsidR="00B37F1F" w:rsidRPr="00D55507" w:rsidRDefault="00B37F1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In terms of the influencing factors of earnings management, philosophers have analyzed and discussed the internal and external factors of enterprises, and corporate governance, external supervision and cultural environment will all have an impact on earnings management. </w:t>
      </w:r>
      <w:proofErr w:type="spellStart"/>
      <w:r w:rsidRPr="00D55507">
        <w:rPr>
          <w:rFonts w:ascii="Times New Roman" w:hAnsi="Times New Roman" w:cs="Times New Roman"/>
          <w:kern w:val="0"/>
          <w:sz w:val="24"/>
          <w:szCs w:val="24"/>
          <w:lang w:val="en-GB" w:eastAsia="en-US"/>
        </w:rPr>
        <w:t>Dichev's</w:t>
      </w:r>
      <w:proofErr w:type="spellEnd"/>
      <w:r w:rsidRPr="00D55507">
        <w:rPr>
          <w:rFonts w:ascii="Times New Roman" w:hAnsi="Times New Roman" w:cs="Times New Roman"/>
          <w:kern w:val="0"/>
          <w:sz w:val="24"/>
          <w:szCs w:val="24"/>
          <w:lang w:val="en-GB" w:eastAsia="en-US"/>
        </w:rPr>
        <w:t xml:space="preserve"> research found that when a company's debt stress is greater, the company's earnings management motivation is stronger, and companies that have not defaulted on their debt have a stronger incentive to manage their earnings than companies that have defaulted (</w:t>
      </w:r>
      <w:proofErr w:type="spellStart"/>
      <w:r w:rsidRPr="00D55507">
        <w:rPr>
          <w:rFonts w:ascii="Times New Roman" w:hAnsi="Times New Roman" w:cs="Times New Roman"/>
          <w:kern w:val="0"/>
          <w:sz w:val="24"/>
          <w:szCs w:val="24"/>
          <w:lang w:val="en-GB" w:eastAsia="en-US"/>
        </w:rPr>
        <w:t>Dichev</w:t>
      </w:r>
      <w:proofErr w:type="spellEnd"/>
      <w:r w:rsidRPr="00D55507">
        <w:rPr>
          <w:rFonts w:ascii="Times New Roman" w:hAnsi="Times New Roman" w:cs="Times New Roman"/>
          <w:kern w:val="0"/>
          <w:sz w:val="24"/>
          <w:szCs w:val="24"/>
          <w:lang w:val="en-GB" w:eastAsia="en-US"/>
        </w:rPr>
        <w:t xml:space="preserve">, 2002, p. 1107). From the perspective of equity incentives, </w:t>
      </w:r>
      <w:proofErr w:type="spellStart"/>
      <w:r w:rsidRPr="00D55507">
        <w:rPr>
          <w:rFonts w:ascii="Times New Roman" w:hAnsi="Times New Roman" w:cs="Times New Roman"/>
          <w:kern w:val="0"/>
          <w:sz w:val="24"/>
          <w:szCs w:val="24"/>
          <w:lang w:val="en-GB" w:eastAsia="en-US"/>
        </w:rPr>
        <w:t>Bergstresser</w:t>
      </w:r>
      <w:proofErr w:type="spellEnd"/>
      <w:r w:rsidRPr="00D55507">
        <w:rPr>
          <w:rFonts w:ascii="Times New Roman" w:hAnsi="Times New Roman" w:cs="Times New Roman"/>
          <w:kern w:val="0"/>
          <w:sz w:val="24"/>
          <w:szCs w:val="24"/>
          <w:lang w:val="en-GB" w:eastAsia="en-US"/>
        </w:rPr>
        <w:t xml:space="preserve"> studied the earnings management behavior of management, and concluded that the higher the shareholding ratio of a company's management, the more managers will manage earnings in order to achieve equity returns (</w:t>
      </w:r>
      <w:proofErr w:type="spellStart"/>
      <w:r w:rsidRPr="00D55507">
        <w:rPr>
          <w:rFonts w:ascii="Times New Roman" w:hAnsi="Times New Roman" w:cs="Times New Roman"/>
          <w:kern w:val="0"/>
          <w:sz w:val="24"/>
          <w:szCs w:val="24"/>
          <w:lang w:val="en-GB" w:eastAsia="en-US"/>
        </w:rPr>
        <w:t>Bergstresser</w:t>
      </w:r>
      <w:proofErr w:type="spellEnd"/>
      <w:r w:rsidRPr="00D55507">
        <w:rPr>
          <w:rFonts w:ascii="Times New Roman" w:hAnsi="Times New Roman" w:cs="Times New Roman"/>
          <w:kern w:val="0"/>
          <w:sz w:val="24"/>
          <w:szCs w:val="24"/>
          <w:lang w:val="en-GB" w:eastAsia="en-US"/>
        </w:rPr>
        <w:t xml:space="preserve"> at </w:t>
      </w:r>
      <w:proofErr w:type="spellStart"/>
      <w:r w:rsidRPr="00D55507">
        <w:rPr>
          <w:rFonts w:ascii="Times New Roman" w:hAnsi="Times New Roman" w:cs="Times New Roman"/>
          <w:kern w:val="0"/>
          <w:sz w:val="24"/>
          <w:szCs w:val="24"/>
          <w:lang w:val="en-GB" w:eastAsia="en-US"/>
        </w:rPr>
        <w:t>al</w:t>
      </w:r>
      <w:proofErr w:type="spellEnd"/>
      <w:r w:rsidRPr="00D55507">
        <w:rPr>
          <w:rFonts w:ascii="Times New Roman" w:hAnsi="Times New Roman" w:cs="Times New Roman"/>
          <w:kern w:val="0"/>
          <w:sz w:val="24"/>
          <w:szCs w:val="24"/>
          <w:lang w:val="en-GB" w:eastAsia="en-US"/>
        </w:rPr>
        <w:t xml:space="preserve">, 2006, p. 521). </w:t>
      </w:r>
      <w:proofErr w:type="spellStart"/>
      <w:r w:rsidRPr="00D55507">
        <w:rPr>
          <w:rFonts w:ascii="Times New Roman" w:hAnsi="Times New Roman" w:cs="Times New Roman"/>
          <w:kern w:val="0"/>
          <w:sz w:val="24"/>
          <w:szCs w:val="24"/>
          <w:lang w:val="en-GB" w:eastAsia="en-US"/>
        </w:rPr>
        <w:t>Barua</w:t>
      </w:r>
      <w:proofErr w:type="spellEnd"/>
      <w:r w:rsidRPr="00D55507">
        <w:rPr>
          <w:rFonts w:ascii="Times New Roman" w:hAnsi="Times New Roman" w:cs="Times New Roman"/>
          <w:kern w:val="0"/>
          <w:sz w:val="24"/>
          <w:szCs w:val="24"/>
          <w:lang w:val="en-GB" w:eastAsia="en-US"/>
        </w:rPr>
        <w:t xml:space="preserve"> research has found that companies tend to engage in downward </w:t>
      </w:r>
      <w:r w:rsidRPr="00D55507">
        <w:rPr>
          <w:rFonts w:ascii="Times New Roman" w:hAnsi="Times New Roman" w:cs="Times New Roman"/>
          <w:kern w:val="0"/>
          <w:sz w:val="24"/>
          <w:szCs w:val="24"/>
          <w:lang w:val="en-GB" w:eastAsia="en-US"/>
        </w:rPr>
        <w:lastRenderedPageBreak/>
        <w:t>earnings management when their CFO is a woman (</w:t>
      </w:r>
      <w:proofErr w:type="spellStart"/>
      <w:r w:rsidRPr="00D55507">
        <w:rPr>
          <w:rFonts w:ascii="Times New Roman" w:hAnsi="Times New Roman" w:cs="Times New Roman"/>
          <w:kern w:val="0"/>
          <w:sz w:val="24"/>
          <w:szCs w:val="24"/>
          <w:lang w:val="en-GB" w:eastAsia="en-US"/>
        </w:rPr>
        <w:t>Barua</w:t>
      </w:r>
      <w:proofErr w:type="spellEnd"/>
      <w:r w:rsidRPr="00D55507">
        <w:rPr>
          <w:rFonts w:ascii="Times New Roman" w:hAnsi="Times New Roman" w:cs="Times New Roman"/>
          <w:kern w:val="0"/>
          <w:sz w:val="24"/>
          <w:szCs w:val="24"/>
          <w:lang w:val="en-GB" w:eastAsia="en-US"/>
        </w:rPr>
        <w:t xml:space="preserve"> at </w:t>
      </w:r>
      <w:proofErr w:type="spellStart"/>
      <w:r w:rsidRPr="00D55507">
        <w:rPr>
          <w:rFonts w:ascii="Times New Roman" w:hAnsi="Times New Roman" w:cs="Times New Roman"/>
          <w:kern w:val="0"/>
          <w:sz w:val="24"/>
          <w:szCs w:val="24"/>
          <w:lang w:val="en-GB" w:eastAsia="en-US"/>
        </w:rPr>
        <w:t>al</w:t>
      </w:r>
      <w:proofErr w:type="spellEnd"/>
      <w:r w:rsidRPr="00D55507">
        <w:rPr>
          <w:rFonts w:ascii="Times New Roman" w:hAnsi="Times New Roman" w:cs="Times New Roman"/>
          <w:kern w:val="0"/>
          <w:sz w:val="24"/>
          <w:szCs w:val="24"/>
          <w:lang w:val="en-GB" w:eastAsia="en-US"/>
        </w:rPr>
        <w:t>, 2010, 33). Samuel's study of 871 listed companies between 2000 and 2016 found that the adoption of IFRS improved transparency of accounting information and inhibited corporate earnings management activities (Samuel et al, 2019, p. 383). Andrzej points out that prior to the merger, the acquirer's management holdings and the presence of institutional investors significantly reduce the acquired party's earnings management (Andrzej, 2020, p. 1302).</w:t>
      </w:r>
    </w:p>
    <w:p w14:paraId="5F0925B5" w14:textId="5D8B2B5F" w:rsidR="00546E3B" w:rsidRPr="00923347" w:rsidRDefault="00923347" w:rsidP="00923347">
      <w:pPr>
        <w:pStyle w:val="2"/>
        <w:spacing w:before="0" w:after="0" w:line="240" w:lineRule="auto"/>
        <w:rPr>
          <w:rFonts w:ascii="Times New Roman" w:hAnsi="Times New Roman" w:cs="Times New Roman"/>
          <w:sz w:val="28"/>
          <w:szCs w:val="24"/>
          <w:lang w:eastAsia="zh-CN"/>
        </w:rPr>
      </w:pPr>
      <w:bookmarkStart w:id="9" w:name="_Toc130830423"/>
      <w:r w:rsidRPr="004278F0">
        <w:rPr>
          <w:rFonts w:ascii="Times New Roman" w:hAnsi="Times New Roman" w:cs="Times New Roman"/>
          <w:sz w:val="28"/>
          <w:szCs w:val="24"/>
          <w:lang w:eastAsia="zh-CN"/>
        </w:rPr>
        <w:t>2.</w:t>
      </w:r>
      <w:r>
        <w:rPr>
          <w:rFonts w:ascii="Times New Roman" w:hAnsi="Times New Roman" w:cs="Times New Roman"/>
          <w:sz w:val="28"/>
          <w:szCs w:val="24"/>
          <w:lang w:eastAsia="zh-CN"/>
        </w:rPr>
        <w:t>2</w:t>
      </w:r>
      <w:r w:rsidRPr="004278F0">
        <w:rPr>
          <w:rFonts w:ascii="Times New Roman" w:hAnsi="Times New Roman" w:cs="Times New Roman"/>
          <w:sz w:val="28"/>
          <w:szCs w:val="24"/>
          <w:lang w:eastAsia="zh-CN"/>
        </w:rPr>
        <w:t xml:space="preserve"> </w:t>
      </w:r>
      <w:r w:rsidRPr="00923347">
        <w:rPr>
          <w:rFonts w:ascii="Times New Roman" w:hAnsi="Times New Roman" w:cs="Times New Roman"/>
          <w:sz w:val="28"/>
          <w:szCs w:val="24"/>
          <w:lang w:eastAsia="zh-CN"/>
        </w:rPr>
        <w:t>Meaning of earnings management</w:t>
      </w:r>
      <w:bookmarkEnd w:id="9"/>
    </w:p>
    <w:p w14:paraId="1FC3124A" w14:textId="2CFD1A4C" w:rsidR="00D22D71" w:rsidRPr="00D55507" w:rsidRDefault="00B37F1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Earnings management has always been one of the focuses of corporate governance and accounting research, and the definition of its concept by domestic and foreign scholars is constantly improving, and many scholars have defined it from the perspective of economic return and information. The concept of "earnings management" was first developed by Schipper, who defined earnings management as the intervention of a company's management in the process of generating financial information for personal gain or for specific purposes (Schipper, 1989, p. 97). Healy argues that earnings management is the act of managers who can mislead users of corporate financial information by directly adjusting corporate financial reports, or even by arranging transactions (Healy et al, 1999, p. 367). Scott's definition of earnings management is the behavior of managers who choose different accounting policies to maximize the value of the company's stock or maximize their own interests (Scott, 2003, p. 77). The definition of surplus management by Chinese scholars also mostly supports the definition of foreign scholars. Wei's definition of earnings management is a series of behaviors by managers to change financial results by means such as accounting choices or structuring real related party transactions, so as to mislead the accounting information users of the enterprise to make accurate judgments about their true business conditions (Wei, 2000, p. 39). Liu believes that surplus management is the act of exploiting loopholes in the existing legal system to the greatest extent, provided of course that manipulation is carried out in legal compliance (Liu, 2001, p. 13). Liu believes that earnings management is the act of redistributing earnings by changing accounting methods, and will cause the earnings information transmitted to the public in financial reports to be different from the true earnings distribution of enterprises (Liu et al, 2014, 100).</w:t>
      </w:r>
    </w:p>
    <w:p w14:paraId="4A96554C" w14:textId="3F0BC769" w:rsidR="00B37F1F" w:rsidRPr="00D55507" w:rsidRDefault="00B37F1F"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From the above definition, we can see that there are usually two techniques of earnings management, one is to adjust the financial statements by accounting means, and the other is to change the financial report directly by arranging transactions. Based on this, the academic community has also divided earnings management into two methods, accrued earnings management and real earnings management, which has been widely recognized, and many scholars have distinguished between accrued surplus management and real earnings management in the research process. Accrued earnings management is to change the surplus manipulation behavior of the earnings distribution </w:t>
      </w:r>
      <w:r w:rsidRPr="00D55507">
        <w:rPr>
          <w:rFonts w:ascii="Times New Roman" w:hAnsi="Times New Roman" w:cs="Times New Roman"/>
          <w:kern w:val="0"/>
          <w:sz w:val="24"/>
          <w:szCs w:val="24"/>
          <w:lang w:val="en-GB" w:eastAsia="en-US"/>
        </w:rPr>
        <w:lastRenderedPageBreak/>
        <w:t>of the enterprise in each period by choosing different accounting estimates, accounting policies and other accounting methods, without affecting the actual economic activities of the enterprise; Real earnings management refers to the behavior of enterprises to manipulate earnings through real trading activities, such as selling assets, adjusting the time of trading activities, etc., which will affect the actual economic activities and cash flow of enterprises.</w:t>
      </w:r>
    </w:p>
    <w:p w14:paraId="5BD155AA" w14:textId="70CEEDBA" w:rsidR="00764679" w:rsidRDefault="00764679" w:rsidP="00764679">
      <w:pPr>
        <w:pStyle w:val="1"/>
        <w:spacing w:before="0" w:after="0" w:line="240" w:lineRule="auto"/>
        <w:rPr>
          <w:rFonts w:ascii="Times New Roman" w:hAnsi="Times New Roman" w:cs="Times New Roman"/>
          <w:sz w:val="28"/>
          <w:szCs w:val="24"/>
        </w:rPr>
      </w:pPr>
      <w:bookmarkStart w:id="10" w:name="_Toc130830424"/>
      <w:r w:rsidRPr="004278F0">
        <w:rPr>
          <w:rFonts w:ascii="Times New Roman" w:hAnsi="Times New Roman" w:cs="Times New Roman"/>
          <w:sz w:val="28"/>
          <w:szCs w:val="24"/>
        </w:rPr>
        <w:t xml:space="preserve">3. </w:t>
      </w:r>
      <w:r w:rsidR="00B37F1F" w:rsidRPr="00B37F1F">
        <w:rPr>
          <w:rFonts w:ascii="Times New Roman" w:hAnsi="Times New Roman" w:cs="Times New Roman"/>
          <w:sz w:val="28"/>
          <w:szCs w:val="24"/>
        </w:rPr>
        <w:t>Case evaluation</w:t>
      </w:r>
      <w:bookmarkEnd w:id="10"/>
    </w:p>
    <w:p w14:paraId="488792B4" w14:textId="1F45FE51" w:rsidR="00764679" w:rsidRDefault="00764679" w:rsidP="00C20223">
      <w:pPr>
        <w:outlineLvl w:val="1"/>
        <w:rPr>
          <w:rFonts w:ascii="Times New Roman" w:hAnsi="Times New Roman" w:cs="Times New Roman"/>
          <w:b/>
          <w:sz w:val="28"/>
          <w:szCs w:val="24"/>
        </w:rPr>
      </w:pPr>
      <w:bookmarkStart w:id="11" w:name="_Toc130830425"/>
      <w:r w:rsidRPr="004278F0">
        <w:rPr>
          <w:rFonts w:ascii="Times New Roman" w:hAnsi="Times New Roman" w:cs="Times New Roman"/>
          <w:b/>
          <w:sz w:val="28"/>
          <w:szCs w:val="24"/>
        </w:rPr>
        <w:t>3.</w:t>
      </w:r>
      <w:r w:rsidR="00B37F1F">
        <w:rPr>
          <w:rFonts w:ascii="Times New Roman" w:hAnsi="Times New Roman" w:cs="Times New Roman"/>
          <w:b/>
          <w:sz w:val="28"/>
          <w:szCs w:val="24"/>
        </w:rPr>
        <w:t>1</w:t>
      </w:r>
      <w:r w:rsidRPr="004278F0">
        <w:rPr>
          <w:rFonts w:ascii="Times New Roman" w:hAnsi="Times New Roman" w:cs="Times New Roman"/>
          <w:b/>
          <w:sz w:val="28"/>
          <w:szCs w:val="24"/>
        </w:rPr>
        <w:t xml:space="preserve"> </w:t>
      </w:r>
      <w:r w:rsidR="00B37F1F" w:rsidRPr="00B37F1F">
        <w:rPr>
          <w:rFonts w:ascii="Times New Roman" w:hAnsi="Times New Roman" w:cs="Times New Roman"/>
          <w:b/>
          <w:sz w:val="28"/>
          <w:szCs w:val="24"/>
        </w:rPr>
        <w:t>Case background</w:t>
      </w:r>
      <w:bookmarkEnd w:id="11"/>
    </w:p>
    <w:p w14:paraId="4BE29049" w14:textId="345A2597" w:rsidR="00D22D71" w:rsidRPr="00D55507" w:rsidRDefault="00B37F1F" w:rsidP="00D55507">
      <w:pPr>
        <w:widowControl/>
        <w:spacing w:afterLines="50" w:after="156"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Technology Co., Ltd. was incorporated in Beijing in September 1998. In October of the same year, it was listed on the Shanghai Stock Exchange with a registered capital of RMB 1.314 billion, and the stock is referred to as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and the stock code is “600198”.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is a backbone enterprise in the information industry with independent intellectual property rights, and has been rated as “China's Top 100 Enterprises” for many consecutive years and selected as a national technology innovation demonstration center. In the more than 20 years of listing,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had brilliant times, and has repeatedly “put on stars and hats”, in order to maintain its listing qualifications, it has carried out a series of asset transfers, but it has not fundamentally solved its ability to continue operating.</w:t>
      </w:r>
    </w:p>
    <w:p w14:paraId="0223D215" w14:textId="53A2728D" w:rsidR="00B37F1F" w:rsidRPr="00D55507" w:rsidRDefault="00B37F1F"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From 1998 to 2021,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been given three delisting risk warnings for more than 20 years. Looking back at 2007,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faced the risk of losing its listing qualification for the first time because of its continuous losses from 2005 to 2006. In the years since the crisis,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operated relatively smoothly, with a turning point in 2016 and 2017, when the company's net profit showed a loss. As recently as April 2018, the company once again had to face the penalty of delisting risk warning. Looking at its annual financial statements, it is not difficult to find that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non-net profit has even been negative for 12 consecutive years, and its main business income is not optimistic, and it has been in a continuous decline since 2016. In order to get rid of the business predicament and reverse the financial situation,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also actively sought changes, and even considered the upgrading and transformation of the enterprise, but in the case of paying a lot of money costs, its operating conditions still did not improve greatly, and the transformation was not successful, which also buried hidden dangers for the deterioration of the company's operation. With the loss of two consecutive years in 2016 and 2017, and the failure of various transformation attempts, and the decline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advantageous project traditional communication business in 2018, this is undoubtedly worse. At the beginning of 2018, in response to the continuous loss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the Shanghai Stock Exchange once again implemented special trading treatment for its shares to warn its shareholders and investors. If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does not take measures to make up </w:t>
      </w:r>
      <w:r w:rsidRPr="00D55507">
        <w:rPr>
          <w:rFonts w:ascii="Times New Roman" w:hAnsi="Times New Roman" w:cs="Times New Roman"/>
          <w:kern w:val="0"/>
          <w:sz w:val="24"/>
          <w:szCs w:val="24"/>
          <w:lang w:val="en-GB" w:eastAsia="en-US"/>
        </w:rPr>
        <w:lastRenderedPageBreak/>
        <w:t xml:space="preserve">for it, it is likely to lose its listing qualification, which also opens the prelude to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difficult shell protection. According to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2018 annual report,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achieved a positive net profit this year. Careful analysis of its statement items and relevant news announcements shows that the reason why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was able to turn around losses in 2018 was mainly to achieve huge profits by selling assets and equity, which was able to make up for its losses and achieve profits, and finally succeeded in shell protection. However, not long after the crisis,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was punished with the same punishment for the third time. Recent annual reports show that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net profit in 2019 and 2020 is negative, while the non-net profit in 2018, 2019 and 2020 has also shown negative growth for three consecutive years. Therefore, according to relevant regulations, the word "*ST" should be added to the abbreviation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stock to remind investors that the company is likely to be delisted if its operating conditions are not good, so as to minimize the risk of investors. In addition,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also has other very serious problems, such as information disclosure violations, various litigation, etc.,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been listed for more than 20 years, experienced ups and downs, occupied an important position in the industry, and even once brilliant, but now it is on the verge of delisting twice in a short period of time.</w:t>
      </w:r>
    </w:p>
    <w:p w14:paraId="2A29511B" w14:textId="3281874D" w:rsidR="00B37F1F" w:rsidRDefault="00B37F1F" w:rsidP="00406442">
      <w:pPr>
        <w:outlineLvl w:val="1"/>
        <w:rPr>
          <w:rFonts w:ascii="Times New Roman" w:hAnsi="Times New Roman" w:cs="Times New Roman"/>
          <w:b/>
          <w:sz w:val="28"/>
          <w:szCs w:val="24"/>
        </w:rPr>
      </w:pPr>
      <w:bookmarkStart w:id="12" w:name="_Toc130830426"/>
      <w:r w:rsidRPr="00B37F1F">
        <w:rPr>
          <w:rFonts w:ascii="Times New Roman" w:hAnsi="Times New Roman" w:cs="Times New Roman"/>
          <w:b/>
          <w:sz w:val="28"/>
          <w:szCs w:val="24"/>
        </w:rPr>
        <w:t>3.</w:t>
      </w:r>
      <w:r>
        <w:rPr>
          <w:rFonts w:ascii="Times New Roman" w:hAnsi="Times New Roman" w:cs="Times New Roman"/>
          <w:b/>
          <w:sz w:val="28"/>
          <w:szCs w:val="24"/>
        </w:rPr>
        <w:t>2</w:t>
      </w:r>
      <w:r w:rsidRPr="00B37F1F">
        <w:rPr>
          <w:rFonts w:ascii="Times New Roman" w:hAnsi="Times New Roman" w:cs="Times New Roman"/>
          <w:b/>
          <w:sz w:val="28"/>
          <w:szCs w:val="24"/>
        </w:rPr>
        <w:t xml:space="preserve"> </w:t>
      </w:r>
      <w:r w:rsidR="00923347" w:rsidRPr="00B37F1F">
        <w:rPr>
          <w:rFonts w:ascii="Times New Roman" w:hAnsi="Times New Roman" w:cs="Times New Roman"/>
          <w:b/>
          <w:sz w:val="28"/>
          <w:szCs w:val="24"/>
        </w:rPr>
        <w:t xml:space="preserve">Identification of </w:t>
      </w:r>
      <w:proofErr w:type="spellStart"/>
      <w:r w:rsidR="00923347" w:rsidRPr="00B37F1F">
        <w:rPr>
          <w:rFonts w:ascii="Times New Roman" w:hAnsi="Times New Roman" w:cs="Times New Roman"/>
          <w:b/>
          <w:sz w:val="28"/>
          <w:szCs w:val="24"/>
        </w:rPr>
        <w:t>Datang</w:t>
      </w:r>
      <w:proofErr w:type="spellEnd"/>
      <w:r w:rsidR="00923347" w:rsidRPr="00B37F1F">
        <w:rPr>
          <w:rFonts w:ascii="Times New Roman" w:hAnsi="Times New Roman" w:cs="Times New Roman"/>
          <w:b/>
          <w:sz w:val="28"/>
          <w:szCs w:val="24"/>
        </w:rPr>
        <w:t xml:space="preserve"> Telecom's earnings management behavior</w:t>
      </w:r>
      <w:bookmarkEnd w:id="12"/>
      <w:r w:rsidR="00923347" w:rsidRPr="00B37F1F">
        <w:rPr>
          <w:rFonts w:ascii="Times New Roman" w:hAnsi="Times New Roman" w:cs="Times New Roman"/>
          <w:b/>
          <w:sz w:val="28"/>
          <w:szCs w:val="24"/>
        </w:rPr>
        <w:t xml:space="preserve"> </w:t>
      </w:r>
    </w:p>
    <w:p w14:paraId="625B6A71" w14:textId="1A4331BB" w:rsidR="00B37F1F" w:rsidRPr="004278F0" w:rsidRDefault="00B37F1F" w:rsidP="00406442">
      <w:pPr>
        <w:outlineLvl w:val="2"/>
        <w:rPr>
          <w:rFonts w:ascii="Times New Roman" w:hAnsi="Times New Roman" w:cs="Times New Roman"/>
          <w:b/>
          <w:sz w:val="24"/>
          <w:szCs w:val="24"/>
        </w:rPr>
      </w:pPr>
      <w:bookmarkStart w:id="13" w:name="_Toc130830427"/>
      <w:r w:rsidRPr="004278F0">
        <w:rPr>
          <w:rFonts w:ascii="Times New Roman" w:hAnsi="Times New Roman" w:cs="Times New Roman"/>
          <w:b/>
          <w:sz w:val="28"/>
          <w:szCs w:val="24"/>
        </w:rPr>
        <w:t>3.</w:t>
      </w:r>
      <w:r>
        <w:rPr>
          <w:rFonts w:ascii="Times New Roman" w:hAnsi="Times New Roman" w:cs="Times New Roman"/>
          <w:b/>
          <w:sz w:val="28"/>
          <w:szCs w:val="24"/>
        </w:rPr>
        <w:t>2</w:t>
      </w:r>
      <w:r w:rsidRPr="004278F0">
        <w:rPr>
          <w:rFonts w:ascii="Times New Roman" w:hAnsi="Times New Roman" w:cs="Times New Roman"/>
          <w:b/>
          <w:sz w:val="28"/>
          <w:szCs w:val="24"/>
        </w:rPr>
        <w:t xml:space="preserve">.1 </w:t>
      </w:r>
      <w:r w:rsidR="00923347" w:rsidRPr="00406442">
        <w:rPr>
          <w:rFonts w:ascii="Times New Roman" w:hAnsi="Times New Roman" w:cs="Times New Roman"/>
          <w:b/>
          <w:sz w:val="28"/>
          <w:szCs w:val="24"/>
        </w:rPr>
        <w:t>Abnormal profit exclusion method</w:t>
      </w:r>
      <w:bookmarkEnd w:id="13"/>
    </w:p>
    <w:p w14:paraId="1D46E3F6" w14:textId="0D7A05A5" w:rsidR="00406442" w:rsidRPr="00D55507" w:rsidRDefault="00406442"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China's delisting system is relatively special, the relevant laws stipulate that when the net profit of listed companies is negative for two consecutive years, listed companies will continue to list there will be a relatively large risk, which is the relevant departments to the loss of listed companies corresponding penalties, that is, delisting risk early warning, at the same time the loss of listed companies of the stock of special transaction processing, if still in the third year of loss will be suspended by the relevant departments or even forced delisting. Therefore, if a loss-making listed company wants to continue to list, it is very likely to carry out profit manipulation in the third year, so as to achieve a turnaround. According to Table 3.</w:t>
      </w:r>
      <w:r w:rsidR="00923347" w:rsidRPr="00D55507">
        <w:rPr>
          <w:rFonts w:ascii="Times New Roman" w:hAnsi="Times New Roman" w:cs="Times New Roman"/>
          <w:kern w:val="0"/>
          <w:sz w:val="24"/>
          <w:szCs w:val="24"/>
          <w:lang w:val="en-GB" w:eastAsia="en-US"/>
        </w:rPr>
        <w:t>1</w:t>
      </w:r>
      <w:r w:rsidRPr="00D55507">
        <w:rPr>
          <w:rFonts w:ascii="Times New Roman" w:hAnsi="Times New Roman" w:cs="Times New Roman"/>
          <w:kern w:val="0"/>
          <w:sz w:val="24"/>
          <w:szCs w:val="24"/>
          <w:lang w:val="en-GB" w:eastAsia="en-US"/>
        </w:rPr>
        <w:t xml:space="preserve">,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suffered huge losses for two consecutive years in 2016 and 2017, and in order to preserve its shell resources, it must </w:t>
      </w:r>
      <w:proofErr w:type="gramStart"/>
      <w:r w:rsidRPr="00D55507">
        <w:rPr>
          <w:rFonts w:ascii="Times New Roman" w:hAnsi="Times New Roman" w:cs="Times New Roman"/>
          <w:kern w:val="0"/>
          <w:sz w:val="24"/>
          <w:szCs w:val="24"/>
          <w:lang w:val="en-GB" w:eastAsia="en-US"/>
        </w:rPr>
        <w:t>take action</w:t>
      </w:r>
      <w:proofErr w:type="gramEnd"/>
      <w:r w:rsidRPr="00D55507">
        <w:rPr>
          <w:rFonts w:ascii="Times New Roman" w:hAnsi="Times New Roman" w:cs="Times New Roman"/>
          <w:kern w:val="0"/>
          <w:sz w:val="24"/>
          <w:szCs w:val="24"/>
          <w:lang w:val="en-GB" w:eastAsia="en-US"/>
        </w:rPr>
        <w:t xml:space="preserve"> on its net profit and attributable net profit.</w:t>
      </w:r>
    </w:p>
    <w:p w14:paraId="05A73469" w14:textId="6B3D0239" w:rsidR="00B37F1F" w:rsidRPr="00DA6F13" w:rsidRDefault="00B37F1F" w:rsidP="00B15CD3">
      <w:pPr>
        <w:spacing w:beforeLines="50" w:before="156"/>
        <w:jc w:val="center"/>
        <w:rPr>
          <w:rFonts w:ascii="Times New Roman" w:hAnsi="Times New Roman" w:cs="Times New Roman"/>
          <w:szCs w:val="21"/>
        </w:rPr>
      </w:pPr>
      <w:r w:rsidRPr="00DA6F13">
        <w:rPr>
          <w:rFonts w:ascii="Times New Roman" w:hAnsi="Times New Roman" w:cs="Times New Roman"/>
          <w:szCs w:val="21"/>
        </w:rPr>
        <w:t>Table 3.</w:t>
      </w:r>
      <w:r w:rsidR="00923347" w:rsidRPr="00DA6F13">
        <w:rPr>
          <w:rFonts w:ascii="Times New Roman" w:hAnsi="Times New Roman" w:cs="Times New Roman"/>
          <w:szCs w:val="21"/>
        </w:rPr>
        <w:t>1</w:t>
      </w:r>
      <w:r w:rsidRPr="00DA6F13">
        <w:rPr>
          <w:rFonts w:ascii="Times New Roman" w:hAnsi="Times New Roman" w:cs="Times New Roman"/>
          <w:szCs w:val="21"/>
        </w:rPr>
        <w:t xml:space="preserve"> Key Financial Data from 2016 to 2020</w:t>
      </w:r>
      <w:r w:rsidRPr="00DA6F13">
        <w:rPr>
          <w:rFonts w:ascii="Times New Roman" w:hAnsi="Times New Roman" w:cs="Times New Roman"/>
          <w:szCs w:val="21"/>
        </w:rPr>
        <w:t>（</w:t>
      </w:r>
      <w:r w:rsidRPr="00DA6F13">
        <w:rPr>
          <w:rFonts w:ascii="Times New Roman" w:hAnsi="Times New Roman" w:cs="Times New Roman"/>
          <w:szCs w:val="21"/>
        </w:rPr>
        <w:t>Unit: 100 million</w:t>
      </w:r>
      <w:r w:rsidRPr="00DA6F13">
        <w:rPr>
          <w:rFonts w:ascii="Times New Roman" w:hAnsi="Times New Roman" w:cs="Times New Roman"/>
          <w:szCs w:val="21"/>
        </w:rPr>
        <w:t>）</w:t>
      </w:r>
    </w:p>
    <w:tbl>
      <w:tblPr>
        <w:tblW w:w="0" w:type="auto"/>
        <w:tblBorders>
          <w:top w:val="single" w:sz="12" w:space="0" w:color="auto"/>
          <w:bottom w:val="single" w:sz="12" w:space="0" w:color="auto"/>
        </w:tblBorders>
        <w:tblLayout w:type="fixed"/>
        <w:tblLook w:val="04A0" w:firstRow="1" w:lastRow="0" w:firstColumn="1" w:lastColumn="0" w:noHBand="0" w:noVBand="1"/>
      </w:tblPr>
      <w:tblGrid>
        <w:gridCol w:w="2795"/>
        <w:gridCol w:w="1102"/>
        <w:gridCol w:w="1102"/>
        <w:gridCol w:w="1102"/>
        <w:gridCol w:w="1102"/>
        <w:gridCol w:w="1103"/>
      </w:tblGrid>
      <w:tr w:rsidR="00B37F1F" w:rsidRPr="00B37F1F" w14:paraId="1AC2DACD" w14:textId="77777777" w:rsidTr="004B1096">
        <w:trPr>
          <w:trHeight w:val="340"/>
        </w:trPr>
        <w:tc>
          <w:tcPr>
            <w:tcW w:w="2795" w:type="dxa"/>
            <w:tcBorders>
              <w:top w:val="single" w:sz="12" w:space="0" w:color="auto"/>
              <w:bottom w:val="single" w:sz="4" w:space="0" w:color="auto"/>
            </w:tcBorders>
            <w:shd w:val="clear" w:color="auto" w:fill="auto"/>
            <w:noWrap/>
            <w:vAlign w:val="center"/>
            <w:hideMark/>
          </w:tcPr>
          <w:p w14:paraId="526CB9BD" w14:textId="5AF76E01"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year</w:t>
            </w:r>
          </w:p>
        </w:tc>
        <w:tc>
          <w:tcPr>
            <w:tcW w:w="1102" w:type="dxa"/>
            <w:tcBorders>
              <w:top w:val="single" w:sz="12" w:space="0" w:color="auto"/>
              <w:bottom w:val="single" w:sz="4" w:space="0" w:color="auto"/>
            </w:tcBorders>
            <w:shd w:val="clear" w:color="auto" w:fill="auto"/>
            <w:noWrap/>
            <w:vAlign w:val="center"/>
            <w:hideMark/>
          </w:tcPr>
          <w:p w14:paraId="301E72E2"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2020</w:t>
            </w:r>
          </w:p>
        </w:tc>
        <w:tc>
          <w:tcPr>
            <w:tcW w:w="1102" w:type="dxa"/>
            <w:tcBorders>
              <w:top w:val="single" w:sz="12" w:space="0" w:color="auto"/>
              <w:bottom w:val="single" w:sz="4" w:space="0" w:color="auto"/>
            </w:tcBorders>
            <w:shd w:val="clear" w:color="auto" w:fill="auto"/>
            <w:noWrap/>
            <w:vAlign w:val="center"/>
            <w:hideMark/>
          </w:tcPr>
          <w:p w14:paraId="1B2A1F2C"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2019</w:t>
            </w:r>
          </w:p>
        </w:tc>
        <w:tc>
          <w:tcPr>
            <w:tcW w:w="1102" w:type="dxa"/>
            <w:tcBorders>
              <w:top w:val="single" w:sz="12" w:space="0" w:color="auto"/>
              <w:bottom w:val="single" w:sz="4" w:space="0" w:color="auto"/>
            </w:tcBorders>
            <w:shd w:val="clear" w:color="auto" w:fill="auto"/>
            <w:noWrap/>
            <w:vAlign w:val="center"/>
            <w:hideMark/>
          </w:tcPr>
          <w:p w14:paraId="39FA9102"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2018</w:t>
            </w:r>
          </w:p>
        </w:tc>
        <w:tc>
          <w:tcPr>
            <w:tcW w:w="1102" w:type="dxa"/>
            <w:tcBorders>
              <w:top w:val="single" w:sz="12" w:space="0" w:color="auto"/>
              <w:bottom w:val="single" w:sz="4" w:space="0" w:color="auto"/>
            </w:tcBorders>
            <w:shd w:val="clear" w:color="auto" w:fill="auto"/>
            <w:noWrap/>
            <w:vAlign w:val="center"/>
            <w:hideMark/>
          </w:tcPr>
          <w:p w14:paraId="5C99D224"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2017</w:t>
            </w:r>
          </w:p>
        </w:tc>
        <w:tc>
          <w:tcPr>
            <w:tcW w:w="1103" w:type="dxa"/>
            <w:tcBorders>
              <w:top w:val="single" w:sz="12" w:space="0" w:color="auto"/>
              <w:bottom w:val="single" w:sz="4" w:space="0" w:color="auto"/>
            </w:tcBorders>
            <w:shd w:val="clear" w:color="auto" w:fill="auto"/>
            <w:noWrap/>
            <w:vAlign w:val="center"/>
            <w:hideMark/>
          </w:tcPr>
          <w:p w14:paraId="141F95CF"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2016</w:t>
            </w:r>
          </w:p>
        </w:tc>
      </w:tr>
      <w:tr w:rsidR="00B37F1F" w:rsidRPr="00B37F1F" w14:paraId="21CFDDA6" w14:textId="77777777" w:rsidTr="004B1096">
        <w:trPr>
          <w:trHeight w:val="340"/>
        </w:trPr>
        <w:tc>
          <w:tcPr>
            <w:tcW w:w="2795" w:type="dxa"/>
            <w:tcBorders>
              <w:top w:val="single" w:sz="4" w:space="0" w:color="auto"/>
            </w:tcBorders>
            <w:shd w:val="clear" w:color="auto" w:fill="auto"/>
            <w:noWrap/>
            <w:vAlign w:val="center"/>
            <w:hideMark/>
          </w:tcPr>
          <w:p w14:paraId="4050B194" w14:textId="614404D0"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Main business income</w:t>
            </w:r>
          </w:p>
        </w:tc>
        <w:tc>
          <w:tcPr>
            <w:tcW w:w="1102" w:type="dxa"/>
            <w:tcBorders>
              <w:top w:val="single" w:sz="4" w:space="0" w:color="auto"/>
            </w:tcBorders>
            <w:shd w:val="clear" w:color="auto" w:fill="auto"/>
            <w:noWrap/>
            <w:vAlign w:val="center"/>
            <w:hideMark/>
          </w:tcPr>
          <w:p w14:paraId="72B96310"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12.07</w:t>
            </w:r>
          </w:p>
        </w:tc>
        <w:tc>
          <w:tcPr>
            <w:tcW w:w="1102" w:type="dxa"/>
            <w:tcBorders>
              <w:top w:val="single" w:sz="4" w:space="0" w:color="auto"/>
            </w:tcBorders>
            <w:shd w:val="clear" w:color="auto" w:fill="auto"/>
            <w:noWrap/>
            <w:vAlign w:val="center"/>
            <w:hideMark/>
          </w:tcPr>
          <w:p w14:paraId="4D1A5705"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14.31</w:t>
            </w:r>
          </w:p>
        </w:tc>
        <w:tc>
          <w:tcPr>
            <w:tcW w:w="1102" w:type="dxa"/>
            <w:tcBorders>
              <w:top w:val="single" w:sz="4" w:space="0" w:color="auto"/>
            </w:tcBorders>
            <w:shd w:val="clear" w:color="auto" w:fill="auto"/>
            <w:noWrap/>
            <w:vAlign w:val="center"/>
            <w:hideMark/>
          </w:tcPr>
          <w:p w14:paraId="06893E8D"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23.44</w:t>
            </w:r>
          </w:p>
        </w:tc>
        <w:tc>
          <w:tcPr>
            <w:tcW w:w="1102" w:type="dxa"/>
            <w:tcBorders>
              <w:top w:val="single" w:sz="4" w:space="0" w:color="auto"/>
            </w:tcBorders>
            <w:shd w:val="clear" w:color="auto" w:fill="auto"/>
            <w:noWrap/>
            <w:vAlign w:val="center"/>
            <w:hideMark/>
          </w:tcPr>
          <w:p w14:paraId="5A3151A1"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43.48</w:t>
            </w:r>
          </w:p>
        </w:tc>
        <w:tc>
          <w:tcPr>
            <w:tcW w:w="1103" w:type="dxa"/>
            <w:tcBorders>
              <w:top w:val="single" w:sz="4" w:space="0" w:color="auto"/>
            </w:tcBorders>
            <w:shd w:val="clear" w:color="auto" w:fill="auto"/>
            <w:noWrap/>
            <w:vAlign w:val="center"/>
            <w:hideMark/>
          </w:tcPr>
          <w:p w14:paraId="31158659"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72.3</w:t>
            </w:r>
          </w:p>
        </w:tc>
      </w:tr>
      <w:tr w:rsidR="00B37F1F" w:rsidRPr="00B37F1F" w14:paraId="4BB1FAA6" w14:textId="77777777" w:rsidTr="004B1096">
        <w:trPr>
          <w:trHeight w:val="340"/>
        </w:trPr>
        <w:tc>
          <w:tcPr>
            <w:tcW w:w="2795" w:type="dxa"/>
            <w:shd w:val="clear" w:color="auto" w:fill="auto"/>
            <w:noWrap/>
            <w:vAlign w:val="center"/>
            <w:hideMark/>
          </w:tcPr>
          <w:p w14:paraId="3E76F090"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Non-operating income</w:t>
            </w:r>
          </w:p>
        </w:tc>
        <w:tc>
          <w:tcPr>
            <w:tcW w:w="1102" w:type="dxa"/>
            <w:shd w:val="clear" w:color="auto" w:fill="auto"/>
            <w:noWrap/>
            <w:vAlign w:val="center"/>
            <w:hideMark/>
          </w:tcPr>
          <w:p w14:paraId="73F7942F"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0.06</w:t>
            </w:r>
          </w:p>
        </w:tc>
        <w:tc>
          <w:tcPr>
            <w:tcW w:w="1102" w:type="dxa"/>
            <w:shd w:val="clear" w:color="auto" w:fill="auto"/>
            <w:noWrap/>
            <w:vAlign w:val="center"/>
            <w:hideMark/>
          </w:tcPr>
          <w:p w14:paraId="7BFCC109"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0.19</w:t>
            </w:r>
          </w:p>
        </w:tc>
        <w:tc>
          <w:tcPr>
            <w:tcW w:w="1102" w:type="dxa"/>
            <w:shd w:val="clear" w:color="auto" w:fill="auto"/>
            <w:noWrap/>
            <w:vAlign w:val="center"/>
            <w:hideMark/>
          </w:tcPr>
          <w:p w14:paraId="2A86811D"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0.04</w:t>
            </w:r>
          </w:p>
        </w:tc>
        <w:tc>
          <w:tcPr>
            <w:tcW w:w="1102" w:type="dxa"/>
            <w:shd w:val="clear" w:color="auto" w:fill="auto"/>
            <w:noWrap/>
            <w:vAlign w:val="center"/>
            <w:hideMark/>
          </w:tcPr>
          <w:p w14:paraId="0513FF58"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0.05</w:t>
            </w:r>
          </w:p>
        </w:tc>
        <w:tc>
          <w:tcPr>
            <w:tcW w:w="1103" w:type="dxa"/>
            <w:shd w:val="clear" w:color="auto" w:fill="auto"/>
            <w:noWrap/>
            <w:vAlign w:val="center"/>
            <w:hideMark/>
          </w:tcPr>
          <w:p w14:paraId="6B378338"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1.21</w:t>
            </w:r>
          </w:p>
        </w:tc>
      </w:tr>
      <w:tr w:rsidR="00B37F1F" w:rsidRPr="00B37F1F" w14:paraId="2482A8F8" w14:textId="77777777" w:rsidTr="004B1096">
        <w:trPr>
          <w:trHeight w:val="340"/>
        </w:trPr>
        <w:tc>
          <w:tcPr>
            <w:tcW w:w="2795" w:type="dxa"/>
            <w:shd w:val="clear" w:color="auto" w:fill="auto"/>
            <w:noWrap/>
            <w:vAlign w:val="center"/>
            <w:hideMark/>
          </w:tcPr>
          <w:p w14:paraId="05E97D29" w14:textId="09798159"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Net profit attributable to the owners of the parent company</w:t>
            </w:r>
          </w:p>
        </w:tc>
        <w:tc>
          <w:tcPr>
            <w:tcW w:w="1102" w:type="dxa"/>
            <w:shd w:val="clear" w:color="auto" w:fill="auto"/>
            <w:noWrap/>
            <w:vAlign w:val="center"/>
            <w:hideMark/>
          </w:tcPr>
          <w:p w14:paraId="697352FA"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-13.64</w:t>
            </w:r>
          </w:p>
        </w:tc>
        <w:tc>
          <w:tcPr>
            <w:tcW w:w="1102" w:type="dxa"/>
            <w:shd w:val="clear" w:color="auto" w:fill="auto"/>
            <w:noWrap/>
            <w:vAlign w:val="center"/>
            <w:hideMark/>
          </w:tcPr>
          <w:p w14:paraId="08432CCC"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-8.99</w:t>
            </w:r>
          </w:p>
        </w:tc>
        <w:tc>
          <w:tcPr>
            <w:tcW w:w="1102" w:type="dxa"/>
            <w:shd w:val="clear" w:color="auto" w:fill="auto"/>
            <w:noWrap/>
            <w:vAlign w:val="center"/>
            <w:hideMark/>
          </w:tcPr>
          <w:p w14:paraId="141A37C6"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5.64</w:t>
            </w:r>
          </w:p>
        </w:tc>
        <w:tc>
          <w:tcPr>
            <w:tcW w:w="1102" w:type="dxa"/>
            <w:shd w:val="clear" w:color="auto" w:fill="auto"/>
            <w:noWrap/>
            <w:vAlign w:val="center"/>
            <w:hideMark/>
          </w:tcPr>
          <w:p w14:paraId="4CDA5A1B"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-26.49</w:t>
            </w:r>
          </w:p>
        </w:tc>
        <w:tc>
          <w:tcPr>
            <w:tcW w:w="1103" w:type="dxa"/>
            <w:shd w:val="clear" w:color="auto" w:fill="auto"/>
            <w:noWrap/>
            <w:vAlign w:val="center"/>
            <w:hideMark/>
          </w:tcPr>
          <w:p w14:paraId="6FBF99F8"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-17.76</w:t>
            </w:r>
          </w:p>
        </w:tc>
      </w:tr>
      <w:tr w:rsidR="00B37F1F" w:rsidRPr="00B37F1F" w14:paraId="1E87C7B6" w14:textId="77777777" w:rsidTr="004B1096">
        <w:trPr>
          <w:trHeight w:val="340"/>
        </w:trPr>
        <w:tc>
          <w:tcPr>
            <w:tcW w:w="2795" w:type="dxa"/>
            <w:shd w:val="clear" w:color="auto" w:fill="auto"/>
            <w:noWrap/>
            <w:vAlign w:val="center"/>
            <w:hideMark/>
          </w:tcPr>
          <w:p w14:paraId="4398FEE5"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Net profit after deduction</w:t>
            </w:r>
          </w:p>
        </w:tc>
        <w:tc>
          <w:tcPr>
            <w:tcW w:w="1102" w:type="dxa"/>
            <w:shd w:val="clear" w:color="auto" w:fill="auto"/>
            <w:noWrap/>
            <w:vAlign w:val="center"/>
            <w:hideMark/>
          </w:tcPr>
          <w:p w14:paraId="5F7777FF"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-14.05</w:t>
            </w:r>
          </w:p>
        </w:tc>
        <w:tc>
          <w:tcPr>
            <w:tcW w:w="1102" w:type="dxa"/>
            <w:shd w:val="clear" w:color="auto" w:fill="auto"/>
            <w:noWrap/>
            <w:vAlign w:val="center"/>
            <w:hideMark/>
          </w:tcPr>
          <w:p w14:paraId="0543658E"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-9.7</w:t>
            </w:r>
          </w:p>
        </w:tc>
        <w:tc>
          <w:tcPr>
            <w:tcW w:w="1102" w:type="dxa"/>
            <w:shd w:val="clear" w:color="auto" w:fill="auto"/>
            <w:noWrap/>
            <w:vAlign w:val="center"/>
            <w:hideMark/>
          </w:tcPr>
          <w:p w14:paraId="059BABFE"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-11.13</w:t>
            </w:r>
          </w:p>
        </w:tc>
        <w:tc>
          <w:tcPr>
            <w:tcW w:w="1102" w:type="dxa"/>
            <w:shd w:val="clear" w:color="auto" w:fill="auto"/>
            <w:noWrap/>
            <w:vAlign w:val="center"/>
            <w:hideMark/>
          </w:tcPr>
          <w:p w14:paraId="4021D39D"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-30.33</w:t>
            </w:r>
          </w:p>
        </w:tc>
        <w:tc>
          <w:tcPr>
            <w:tcW w:w="1103" w:type="dxa"/>
            <w:shd w:val="clear" w:color="auto" w:fill="auto"/>
            <w:noWrap/>
            <w:vAlign w:val="center"/>
            <w:hideMark/>
          </w:tcPr>
          <w:p w14:paraId="6CC00B8B"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-18.73</w:t>
            </w:r>
          </w:p>
        </w:tc>
      </w:tr>
      <w:tr w:rsidR="00B37F1F" w:rsidRPr="00B37F1F" w14:paraId="5B3174B2" w14:textId="77777777" w:rsidTr="004B1096">
        <w:trPr>
          <w:trHeight w:val="340"/>
        </w:trPr>
        <w:tc>
          <w:tcPr>
            <w:tcW w:w="2795" w:type="dxa"/>
            <w:shd w:val="clear" w:color="auto" w:fill="auto"/>
            <w:noWrap/>
            <w:vAlign w:val="center"/>
            <w:hideMark/>
          </w:tcPr>
          <w:p w14:paraId="5A056077"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lastRenderedPageBreak/>
              <w:t>Non-recurring profit and loss</w:t>
            </w:r>
          </w:p>
        </w:tc>
        <w:tc>
          <w:tcPr>
            <w:tcW w:w="1102" w:type="dxa"/>
            <w:shd w:val="clear" w:color="auto" w:fill="auto"/>
            <w:noWrap/>
            <w:vAlign w:val="center"/>
            <w:hideMark/>
          </w:tcPr>
          <w:p w14:paraId="1B529CC9"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0.41</w:t>
            </w:r>
          </w:p>
        </w:tc>
        <w:tc>
          <w:tcPr>
            <w:tcW w:w="1102" w:type="dxa"/>
            <w:shd w:val="clear" w:color="auto" w:fill="auto"/>
            <w:noWrap/>
            <w:vAlign w:val="center"/>
            <w:hideMark/>
          </w:tcPr>
          <w:p w14:paraId="4B557F8B"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0.71</w:t>
            </w:r>
          </w:p>
        </w:tc>
        <w:tc>
          <w:tcPr>
            <w:tcW w:w="1102" w:type="dxa"/>
            <w:shd w:val="clear" w:color="auto" w:fill="auto"/>
            <w:noWrap/>
            <w:vAlign w:val="center"/>
            <w:hideMark/>
          </w:tcPr>
          <w:p w14:paraId="2A0ADE00"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16.77</w:t>
            </w:r>
          </w:p>
        </w:tc>
        <w:tc>
          <w:tcPr>
            <w:tcW w:w="1102" w:type="dxa"/>
            <w:shd w:val="clear" w:color="auto" w:fill="auto"/>
            <w:noWrap/>
            <w:vAlign w:val="center"/>
            <w:hideMark/>
          </w:tcPr>
          <w:p w14:paraId="7DF36C0E"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3.84</w:t>
            </w:r>
          </w:p>
        </w:tc>
        <w:tc>
          <w:tcPr>
            <w:tcW w:w="1103" w:type="dxa"/>
            <w:shd w:val="clear" w:color="auto" w:fill="auto"/>
            <w:noWrap/>
            <w:vAlign w:val="center"/>
            <w:hideMark/>
          </w:tcPr>
          <w:p w14:paraId="7E854EEA"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0.97</w:t>
            </w:r>
          </w:p>
        </w:tc>
      </w:tr>
      <w:tr w:rsidR="00B37F1F" w:rsidRPr="00B37F1F" w14:paraId="362A2354" w14:textId="77777777" w:rsidTr="004B1096">
        <w:trPr>
          <w:trHeight w:val="340"/>
        </w:trPr>
        <w:tc>
          <w:tcPr>
            <w:tcW w:w="2795" w:type="dxa"/>
            <w:shd w:val="clear" w:color="auto" w:fill="auto"/>
            <w:noWrap/>
            <w:vAlign w:val="center"/>
            <w:hideMark/>
          </w:tcPr>
          <w:p w14:paraId="1356BD17"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Year-over-year increase in total operating income (%)</w:t>
            </w:r>
          </w:p>
        </w:tc>
        <w:tc>
          <w:tcPr>
            <w:tcW w:w="1102" w:type="dxa"/>
            <w:shd w:val="clear" w:color="auto" w:fill="auto"/>
            <w:noWrap/>
            <w:vAlign w:val="center"/>
            <w:hideMark/>
          </w:tcPr>
          <w:p w14:paraId="01A0C877"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-15.62</w:t>
            </w:r>
          </w:p>
        </w:tc>
        <w:tc>
          <w:tcPr>
            <w:tcW w:w="1102" w:type="dxa"/>
            <w:shd w:val="clear" w:color="auto" w:fill="auto"/>
            <w:noWrap/>
            <w:vAlign w:val="center"/>
            <w:hideMark/>
          </w:tcPr>
          <w:p w14:paraId="10373E0C"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-38.96</w:t>
            </w:r>
          </w:p>
        </w:tc>
        <w:tc>
          <w:tcPr>
            <w:tcW w:w="1102" w:type="dxa"/>
            <w:shd w:val="clear" w:color="auto" w:fill="auto"/>
            <w:noWrap/>
            <w:vAlign w:val="center"/>
            <w:hideMark/>
          </w:tcPr>
          <w:p w14:paraId="32540A68"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-46.09</w:t>
            </w:r>
          </w:p>
        </w:tc>
        <w:tc>
          <w:tcPr>
            <w:tcW w:w="1102" w:type="dxa"/>
            <w:shd w:val="clear" w:color="auto" w:fill="auto"/>
            <w:noWrap/>
            <w:vAlign w:val="center"/>
            <w:hideMark/>
          </w:tcPr>
          <w:p w14:paraId="5D201806"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-39.86</w:t>
            </w:r>
          </w:p>
        </w:tc>
        <w:tc>
          <w:tcPr>
            <w:tcW w:w="1103" w:type="dxa"/>
            <w:shd w:val="clear" w:color="auto" w:fill="auto"/>
            <w:noWrap/>
            <w:vAlign w:val="center"/>
            <w:hideMark/>
          </w:tcPr>
          <w:p w14:paraId="33469761"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-15.96</w:t>
            </w:r>
          </w:p>
        </w:tc>
      </w:tr>
      <w:tr w:rsidR="00B37F1F" w:rsidRPr="00B37F1F" w14:paraId="68FF9BB3" w14:textId="77777777" w:rsidTr="004B1096">
        <w:trPr>
          <w:trHeight w:val="340"/>
        </w:trPr>
        <w:tc>
          <w:tcPr>
            <w:tcW w:w="2795" w:type="dxa"/>
            <w:shd w:val="clear" w:color="auto" w:fill="auto"/>
            <w:noWrap/>
            <w:vAlign w:val="center"/>
            <w:hideMark/>
          </w:tcPr>
          <w:p w14:paraId="099A251C"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Year-over-year increase in net profit attributable (%)</w:t>
            </w:r>
          </w:p>
        </w:tc>
        <w:tc>
          <w:tcPr>
            <w:tcW w:w="1102" w:type="dxa"/>
            <w:shd w:val="clear" w:color="auto" w:fill="auto"/>
            <w:noWrap/>
            <w:vAlign w:val="center"/>
            <w:hideMark/>
          </w:tcPr>
          <w:p w14:paraId="798E639B"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-51.65</w:t>
            </w:r>
          </w:p>
        </w:tc>
        <w:tc>
          <w:tcPr>
            <w:tcW w:w="1102" w:type="dxa"/>
            <w:shd w:val="clear" w:color="auto" w:fill="auto"/>
            <w:noWrap/>
            <w:vAlign w:val="center"/>
            <w:hideMark/>
          </w:tcPr>
          <w:p w14:paraId="6690399A"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-259.54</w:t>
            </w:r>
          </w:p>
        </w:tc>
        <w:tc>
          <w:tcPr>
            <w:tcW w:w="1102" w:type="dxa"/>
            <w:shd w:val="clear" w:color="auto" w:fill="auto"/>
            <w:noWrap/>
            <w:vAlign w:val="center"/>
            <w:hideMark/>
          </w:tcPr>
          <w:p w14:paraId="45FEB25F"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121.28</w:t>
            </w:r>
          </w:p>
        </w:tc>
        <w:tc>
          <w:tcPr>
            <w:tcW w:w="1102" w:type="dxa"/>
            <w:shd w:val="clear" w:color="auto" w:fill="auto"/>
            <w:noWrap/>
            <w:vAlign w:val="center"/>
            <w:hideMark/>
          </w:tcPr>
          <w:p w14:paraId="570DAFCA"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-49.17</w:t>
            </w:r>
          </w:p>
        </w:tc>
        <w:tc>
          <w:tcPr>
            <w:tcW w:w="1103" w:type="dxa"/>
            <w:shd w:val="clear" w:color="auto" w:fill="auto"/>
            <w:noWrap/>
            <w:vAlign w:val="center"/>
            <w:hideMark/>
          </w:tcPr>
          <w:p w14:paraId="431DCAF3" w14:textId="21E80AA5"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-6</w:t>
            </w:r>
            <w:r w:rsidR="00ED10E8">
              <w:rPr>
                <w:rFonts w:ascii="Times New Roman" w:eastAsia="等线" w:hAnsi="Times New Roman" w:cs="Times New Roman"/>
                <w:color w:val="000000"/>
                <w:kern w:val="0"/>
                <w:szCs w:val="21"/>
              </w:rPr>
              <w:t>,</w:t>
            </w:r>
            <w:r w:rsidRPr="00B37F1F">
              <w:rPr>
                <w:rFonts w:ascii="Times New Roman" w:eastAsia="等线" w:hAnsi="Times New Roman" w:cs="Times New Roman"/>
                <w:color w:val="000000"/>
                <w:kern w:val="0"/>
                <w:szCs w:val="21"/>
              </w:rPr>
              <w:t>342.55</w:t>
            </w:r>
          </w:p>
        </w:tc>
      </w:tr>
      <w:tr w:rsidR="00B37F1F" w:rsidRPr="00B37F1F" w14:paraId="76A92B8D" w14:textId="77777777" w:rsidTr="004B1096">
        <w:trPr>
          <w:trHeight w:val="340"/>
        </w:trPr>
        <w:tc>
          <w:tcPr>
            <w:tcW w:w="2795" w:type="dxa"/>
            <w:shd w:val="clear" w:color="auto" w:fill="auto"/>
            <w:noWrap/>
            <w:vAlign w:val="center"/>
            <w:hideMark/>
          </w:tcPr>
          <w:p w14:paraId="3105108C"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Non-net profit increased year-on-year (%)</w:t>
            </w:r>
          </w:p>
        </w:tc>
        <w:tc>
          <w:tcPr>
            <w:tcW w:w="1102" w:type="dxa"/>
            <w:shd w:val="clear" w:color="auto" w:fill="auto"/>
            <w:noWrap/>
            <w:vAlign w:val="center"/>
            <w:hideMark/>
          </w:tcPr>
          <w:p w14:paraId="2A58A1A1"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-44.8</w:t>
            </w:r>
          </w:p>
        </w:tc>
        <w:tc>
          <w:tcPr>
            <w:tcW w:w="1102" w:type="dxa"/>
            <w:shd w:val="clear" w:color="auto" w:fill="auto"/>
            <w:noWrap/>
            <w:vAlign w:val="center"/>
            <w:hideMark/>
          </w:tcPr>
          <w:p w14:paraId="253D5E01"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14.06</w:t>
            </w:r>
          </w:p>
        </w:tc>
        <w:tc>
          <w:tcPr>
            <w:tcW w:w="1102" w:type="dxa"/>
            <w:shd w:val="clear" w:color="auto" w:fill="auto"/>
            <w:noWrap/>
            <w:vAlign w:val="center"/>
            <w:hideMark/>
          </w:tcPr>
          <w:p w14:paraId="3E4C0EE6"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62.79</w:t>
            </w:r>
          </w:p>
        </w:tc>
        <w:tc>
          <w:tcPr>
            <w:tcW w:w="1102" w:type="dxa"/>
            <w:shd w:val="clear" w:color="auto" w:fill="auto"/>
            <w:noWrap/>
            <w:vAlign w:val="center"/>
            <w:hideMark/>
          </w:tcPr>
          <w:p w14:paraId="06E472C9"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-61.91</w:t>
            </w:r>
          </w:p>
        </w:tc>
        <w:tc>
          <w:tcPr>
            <w:tcW w:w="1103" w:type="dxa"/>
            <w:shd w:val="clear" w:color="auto" w:fill="auto"/>
            <w:noWrap/>
            <w:vAlign w:val="center"/>
            <w:hideMark/>
          </w:tcPr>
          <w:p w14:paraId="05144BB6" w14:textId="77777777" w:rsidR="00B37F1F" w:rsidRPr="00B37F1F" w:rsidRDefault="00B37F1F" w:rsidP="004B1096">
            <w:pPr>
              <w:widowControl/>
              <w:jc w:val="center"/>
              <w:rPr>
                <w:rFonts w:ascii="Times New Roman" w:eastAsia="等线" w:hAnsi="Times New Roman" w:cs="Times New Roman"/>
                <w:color w:val="000000"/>
                <w:kern w:val="0"/>
                <w:szCs w:val="21"/>
              </w:rPr>
            </w:pPr>
            <w:r w:rsidRPr="00B37F1F">
              <w:rPr>
                <w:rFonts w:ascii="Times New Roman" w:eastAsia="等线" w:hAnsi="Times New Roman" w:cs="Times New Roman"/>
                <w:color w:val="000000"/>
                <w:kern w:val="0"/>
                <w:szCs w:val="21"/>
              </w:rPr>
              <w:t>-165.3</w:t>
            </w:r>
          </w:p>
        </w:tc>
      </w:tr>
    </w:tbl>
    <w:p w14:paraId="60FE881D" w14:textId="6A3AEA3E" w:rsidR="00B37F1F" w:rsidRPr="00DA6F13" w:rsidRDefault="00B37F1F" w:rsidP="00B15CD3">
      <w:pPr>
        <w:spacing w:afterLines="50" w:after="156"/>
        <w:rPr>
          <w:rFonts w:ascii="Times New Roman" w:hAnsi="Times New Roman" w:cs="Times New Roman"/>
          <w:szCs w:val="24"/>
        </w:rPr>
      </w:pPr>
      <w:r w:rsidRPr="00DA6F13">
        <w:rPr>
          <w:rFonts w:ascii="Times New Roman" w:hAnsi="Times New Roman" w:cs="Times New Roman"/>
          <w:szCs w:val="24"/>
        </w:rPr>
        <w:t xml:space="preserve">Source: Based on </w:t>
      </w:r>
      <w:proofErr w:type="spellStart"/>
      <w:r w:rsidRPr="00DA6F13">
        <w:rPr>
          <w:rFonts w:ascii="Times New Roman" w:hAnsi="Times New Roman" w:cs="Times New Roman"/>
          <w:szCs w:val="24"/>
        </w:rPr>
        <w:t>Datang</w:t>
      </w:r>
      <w:proofErr w:type="spellEnd"/>
      <w:r w:rsidRPr="00DA6F13">
        <w:rPr>
          <w:rFonts w:ascii="Times New Roman" w:hAnsi="Times New Roman" w:cs="Times New Roman"/>
          <w:szCs w:val="24"/>
        </w:rPr>
        <w:t xml:space="preserve"> Telecom's 2016-2020 financial reports</w:t>
      </w:r>
    </w:p>
    <w:p w14:paraId="40D23408" w14:textId="3ED6F4BE" w:rsidR="00406442" w:rsidRPr="00D55507" w:rsidRDefault="00406442"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According to its annual report data, it can be seen that from 2016 to 2017,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operating income had major problems, and its amount decreased for five consecutive years, which shows that whether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daily operation can be carried out healthily has become a problem, and it is extremely difficult to achieve profitability by improving operating conditions. At the same time, its operating profit, net profit and other indicators have been in a state of loss, and only in 2018, the key year of "shelling", it achieved profitability. The combination of the two shows that the actual operating conditions and profitability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are not optimistic. However, as can be seen from Table </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w:t>
      </w:r>
      <w:r w:rsidR="00923347" w:rsidRPr="00D55507">
        <w:rPr>
          <w:rFonts w:ascii="Times New Roman" w:hAnsi="Times New Roman" w:cs="Times New Roman"/>
          <w:kern w:val="0"/>
          <w:sz w:val="24"/>
          <w:szCs w:val="24"/>
          <w:lang w:val="en-GB" w:eastAsia="en-US"/>
        </w:rPr>
        <w:t>2</w:t>
      </w:r>
      <w:r w:rsidRPr="00D55507">
        <w:rPr>
          <w:rFonts w:ascii="Times New Roman" w:hAnsi="Times New Roman" w:cs="Times New Roman"/>
          <w:kern w:val="0"/>
          <w:sz w:val="24"/>
          <w:szCs w:val="24"/>
          <w:lang w:val="en-GB" w:eastAsia="en-US"/>
        </w:rPr>
        <w:t xml:space="preserve"> and Figure </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 xml:space="preserve">.1,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net profit, attributable net profit, deduction of non-net profit, etc. in 2018 showed an abnormal state, and after achieving profitability in 2018 and successfully getting rid of the risk of being suspended from listing,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in 2018 fell into losses for two consecutive years in 2019 and 2020, which is abnormal. Of course, this is in line with *ST's "shell" strategy, which is to achieve a turnaround in the critical year of the suspension of listing. Based on the above analysis, we have good reason</w:t>
      </w:r>
      <w:r w:rsidRPr="00D55507">
        <w:rPr>
          <w:rFonts w:ascii="Times New Roman" w:hAnsi="Times New Roman" w:cs="Times New Roman" w:hint="eastAsia"/>
          <w:kern w:val="0"/>
          <w:sz w:val="24"/>
          <w:szCs w:val="24"/>
          <w:lang w:val="en-GB" w:eastAsia="en-US"/>
        </w:rPr>
        <w:t>.</w:t>
      </w:r>
      <w:r w:rsidRPr="00D55507">
        <w:rPr>
          <w:rFonts w:ascii="Times New Roman" w:hAnsi="Times New Roman" w:cs="Times New Roman"/>
          <w:kern w:val="0"/>
          <w:sz w:val="24"/>
          <w:szCs w:val="24"/>
          <w:lang w:val="en-GB" w:eastAsia="en-US"/>
        </w:rPr>
        <w:t xml:space="preserve"> In 2018,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used earnings management to manipulate profits to achieve profitability and successfully remove its cap.</w:t>
      </w:r>
    </w:p>
    <w:p w14:paraId="3BB4455D" w14:textId="06CAB517" w:rsidR="00440FCF" w:rsidRPr="00DA6F13" w:rsidRDefault="00440FCF" w:rsidP="00DA6F13">
      <w:pPr>
        <w:spacing w:beforeLines="50" w:before="156"/>
        <w:rPr>
          <w:rFonts w:ascii="Times New Roman" w:hAnsi="Times New Roman" w:cs="Times New Roman"/>
          <w:szCs w:val="21"/>
        </w:rPr>
      </w:pPr>
      <w:r w:rsidRPr="00DA6F13">
        <w:rPr>
          <w:rFonts w:ascii="Times New Roman" w:hAnsi="Times New Roman" w:cs="Times New Roman"/>
          <w:szCs w:val="21"/>
        </w:rPr>
        <w:t xml:space="preserve">Table </w:t>
      </w:r>
      <w:r w:rsidR="00923347" w:rsidRPr="00DA6F13">
        <w:rPr>
          <w:rFonts w:ascii="Times New Roman" w:hAnsi="Times New Roman" w:cs="Times New Roman"/>
          <w:szCs w:val="21"/>
        </w:rPr>
        <w:t>3</w:t>
      </w:r>
      <w:r w:rsidRPr="00DA6F13">
        <w:rPr>
          <w:rFonts w:ascii="Times New Roman" w:hAnsi="Times New Roman" w:cs="Times New Roman"/>
          <w:szCs w:val="21"/>
        </w:rPr>
        <w:t>.</w:t>
      </w:r>
      <w:r w:rsidR="00923347" w:rsidRPr="00DA6F13">
        <w:rPr>
          <w:rFonts w:ascii="Times New Roman" w:hAnsi="Times New Roman" w:cs="Times New Roman"/>
          <w:szCs w:val="21"/>
        </w:rPr>
        <w:t>2</w:t>
      </w:r>
      <w:r w:rsidRPr="00DA6F13">
        <w:rPr>
          <w:rFonts w:ascii="Times New Roman" w:hAnsi="Times New Roman" w:cs="Times New Roman"/>
          <w:szCs w:val="21"/>
        </w:rPr>
        <w:t xml:space="preserve"> Some items of the income statement of DT Telecom from 2016 to 2020 (Unit: 100 million)</w:t>
      </w:r>
    </w:p>
    <w:tbl>
      <w:tblPr>
        <w:tblW w:w="8640" w:type="dxa"/>
        <w:tblBorders>
          <w:top w:val="single" w:sz="12" w:space="0" w:color="auto"/>
          <w:bottom w:val="single" w:sz="12" w:space="0" w:color="auto"/>
        </w:tblBorders>
        <w:tblLayout w:type="fixed"/>
        <w:tblLook w:val="04A0" w:firstRow="1" w:lastRow="0" w:firstColumn="1" w:lastColumn="0" w:noHBand="0" w:noVBand="1"/>
      </w:tblPr>
      <w:tblGrid>
        <w:gridCol w:w="3402"/>
        <w:gridCol w:w="1047"/>
        <w:gridCol w:w="1048"/>
        <w:gridCol w:w="1047"/>
        <w:gridCol w:w="1048"/>
        <w:gridCol w:w="1048"/>
      </w:tblGrid>
      <w:tr w:rsidR="00440FCF" w:rsidRPr="00ED10E8" w14:paraId="5E8038F6" w14:textId="77777777" w:rsidTr="004B1096">
        <w:trPr>
          <w:trHeight w:val="340"/>
        </w:trPr>
        <w:tc>
          <w:tcPr>
            <w:tcW w:w="3402" w:type="dxa"/>
            <w:tcBorders>
              <w:top w:val="single" w:sz="12" w:space="0" w:color="auto"/>
              <w:bottom w:val="single" w:sz="4" w:space="0" w:color="auto"/>
            </w:tcBorders>
            <w:shd w:val="clear" w:color="auto" w:fill="auto"/>
            <w:noWrap/>
            <w:vAlign w:val="center"/>
            <w:hideMark/>
          </w:tcPr>
          <w:p w14:paraId="1A5EBF9A"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Income statement</w:t>
            </w:r>
          </w:p>
        </w:tc>
        <w:tc>
          <w:tcPr>
            <w:tcW w:w="1047" w:type="dxa"/>
            <w:tcBorders>
              <w:top w:val="single" w:sz="12" w:space="0" w:color="auto"/>
              <w:bottom w:val="single" w:sz="4" w:space="0" w:color="auto"/>
            </w:tcBorders>
            <w:shd w:val="clear" w:color="auto" w:fill="auto"/>
            <w:noWrap/>
            <w:vAlign w:val="center"/>
            <w:hideMark/>
          </w:tcPr>
          <w:p w14:paraId="3FE92E65"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2016</w:t>
            </w:r>
          </w:p>
        </w:tc>
        <w:tc>
          <w:tcPr>
            <w:tcW w:w="1048" w:type="dxa"/>
            <w:tcBorders>
              <w:top w:val="single" w:sz="12" w:space="0" w:color="auto"/>
              <w:bottom w:val="single" w:sz="4" w:space="0" w:color="auto"/>
            </w:tcBorders>
            <w:shd w:val="clear" w:color="auto" w:fill="auto"/>
            <w:noWrap/>
            <w:vAlign w:val="center"/>
            <w:hideMark/>
          </w:tcPr>
          <w:p w14:paraId="6FA59C0D"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2017</w:t>
            </w:r>
          </w:p>
        </w:tc>
        <w:tc>
          <w:tcPr>
            <w:tcW w:w="1047" w:type="dxa"/>
            <w:tcBorders>
              <w:top w:val="single" w:sz="12" w:space="0" w:color="auto"/>
              <w:bottom w:val="single" w:sz="4" w:space="0" w:color="auto"/>
            </w:tcBorders>
            <w:shd w:val="clear" w:color="auto" w:fill="auto"/>
            <w:noWrap/>
            <w:vAlign w:val="center"/>
            <w:hideMark/>
          </w:tcPr>
          <w:p w14:paraId="3F6083E0"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2018</w:t>
            </w:r>
          </w:p>
        </w:tc>
        <w:tc>
          <w:tcPr>
            <w:tcW w:w="1048" w:type="dxa"/>
            <w:tcBorders>
              <w:top w:val="single" w:sz="12" w:space="0" w:color="auto"/>
              <w:bottom w:val="single" w:sz="4" w:space="0" w:color="auto"/>
            </w:tcBorders>
            <w:shd w:val="clear" w:color="auto" w:fill="auto"/>
            <w:noWrap/>
            <w:vAlign w:val="center"/>
            <w:hideMark/>
          </w:tcPr>
          <w:p w14:paraId="74B00A9A"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2019</w:t>
            </w:r>
          </w:p>
        </w:tc>
        <w:tc>
          <w:tcPr>
            <w:tcW w:w="1048" w:type="dxa"/>
            <w:tcBorders>
              <w:top w:val="single" w:sz="12" w:space="0" w:color="auto"/>
              <w:bottom w:val="single" w:sz="4" w:space="0" w:color="auto"/>
            </w:tcBorders>
            <w:shd w:val="clear" w:color="auto" w:fill="auto"/>
            <w:noWrap/>
            <w:vAlign w:val="center"/>
            <w:hideMark/>
          </w:tcPr>
          <w:p w14:paraId="2093BB2C"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2020</w:t>
            </w:r>
          </w:p>
        </w:tc>
      </w:tr>
      <w:tr w:rsidR="00440FCF" w:rsidRPr="00ED10E8" w14:paraId="355D743E" w14:textId="77777777" w:rsidTr="004B1096">
        <w:trPr>
          <w:trHeight w:val="340"/>
        </w:trPr>
        <w:tc>
          <w:tcPr>
            <w:tcW w:w="3402" w:type="dxa"/>
            <w:tcBorders>
              <w:top w:val="single" w:sz="4" w:space="0" w:color="auto"/>
            </w:tcBorders>
            <w:shd w:val="clear" w:color="auto" w:fill="auto"/>
            <w:noWrap/>
            <w:vAlign w:val="center"/>
            <w:hideMark/>
          </w:tcPr>
          <w:p w14:paraId="7816151F"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Operating income</w:t>
            </w:r>
          </w:p>
        </w:tc>
        <w:tc>
          <w:tcPr>
            <w:tcW w:w="1047" w:type="dxa"/>
            <w:tcBorders>
              <w:top w:val="single" w:sz="4" w:space="0" w:color="auto"/>
            </w:tcBorders>
            <w:shd w:val="clear" w:color="auto" w:fill="auto"/>
            <w:noWrap/>
            <w:vAlign w:val="center"/>
            <w:hideMark/>
          </w:tcPr>
          <w:p w14:paraId="02354BB7"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72.3</w:t>
            </w:r>
          </w:p>
        </w:tc>
        <w:tc>
          <w:tcPr>
            <w:tcW w:w="1048" w:type="dxa"/>
            <w:tcBorders>
              <w:top w:val="single" w:sz="4" w:space="0" w:color="auto"/>
            </w:tcBorders>
            <w:shd w:val="clear" w:color="auto" w:fill="auto"/>
            <w:noWrap/>
            <w:vAlign w:val="center"/>
            <w:hideMark/>
          </w:tcPr>
          <w:p w14:paraId="51A64BEC"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43.48</w:t>
            </w:r>
          </w:p>
        </w:tc>
        <w:tc>
          <w:tcPr>
            <w:tcW w:w="1047" w:type="dxa"/>
            <w:tcBorders>
              <w:top w:val="single" w:sz="4" w:space="0" w:color="auto"/>
            </w:tcBorders>
            <w:shd w:val="clear" w:color="auto" w:fill="auto"/>
            <w:noWrap/>
            <w:vAlign w:val="center"/>
            <w:hideMark/>
          </w:tcPr>
          <w:p w14:paraId="73BB8F86"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23.44</w:t>
            </w:r>
          </w:p>
        </w:tc>
        <w:tc>
          <w:tcPr>
            <w:tcW w:w="1048" w:type="dxa"/>
            <w:tcBorders>
              <w:top w:val="single" w:sz="4" w:space="0" w:color="auto"/>
            </w:tcBorders>
            <w:shd w:val="clear" w:color="auto" w:fill="auto"/>
            <w:noWrap/>
            <w:vAlign w:val="center"/>
            <w:hideMark/>
          </w:tcPr>
          <w:p w14:paraId="7D7E030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14.31</w:t>
            </w:r>
          </w:p>
        </w:tc>
        <w:tc>
          <w:tcPr>
            <w:tcW w:w="1048" w:type="dxa"/>
            <w:tcBorders>
              <w:top w:val="single" w:sz="4" w:space="0" w:color="auto"/>
            </w:tcBorders>
            <w:shd w:val="clear" w:color="auto" w:fill="auto"/>
            <w:noWrap/>
            <w:vAlign w:val="center"/>
            <w:hideMark/>
          </w:tcPr>
          <w:p w14:paraId="66466354"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12.07</w:t>
            </w:r>
          </w:p>
        </w:tc>
      </w:tr>
      <w:tr w:rsidR="00440FCF" w:rsidRPr="00ED10E8" w14:paraId="3C86EBA5" w14:textId="77777777" w:rsidTr="004B1096">
        <w:trPr>
          <w:trHeight w:val="340"/>
        </w:trPr>
        <w:tc>
          <w:tcPr>
            <w:tcW w:w="3402" w:type="dxa"/>
            <w:shd w:val="clear" w:color="auto" w:fill="auto"/>
            <w:noWrap/>
            <w:vAlign w:val="center"/>
            <w:hideMark/>
          </w:tcPr>
          <w:p w14:paraId="5D41497C"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Selling expenses</w:t>
            </w:r>
          </w:p>
        </w:tc>
        <w:tc>
          <w:tcPr>
            <w:tcW w:w="1047" w:type="dxa"/>
            <w:shd w:val="clear" w:color="auto" w:fill="auto"/>
            <w:noWrap/>
            <w:vAlign w:val="center"/>
            <w:hideMark/>
          </w:tcPr>
          <w:p w14:paraId="2CAD0785"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2.94</w:t>
            </w:r>
          </w:p>
        </w:tc>
        <w:tc>
          <w:tcPr>
            <w:tcW w:w="1048" w:type="dxa"/>
            <w:shd w:val="clear" w:color="auto" w:fill="auto"/>
            <w:noWrap/>
            <w:vAlign w:val="center"/>
            <w:hideMark/>
          </w:tcPr>
          <w:p w14:paraId="05063B4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2.39</w:t>
            </w:r>
          </w:p>
        </w:tc>
        <w:tc>
          <w:tcPr>
            <w:tcW w:w="1047" w:type="dxa"/>
            <w:shd w:val="clear" w:color="auto" w:fill="auto"/>
            <w:noWrap/>
            <w:vAlign w:val="center"/>
            <w:hideMark/>
          </w:tcPr>
          <w:p w14:paraId="5B1C0075"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2.03</w:t>
            </w:r>
          </w:p>
        </w:tc>
        <w:tc>
          <w:tcPr>
            <w:tcW w:w="1048" w:type="dxa"/>
            <w:shd w:val="clear" w:color="auto" w:fill="auto"/>
            <w:noWrap/>
            <w:vAlign w:val="center"/>
            <w:hideMark/>
          </w:tcPr>
          <w:p w14:paraId="5C4A6C28"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1.36</w:t>
            </w:r>
          </w:p>
        </w:tc>
        <w:tc>
          <w:tcPr>
            <w:tcW w:w="1048" w:type="dxa"/>
            <w:shd w:val="clear" w:color="auto" w:fill="auto"/>
            <w:noWrap/>
            <w:vAlign w:val="center"/>
            <w:hideMark/>
          </w:tcPr>
          <w:p w14:paraId="2E242AB3"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1.05</w:t>
            </w:r>
          </w:p>
        </w:tc>
      </w:tr>
      <w:tr w:rsidR="00440FCF" w:rsidRPr="00ED10E8" w14:paraId="1487385C" w14:textId="77777777" w:rsidTr="004B1096">
        <w:trPr>
          <w:trHeight w:val="340"/>
        </w:trPr>
        <w:tc>
          <w:tcPr>
            <w:tcW w:w="3402" w:type="dxa"/>
            <w:shd w:val="clear" w:color="auto" w:fill="auto"/>
            <w:noWrap/>
            <w:vAlign w:val="center"/>
            <w:hideMark/>
          </w:tcPr>
          <w:p w14:paraId="1F0AF1E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Management fees</w:t>
            </w:r>
          </w:p>
        </w:tc>
        <w:tc>
          <w:tcPr>
            <w:tcW w:w="1047" w:type="dxa"/>
            <w:shd w:val="clear" w:color="auto" w:fill="auto"/>
            <w:noWrap/>
            <w:vAlign w:val="center"/>
            <w:hideMark/>
          </w:tcPr>
          <w:p w14:paraId="01EE35E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11.9</w:t>
            </w:r>
          </w:p>
        </w:tc>
        <w:tc>
          <w:tcPr>
            <w:tcW w:w="1048" w:type="dxa"/>
            <w:shd w:val="clear" w:color="auto" w:fill="auto"/>
            <w:noWrap/>
            <w:vAlign w:val="center"/>
            <w:hideMark/>
          </w:tcPr>
          <w:p w14:paraId="2A95DD38"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6.78</w:t>
            </w:r>
          </w:p>
        </w:tc>
        <w:tc>
          <w:tcPr>
            <w:tcW w:w="1047" w:type="dxa"/>
            <w:shd w:val="clear" w:color="auto" w:fill="auto"/>
            <w:noWrap/>
            <w:vAlign w:val="center"/>
            <w:hideMark/>
          </w:tcPr>
          <w:p w14:paraId="52547713"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5.21</w:t>
            </w:r>
          </w:p>
        </w:tc>
        <w:tc>
          <w:tcPr>
            <w:tcW w:w="1048" w:type="dxa"/>
            <w:shd w:val="clear" w:color="auto" w:fill="auto"/>
            <w:noWrap/>
            <w:vAlign w:val="center"/>
            <w:hideMark/>
          </w:tcPr>
          <w:p w14:paraId="0D68FA8F"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3.37</w:t>
            </w:r>
          </w:p>
        </w:tc>
        <w:tc>
          <w:tcPr>
            <w:tcW w:w="1048" w:type="dxa"/>
            <w:shd w:val="clear" w:color="auto" w:fill="auto"/>
            <w:noWrap/>
            <w:vAlign w:val="center"/>
            <w:hideMark/>
          </w:tcPr>
          <w:p w14:paraId="0F60ED95"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2.99</w:t>
            </w:r>
          </w:p>
        </w:tc>
      </w:tr>
      <w:tr w:rsidR="00440FCF" w:rsidRPr="00ED10E8" w14:paraId="4EFECFBE" w14:textId="77777777" w:rsidTr="004B1096">
        <w:trPr>
          <w:trHeight w:val="340"/>
        </w:trPr>
        <w:tc>
          <w:tcPr>
            <w:tcW w:w="3402" w:type="dxa"/>
            <w:shd w:val="clear" w:color="auto" w:fill="auto"/>
            <w:noWrap/>
            <w:vAlign w:val="center"/>
            <w:hideMark/>
          </w:tcPr>
          <w:p w14:paraId="2289E2FC"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R&amp;D expenses</w:t>
            </w:r>
          </w:p>
        </w:tc>
        <w:tc>
          <w:tcPr>
            <w:tcW w:w="1047" w:type="dxa"/>
            <w:shd w:val="clear" w:color="auto" w:fill="auto"/>
            <w:noWrap/>
            <w:vAlign w:val="center"/>
            <w:hideMark/>
          </w:tcPr>
          <w:p w14:paraId="1ED5B4EA"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w:t>
            </w:r>
          </w:p>
        </w:tc>
        <w:tc>
          <w:tcPr>
            <w:tcW w:w="1048" w:type="dxa"/>
            <w:shd w:val="clear" w:color="auto" w:fill="auto"/>
            <w:noWrap/>
            <w:vAlign w:val="center"/>
            <w:hideMark/>
          </w:tcPr>
          <w:p w14:paraId="078A46E9"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5.16</w:t>
            </w:r>
          </w:p>
        </w:tc>
        <w:tc>
          <w:tcPr>
            <w:tcW w:w="1047" w:type="dxa"/>
            <w:shd w:val="clear" w:color="auto" w:fill="auto"/>
            <w:noWrap/>
            <w:vAlign w:val="center"/>
            <w:hideMark/>
          </w:tcPr>
          <w:p w14:paraId="5ECEFA36"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3.13</w:t>
            </w:r>
          </w:p>
        </w:tc>
        <w:tc>
          <w:tcPr>
            <w:tcW w:w="1048" w:type="dxa"/>
            <w:shd w:val="clear" w:color="auto" w:fill="auto"/>
            <w:noWrap/>
            <w:vAlign w:val="center"/>
            <w:hideMark/>
          </w:tcPr>
          <w:p w14:paraId="4561D1D8"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2.75</w:t>
            </w:r>
          </w:p>
        </w:tc>
        <w:tc>
          <w:tcPr>
            <w:tcW w:w="1048" w:type="dxa"/>
            <w:shd w:val="clear" w:color="auto" w:fill="auto"/>
            <w:noWrap/>
            <w:vAlign w:val="center"/>
            <w:hideMark/>
          </w:tcPr>
          <w:p w14:paraId="54BC1858"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2.94</w:t>
            </w:r>
          </w:p>
        </w:tc>
      </w:tr>
      <w:tr w:rsidR="00440FCF" w:rsidRPr="00ED10E8" w14:paraId="0A889829" w14:textId="77777777" w:rsidTr="004B1096">
        <w:trPr>
          <w:trHeight w:val="340"/>
        </w:trPr>
        <w:tc>
          <w:tcPr>
            <w:tcW w:w="3402" w:type="dxa"/>
            <w:shd w:val="clear" w:color="auto" w:fill="auto"/>
            <w:noWrap/>
            <w:vAlign w:val="center"/>
            <w:hideMark/>
          </w:tcPr>
          <w:p w14:paraId="20749BD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Operating profit</w:t>
            </w:r>
          </w:p>
        </w:tc>
        <w:tc>
          <w:tcPr>
            <w:tcW w:w="1047" w:type="dxa"/>
            <w:shd w:val="clear" w:color="auto" w:fill="auto"/>
            <w:noWrap/>
            <w:vAlign w:val="center"/>
            <w:hideMark/>
          </w:tcPr>
          <w:p w14:paraId="348A7B11"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-19.22</w:t>
            </w:r>
          </w:p>
        </w:tc>
        <w:tc>
          <w:tcPr>
            <w:tcW w:w="1048" w:type="dxa"/>
            <w:shd w:val="clear" w:color="auto" w:fill="auto"/>
            <w:noWrap/>
            <w:vAlign w:val="center"/>
            <w:hideMark/>
          </w:tcPr>
          <w:p w14:paraId="3FA0025C"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-28.1</w:t>
            </w:r>
          </w:p>
        </w:tc>
        <w:tc>
          <w:tcPr>
            <w:tcW w:w="1047" w:type="dxa"/>
            <w:shd w:val="clear" w:color="auto" w:fill="auto"/>
            <w:noWrap/>
            <w:vAlign w:val="center"/>
            <w:hideMark/>
          </w:tcPr>
          <w:p w14:paraId="78874C53"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5.72</w:t>
            </w:r>
          </w:p>
        </w:tc>
        <w:tc>
          <w:tcPr>
            <w:tcW w:w="1048" w:type="dxa"/>
            <w:shd w:val="clear" w:color="auto" w:fill="auto"/>
            <w:noWrap/>
            <w:vAlign w:val="center"/>
            <w:hideMark/>
          </w:tcPr>
          <w:p w14:paraId="7988023C"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-9.39</w:t>
            </w:r>
          </w:p>
        </w:tc>
        <w:tc>
          <w:tcPr>
            <w:tcW w:w="1048" w:type="dxa"/>
            <w:shd w:val="clear" w:color="auto" w:fill="auto"/>
            <w:noWrap/>
            <w:vAlign w:val="center"/>
            <w:hideMark/>
          </w:tcPr>
          <w:p w14:paraId="71CAC230"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-16.03</w:t>
            </w:r>
          </w:p>
        </w:tc>
      </w:tr>
      <w:tr w:rsidR="00440FCF" w:rsidRPr="00ED10E8" w14:paraId="3946FE02" w14:textId="77777777" w:rsidTr="004B1096">
        <w:trPr>
          <w:trHeight w:val="340"/>
        </w:trPr>
        <w:tc>
          <w:tcPr>
            <w:tcW w:w="3402" w:type="dxa"/>
            <w:shd w:val="clear" w:color="auto" w:fill="auto"/>
            <w:noWrap/>
            <w:vAlign w:val="center"/>
            <w:hideMark/>
          </w:tcPr>
          <w:p w14:paraId="354225F3"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Net profit</w:t>
            </w:r>
          </w:p>
        </w:tc>
        <w:tc>
          <w:tcPr>
            <w:tcW w:w="1047" w:type="dxa"/>
            <w:shd w:val="clear" w:color="auto" w:fill="auto"/>
            <w:noWrap/>
            <w:vAlign w:val="center"/>
            <w:hideMark/>
          </w:tcPr>
          <w:p w14:paraId="45B6B8F0"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-18.08</w:t>
            </w:r>
          </w:p>
        </w:tc>
        <w:tc>
          <w:tcPr>
            <w:tcW w:w="1048" w:type="dxa"/>
            <w:shd w:val="clear" w:color="auto" w:fill="auto"/>
            <w:noWrap/>
            <w:vAlign w:val="center"/>
            <w:hideMark/>
          </w:tcPr>
          <w:p w14:paraId="0DE1AAFA"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-28.07</w:t>
            </w:r>
          </w:p>
        </w:tc>
        <w:tc>
          <w:tcPr>
            <w:tcW w:w="1047" w:type="dxa"/>
            <w:shd w:val="clear" w:color="auto" w:fill="auto"/>
            <w:noWrap/>
            <w:vAlign w:val="center"/>
            <w:hideMark/>
          </w:tcPr>
          <w:p w14:paraId="2568FFDB"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5.55</w:t>
            </w:r>
          </w:p>
        </w:tc>
        <w:tc>
          <w:tcPr>
            <w:tcW w:w="1048" w:type="dxa"/>
            <w:shd w:val="clear" w:color="auto" w:fill="auto"/>
            <w:noWrap/>
            <w:vAlign w:val="center"/>
            <w:hideMark/>
          </w:tcPr>
          <w:p w14:paraId="482C2F87"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-9.95</w:t>
            </w:r>
          </w:p>
        </w:tc>
        <w:tc>
          <w:tcPr>
            <w:tcW w:w="1048" w:type="dxa"/>
            <w:shd w:val="clear" w:color="auto" w:fill="auto"/>
            <w:noWrap/>
            <w:vAlign w:val="center"/>
            <w:hideMark/>
          </w:tcPr>
          <w:p w14:paraId="6228260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-17.38</w:t>
            </w:r>
          </w:p>
        </w:tc>
      </w:tr>
      <w:tr w:rsidR="00440FCF" w:rsidRPr="00ED10E8" w14:paraId="6C12EFFA" w14:textId="77777777" w:rsidTr="004B1096">
        <w:trPr>
          <w:trHeight w:val="340"/>
        </w:trPr>
        <w:tc>
          <w:tcPr>
            <w:tcW w:w="3402" w:type="dxa"/>
            <w:shd w:val="clear" w:color="auto" w:fill="auto"/>
            <w:noWrap/>
            <w:vAlign w:val="center"/>
            <w:hideMark/>
          </w:tcPr>
          <w:p w14:paraId="738B600D"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Net profit attributable to shareholders of the parent company</w:t>
            </w:r>
          </w:p>
        </w:tc>
        <w:tc>
          <w:tcPr>
            <w:tcW w:w="1047" w:type="dxa"/>
            <w:shd w:val="clear" w:color="auto" w:fill="auto"/>
            <w:noWrap/>
            <w:vAlign w:val="center"/>
            <w:hideMark/>
          </w:tcPr>
          <w:p w14:paraId="44F0BDF2"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-17.76</w:t>
            </w:r>
          </w:p>
        </w:tc>
        <w:tc>
          <w:tcPr>
            <w:tcW w:w="1048" w:type="dxa"/>
            <w:shd w:val="clear" w:color="auto" w:fill="auto"/>
            <w:noWrap/>
            <w:vAlign w:val="center"/>
            <w:hideMark/>
          </w:tcPr>
          <w:p w14:paraId="62B3C40E"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-26.49</w:t>
            </w:r>
          </w:p>
        </w:tc>
        <w:tc>
          <w:tcPr>
            <w:tcW w:w="1047" w:type="dxa"/>
            <w:shd w:val="clear" w:color="auto" w:fill="auto"/>
            <w:noWrap/>
            <w:vAlign w:val="center"/>
            <w:hideMark/>
          </w:tcPr>
          <w:p w14:paraId="25753071"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5.64</w:t>
            </w:r>
          </w:p>
        </w:tc>
        <w:tc>
          <w:tcPr>
            <w:tcW w:w="1048" w:type="dxa"/>
            <w:shd w:val="clear" w:color="auto" w:fill="auto"/>
            <w:noWrap/>
            <w:vAlign w:val="center"/>
            <w:hideMark/>
          </w:tcPr>
          <w:p w14:paraId="1BD03359"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-8.99</w:t>
            </w:r>
          </w:p>
        </w:tc>
        <w:tc>
          <w:tcPr>
            <w:tcW w:w="1048" w:type="dxa"/>
            <w:shd w:val="clear" w:color="auto" w:fill="auto"/>
            <w:noWrap/>
            <w:vAlign w:val="center"/>
            <w:hideMark/>
          </w:tcPr>
          <w:p w14:paraId="1D4E9E13"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-13.64</w:t>
            </w:r>
          </w:p>
        </w:tc>
      </w:tr>
      <w:tr w:rsidR="00440FCF" w:rsidRPr="00ED10E8" w14:paraId="78A0E6A2" w14:textId="77777777" w:rsidTr="004B1096">
        <w:trPr>
          <w:trHeight w:val="340"/>
        </w:trPr>
        <w:tc>
          <w:tcPr>
            <w:tcW w:w="3402" w:type="dxa"/>
            <w:shd w:val="clear" w:color="auto" w:fill="auto"/>
            <w:noWrap/>
            <w:vAlign w:val="center"/>
            <w:hideMark/>
          </w:tcPr>
          <w:p w14:paraId="2D8D490D"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Net profit after deduction of non-recurring gains and losses</w:t>
            </w:r>
          </w:p>
        </w:tc>
        <w:tc>
          <w:tcPr>
            <w:tcW w:w="1047" w:type="dxa"/>
            <w:shd w:val="clear" w:color="auto" w:fill="auto"/>
            <w:noWrap/>
            <w:vAlign w:val="center"/>
            <w:hideMark/>
          </w:tcPr>
          <w:p w14:paraId="20383BAF"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-18.73</w:t>
            </w:r>
          </w:p>
        </w:tc>
        <w:tc>
          <w:tcPr>
            <w:tcW w:w="1048" w:type="dxa"/>
            <w:shd w:val="clear" w:color="auto" w:fill="auto"/>
            <w:noWrap/>
            <w:vAlign w:val="center"/>
            <w:hideMark/>
          </w:tcPr>
          <w:p w14:paraId="285678C0"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-30.33</w:t>
            </w:r>
          </w:p>
        </w:tc>
        <w:tc>
          <w:tcPr>
            <w:tcW w:w="1047" w:type="dxa"/>
            <w:shd w:val="clear" w:color="auto" w:fill="auto"/>
            <w:noWrap/>
            <w:vAlign w:val="center"/>
            <w:hideMark/>
          </w:tcPr>
          <w:p w14:paraId="18631EDE"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-11.29</w:t>
            </w:r>
          </w:p>
        </w:tc>
        <w:tc>
          <w:tcPr>
            <w:tcW w:w="1048" w:type="dxa"/>
            <w:shd w:val="clear" w:color="auto" w:fill="auto"/>
            <w:noWrap/>
            <w:vAlign w:val="center"/>
            <w:hideMark/>
          </w:tcPr>
          <w:p w14:paraId="2DA3D835"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-9.7</w:t>
            </w:r>
          </w:p>
        </w:tc>
        <w:tc>
          <w:tcPr>
            <w:tcW w:w="1048" w:type="dxa"/>
            <w:shd w:val="clear" w:color="auto" w:fill="auto"/>
            <w:noWrap/>
            <w:vAlign w:val="center"/>
            <w:hideMark/>
          </w:tcPr>
          <w:p w14:paraId="01AA2D85" w14:textId="77777777" w:rsidR="00ED10E8" w:rsidRPr="00ED10E8" w:rsidRDefault="00ED10E8" w:rsidP="004B1096">
            <w:pPr>
              <w:widowControl/>
              <w:jc w:val="center"/>
              <w:rPr>
                <w:rFonts w:ascii="Times New Roman" w:eastAsia="等线" w:hAnsi="Times New Roman" w:cs="Times New Roman"/>
                <w:color w:val="000000"/>
                <w:kern w:val="0"/>
                <w:sz w:val="22"/>
              </w:rPr>
            </w:pPr>
            <w:r w:rsidRPr="00ED10E8">
              <w:rPr>
                <w:rFonts w:ascii="Times New Roman" w:eastAsia="等线" w:hAnsi="Times New Roman" w:cs="Times New Roman"/>
                <w:color w:val="000000"/>
                <w:kern w:val="0"/>
                <w:sz w:val="22"/>
              </w:rPr>
              <w:t>-14.05</w:t>
            </w:r>
          </w:p>
        </w:tc>
      </w:tr>
    </w:tbl>
    <w:p w14:paraId="6FAB1188" w14:textId="677AA40C" w:rsidR="00ED10E8" w:rsidRPr="00B15CD3" w:rsidRDefault="00440FCF" w:rsidP="00B15CD3">
      <w:pPr>
        <w:spacing w:afterLines="50" w:after="156"/>
        <w:rPr>
          <w:rFonts w:ascii="Times New Roman" w:hAnsi="Times New Roman" w:cs="Times New Roman"/>
          <w:szCs w:val="24"/>
        </w:rPr>
      </w:pPr>
      <w:r w:rsidRPr="00B15CD3">
        <w:rPr>
          <w:rFonts w:ascii="Times New Roman" w:hAnsi="Times New Roman" w:cs="Times New Roman"/>
          <w:szCs w:val="24"/>
        </w:rPr>
        <w:t xml:space="preserve">Source: Based on </w:t>
      </w:r>
      <w:proofErr w:type="spellStart"/>
      <w:r w:rsidRPr="00B15CD3">
        <w:rPr>
          <w:rFonts w:ascii="Times New Roman" w:hAnsi="Times New Roman" w:cs="Times New Roman"/>
          <w:szCs w:val="24"/>
        </w:rPr>
        <w:t>Datang</w:t>
      </w:r>
      <w:proofErr w:type="spellEnd"/>
      <w:r w:rsidRPr="00B15CD3">
        <w:rPr>
          <w:rFonts w:ascii="Times New Roman" w:hAnsi="Times New Roman" w:cs="Times New Roman"/>
          <w:szCs w:val="24"/>
        </w:rPr>
        <w:t xml:space="preserve"> Telecom's 2016-2020 financial reports</w:t>
      </w:r>
    </w:p>
    <w:p w14:paraId="39E918DE" w14:textId="3CFC53F1" w:rsidR="00440FCF" w:rsidRDefault="00661864" w:rsidP="00B37F1F">
      <w:pPr>
        <w:rPr>
          <w:rFonts w:ascii="Times New Roman" w:hAnsi="Times New Roman" w:cs="Times New Roman"/>
          <w:b/>
          <w:sz w:val="28"/>
          <w:szCs w:val="24"/>
        </w:rPr>
      </w:pPr>
      <w:r>
        <w:rPr>
          <w:rFonts w:ascii="Times New Roman" w:hAnsi="Times New Roman" w:cs="Times New Roman"/>
          <w:b/>
          <w:noProof/>
          <w:sz w:val="28"/>
          <w:szCs w:val="24"/>
        </w:rPr>
        <w:lastRenderedPageBreak/>
        <w:drawing>
          <wp:inline distT="0" distB="0" distL="0" distR="0" wp14:anchorId="7E13FA3C" wp14:editId="4E572E02">
            <wp:extent cx="5288280" cy="3397837"/>
            <wp:effectExtent l="0" t="0" r="762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07176" cy="3409978"/>
                    </a:xfrm>
                    <a:prstGeom prst="rect">
                      <a:avLst/>
                    </a:prstGeom>
                    <a:noFill/>
                  </pic:spPr>
                </pic:pic>
              </a:graphicData>
            </a:graphic>
          </wp:inline>
        </w:drawing>
      </w:r>
    </w:p>
    <w:p w14:paraId="5E34AAAB" w14:textId="5EC41A5E" w:rsidR="00406442" w:rsidRPr="00B15CD3" w:rsidRDefault="00406442" w:rsidP="00406442">
      <w:pPr>
        <w:rPr>
          <w:rFonts w:ascii="Times New Roman" w:hAnsi="Times New Roman" w:cs="Times New Roman"/>
          <w:szCs w:val="24"/>
        </w:rPr>
      </w:pPr>
      <w:r w:rsidRPr="00B15CD3">
        <w:rPr>
          <w:rFonts w:ascii="Times New Roman" w:hAnsi="Times New Roman" w:cs="Times New Roman"/>
          <w:szCs w:val="24"/>
        </w:rPr>
        <w:t xml:space="preserve">Figure </w:t>
      </w:r>
      <w:r w:rsidR="00923347" w:rsidRPr="00B15CD3">
        <w:rPr>
          <w:rFonts w:ascii="Times New Roman" w:hAnsi="Times New Roman" w:cs="Times New Roman"/>
          <w:szCs w:val="24"/>
        </w:rPr>
        <w:t>3</w:t>
      </w:r>
      <w:r w:rsidRPr="00B15CD3">
        <w:rPr>
          <w:rFonts w:ascii="Times New Roman" w:hAnsi="Times New Roman" w:cs="Times New Roman"/>
          <w:szCs w:val="24"/>
        </w:rPr>
        <w:t>.1 Trend chart of some items in the income statement of DT Telecom from 2016 to 2020</w:t>
      </w:r>
    </w:p>
    <w:p w14:paraId="5A3B6541" w14:textId="33A864ED" w:rsidR="00406442" w:rsidRPr="00B15CD3" w:rsidRDefault="00406442" w:rsidP="00DA6F13">
      <w:pPr>
        <w:rPr>
          <w:rFonts w:ascii="Times New Roman" w:hAnsi="Times New Roman" w:cs="Times New Roman"/>
          <w:szCs w:val="24"/>
        </w:rPr>
      </w:pPr>
      <w:r w:rsidRPr="00B15CD3">
        <w:rPr>
          <w:rFonts w:ascii="Times New Roman" w:hAnsi="Times New Roman" w:cs="Times New Roman"/>
          <w:szCs w:val="24"/>
        </w:rPr>
        <w:t xml:space="preserve">Source: Based on </w:t>
      </w:r>
      <w:proofErr w:type="spellStart"/>
      <w:r w:rsidRPr="00B15CD3">
        <w:rPr>
          <w:rFonts w:ascii="Times New Roman" w:hAnsi="Times New Roman" w:cs="Times New Roman"/>
          <w:szCs w:val="24"/>
        </w:rPr>
        <w:t>Datang</w:t>
      </w:r>
      <w:proofErr w:type="spellEnd"/>
      <w:r w:rsidRPr="00B15CD3">
        <w:rPr>
          <w:rFonts w:ascii="Times New Roman" w:hAnsi="Times New Roman" w:cs="Times New Roman"/>
          <w:szCs w:val="24"/>
        </w:rPr>
        <w:t xml:space="preserve"> Telecom's 2016-2020 financial reports</w:t>
      </w:r>
    </w:p>
    <w:p w14:paraId="5DDA1314" w14:textId="4C0FFBDB" w:rsidR="00406442" w:rsidRPr="00923347" w:rsidRDefault="00923347" w:rsidP="00923347">
      <w:pPr>
        <w:outlineLvl w:val="2"/>
        <w:rPr>
          <w:rFonts w:ascii="Times New Roman" w:hAnsi="Times New Roman" w:cs="Times New Roman"/>
          <w:b/>
          <w:sz w:val="24"/>
          <w:szCs w:val="24"/>
        </w:rPr>
      </w:pPr>
      <w:bookmarkStart w:id="14" w:name="_Toc130830428"/>
      <w:r w:rsidRPr="004278F0">
        <w:rPr>
          <w:rFonts w:ascii="Times New Roman" w:hAnsi="Times New Roman" w:cs="Times New Roman"/>
          <w:b/>
          <w:sz w:val="28"/>
          <w:szCs w:val="24"/>
        </w:rPr>
        <w:t>3.</w:t>
      </w:r>
      <w:r>
        <w:rPr>
          <w:rFonts w:ascii="Times New Roman" w:hAnsi="Times New Roman" w:cs="Times New Roman"/>
          <w:b/>
          <w:sz w:val="28"/>
          <w:szCs w:val="24"/>
        </w:rPr>
        <w:t>2</w:t>
      </w:r>
      <w:r w:rsidRPr="004278F0">
        <w:rPr>
          <w:rFonts w:ascii="Times New Roman" w:hAnsi="Times New Roman" w:cs="Times New Roman"/>
          <w:b/>
          <w:sz w:val="28"/>
          <w:szCs w:val="24"/>
        </w:rPr>
        <w:t>.</w:t>
      </w:r>
      <w:r>
        <w:rPr>
          <w:rFonts w:ascii="Times New Roman" w:hAnsi="Times New Roman" w:cs="Times New Roman"/>
          <w:b/>
          <w:sz w:val="28"/>
          <w:szCs w:val="24"/>
        </w:rPr>
        <w:t>2</w:t>
      </w:r>
      <w:r w:rsidRPr="004278F0">
        <w:rPr>
          <w:rFonts w:ascii="Times New Roman" w:hAnsi="Times New Roman" w:cs="Times New Roman"/>
          <w:b/>
          <w:sz w:val="28"/>
          <w:szCs w:val="24"/>
        </w:rPr>
        <w:t xml:space="preserve"> </w:t>
      </w:r>
      <w:r w:rsidRPr="00406442">
        <w:rPr>
          <w:rFonts w:ascii="Times New Roman" w:hAnsi="Times New Roman" w:cs="Times New Roman"/>
          <w:b/>
          <w:sz w:val="28"/>
          <w:szCs w:val="24"/>
        </w:rPr>
        <w:t>Identify non-recurring P&amp;L items</w:t>
      </w:r>
      <w:bookmarkEnd w:id="14"/>
    </w:p>
    <w:p w14:paraId="39EC6282" w14:textId="7440CB20" w:rsidR="00406442" w:rsidRPr="00D55507" w:rsidRDefault="00406442"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Using non-recurring profit and loss items to identify A Through the previous analysis, it can be seen that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continuous operation ability and product profitability are limited, and it is more difficult to turn around losses by operating activities alone. There are many tools that enterprises can use to carry out earnings management activities, and one of the more common means is non-recurring profit and loss, so it is necessary to analyze its non-recurring profit and loss items. According to Table </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 xml:space="preserve">,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non-recurring profit and loss items in 2018 have a large difference compared with other years, and their total amount has reached a peak in the past five years. Through the analysis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financial statement data, it can be found that its non-current asset disposal profit and loss, non-monetary asset exchange profit and loss, capital occupation fee included in the current profit and loss and other amounts are relatively large, and relatively speaking, the fluctuation level of government subsidies and other non-operating income and expenditure is relatively stable. Therefore, it is very likely that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implemented real earnings management by utilizing the following three items.</w:t>
      </w:r>
    </w:p>
    <w:p w14:paraId="008535AD" w14:textId="1168EF43" w:rsidR="00B15CD3" w:rsidRDefault="00406442" w:rsidP="00B15CD3">
      <w:pPr>
        <w:spacing w:beforeLines="50" w:before="156"/>
        <w:jc w:val="center"/>
        <w:rPr>
          <w:rFonts w:ascii="Times New Roman" w:hAnsi="Times New Roman" w:cs="Times New Roman"/>
          <w:szCs w:val="21"/>
        </w:rPr>
      </w:pPr>
      <w:r w:rsidRPr="00B15CD3">
        <w:rPr>
          <w:rFonts w:ascii="Times New Roman" w:hAnsi="Times New Roman" w:cs="Times New Roman"/>
          <w:szCs w:val="21"/>
        </w:rPr>
        <w:t xml:space="preserve">Table </w:t>
      </w:r>
      <w:r w:rsidR="00923347" w:rsidRPr="00B15CD3">
        <w:rPr>
          <w:rFonts w:ascii="Times New Roman" w:hAnsi="Times New Roman" w:cs="Times New Roman"/>
          <w:szCs w:val="21"/>
        </w:rPr>
        <w:t>3</w:t>
      </w:r>
      <w:r w:rsidRPr="00B15CD3">
        <w:rPr>
          <w:rFonts w:ascii="Times New Roman" w:hAnsi="Times New Roman" w:cs="Times New Roman"/>
          <w:szCs w:val="21"/>
        </w:rPr>
        <w:t>.</w:t>
      </w:r>
      <w:r w:rsidR="00923347" w:rsidRPr="00B15CD3">
        <w:rPr>
          <w:rFonts w:ascii="Times New Roman" w:hAnsi="Times New Roman" w:cs="Times New Roman"/>
          <w:szCs w:val="21"/>
        </w:rPr>
        <w:t>3</w:t>
      </w:r>
      <w:r w:rsidRPr="00B15CD3">
        <w:rPr>
          <w:rFonts w:ascii="Times New Roman" w:hAnsi="Times New Roman" w:cs="Times New Roman"/>
          <w:szCs w:val="21"/>
        </w:rPr>
        <w:t xml:space="preserve"> Some items of non-recurring profit and loss of DT Telecom</w:t>
      </w:r>
    </w:p>
    <w:p w14:paraId="764DCDE1" w14:textId="4E00673C" w:rsidR="00406442" w:rsidRPr="00B15CD3" w:rsidRDefault="00406442" w:rsidP="00B15CD3">
      <w:pPr>
        <w:jc w:val="center"/>
        <w:rPr>
          <w:rFonts w:ascii="Times New Roman" w:hAnsi="Times New Roman" w:cs="Times New Roman"/>
          <w:szCs w:val="21"/>
        </w:rPr>
      </w:pPr>
      <w:r w:rsidRPr="00B15CD3">
        <w:rPr>
          <w:rFonts w:ascii="Times New Roman" w:hAnsi="Times New Roman" w:cs="Times New Roman"/>
          <w:szCs w:val="21"/>
        </w:rPr>
        <w:t xml:space="preserve">from 2016 to 2020 (Unit: ten </w:t>
      </w:r>
      <w:proofErr w:type="gramStart"/>
      <w:r w:rsidRPr="00B15CD3">
        <w:rPr>
          <w:rFonts w:ascii="Times New Roman" w:hAnsi="Times New Roman" w:cs="Times New Roman"/>
          <w:szCs w:val="21"/>
        </w:rPr>
        <w:t>thousand )</w:t>
      </w:r>
      <w:proofErr w:type="gramEnd"/>
    </w:p>
    <w:tbl>
      <w:tblPr>
        <w:tblW w:w="0" w:type="auto"/>
        <w:tblBorders>
          <w:top w:val="single" w:sz="12" w:space="0" w:color="auto"/>
          <w:bottom w:val="single" w:sz="12" w:space="0" w:color="auto"/>
        </w:tblBorders>
        <w:tblLayout w:type="fixed"/>
        <w:tblLook w:val="04A0" w:firstRow="1" w:lastRow="0" w:firstColumn="1" w:lastColumn="0" w:noHBand="0" w:noVBand="1"/>
      </w:tblPr>
      <w:tblGrid>
        <w:gridCol w:w="2268"/>
        <w:gridCol w:w="1207"/>
        <w:gridCol w:w="1208"/>
        <w:gridCol w:w="1207"/>
        <w:gridCol w:w="1208"/>
        <w:gridCol w:w="1208"/>
      </w:tblGrid>
      <w:tr w:rsidR="009825BC" w:rsidRPr="00F360DD" w14:paraId="2026C7AF" w14:textId="77777777" w:rsidTr="004B1096">
        <w:trPr>
          <w:trHeight w:val="340"/>
        </w:trPr>
        <w:tc>
          <w:tcPr>
            <w:tcW w:w="2268" w:type="dxa"/>
            <w:tcBorders>
              <w:top w:val="single" w:sz="12" w:space="0" w:color="auto"/>
              <w:bottom w:val="single" w:sz="4" w:space="0" w:color="auto"/>
            </w:tcBorders>
            <w:shd w:val="clear" w:color="auto" w:fill="auto"/>
            <w:noWrap/>
            <w:vAlign w:val="center"/>
            <w:hideMark/>
          </w:tcPr>
          <w:p w14:paraId="4EE23D61" w14:textId="1800A15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Non-recurring profit and loss items</w:t>
            </w:r>
          </w:p>
        </w:tc>
        <w:tc>
          <w:tcPr>
            <w:tcW w:w="1207" w:type="dxa"/>
            <w:tcBorders>
              <w:top w:val="single" w:sz="12" w:space="0" w:color="auto"/>
              <w:bottom w:val="single" w:sz="4" w:space="0" w:color="auto"/>
            </w:tcBorders>
            <w:shd w:val="clear" w:color="auto" w:fill="auto"/>
            <w:noWrap/>
            <w:vAlign w:val="center"/>
            <w:hideMark/>
          </w:tcPr>
          <w:p w14:paraId="5859815D" w14:textId="7777777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2016</w:t>
            </w:r>
          </w:p>
        </w:tc>
        <w:tc>
          <w:tcPr>
            <w:tcW w:w="1208" w:type="dxa"/>
            <w:tcBorders>
              <w:top w:val="single" w:sz="12" w:space="0" w:color="auto"/>
              <w:bottom w:val="single" w:sz="4" w:space="0" w:color="auto"/>
            </w:tcBorders>
            <w:shd w:val="clear" w:color="auto" w:fill="auto"/>
            <w:noWrap/>
            <w:vAlign w:val="center"/>
            <w:hideMark/>
          </w:tcPr>
          <w:p w14:paraId="7CC49F6D" w14:textId="7777777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2017</w:t>
            </w:r>
          </w:p>
        </w:tc>
        <w:tc>
          <w:tcPr>
            <w:tcW w:w="1207" w:type="dxa"/>
            <w:tcBorders>
              <w:top w:val="single" w:sz="12" w:space="0" w:color="auto"/>
              <w:bottom w:val="single" w:sz="4" w:space="0" w:color="auto"/>
            </w:tcBorders>
            <w:shd w:val="clear" w:color="auto" w:fill="auto"/>
            <w:noWrap/>
            <w:vAlign w:val="center"/>
            <w:hideMark/>
          </w:tcPr>
          <w:p w14:paraId="1E252637" w14:textId="7777777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2018</w:t>
            </w:r>
          </w:p>
        </w:tc>
        <w:tc>
          <w:tcPr>
            <w:tcW w:w="1208" w:type="dxa"/>
            <w:tcBorders>
              <w:top w:val="single" w:sz="12" w:space="0" w:color="auto"/>
              <w:bottom w:val="single" w:sz="4" w:space="0" w:color="auto"/>
            </w:tcBorders>
            <w:shd w:val="clear" w:color="auto" w:fill="auto"/>
            <w:noWrap/>
            <w:vAlign w:val="center"/>
            <w:hideMark/>
          </w:tcPr>
          <w:p w14:paraId="1237CB26" w14:textId="7777777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2019</w:t>
            </w:r>
          </w:p>
        </w:tc>
        <w:tc>
          <w:tcPr>
            <w:tcW w:w="1208" w:type="dxa"/>
            <w:tcBorders>
              <w:top w:val="single" w:sz="12" w:space="0" w:color="auto"/>
              <w:bottom w:val="single" w:sz="4" w:space="0" w:color="auto"/>
            </w:tcBorders>
            <w:shd w:val="clear" w:color="auto" w:fill="auto"/>
            <w:noWrap/>
            <w:vAlign w:val="center"/>
            <w:hideMark/>
          </w:tcPr>
          <w:p w14:paraId="01792901" w14:textId="1C65D5A5" w:rsidR="00F360DD" w:rsidRPr="00F360DD" w:rsidRDefault="009825BC" w:rsidP="004B1096">
            <w:pPr>
              <w:widowControl/>
              <w:jc w:val="center"/>
              <w:rPr>
                <w:rFonts w:ascii="Times New Roman" w:eastAsia="等线" w:hAnsi="Times New Roman" w:cs="Times New Roman"/>
                <w:color w:val="000000"/>
                <w:kern w:val="0"/>
                <w:szCs w:val="21"/>
              </w:rPr>
            </w:pPr>
            <w:r w:rsidRPr="009825BC">
              <w:rPr>
                <w:rFonts w:ascii="Times New Roman" w:eastAsia="等线" w:hAnsi="Times New Roman" w:cs="Times New Roman"/>
                <w:color w:val="000000"/>
                <w:kern w:val="0"/>
                <w:szCs w:val="21"/>
              </w:rPr>
              <w:t>2020</w:t>
            </w:r>
          </w:p>
        </w:tc>
      </w:tr>
      <w:tr w:rsidR="009825BC" w:rsidRPr="00F360DD" w14:paraId="4F0D0138" w14:textId="77777777" w:rsidTr="004B1096">
        <w:trPr>
          <w:trHeight w:val="340"/>
        </w:trPr>
        <w:tc>
          <w:tcPr>
            <w:tcW w:w="2268" w:type="dxa"/>
            <w:tcBorders>
              <w:top w:val="single" w:sz="4" w:space="0" w:color="auto"/>
            </w:tcBorders>
            <w:shd w:val="clear" w:color="auto" w:fill="auto"/>
            <w:noWrap/>
            <w:vAlign w:val="center"/>
            <w:hideMark/>
          </w:tcPr>
          <w:p w14:paraId="0AC74086" w14:textId="6B3A3CC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lastRenderedPageBreak/>
              <w:t>Gain or loss on disposal of non-current assets</w:t>
            </w:r>
          </w:p>
        </w:tc>
        <w:tc>
          <w:tcPr>
            <w:tcW w:w="1207" w:type="dxa"/>
            <w:tcBorders>
              <w:top w:val="single" w:sz="4" w:space="0" w:color="auto"/>
            </w:tcBorders>
            <w:shd w:val="clear" w:color="auto" w:fill="auto"/>
            <w:noWrap/>
            <w:vAlign w:val="center"/>
            <w:hideMark/>
          </w:tcPr>
          <w:p w14:paraId="1902F949" w14:textId="43FF8C93"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238.36</w:t>
            </w:r>
          </w:p>
        </w:tc>
        <w:tc>
          <w:tcPr>
            <w:tcW w:w="1208" w:type="dxa"/>
            <w:tcBorders>
              <w:top w:val="single" w:sz="4" w:space="0" w:color="auto"/>
            </w:tcBorders>
            <w:shd w:val="clear" w:color="auto" w:fill="auto"/>
            <w:noWrap/>
            <w:vAlign w:val="center"/>
            <w:hideMark/>
          </w:tcPr>
          <w:p w14:paraId="222221E0" w14:textId="288749E9"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28,923.59</w:t>
            </w:r>
          </w:p>
        </w:tc>
        <w:tc>
          <w:tcPr>
            <w:tcW w:w="1207" w:type="dxa"/>
            <w:tcBorders>
              <w:top w:val="single" w:sz="4" w:space="0" w:color="auto"/>
            </w:tcBorders>
            <w:shd w:val="clear" w:color="auto" w:fill="auto"/>
            <w:noWrap/>
            <w:vAlign w:val="center"/>
            <w:hideMark/>
          </w:tcPr>
          <w:p w14:paraId="127A60FD" w14:textId="38C97898"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67,883.59</w:t>
            </w:r>
          </w:p>
        </w:tc>
        <w:tc>
          <w:tcPr>
            <w:tcW w:w="1208" w:type="dxa"/>
            <w:tcBorders>
              <w:top w:val="single" w:sz="4" w:space="0" w:color="auto"/>
            </w:tcBorders>
            <w:shd w:val="clear" w:color="auto" w:fill="auto"/>
            <w:noWrap/>
            <w:vAlign w:val="center"/>
            <w:hideMark/>
          </w:tcPr>
          <w:p w14:paraId="7BE77421" w14:textId="1E31D4AA"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-28.92</w:t>
            </w:r>
          </w:p>
        </w:tc>
        <w:tc>
          <w:tcPr>
            <w:tcW w:w="1208" w:type="dxa"/>
            <w:tcBorders>
              <w:top w:val="single" w:sz="4" w:space="0" w:color="auto"/>
            </w:tcBorders>
            <w:shd w:val="clear" w:color="auto" w:fill="auto"/>
            <w:noWrap/>
            <w:vAlign w:val="center"/>
            <w:hideMark/>
          </w:tcPr>
          <w:p w14:paraId="795F109B" w14:textId="50115C44"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17,959.48</w:t>
            </w:r>
          </w:p>
        </w:tc>
      </w:tr>
      <w:tr w:rsidR="009825BC" w:rsidRPr="00F360DD" w14:paraId="383D74FE" w14:textId="77777777" w:rsidTr="004B1096">
        <w:trPr>
          <w:trHeight w:val="340"/>
        </w:trPr>
        <w:tc>
          <w:tcPr>
            <w:tcW w:w="2268" w:type="dxa"/>
            <w:shd w:val="clear" w:color="auto" w:fill="auto"/>
            <w:noWrap/>
            <w:vAlign w:val="center"/>
            <w:hideMark/>
          </w:tcPr>
          <w:p w14:paraId="40F4A560" w14:textId="450D7FD5"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Government grants included in profit or loss for the period</w:t>
            </w:r>
          </w:p>
        </w:tc>
        <w:tc>
          <w:tcPr>
            <w:tcW w:w="1207" w:type="dxa"/>
            <w:shd w:val="clear" w:color="auto" w:fill="auto"/>
            <w:noWrap/>
            <w:vAlign w:val="center"/>
            <w:hideMark/>
          </w:tcPr>
          <w:p w14:paraId="04791A29" w14:textId="10BB8975"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11,020.64</w:t>
            </w:r>
          </w:p>
        </w:tc>
        <w:tc>
          <w:tcPr>
            <w:tcW w:w="1208" w:type="dxa"/>
            <w:shd w:val="clear" w:color="auto" w:fill="auto"/>
            <w:noWrap/>
            <w:vAlign w:val="center"/>
            <w:hideMark/>
          </w:tcPr>
          <w:p w14:paraId="34ED58E8" w14:textId="3FCC54EF"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9,537.71</w:t>
            </w:r>
          </w:p>
        </w:tc>
        <w:tc>
          <w:tcPr>
            <w:tcW w:w="1207" w:type="dxa"/>
            <w:shd w:val="clear" w:color="auto" w:fill="auto"/>
            <w:noWrap/>
            <w:vAlign w:val="center"/>
            <w:hideMark/>
          </w:tcPr>
          <w:p w14:paraId="10789719" w14:textId="52B89EF9"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5,563.34</w:t>
            </w:r>
          </w:p>
        </w:tc>
        <w:tc>
          <w:tcPr>
            <w:tcW w:w="1208" w:type="dxa"/>
            <w:shd w:val="clear" w:color="auto" w:fill="auto"/>
            <w:noWrap/>
            <w:vAlign w:val="center"/>
            <w:hideMark/>
          </w:tcPr>
          <w:p w14:paraId="7D495340" w14:textId="0FD9E8C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9,680.96</w:t>
            </w:r>
          </w:p>
        </w:tc>
        <w:tc>
          <w:tcPr>
            <w:tcW w:w="1208" w:type="dxa"/>
            <w:shd w:val="clear" w:color="auto" w:fill="auto"/>
            <w:noWrap/>
            <w:vAlign w:val="center"/>
            <w:hideMark/>
          </w:tcPr>
          <w:p w14:paraId="010BAECC" w14:textId="3315F79C"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1,534.07</w:t>
            </w:r>
          </w:p>
        </w:tc>
      </w:tr>
      <w:tr w:rsidR="009825BC" w:rsidRPr="00F360DD" w14:paraId="38D9262A" w14:textId="77777777" w:rsidTr="004B1096">
        <w:trPr>
          <w:trHeight w:val="340"/>
        </w:trPr>
        <w:tc>
          <w:tcPr>
            <w:tcW w:w="2268" w:type="dxa"/>
            <w:shd w:val="clear" w:color="auto" w:fill="auto"/>
            <w:noWrap/>
            <w:vAlign w:val="center"/>
            <w:hideMark/>
          </w:tcPr>
          <w:p w14:paraId="28BE068C" w14:textId="6CC8F9C8"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Non-monetary asset exchange gains and losses</w:t>
            </w:r>
          </w:p>
        </w:tc>
        <w:tc>
          <w:tcPr>
            <w:tcW w:w="1207" w:type="dxa"/>
            <w:shd w:val="clear" w:color="auto" w:fill="auto"/>
            <w:noWrap/>
            <w:vAlign w:val="center"/>
            <w:hideMark/>
          </w:tcPr>
          <w:p w14:paraId="1D0DF8BC" w14:textId="66499B92"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c>
          <w:tcPr>
            <w:tcW w:w="1208" w:type="dxa"/>
            <w:shd w:val="clear" w:color="auto" w:fill="auto"/>
            <w:noWrap/>
            <w:vAlign w:val="center"/>
            <w:hideMark/>
          </w:tcPr>
          <w:p w14:paraId="3C0C0FE6" w14:textId="6D25B170"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c>
          <w:tcPr>
            <w:tcW w:w="1207" w:type="dxa"/>
            <w:shd w:val="clear" w:color="auto" w:fill="auto"/>
            <w:noWrap/>
            <w:vAlign w:val="center"/>
            <w:hideMark/>
          </w:tcPr>
          <w:p w14:paraId="35CACEF6" w14:textId="7588627D"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95,469.68</w:t>
            </w:r>
          </w:p>
        </w:tc>
        <w:tc>
          <w:tcPr>
            <w:tcW w:w="1208" w:type="dxa"/>
            <w:shd w:val="clear" w:color="auto" w:fill="auto"/>
            <w:noWrap/>
            <w:vAlign w:val="center"/>
            <w:hideMark/>
          </w:tcPr>
          <w:p w14:paraId="40727621" w14:textId="3D8F4B3D"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c>
          <w:tcPr>
            <w:tcW w:w="1208" w:type="dxa"/>
            <w:shd w:val="clear" w:color="auto" w:fill="auto"/>
            <w:noWrap/>
            <w:vAlign w:val="center"/>
            <w:hideMark/>
          </w:tcPr>
          <w:p w14:paraId="022AA3C3" w14:textId="4B5F9202"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r>
      <w:tr w:rsidR="009825BC" w:rsidRPr="00F360DD" w14:paraId="07EA7BEE" w14:textId="77777777" w:rsidTr="004B1096">
        <w:trPr>
          <w:trHeight w:val="340"/>
        </w:trPr>
        <w:tc>
          <w:tcPr>
            <w:tcW w:w="2268" w:type="dxa"/>
            <w:shd w:val="clear" w:color="auto" w:fill="auto"/>
            <w:noWrap/>
            <w:vAlign w:val="center"/>
            <w:hideMark/>
          </w:tcPr>
          <w:p w14:paraId="7D99E72F" w14:textId="2C71288D"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Capital occupancy fees charged to non-financial enterprises included in profit or loss for the period</w:t>
            </w:r>
          </w:p>
        </w:tc>
        <w:tc>
          <w:tcPr>
            <w:tcW w:w="1207" w:type="dxa"/>
            <w:shd w:val="clear" w:color="auto" w:fill="auto"/>
            <w:noWrap/>
            <w:vAlign w:val="center"/>
            <w:hideMark/>
          </w:tcPr>
          <w:p w14:paraId="1446E353" w14:textId="454F796C"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c>
          <w:tcPr>
            <w:tcW w:w="1208" w:type="dxa"/>
            <w:shd w:val="clear" w:color="auto" w:fill="auto"/>
            <w:noWrap/>
            <w:vAlign w:val="center"/>
            <w:hideMark/>
          </w:tcPr>
          <w:p w14:paraId="7E8B9455" w14:textId="20AD4799"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15,170.66</w:t>
            </w:r>
          </w:p>
        </w:tc>
        <w:tc>
          <w:tcPr>
            <w:tcW w:w="1207" w:type="dxa"/>
            <w:shd w:val="clear" w:color="auto" w:fill="auto"/>
            <w:noWrap/>
            <w:vAlign w:val="center"/>
            <w:hideMark/>
          </w:tcPr>
          <w:p w14:paraId="4BC66F06" w14:textId="4FFF45E1"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18,317.86</w:t>
            </w:r>
          </w:p>
        </w:tc>
        <w:tc>
          <w:tcPr>
            <w:tcW w:w="1208" w:type="dxa"/>
            <w:shd w:val="clear" w:color="auto" w:fill="auto"/>
            <w:noWrap/>
            <w:vAlign w:val="center"/>
            <w:hideMark/>
          </w:tcPr>
          <w:p w14:paraId="169E139F" w14:textId="24C99B40"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c>
          <w:tcPr>
            <w:tcW w:w="1208" w:type="dxa"/>
            <w:shd w:val="clear" w:color="auto" w:fill="auto"/>
            <w:noWrap/>
            <w:vAlign w:val="center"/>
            <w:hideMark/>
          </w:tcPr>
          <w:p w14:paraId="49637774" w14:textId="22CBA5A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w:t>
            </w:r>
          </w:p>
        </w:tc>
      </w:tr>
      <w:tr w:rsidR="009825BC" w:rsidRPr="00F360DD" w14:paraId="656DF9EB" w14:textId="77777777" w:rsidTr="004B1096">
        <w:trPr>
          <w:trHeight w:val="340"/>
        </w:trPr>
        <w:tc>
          <w:tcPr>
            <w:tcW w:w="2268" w:type="dxa"/>
            <w:shd w:val="clear" w:color="auto" w:fill="auto"/>
            <w:noWrap/>
            <w:vAlign w:val="center"/>
            <w:hideMark/>
          </w:tcPr>
          <w:p w14:paraId="49A10452" w14:textId="7777777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Non-operating income and expenses other than the above</w:t>
            </w:r>
          </w:p>
        </w:tc>
        <w:tc>
          <w:tcPr>
            <w:tcW w:w="1207" w:type="dxa"/>
            <w:shd w:val="clear" w:color="auto" w:fill="auto"/>
            <w:noWrap/>
            <w:vAlign w:val="center"/>
            <w:hideMark/>
          </w:tcPr>
          <w:p w14:paraId="412F93BB" w14:textId="5C5F7F54"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312.43</w:t>
            </w:r>
          </w:p>
        </w:tc>
        <w:tc>
          <w:tcPr>
            <w:tcW w:w="1208" w:type="dxa"/>
            <w:shd w:val="clear" w:color="auto" w:fill="auto"/>
            <w:noWrap/>
            <w:vAlign w:val="center"/>
            <w:hideMark/>
          </w:tcPr>
          <w:p w14:paraId="594353E2" w14:textId="0595BAA0"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283.04</w:t>
            </w:r>
          </w:p>
        </w:tc>
        <w:tc>
          <w:tcPr>
            <w:tcW w:w="1207" w:type="dxa"/>
            <w:shd w:val="clear" w:color="auto" w:fill="auto"/>
            <w:noWrap/>
            <w:vAlign w:val="center"/>
            <w:hideMark/>
          </w:tcPr>
          <w:p w14:paraId="06F5F4F9" w14:textId="1ED4684A"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245.53</w:t>
            </w:r>
          </w:p>
        </w:tc>
        <w:tc>
          <w:tcPr>
            <w:tcW w:w="1208" w:type="dxa"/>
            <w:shd w:val="clear" w:color="auto" w:fill="auto"/>
            <w:noWrap/>
            <w:vAlign w:val="center"/>
            <w:hideMark/>
          </w:tcPr>
          <w:p w14:paraId="24C3AF34" w14:textId="190C1C4D"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-1,037.18</w:t>
            </w:r>
          </w:p>
        </w:tc>
        <w:tc>
          <w:tcPr>
            <w:tcW w:w="1208" w:type="dxa"/>
            <w:shd w:val="clear" w:color="auto" w:fill="auto"/>
            <w:noWrap/>
            <w:vAlign w:val="center"/>
            <w:hideMark/>
          </w:tcPr>
          <w:p w14:paraId="022520F5" w14:textId="0F164530"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503.26</w:t>
            </w:r>
          </w:p>
        </w:tc>
      </w:tr>
      <w:tr w:rsidR="009825BC" w:rsidRPr="00F360DD" w14:paraId="17CCF2C5" w14:textId="77777777" w:rsidTr="004B1096">
        <w:trPr>
          <w:trHeight w:val="340"/>
        </w:trPr>
        <w:tc>
          <w:tcPr>
            <w:tcW w:w="2268" w:type="dxa"/>
            <w:shd w:val="clear" w:color="auto" w:fill="auto"/>
            <w:noWrap/>
            <w:vAlign w:val="center"/>
            <w:hideMark/>
          </w:tcPr>
          <w:p w14:paraId="47199EF0" w14:textId="646904E6"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Minority Interest Impact</w:t>
            </w:r>
          </w:p>
        </w:tc>
        <w:tc>
          <w:tcPr>
            <w:tcW w:w="1207" w:type="dxa"/>
            <w:shd w:val="clear" w:color="auto" w:fill="auto"/>
            <w:noWrap/>
            <w:vAlign w:val="center"/>
            <w:hideMark/>
          </w:tcPr>
          <w:p w14:paraId="3CF3439D" w14:textId="5E1D59D8"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-1,035.34</w:t>
            </w:r>
          </w:p>
        </w:tc>
        <w:tc>
          <w:tcPr>
            <w:tcW w:w="1208" w:type="dxa"/>
            <w:shd w:val="clear" w:color="auto" w:fill="auto"/>
            <w:noWrap/>
            <w:vAlign w:val="center"/>
            <w:hideMark/>
          </w:tcPr>
          <w:p w14:paraId="5B75C37D" w14:textId="27FD5CB8"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-1,403.13</w:t>
            </w:r>
          </w:p>
        </w:tc>
        <w:tc>
          <w:tcPr>
            <w:tcW w:w="1207" w:type="dxa"/>
            <w:shd w:val="clear" w:color="auto" w:fill="auto"/>
            <w:noWrap/>
            <w:vAlign w:val="center"/>
            <w:hideMark/>
          </w:tcPr>
          <w:p w14:paraId="4FD96A00" w14:textId="0AA9FD72"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-1,291.64</w:t>
            </w:r>
          </w:p>
        </w:tc>
        <w:tc>
          <w:tcPr>
            <w:tcW w:w="1208" w:type="dxa"/>
            <w:shd w:val="clear" w:color="auto" w:fill="auto"/>
            <w:noWrap/>
            <w:vAlign w:val="center"/>
            <w:hideMark/>
          </w:tcPr>
          <w:p w14:paraId="62C468CD" w14:textId="04D433C7"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515.78</w:t>
            </w:r>
          </w:p>
        </w:tc>
        <w:tc>
          <w:tcPr>
            <w:tcW w:w="1208" w:type="dxa"/>
            <w:shd w:val="clear" w:color="auto" w:fill="auto"/>
            <w:noWrap/>
            <w:vAlign w:val="center"/>
            <w:hideMark/>
          </w:tcPr>
          <w:p w14:paraId="23F56268" w14:textId="4A47771E"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-5,293.03</w:t>
            </w:r>
          </w:p>
        </w:tc>
      </w:tr>
      <w:tr w:rsidR="009825BC" w:rsidRPr="00F360DD" w14:paraId="4919D6AF" w14:textId="77777777" w:rsidTr="004B1096">
        <w:trPr>
          <w:trHeight w:val="340"/>
        </w:trPr>
        <w:tc>
          <w:tcPr>
            <w:tcW w:w="2268" w:type="dxa"/>
            <w:shd w:val="clear" w:color="auto" w:fill="auto"/>
            <w:noWrap/>
            <w:vAlign w:val="center"/>
            <w:hideMark/>
          </w:tcPr>
          <w:p w14:paraId="2C8A31E1" w14:textId="32B19BD5"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Income tax implications</w:t>
            </w:r>
          </w:p>
        </w:tc>
        <w:tc>
          <w:tcPr>
            <w:tcW w:w="1207" w:type="dxa"/>
            <w:shd w:val="clear" w:color="auto" w:fill="auto"/>
            <w:noWrap/>
            <w:vAlign w:val="center"/>
            <w:hideMark/>
          </w:tcPr>
          <w:p w14:paraId="4CA85510" w14:textId="2E0BC176"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-741.80</w:t>
            </w:r>
          </w:p>
        </w:tc>
        <w:tc>
          <w:tcPr>
            <w:tcW w:w="1208" w:type="dxa"/>
            <w:shd w:val="clear" w:color="auto" w:fill="auto"/>
            <w:noWrap/>
            <w:vAlign w:val="center"/>
            <w:hideMark/>
          </w:tcPr>
          <w:p w14:paraId="70D415DC" w14:textId="4FB9D2D9"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-523.09</w:t>
            </w:r>
          </w:p>
        </w:tc>
        <w:tc>
          <w:tcPr>
            <w:tcW w:w="1207" w:type="dxa"/>
            <w:shd w:val="clear" w:color="auto" w:fill="auto"/>
            <w:noWrap/>
            <w:vAlign w:val="center"/>
            <w:hideMark/>
          </w:tcPr>
          <w:p w14:paraId="13578AF7" w14:textId="31261663"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-465.47</w:t>
            </w:r>
          </w:p>
        </w:tc>
        <w:tc>
          <w:tcPr>
            <w:tcW w:w="1208" w:type="dxa"/>
            <w:shd w:val="clear" w:color="auto" w:fill="auto"/>
            <w:noWrap/>
            <w:vAlign w:val="center"/>
            <w:hideMark/>
          </w:tcPr>
          <w:p w14:paraId="207AEAE4" w14:textId="2B461874"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8.51</w:t>
            </w:r>
          </w:p>
        </w:tc>
        <w:tc>
          <w:tcPr>
            <w:tcW w:w="1208" w:type="dxa"/>
            <w:shd w:val="clear" w:color="auto" w:fill="auto"/>
            <w:noWrap/>
            <w:vAlign w:val="center"/>
            <w:hideMark/>
          </w:tcPr>
          <w:p w14:paraId="2691F968" w14:textId="1396D706"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164.38</w:t>
            </w:r>
          </w:p>
        </w:tc>
      </w:tr>
      <w:tr w:rsidR="009825BC" w:rsidRPr="00F360DD" w14:paraId="76E706E6" w14:textId="77777777" w:rsidTr="004B1096">
        <w:trPr>
          <w:trHeight w:val="340"/>
        </w:trPr>
        <w:tc>
          <w:tcPr>
            <w:tcW w:w="2268" w:type="dxa"/>
            <w:shd w:val="clear" w:color="auto" w:fill="auto"/>
            <w:noWrap/>
            <w:vAlign w:val="center"/>
            <w:hideMark/>
          </w:tcPr>
          <w:p w14:paraId="7F4DD17C" w14:textId="1CC3B2EF"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total</w:t>
            </w:r>
          </w:p>
        </w:tc>
        <w:tc>
          <w:tcPr>
            <w:tcW w:w="1207" w:type="dxa"/>
            <w:shd w:val="clear" w:color="auto" w:fill="auto"/>
            <w:noWrap/>
            <w:vAlign w:val="center"/>
            <w:hideMark/>
          </w:tcPr>
          <w:p w14:paraId="676A810C" w14:textId="10E1E94C"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9,794.29</w:t>
            </w:r>
          </w:p>
        </w:tc>
        <w:tc>
          <w:tcPr>
            <w:tcW w:w="1208" w:type="dxa"/>
            <w:shd w:val="clear" w:color="auto" w:fill="auto"/>
            <w:noWrap/>
            <w:vAlign w:val="center"/>
            <w:hideMark/>
          </w:tcPr>
          <w:p w14:paraId="7BE5A510" w14:textId="6A570A5D"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51,988.78</w:t>
            </w:r>
          </w:p>
        </w:tc>
        <w:tc>
          <w:tcPr>
            <w:tcW w:w="1207" w:type="dxa"/>
            <w:shd w:val="clear" w:color="auto" w:fill="auto"/>
            <w:noWrap/>
            <w:vAlign w:val="center"/>
            <w:hideMark/>
          </w:tcPr>
          <w:p w14:paraId="33FA52BF" w14:textId="2A22E91A"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185,722.90</w:t>
            </w:r>
          </w:p>
        </w:tc>
        <w:tc>
          <w:tcPr>
            <w:tcW w:w="1208" w:type="dxa"/>
            <w:shd w:val="clear" w:color="auto" w:fill="auto"/>
            <w:noWrap/>
            <w:vAlign w:val="center"/>
            <w:hideMark/>
          </w:tcPr>
          <w:p w14:paraId="25452DA6" w14:textId="1B9C7CBC"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9,139.15</w:t>
            </w:r>
          </w:p>
        </w:tc>
        <w:tc>
          <w:tcPr>
            <w:tcW w:w="1208" w:type="dxa"/>
            <w:shd w:val="clear" w:color="auto" w:fill="auto"/>
            <w:noWrap/>
            <w:vAlign w:val="center"/>
            <w:hideMark/>
          </w:tcPr>
          <w:p w14:paraId="69F4FEFC" w14:textId="4386DC9A" w:rsidR="00F360DD" w:rsidRPr="00F360DD" w:rsidRDefault="00F360DD" w:rsidP="004B1096">
            <w:pPr>
              <w:widowControl/>
              <w:jc w:val="center"/>
              <w:rPr>
                <w:rFonts w:ascii="Times New Roman" w:eastAsia="等线" w:hAnsi="Times New Roman" w:cs="Times New Roman"/>
                <w:color w:val="000000"/>
                <w:kern w:val="0"/>
                <w:szCs w:val="21"/>
              </w:rPr>
            </w:pPr>
            <w:r w:rsidRPr="00F360DD">
              <w:rPr>
                <w:rFonts w:ascii="Times New Roman" w:eastAsia="等线" w:hAnsi="Times New Roman" w:cs="Times New Roman"/>
                <w:color w:val="000000"/>
                <w:kern w:val="0"/>
                <w:szCs w:val="21"/>
              </w:rPr>
              <w:t>14,868.16</w:t>
            </w:r>
          </w:p>
        </w:tc>
      </w:tr>
    </w:tbl>
    <w:p w14:paraId="3DB83686" w14:textId="34965291" w:rsidR="009129CC" w:rsidRPr="00B15CD3" w:rsidRDefault="009825BC" w:rsidP="00B15CD3">
      <w:pPr>
        <w:spacing w:afterLines="50" w:after="156"/>
        <w:rPr>
          <w:rFonts w:ascii="Times New Roman" w:hAnsi="Times New Roman" w:cs="Times New Roman"/>
          <w:szCs w:val="24"/>
        </w:rPr>
      </w:pPr>
      <w:r w:rsidRPr="00B15CD3">
        <w:rPr>
          <w:rFonts w:ascii="Times New Roman" w:hAnsi="Times New Roman" w:cs="Times New Roman"/>
          <w:szCs w:val="24"/>
        </w:rPr>
        <w:t xml:space="preserve">Source: Based on </w:t>
      </w:r>
      <w:proofErr w:type="spellStart"/>
      <w:r w:rsidRPr="00B15CD3">
        <w:rPr>
          <w:rFonts w:ascii="Times New Roman" w:hAnsi="Times New Roman" w:cs="Times New Roman"/>
          <w:szCs w:val="24"/>
        </w:rPr>
        <w:t>Datang</w:t>
      </w:r>
      <w:proofErr w:type="spellEnd"/>
      <w:r w:rsidRPr="00B15CD3">
        <w:rPr>
          <w:rFonts w:ascii="Times New Roman" w:hAnsi="Times New Roman" w:cs="Times New Roman"/>
          <w:szCs w:val="24"/>
        </w:rPr>
        <w:t xml:space="preserve"> Telecom's 2016-2020 financial reports</w:t>
      </w:r>
    </w:p>
    <w:p w14:paraId="780DAF96" w14:textId="53B210EA" w:rsidR="00DA6F13" w:rsidRPr="00D55507" w:rsidRDefault="00406442"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(1) Disposal of non-current assets. As can be seen from the data in Table </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 xml:space="preserve">, the profit and loss on the disposal of non-current assets in 2018 reached the peak of nearly five years, with a value of 678.8359 million yuan. The profit and loss on the disposal of non-current assets in 2016 was 2.3836 million yuan, which is relatively normal for a large state-owned listed company, and its growth rate has reached 121 times since 2017, and the growth rate in 2018, the key year of delisting, has reached 285 times. After emerging from the delisting crisis, the profit and loss on the disposal of its illiquid assets fell sharply. The above indicates that it is very likely that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made an abnormal disposal of its non-current assets in 2018 to obtain profits.</w:t>
      </w:r>
    </w:p>
    <w:p w14:paraId="3BB64A50" w14:textId="0E6FF530" w:rsidR="004B1096" w:rsidRPr="00D55507" w:rsidRDefault="00406442"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(2) Exchange of non-monetary assets.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no non-monetary asset exchange profit or loss in other years in the past five years, but in 2018, it increased a large amount of non-monetary asset exchange profit and loss, reaching 954.6968 million yuan, which also reflects the reason why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non-net profit is so low.</w:t>
      </w:r>
    </w:p>
    <w:p w14:paraId="0C0597E5" w14:textId="360270C2" w:rsidR="004B1096" w:rsidRPr="00D55507" w:rsidRDefault="00406442"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(3) Use of capital occupancy fees included in profit or loss for the current period. Similarly,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increased a large amount of capital occupancy fees since 2017, the second year of consecutive losses, and increased the amount of capital occupancy fees in 2018. This suggests that the company likely started earnings management activities earlier in 2017 based on its operating conditions and continued to use this approach in 2018.</w:t>
      </w:r>
    </w:p>
    <w:p w14:paraId="45D5EDE4" w14:textId="442E833F" w:rsidR="00406442" w:rsidRPr="00D55507" w:rsidRDefault="00406442"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lastRenderedPageBreak/>
        <w:t xml:space="preserve">In summary, through the analysis of the data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non-recurring profit and loss items, the analysis results show that in order to overcome the crisis of suspension of listing,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has a very high possibility of using non-recurring profit and loss items to manipulate the surplus, and although it successfully got rid of the delisting dilemma in 2018, it still faced the dilemma of poor operating conditions in the future.</w:t>
      </w:r>
    </w:p>
    <w:p w14:paraId="73D41E64" w14:textId="4F446267" w:rsidR="00923347" w:rsidRPr="00923347" w:rsidRDefault="00923347" w:rsidP="00923347">
      <w:pPr>
        <w:outlineLvl w:val="2"/>
        <w:rPr>
          <w:rFonts w:ascii="Times New Roman" w:hAnsi="Times New Roman" w:cs="Times New Roman"/>
          <w:b/>
          <w:sz w:val="24"/>
          <w:szCs w:val="24"/>
        </w:rPr>
      </w:pPr>
      <w:bookmarkStart w:id="15" w:name="_Toc130830429"/>
      <w:r w:rsidRPr="004278F0">
        <w:rPr>
          <w:rFonts w:ascii="Times New Roman" w:hAnsi="Times New Roman" w:cs="Times New Roman"/>
          <w:b/>
          <w:sz w:val="28"/>
          <w:szCs w:val="24"/>
        </w:rPr>
        <w:t>3.</w:t>
      </w:r>
      <w:r>
        <w:rPr>
          <w:rFonts w:ascii="Times New Roman" w:hAnsi="Times New Roman" w:cs="Times New Roman"/>
          <w:b/>
          <w:sz w:val="28"/>
          <w:szCs w:val="24"/>
        </w:rPr>
        <w:t>2</w:t>
      </w:r>
      <w:r w:rsidRPr="004278F0">
        <w:rPr>
          <w:rFonts w:ascii="Times New Roman" w:hAnsi="Times New Roman" w:cs="Times New Roman"/>
          <w:b/>
          <w:sz w:val="28"/>
          <w:szCs w:val="24"/>
        </w:rPr>
        <w:t>.</w:t>
      </w:r>
      <w:r>
        <w:rPr>
          <w:rFonts w:ascii="Times New Roman" w:hAnsi="Times New Roman" w:cs="Times New Roman"/>
          <w:b/>
          <w:sz w:val="28"/>
          <w:szCs w:val="24"/>
        </w:rPr>
        <w:t>3</w:t>
      </w:r>
      <w:r w:rsidRPr="004278F0">
        <w:rPr>
          <w:rFonts w:ascii="Times New Roman" w:hAnsi="Times New Roman" w:cs="Times New Roman"/>
          <w:b/>
          <w:sz w:val="28"/>
          <w:szCs w:val="24"/>
        </w:rPr>
        <w:t xml:space="preserve"> </w:t>
      </w:r>
      <w:r w:rsidRPr="00923347">
        <w:rPr>
          <w:rFonts w:ascii="Times New Roman" w:hAnsi="Times New Roman" w:cs="Times New Roman"/>
          <w:b/>
          <w:sz w:val="28"/>
          <w:szCs w:val="24"/>
        </w:rPr>
        <w:t>Utilize accounting estimate identification</w:t>
      </w:r>
      <w:bookmarkEnd w:id="15"/>
    </w:p>
    <w:p w14:paraId="140DABFA" w14:textId="36914B02" w:rsidR="00C75BA5" w:rsidRPr="00D55507" w:rsidRDefault="009825BC"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In addition to non-recurring profits and losses, large asset impairment provisions are another common means used by loss-making listed companies to conceal the true profit situation, mainly by over-accruing asset impairment provisions or turning them back after no provision. Due to the strong subjectivity of the determination of asset impairment, there are certain obstacles in the actual determination of asset impairment by relevant departments, and there are asset impairment provisions that can be reversed, so the subjectivity of asset impairment provisions provides convenient conditions for the manipulation of earnings by loss-making listed companies. Some listed companies will choose to over-provision for asset impairment when the business conditions are better, so as to make less provision when necessary, so as to whitewash the performance of the enterprise, and thus provide greater convenience and flexibility for asset impairment. </w:t>
      </w:r>
    </w:p>
    <w:p w14:paraId="7EF75EE5" w14:textId="1216C215" w:rsidR="00C75BA5" w:rsidRPr="00B15CD3" w:rsidRDefault="00C75BA5" w:rsidP="00B15CD3">
      <w:pPr>
        <w:spacing w:beforeLines="50" w:before="156"/>
        <w:rPr>
          <w:rFonts w:ascii="Times New Roman" w:hAnsi="Times New Roman" w:cs="Times New Roman"/>
          <w:szCs w:val="24"/>
        </w:rPr>
      </w:pPr>
      <w:r w:rsidRPr="00B15CD3">
        <w:rPr>
          <w:rFonts w:ascii="Times New Roman" w:hAnsi="Times New Roman" w:cs="Times New Roman"/>
          <w:szCs w:val="24"/>
        </w:rPr>
        <w:t xml:space="preserve">Table </w:t>
      </w:r>
      <w:r w:rsidR="00923347" w:rsidRPr="00B15CD3">
        <w:rPr>
          <w:rFonts w:ascii="Times New Roman" w:hAnsi="Times New Roman" w:cs="Times New Roman"/>
          <w:szCs w:val="24"/>
        </w:rPr>
        <w:t>3</w:t>
      </w:r>
      <w:r w:rsidRPr="00B15CD3">
        <w:rPr>
          <w:rFonts w:ascii="Times New Roman" w:hAnsi="Times New Roman" w:cs="Times New Roman"/>
          <w:szCs w:val="24"/>
        </w:rPr>
        <w:t>.</w:t>
      </w:r>
      <w:r w:rsidR="00923347" w:rsidRPr="00B15CD3">
        <w:rPr>
          <w:rFonts w:ascii="Times New Roman" w:hAnsi="Times New Roman" w:cs="Times New Roman"/>
          <w:szCs w:val="24"/>
        </w:rPr>
        <w:t>4</w:t>
      </w:r>
      <w:r w:rsidRPr="00B15CD3">
        <w:rPr>
          <w:rFonts w:ascii="Times New Roman" w:hAnsi="Times New Roman" w:cs="Times New Roman"/>
          <w:szCs w:val="24"/>
        </w:rPr>
        <w:t xml:space="preserve"> Asset impairment losses of DT Telecom from 2016 to 2018(Unit: 100 million)</w:t>
      </w:r>
    </w:p>
    <w:tbl>
      <w:tblPr>
        <w:tblW w:w="8080" w:type="dxa"/>
        <w:tblBorders>
          <w:top w:val="single" w:sz="12" w:space="0" w:color="auto"/>
          <w:bottom w:val="single" w:sz="12" w:space="0" w:color="auto"/>
        </w:tblBorders>
        <w:tblLook w:val="04A0" w:firstRow="1" w:lastRow="0" w:firstColumn="1" w:lastColumn="0" w:noHBand="0" w:noVBand="1"/>
      </w:tblPr>
      <w:tblGrid>
        <w:gridCol w:w="3280"/>
        <w:gridCol w:w="960"/>
        <w:gridCol w:w="960"/>
        <w:gridCol w:w="960"/>
        <w:gridCol w:w="960"/>
        <w:gridCol w:w="960"/>
      </w:tblGrid>
      <w:tr w:rsidR="00C75BA5" w:rsidRPr="00C75BA5" w14:paraId="137C5EF3" w14:textId="77777777" w:rsidTr="004B1096">
        <w:trPr>
          <w:trHeight w:val="397"/>
        </w:trPr>
        <w:tc>
          <w:tcPr>
            <w:tcW w:w="3280" w:type="dxa"/>
            <w:tcBorders>
              <w:top w:val="single" w:sz="12" w:space="0" w:color="auto"/>
              <w:bottom w:val="single" w:sz="4" w:space="0" w:color="auto"/>
            </w:tcBorders>
            <w:shd w:val="clear" w:color="auto" w:fill="auto"/>
            <w:noWrap/>
            <w:vAlign w:val="center"/>
            <w:hideMark/>
          </w:tcPr>
          <w:p w14:paraId="0C9E8EB8"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project</w:t>
            </w:r>
          </w:p>
        </w:tc>
        <w:tc>
          <w:tcPr>
            <w:tcW w:w="960" w:type="dxa"/>
            <w:tcBorders>
              <w:top w:val="single" w:sz="12" w:space="0" w:color="auto"/>
              <w:bottom w:val="single" w:sz="4" w:space="0" w:color="auto"/>
            </w:tcBorders>
            <w:shd w:val="clear" w:color="auto" w:fill="auto"/>
            <w:noWrap/>
            <w:vAlign w:val="center"/>
            <w:hideMark/>
          </w:tcPr>
          <w:p w14:paraId="39D5DCFF"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2016</w:t>
            </w:r>
          </w:p>
        </w:tc>
        <w:tc>
          <w:tcPr>
            <w:tcW w:w="960" w:type="dxa"/>
            <w:tcBorders>
              <w:top w:val="single" w:sz="12" w:space="0" w:color="auto"/>
              <w:bottom w:val="single" w:sz="4" w:space="0" w:color="auto"/>
            </w:tcBorders>
            <w:shd w:val="clear" w:color="auto" w:fill="auto"/>
            <w:noWrap/>
            <w:vAlign w:val="center"/>
            <w:hideMark/>
          </w:tcPr>
          <w:p w14:paraId="5C8BE64C"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2017</w:t>
            </w:r>
          </w:p>
        </w:tc>
        <w:tc>
          <w:tcPr>
            <w:tcW w:w="960" w:type="dxa"/>
            <w:tcBorders>
              <w:top w:val="single" w:sz="12" w:space="0" w:color="auto"/>
              <w:bottom w:val="single" w:sz="4" w:space="0" w:color="auto"/>
            </w:tcBorders>
            <w:shd w:val="clear" w:color="auto" w:fill="auto"/>
            <w:noWrap/>
            <w:vAlign w:val="center"/>
            <w:hideMark/>
          </w:tcPr>
          <w:p w14:paraId="7E0ECC45"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2018</w:t>
            </w:r>
          </w:p>
        </w:tc>
        <w:tc>
          <w:tcPr>
            <w:tcW w:w="960" w:type="dxa"/>
            <w:tcBorders>
              <w:top w:val="single" w:sz="12" w:space="0" w:color="auto"/>
              <w:bottom w:val="single" w:sz="4" w:space="0" w:color="auto"/>
            </w:tcBorders>
            <w:shd w:val="clear" w:color="auto" w:fill="auto"/>
            <w:noWrap/>
            <w:vAlign w:val="center"/>
            <w:hideMark/>
          </w:tcPr>
          <w:p w14:paraId="18BF6B08"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2019</w:t>
            </w:r>
          </w:p>
        </w:tc>
        <w:tc>
          <w:tcPr>
            <w:tcW w:w="960" w:type="dxa"/>
            <w:tcBorders>
              <w:top w:val="single" w:sz="12" w:space="0" w:color="auto"/>
              <w:bottom w:val="single" w:sz="4" w:space="0" w:color="auto"/>
            </w:tcBorders>
            <w:shd w:val="clear" w:color="auto" w:fill="auto"/>
            <w:noWrap/>
            <w:vAlign w:val="center"/>
            <w:hideMark/>
          </w:tcPr>
          <w:p w14:paraId="0279BE0B"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2020</w:t>
            </w:r>
          </w:p>
        </w:tc>
      </w:tr>
      <w:tr w:rsidR="00C75BA5" w:rsidRPr="00C75BA5" w14:paraId="374EDB26" w14:textId="77777777" w:rsidTr="004B1096">
        <w:trPr>
          <w:trHeight w:val="397"/>
        </w:trPr>
        <w:tc>
          <w:tcPr>
            <w:tcW w:w="3280" w:type="dxa"/>
            <w:tcBorders>
              <w:top w:val="single" w:sz="4" w:space="0" w:color="auto"/>
            </w:tcBorders>
            <w:shd w:val="clear" w:color="auto" w:fill="auto"/>
            <w:noWrap/>
            <w:vAlign w:val="center"/>
            <w:hideMark/>
          </w:tcPr>
          <w:p w14:paraId="2553578A" w14:textId="45D0D2B1"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Asset impairment losses</w:t>
            </w:r>
          </w:p>
        </w:tc>
        <w:tc>
          <w:tcPr>
            <w:tcW w:w="960" w:type="dxa"/>
            <w:tcBorders>
              <w:top w:val="single" w:sz="4" w:space="0" w:color="auto"/>
            </w:tcBorders>
            <w:shd w:val="clear" w:color="auto" w:fill="auto"/>
            <w:noWrap/>
            <w:vAlign w:val="center"/>
            <w:hideMark/>
          </w:tcPr>
          <w:p w14:paraId="095209A6"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9.64</w:t>
            </w:r>
          </w:p>
        </w:tc>
        <w:tc>
          <w:tcPr>
            <w:tcW w:w="960" w:type="dxa"/>
            <w:tcBorders>
              <w:top w:val="single" w:sz="4" w:space="0" w:color="auto"/>
            </w:tcBorders>
            <w:shd w:val="clear" w:color="auto" w:fill="auto"/>
            <w:noWrap/>
            <w:vAlign w:val="center"/>
            <w:hideMark/>
          </w:tcPr>
          <w:p w14:paraId="2B48E7D8"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23.64</w:t>
            </w:r>
          </w:p>
        </w:tc>
        <w:tc>
          <w:tcPr>
            <w:tcW w:w="960" w:type="dxa"/>
            <w:tcBorders>
              <w:top w:val="single" w:sz="4" w:space="0" w:color="auto"/>
            </w:tcBorders>
            <w:shd w:val="clear" w:color="auto" w:fill="auto"/>
            <w:noWrap/>
            <w:vAlign w:val="center"/>
            <w:hideMark/>
          </w:tcPr>
          <w:p w14:paraId="26F30856"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2.9</w:t>
            </w:r>
          </w:p>
        </w:tc>
        <w:tc>
          <w:tcPr>
            <w:tcW w:w="960" w:type="dxa"/>
            <w:tcBorders>
              <w:top w:val="single" w:sz="4" w:space="0" w:color="auto"/>
            </w:tcBorders>
            <w:shd w:val="clear" w:color="auto" w:fill="auto"/>
            <w:noWrap/>
            <w:vAlign w:val="center"/>
            <w:hideMark/>
          </w:tcPr>
          <w:p w14:paraId="54938DED"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-1.99</w:t>
            </w:r>
          </w:p>
        </w:tc>
        <w:tc>
          <w:tcPr>
            <w:tcW w:w="960" w:type="dxa"/>
            <w:tcBorders>
              <w:top w:val="single" w:sz="4" w:space="0" w:color="auto"/>
            </w:tcBorders>
            <w:shd w:val="clear" w:color="auto" w:fill="auto"/>
            <w:noWrap/>
            <w:vAlign w:val="center"/>
            <w:hideMark/>
          </w:tcPr>
          <w:p w14:paraId="3BB8B043" w14:textId="77777777" w:rsidR="00C75BA5" w:rsidRPr="00C75BA5" w:rsidRDefault="00C75BA5" w:rsidP="004B1096">
            <w:pPr>
              <w:widowControl/>
              <w:jc w:val="center"/>
              <w:rPr>
                <w:rFonts w:ascii="Times New Roman" w:eastAsia="等线" w:hAnsi="Times New Roman" w:cs="Times New Roman"/>
                <w:color w:val="000000"/>
                <w:kern w:val="0"/>
                <w:szCs w:val="21"/>
              </w:rPr>
            </w:pPr>
            <w:r w:rsidRPr="00C75BA5">
              <w:rPr>
                <w:rFonts w:ascii="Times New Roman" w:eastAsia="等线" w:hAnsi="Times New Roman" w:cs="Times New Roman"/>
                <w:color w:val="000000"/>
                <w:kern w:val="0"/>
                <w:szCs w:val="21"/>
              </w:rPr>
              <w:t>-8.4</w:t>
            </w:r>
          </w:p>
        </w:tc>
      </w:tr>
    </w:tbl>
    <w:p w14:paraId="3ADA2682" w14:textId="77777777" w:rsidR="00C75BA5" w:rsidRPr="00B15CD3" w:rsidRDefault="00C75BA5" w:rsidP="00B15CD3">
      <w:pPr>
        <w:spacing w:afterLines="50" w:after="156"/>
        <w:rPr>
          <w:rFonts w:ascii="Times New Roman" w:hAnsi="Times New Roman" w:cs="Times New Roman"/>
          <w:szCs w:val="24"/>
        </w:rPr>
      </w:pPr>
      <w:r w:rsidRPr="00B15CD3">
        <w:rPr>
          <w:rFonts w:ascii="Times New Roman" w:hAnsi="Times New Roman" w:cs="Times New Roman"/>
          <w:szCs w:val="24"/>
        </w:rPr>
        <w:t xml:space="preserve">Source: Based on </w:t>
      </w:r>
      <w:proofErr w:type="spellStart"/>
      <w:r w:rsidRPr="00B15CD3">
        <w:rPr>
          <w:rFonts w:ascii="Times New Roman" w:hAnsi="Times New Roman" w:cs="Times New Roman"/>
          <w:szCs w:val="24"/>
        </w:rPr>
        <w:t>Datang</w:t>
      </w:r>
      <w:proofErr w:type="spellEnd"/>
      <w:r w:rsidRPr="00B15CD3">
        <w:rPr>
          <w:rFonts w:ascii="Times New Roman" w:hAnsi="Times New Roman" w:cs="Times New Roman"/>
          <w:szCs w:val="24"/>
        </w:rPr>
        <w:t xml:space="preserve"> Telecom's 2016-2020 financial reports</w:t>
      </w:r>
    </w:p>
    <w:p w14:paraId="52F53FAB" w14:textId="5AC3B5A2" w:rsidR="009825BC" w:rsidRPr="00D55507" w:rsidRDefault="009825BC"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According to Table </w:t>
      </w:r>
      <w:r w:rsidR="00923347" w:rsidRPr="00D55507">
        <w:rPr>
          <w:rFonts w:ascii="Times New Roman" w:hAnsi="Times New Roman" w:cs="Times New Roman"/>
          <w:kern w:val="0"/>
          <w:sz w:val="24"/>
          <w:szCs w:val="24"/>
          <w:lang w:val="en-GB" w:eastAsia="en-US"/>
        </w:rPr>
        <w:t>3</w:t>
      </w:r>
      <w:r w:rsidRPr="00D55507">
        <w:rPr>
          <w:rFonts w:ascii="Times New Roman" w:hAnsi="Times New Roman" w:cs="Times New Roman"/>
          <w:kern w:val="0"/>
          <w:sz w:val="24"/>
          <w:szCs w:val="24"/>
          <w:lang w:val="en-GB" w:eastAsia="en-US"/>
        </w:rPr>
        <w:t>.</w:t>
      </w:r>
      <w:r w:rsidR="00923347" w:rsidRPr="00D55507">
        <w:rPr>
          <w:rFonts w:ascii="Times New Roman" w:hAnsi="Times New Roman" w:cs="Times New Roman"/>
          <w:kern w:val="0"/>
          <w:sz w:val="24"/>
          <w:szCs w:val="24"/>
          <w:lang w:val="en-GB" w:eastAsia="en-US"/>
        </w:rPr>
        <w:t>4</w:t>
      </w:r>
      <w:r w:rsidRPr="00D55507">
        <w:rPr>
          <w:rFonts w:ascii="Times New Roman" w:hAnsi="Times New Roman" w:cs="Times New Roman"/>
          <w:kern w:val="0"/>
          <w:sz w:val="24"/>
          <w:szCs w:val="24"/>
          <w:lang w:val="en-GB" w:eastAsia="en-US"/>
        </w:rPr>
        <w:t xml:space="preserve">,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only recorded an asset impairment loss of 290 million yuan in 2018, a key year for shell protection, which was 2.074 billion yuan less than in 2017, a year-on-year decrease of 87.72%, which is obviously a very unreasonable situation.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2017 annual report revealed that the reason why it recorded a large amount of asset impairment in that year was mainly because it was expected that some accounts receivable would be difficult to collect, so it made provision for bad debts and the value of some of the company's inventory and intangible assets also decreased to varying degrees, and also made a large amount of impairment provisions for it. By making this concentrated provision for asset impairment in 2017, the asset impairment loss recognized in 2018 was significantly reduced, resulting in an increase in the level of net profit in 2018. At the same time, the formula can be used to further verify the impact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early centralized provision of asset impairment losses in 2017 on its net profit in 2018.</w:t>
      </w:r>
    </w:p>
    <w:p w14:paraId="20406D4E" w14:textId="4A33D7BB" w:rsidR="009825BC" w:rsidRDefault="009825BC" w:rsidP="004B1096">
      <w:pPr>
        <w:spacing w:line="360" w:lineRule="auto"/>
        <w:rPr>
          <w:rFonts w:ascii="Times New Roman" w:hAnsi="Times New Roman" w:cs="Times New Roman"/>
          <w:sz w:val="24"/>
          <w:szCs w:val="24"/>
        </w:rPr>
      </w:pPr>
      <m:oMath>
        <m:r>
          <m:rPr>
            <m:sty m:val="p"/>
          </m:rPr>
          <w:rPr>
            <w:rFonts w:ascii="Cambria Math" w:hAnsi="Cambria Math" w:cs="Times New Roman"/>
            <w:sz w:val="24"/>
            <w:szCs w:val="24"/>
          </w:rPr>
          <m:t>The contribution of asset impairment losses to profit growth=</m:t>
        </m:r>
        <m:f>
          <m:fPr>
            <m:ctrlPr>
              <w:rPr>
                <w:rFonts w:ascii="Cambria Math" w:hAnsi="Cambria Math" w:cs="Times New Roman"/>
                <w:sz w:val="24"/>
                <w:szCs w:val="24"/>
              </w:rPr>
            </m:ctrlPr>
          </m:fPr>
          <m:num>
            <m:r>
              <w:rPr>
                <w:rFonts w:ascii="Cambria Math" w:hAnsi="Cambria Math" w:cs="Times New Roman"/>
                <w:sz w:val="24"/>
                <w:szCs w:val="24"/>
              </w:rPr>
              <m:t>Reduction in asset impairment losses in 2018</m:t>
            </m:r>
          </m:num>
          <m:den>
            <m:r>
              <w:rPr>
                <w:rFonts w:ascii="Cambria Math" w:hAnsi="Cambria Math" w:cs="Times New Roman"/>
                <w:sz w:val="24"/>
                <w:szCs w:val="24"/>
              </w:rPr>
              <m:t>Net profit growth in 2018</m:t>
            </m:r>
          </m:den>
        </m:f>
      </m:oMath>
      <w:r>
        <w:rPr>
          <w:rFonts w:ascii="Times New Roman" w:hAnsi="Times New Roman" w:cs="Times New Roman" w:hint="eastAsia"/>
          <w:sz w:val="24"/>
          <w:szCs w:val="24"/>
        </w:rPr>
        <w:t>*</w:t>
      </w:r>
      <w:r>
        <w:rPr>
          <w:rFonts w:ascii="Times New Roman" w:hAnsi="Times New Roman" w:cs="Times New Roman"/>
          <w:sz w:val="24"/>
          <w:szCs w:val="24"/>
        </w:rPr>
        <w:t>100%=</w:t>
      </w:r>
      <m:oMath>
        <m:f>
          <m:fPr>
            <m:ctrlPr>
              <w:rPr>
                <w:rFonts w:ascii="Cambria Math" w:hAnsi="Cambria Math" w:cs="Times New Roman"/>
                <w:sz w:val="24"/>
                <w:szCs w:val="24"/>
              </w:rPr>
            </m:ctrlPr>
          </m:fPr>
          <m:num>
            <m:d>
              <m:dPr>
                <m:begChr m:val="|"/>
                <m:endChr m:val="|"/>
                <m:ctrlPr>
                  <w:rPr>
                    <w:rFonts w:ascii="Cambria Math" w:hAnsi="Cambria Math" w:cs="Times New Roman"/>
                    <w:i/>
                    <w:sz w:val="24"/>
                    <w:szCs w:val="24"/>
                  </w:rPr>
                </m:ctrlPr>
              </m:dPr>
              <m:e>
                <m:r>
                  <w:rPr>
                    <w:rFonts w:ascii="Cambria Math" w:hAnsi="Cambria Math" w:cs="Times New Roman"/>
                    <w:sz w:val="24"/>
                    <w:szCs w:val="24"/>
                  </w:rPr>
                  <m:t>2.90-23.64</m:t>
                </m:r>
              </m:e>
            </m:d>
          </m:num>
          <m:den>
            <m:r>
              <w:rPr>
                <w:rFonts w:ascii="Cambria Math" w:hAnsi="Cambria Math" w:cs="Times New Roman"/>
                <w:sz w:val="24"/>
                <w:szCs w:val="24"/>
              </w:rPr>
              <m:t>5.55-(-9.95)</m:t>
            </m:r>
          </m:den>
        </m:f>
        <m:r>
          <w:rPr>
            <w:rFonts w:ascii="Cambria Math" w:hAnsi="Cambria Math" w:cs="Times New Roman"/>
            <w:sz w:val="24"/>
            <w:szCs w:val="24"/>
          </w:rPr>
          <m:t>*100%=134%</m:t>
        </m:r>
      </m:oMath>
    </w:p>
    <w:p w14:paraId="3347E82A" w14:textId="75110473" w:rsidR="009825BC" w:rsidRPr="00D55507" w:rsidRDefault="009825BC" w:rsidP="00D55507">
      <w:pPr>
        <w:widowControl/>
        <w:spacing w:beforeLines="50" w:before="156"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In summary, recognizing asset impairment losses in advance or later has played an important role in earnings management, and has also played a pivotal role in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Telecom's success in "shell protection" in 2018.</w:t>
      </w:r>
    </w:p>
    <w:p w14:paraId="347A7FFD" w14:textId="5E040FE2" w:rsidR="00764679" w:rsidRDefault="00764679" w:rsidP="00764679">
      <w:pPr>
        <w:pStyle w:val="1"/>
        <w:spacing w:before="0" w:after="0" w:line="240" w:lineRule="auto"/>
        <w:rPr>
          <w:rFonts w:ascii="Times New Roman" w:hAnsi="Times New Roman" w:cs="Times New Roman"/>
          <w:sz w:val="28"/>
          <w:szCs w:val="24"/>
        </w:rPr>
      </w:pPr>
      <w:bookmarkStart w:id="16" w:name="_Toc130830430"/>
      <w:r w:rsidRPr="00634DFC">
        <w:rPr>
          <w:rFonts w:ascii="Times New Roman" w:hAnsi="Times New Roman" w:cs="Times New Roman"/>
          <w:sz w:val="28"/>
          <w:szCs w:val="24"/>
        </w:rPr>
        <w:t>4. Conclusion</w:t>
      </w:r>
      <w:bookmarkEnd w:id="16"/>
    </w:p>
    <w:p w14:paraId="63E3DE5A" w14:textId="77777777" w:rsidR="000723D8" w:rsidRPr="00D55507" w:rsidRDefault="000723D8"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This article first discusses the motivation of earnings management and the concept of earnings management of listed companies, and secondly, through the case evaluation of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a listed company in China, it is found that the strongest motivation for </w:t>
      </w: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to implement earnings management by means of asset disposal and non-recurring profits and losses is to reverse losses and protect shells. Although the result was a successful turnaround and a smooth shell, its operating ability and solvency have not been greatly improved, its stock price has not recovered to the pre-cap period, and even lost investors' confidence in the company's investment. Overall, the impact of implementing earnings management will do more harm than good in the long run. The main reason is that there are major deficiencies in the company's internal governance, as well as the imperfection of laws and regulations, and the lack of external supervision are also important factors for the company to dare to carry out earnings management.</w:t>
      </w:r>
    </w:p>
    <w:p w14:paraId="79360710" w14:textId="0AAE82FD" w:rsidR="00764679" w:rsidRDefault="00764679" w:rsidP="00764679">
      <w:pPr>
        <w:pStyle w:val="1"/>
        <w:spacing w:before="0" w:after="0" w:line="240" w:lineRule="auto"/>
        <w:rPr>
          <w:rFonts w:ascii="Times New Roman" w:hAnsi="Times New Roman" w:cs="Times New Roman"/>
          <w:sz w:val="28"/>
          <w:szCs w:val="24"/>
        </w:rPr>
      </w:pPr>
      <w:bookmarkStart w:id="17" w:name="_Toc130830431"/>
      <w:r w:rsidRPr="00634DFC">
        <w:rPr>
          <w:rFonts w:ascii="Times New Roman" w:hAnsi="Times New Roman" w:cs="Times New Roman"/>
          <w:sz w:val="28"/>
          <w:szCs w:val="24"/>
        </w:rPr>
        <w:t>5. Recommendations</w:t>
      </w:r>
      <w:bookmarkEnd w:id="17"/>
    </w:p>
    <w:p w14:paraId="613EFD68" w14:textId="16F8DADB" w:rsidR="009F7ADF" w:rsidRPr="002378AF" w:rsidRDefault="002378AF" w:rsidP="002378AF">
      <w:pPr>
        <w:outlineLvl w:val="1"/>
        <w:rPr>
          <w:rFonts w:ascii="Times New Roman" w:hAnsi="Times New Roman" w:cs="Times New Roman"/>
          <w:b/>
          <w:sz w:val="28"/>
          <w:szCs w:val="24"/>
        </w:rPr>
      </w:pPr>
      <w:bookmarkStart w:id="18" w:name="_Toc130830432"/>
      <w:r>
        <w:rPr>
          <w:rFonts w:ascii="Times New Roman" w:hAnsi="Times New Roman" w:cs="Times New Roman" w:hint="eastAsia"/>
          <w:b/>
          <w:sz w:val="28"/>
          <w:szCs w:val="24"/>
        </w:rPr>
        <w:t>5</w:t>
      </w:r>
      <w:r>
        <w:rPr>
          <w:rFonts w:ascii="Times New Roman" w:hAnsi="Times New Roman" w:cs="Times New Roman"/>
          <w:b/>
          <w:sz w:val="28"/>
          <w:szCs w:val="24"/>
        </w:rPr>
        <w:t xml:space="preserve">.1 </w:t>
      </w:r>
      <w:r w:rsidRPr="002378AF">
        <w:rPr>
          <w:rFonts w:ascii="Times New Roman" w:hAnsi="Times New Roman" w:cs="Times New Roman"/>
          <w:b/>
          <w:sz w:val="28"/>
          <w:szCs w:val="24"/>
        </w:rPr>
        <w:t>Optimize the shareholding structure and lay the foundation for the internal governance structure</w:t>
      </w:r>
      <w:bookmarkEnd w:id="18"/>
    </w:p>
    <w:p w14:paraId="43639075" w14:textId="77777777" w:rsidR="002378AF" w:rsidRPr="00D55507" w:rsidRDefault="002378A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Equity structure is the cornerstone of a company's internal governance, and a reasonable equity structure lays a good structural foundation for the efficiency and effectiveness of corporate governance through checks and balances based on ultimate ownership, and also creates a good internal environment for high-quality accounting information disclosure. On the one hand, it is necessary to actively develop institutional investors and introduce the supervision power of institutional investors; On the other hand, it is also necessary to protect the rights and interests of small and medium-sized shareholders and strengthen the supervision power of small and medium-sized shareholders.</w:t>
      </w:r>
    </w:p>
    <w:p w14:paraId="41281383" w14:textId="370A1210" w:rsidR="00366E34" w:rsidRPr="002378AF" w:rsidRDefault="002378AF" w:rsidP="002378AF">
      <w:pPr>
        <w:outlineLvl w:val="1"/>
        <w:rPr>
          <w:rFonts w:ascii="Times New Roman" w:hAnsi="Times New Roman" w:cs="Times New Roman"/>
          <w:b/>
          <w:sz w:val="28"/>
          <w:szCs w:val="24"/>
        </w:rPr>
      </w:pPr>
      <w:bookmarkStart w:id="19" w:name="_Toc130830433"/>
      <w:r>
        <w:rPr>
          <w:rFonts w:ascii="Times New Roman" w:hAnsi="Times New Roman" w:cs="Times New Roman" w:hint="eastAsia"/>
          <w:b/>
          <w:sz w:val="28"/>
          <w:szCs w:val="24"/>
        </w:rPr>
        <w:t>5</w:t>
      </w:r>
      <w:r>
        <w:rPr>
          <w:rFonts w:ascii="Times New Roman" w:hAnsi="Times New Roman" w:cs="Times New Roman"/>
          <w:b/>
          <w:sz w:val="28"/>
          <w:szCs w:val="24"/>
        </w:rPr>
        <w:t xml:space="preserve">.2 </w:t>
      </w:r>
      <w:r w:rsidRPr="002378AF">
        <w:rPr>
          <w:rFonts w:ascii="Times New Roman" w:hAnsi="Times New Roman" w:cs="Times New Roman"/>
          <w:b/>
          <w:sz w:val="28"/>
          <w:szCs w:val="24"/>
        </w:rPr>
        <w:t>Improve the structure of the board of directors and strengthen the functions of the board of directors</w:t>
      </w:r>
      <w:bookmarkEnd w:id="19"/>
    </w:p>
    <w:p w14:paraId="798B894E" w14:textId="77777777" w:rsidR="002378AF" w:rsidRPr="00D55507" w:rsidRDefault="002378A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As the power center of the company's internal governance structure, the board of directors undoubtedly plays a central role in improving the efficiency of the company's </w:t>
      </w:r>
      <w:r w:rsidRPr="00D55507">
        <w:rPr>
          <w:rFonts w:ascii="Times New Roman" w:hAnsi="Times New Roman" w:cs="Times New Roman"/>
          <w:kern w:val="0"/>
          <w:sz w:val="24"/>
          <w:szCs w:val="24"/>
          <w:lang w:val="en-GB" w:eastAsia="en-US"/>
        </w:rPr>
        <w:lastRenderedPageBreak/>
        <w:t>internal governance, and the board of directors with efficient operation can exert effective supervision over the accounting activities of the company's management personnel. On the one hand, listed companies should improve the selection mechanism of board members and curb the "phenomenon of insider control"; On the other hand, it is necessary to improve the independence of independent directors and give full play to the functions of independent directors.</w:t>
      </w:r>
    </w:p>
    <w:p w14:paraId="11B6DAB2" w14:textId="2CDF39BB" w:rsidR="00366E34" w:rsidRPr="002378AF" w:rsidRDefault="002378AF" w:rsidP="002378AF">
      <w:pPr>
        <w:outlineLvl w:val="1"/>
        <w:rPr>
          <w:rFonts w:ascii="Times New Roman" w:hAnsi="Times New Roman" w:cs="Times New Roman"/>
          <w:b/>
          <w:sz w:val="28"/>
          <w:szCs w:val="24"/>
        </w:rPr>
      </w:pPr>
      <w:bookmarkStart w:id="20" w:name="_Toc130830434"/>
      <w:r>
        <w:rPr>
          <w:rFonts w:ascii="Times New Roman" w:hAnsi="Times New Roman" w:cs="Times New Roman" w:hint="eastAsia"/>
          <w:b/>
          <w:sz w:val="28"/>
          <w:szCs w:val="24"/>
        </w:rPr>
        <w:t>5</w:t>
      </w:r>
      <w:r>
        <w:rPr>
          <w:rFonts w:ascii="Times New Roman" w:hAnsi="Times New Roman" w:cs="Times New Roman"/>
          <w:b/>
          <w:sz w:val="28"/>
          <w:szCs w:val="24"/>
        </w:rPr>
        <w:t xml:space="preserve">.3 </w:t>
      </w:r>
      <w:r w:rsidRPr="002378AF">
        <w:rPr>
          <w:rFonts w:ascii="Times New Roman" w:hAnsi="Times New Roman" w:cs="Times New Roman"/>
          <w:b/>
          <w:sz w:val="28"/>
          <w:szCs w:val="24"/>
        </w:rPr>
        <w:t>Improve the operation mechanism of the board of supervisors and raise the governance level of the board of supervisors</w:t>
      </w:r>
      <w:bookmarkEnd w:id="20"/>
    </w:p>
    <w:p w14:paraId="380CC02A" w14:textId="77777777" w:rsidR="002378AF" w:rsidRPr="00D55507" w:rsidRDefault="002378AF" w:rsidP="00D55507">
      <w:pPr>
        <w:widowControl/>
        <w:spacing w:afterLines="50" w:after="156"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As the representative of the various stakeholders of a listed company, the Supervisory Board plays a central role in the internal supervision of the quality of the company's accounting information disclosure, and the power set parallel to the Board of Directors gives the Supervisory Board a strong supervisory function. Listed companies should attach importance to the strength of external supervisors, improve their independence, improve the professional ability of members of the board of supervisors, strengthen the quality of members of the board of supervisors, and reasonably distribute rights and responsibilities between independent directors and the board of supervisors.</w:t>
      </w:r>
    </w:p>
    <w:p w14:paraId="2873E592" w14:textId="4E78561C" w:rsidR="00366E34" w:rsidRPr="002378AF" w:rsidRDefault="002378AF" w:rsidP="002378AF">
      <w:pPr>
        <w:outlineLvl w:val="1"/>
        <w:rPr>
          <w:rFonts w:ascii="Times New Roman" w:hAnsi="Times New Roman" w:cs="Times New Roman"/>
          <w:b/>
          <w:sz w:val="28"/>
          <w:szCs w:val="24"/>
        </w:rPr>
      </w:pPr>
      <w:bookmarkStart w:id="21" w:name="_Toc130830435"/>
      <w:r>
        <w:rPr>
          <w:rFonts w:ascii="Times New Roman" w:hAnsi="Times New Roman" w:cs="Times New Roman" w:hint="eastAsia"/>
          <w:b/>
          <w:sz w:val="28"/>
          <w:szCs w:val="24"/>
        </w:rPr>
        <w:t>5</w:t>
      </w:r>
      <w:r>
        <w:rPr>
          <w:rFonts w:ascii="Times New Roman" w:hAnsi="Times New Roman" w:cs="Times New Roman"/>
          <w:b/>
          <w:sz w:val="28"/>
          <w:szCs w:val="24"/>
        </w:rPr>
        <w:t xml:space="preserve">.4 </w:t>
      </w:r>
      <w:r w:rsidRPr="002378AF">
        <w:rPr>
          <w:rFonts w:ascii="Times New Roman" w:hAnsi="Times New Roman" w:cs="Times New Roman"/>
          <w:b/>
          <w:sz w:val="28"/>
          <w:szCs w:val="24"/>
        </w:rPr>
        <w:t>Promote the further construction of professional committees and fully realize the functions of professional committees</w:t>
      </w:r>
      <w:bookmarkEnd w:id="21"/>
    </w:p>
    <w:p w14:paraId="38855120" w14:textId="0AE1DF2E" w:rsidR="00D55507" w:rsidRPr="00D55507" w:rsidRDefault="002378AF" w:rsidP="00D55507">
      <w:pPr>
        <w:widowControl/>
        <w:spacing w:afterLines="50" w:after="156" w:line="259" w:lineRule="auto"/>
        <w:rPr>
          <w:rFonts w:ascii="Times New Roman" w:hAnsi="Times New Roman" w:cs="Times New Roman"/>
          <w:kern w:val="0"/>
          <w:sz w:val="24"/>
          <w:szCs w:val="24"/>
          <w:lang w:val="en-GB" w:eastAsia="en-US"/>
        </w:rPr>
      </w:pPr>
      <w:bookmarkStart w:id="22" w:name="_Toc122018716"/>
      <w:r w:rsidRPr="00D55507">
        <w:rPr>
          <w:rFonts w:ascii="Times New Roman" w:hAnsi="Times New Roman" w:cs="Times New Roman"/>
          <w:kern w:val="0"/>
          <w:sz w:val="24"/>
          <w:szCs w:val="24"/>
          <w:lang w:val="en-GB" w:eastAsia="en-US"/>
        </w:rPr>
        <w:t>As a common permanent body in listed companies in the United Kingdom and the United States, the professional committee of the board of directors plays an important role in making up for the shortcomings of the board of directors itself. On the one hand, the professional committee exercises the specific functions of the board of directors and improves the efficiency of the board of directors; On the other hand, the behavior of supervisors, managers, especially accounting behavior, has become an important part of the internal governance structure of British and American companies. Professional committees generally include audit committees, remuneration committees, nomination committees, etc., among which audit committees play a central role in supervising the quality of accounting information disclosure.</w:t>
      </w:r>
      <w:bookmarkStart w:id="23" w:name="_Toc130830436"/>
    </w:p>
    <w:p w14:paraId="2E43780A" w14:textId="7A4EB511" w:rsidR="005C7311" w:rsidRDefault="005C7311" w:rsidP="005C7311">
      <w:pPr>
        <w:outlineLvl w:val="0"/>
        <w:rPr>
          <w:rFonts w:ascii="Times New Roman" w:hAnsi="Times New Roman" w:cs="Times New Roman"/>
          <w:b/>
          <w:sz w:val="28"/>
          <w:szCs w:val="24"/>
        </w:rPr>
      </w:pPr>
      <w:r w:rsidRPr="00BB36CF">
        <w:rPr>
          <w:rFonts w:ascii="Times New Roman" w:hAnsi="Times New Roman" w:cs="Times New Roman"/>
          <w:b/>
          <w:sz w:val="28"/>
          <w:szCs w:val="24"/>
        </w:rPr>
        <w:t>References</w:t>
      </w:r>
      <w:bookmarkEnd w:id="22"/>
      <w:bookmarkEnd w:id="23"/>
    </w:p>
    <w:p w14:paraId="01529270"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Amy Patricia Sweeney, (1994) ‘Debt covenant violations and managers &amp; accounting responses’, </w:t>
      </w:r>
      <w:r w:rsidRPr="00D55507">
        <w:rPr>
          <w:rFonts w:ascii="Times New Roman" w:hAnsi="Times New Roman" w:cs="Times New Roman"/>
          <w:i/>
          <w:kern w:val="0"/>
          <w:sz w:val="24"/>
          <w:szCs w:val="24"/>
          <w:lang w:val="en-GB" w:eastAsia="en-US"/>
        </w:rPr>
        <w:t>Journal of Accounting and Economics</w:t>
      </w:r>
      <w:r w:rsidRPr="00D55507">
        <w:rPr>
          <w:rFonts w:ascii="Times New Roman" w:hAnsi="Times New Roman" w:cs="Times New Roman"/>
          <w:kern w:val="0"/>
          <w:sz w:val="24"/>
          <w:szCs w:val="24"/>
          <w:lang w:val="en-GB" w:eastAsia="en-US"/>
        </w:rPr>
        <w:t>, 17(3), pp. 281-308.</w:t>
      </w:r>
    </w:p>
    <w:p w14:paraId="1E3735E9"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Aharony</w:t>
      </w:r>
      <w:proofErr w:type="spellEnd"/>
      <w:r w:rsidRPr="00D55507">
        <w:rPr>
          <w:rFonts w:ascii="Times New Roman" w:hAnsi="Times New Roman" w:cs="Times New Roman"/>
          <w:kern w:val="0"/>
          <w:sz w:val="24"/>
          <w:szCs w:val="24"/>
          <w:lang w:val="en-GB" w:eastAsia="en-US"/>
        </w:rPr>
        <w:t xml:space="preserve"> J., C.W.J. Lee, T.J. Wong. (2000) ‘Financial packaging of IPO firms in China’, </w:t>
      </w:r>
      <w:r w:rsidRPr="00D55507">
        <w:rPr>
          <w:rFonts w:ascii="Times New Roman" w:hAnsi="Times New Roman" w:cs="Times New Roman"/>
          <w:i/>
          <w:kern w:val="0"/>
          <w:sz w:val="24"/>
          <w:szCs w:val="24"/>
          <w:lang w:val="en-GB" w:eastAsia="en-US"/>
        </w:rPr>
        <w:t>Journal of Accounting Research</w:t>
      </w:r>
      <w:r w:rsidRPr="00D55507">
        <w:rPr>
          <w:rFonts w:ascii="Times New Roman" w:hAnsi="Times New Roman" w:cs="Times New Roman"/>
          <w:kern w:val="0"/>
          <w:sz w:val="24"/>
          <w:szCs w:val="24"/>
          <w:lang w:val="en-GB" w:eastAsia="en-US"/>
        </w:rPr>
        <w:t>, 38(1), pp. 103-126.</w:t>
      </w:r>
    </w:p>
    <w:p w14:paraId="35D34A3D"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lastRenderedPageBreak/>
        <w:t xml:space="preserve">Andrzej </w:t>
      </w:r>
      <w:proofErr w:type="spellStart"/>
      <w:r w:rsidRPr="00D55507">
        <w:rPr>
          <w:rFonts w:ascii="Times New Roman" w:hAnsi="Times New Roman" w:cs="Times New Roman"/>
          <w:kern w:val="0"/>
          <w:sz w:val="24"/>
          <w:szCs w:val="24"/>
          <w:lang w:val="en-GB" w:eastAsia="en-US"/>
        </w:rPr>
        <w:t>Piosik</w:t>
      </w:r>
      <w:proofErr w:type="spellEnd"/>
      <w:r w:rsidRPr="00D55507">
        <w:rPr>
          <w:rFonts w:ascii="Times New Roman" w:hAnsi="Times New Roman" w:cs="Times New Roman"/>
          <w:kern w:val="0"/>
          <w:sz w:val="24"/>
          <w:szCs w:val="24"/>
          <w:lang w:val="en-GB" w:eastAsia="en-US"/>
        </w:rPr>
        <w:t xml:space="preserve">, </w:t>
      </w:r>
      <w:proofErr w:type="spellStart"/>
      <w:r w:rsidRPr="00D55507">
        <w:rPr>
          <w:rFonts w:ascii="Times New Roman" w:hAnsi="Times New Roman" w:cs="Times New Roman"/>
          <w:kern w:val="0"/>
          <w:sz w:val="24"/>
          <w:szCs w:val="24"/>
          <w:lang w:val="en-GB" w:eastAsia="en-US"/>
        </w:rPr>
        <w:t>Ewa</w:t>
      </w:r>
      <w:proofErr w:type="spellEnd"/>
      <w:r w:rsidRPr="00D55507">
        <w:rPr>
          <w:rFonts w:ascii="Times New Roman" w:hAnsi="Times New Roman" w:cs="Times New Roman"/>
          <w:kern w:val="0"/>
          <w:sz w:val="24"/>
          <w:szCs w:val="24"/>
          <w:lang w:val="en-GB" w:eastAsia="en-US"/>
        </w:rPr>
        <w:t xml:space="preserve"> </w:t>
      </w:r>
      <w:proofErr w:type="spellStart"/>
      <w:r w:rsidRPr="00D55507">
        <w:rPr>
          <w:rFonts w:ascii="Times New Roman" w:hAnsi="Times New Roman" w:cs="Times New Roman"/>
          <w:kern w:val="0"/>
          <w:sz w:val="24"/>
          <w:szCs w:val="24"/>
          <w:lang w:val="en-GB" w:eastAsia="en-US"/>
        </w:rPr>
        <w:t>Genge</w:t>
      </w:r>
      <w:proofErr w:type="spellEnd"/>
      <w:r w:rsidRPr="00D55507">
        <w:rPr>
          <w:rFonts w:ascii="Times New Roman" w:hAnsi="Times New Roman" w:cs="Times New Roman"/>
          <w:kern w:val="0"/>
          <w:sz w:val="24"/>
          <w:szCs w:val="24"/>
          <w:lang w:val="en-GB" w:eastAsia="en-US"/>
        </w:rPr>
        <w:t xml:space="preserve">, (2020) ‘Earnings management prior to mergers and acquisitions: The role of acquirers’ ownership structures. Evidence from Poland’, </w:t>
      </w:r>
      <w:r w:rsidRPr="00D55507">
        <w:rPr>
          <w:rFonts w:ascii="Times New Roman" w:hAnsi="Times New Roman" w:cs="Times New Roman"/>
          <w:i/>
          <w:kern w:val="0"/>
          <w:sz w:val="24"/>
          <w:szCs w:val="24"/>
          <w:lang w:val="en-GB" w:eastAsia="en-US"/>
        </w:rPr>
        <w:t>Procedia Computer Science</w:t>
      </w:r>
      <w:r w:rsidRPr="00D55507">
        <w:rPr>
          <w:rFonts w:ascii="Times New Roman" w:hAnsi="Times New Roman" w:cs="Times New Roman"/>
          <w:kern w:val="0"/>
          <w:sz w:val="24"/>
          <w:szCs w:val="24"/>
          <w:lang w:val="en-GB" w:eastAsia="en-US"/>
        </w:rPr>
        <w:t>, 176, pp. 1299-1311.</w:t>
      </w:r>
    </w:p>
    <w:p w14:paraId="2F45F06F"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Bergstresser</w:t>
      </w:r>
      <w:proofErr w:type="spellEnd"/>
      <w:r w:rsidRPr="00D55507">
        <w:rPr>
          <w:rFonts w:ascii="Times New Roman" w:hAnsi="Times New Roman" w:cs="Times New Roman"/>
          <w:kern w:val="0"/>
          <w:sz w:val="24"/>
          <w:szCs w:val="24"/>
          <w:lang w:val="en-GB" w:eastAsia="en-US"/>
        </w:rPr>
        <w:t xml:space="preserve"> D., Philippon T. (2006) ‘CEO incentives and earnings management’, </w:t>
      </w:r>
      <w:r w:rsidRPr="00D55507">
        <w:rPr>
          <w:rFonts w:ascii="Times New Roman" w:hAnsi="Times New Roman" w:cs="Times New Roman"/>
          <w:i/>
          <w:kern w:val="0"/>
          <w:sz w:val="24"/>
          <w:szCs w:val="24"/>
          <w:lang w:val="en-GB" w:eastAsia="en-US"/>
        </w:rPr>
        <w:t>Journal of Financial Economics,</w:t>
      </w:r>
      <w:r w:rsidRPr="00D55507">
        <w:rPr>
          <w:rFonts w:ascii="Times New Roman" w:hAnsi="Times New Roman" w:cs="Times New Roman"/>
          <w:kern w:val="0"/>
          <w:sz w:val="24"/>
          <w:szCs w:val="24"/>
          <w:lang w:val="en-GB" w:eastAsia="en-US"/>
        </w:rPr>
        <w:t xml:space="preserve"> 80(3), pp. 511-529. </w:t>
      </w:r>
    </w:p>
    <w:p w14:paraId="14441360" w14:textId="12A7F796" w:rsidR="00D22D71" w:rsidRPr="00D55507" w:rsidRDefault="00D22D71"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Barua</w:t>
      </w:r>
      <w:proofErr w:type="spellEnd"/>
      <w:r w:rsidRPr="00D55507">
        <w:rPr>
          <w:rFonts w:ascii="Times New Roman" w:hAnsi="Times New Roman" w:cs="Times New Roman"/>
          <w:kern w:val="0"/>
          <w:sz w:val="24"/>
          <w:szCs w:val="24"/>
          <w:lang w:val="en-GB" w:eastAsia="en-US"/>
        </w:rPr>
        <w:t xml:space="preserve">, A. L. F. Davidson, D. V. Rama, S. </w:t>
      </w:r>
      <w:proofErr w:type="spellStart"/>
      <w:r w:rsidRPr="00D55507">
        <w:rPr>
          <w:rFonts w:ascii="Times New Roman" w:hAnsi="Times New Roman" w:cs="Times New Roman"/>
          <w:kern w:val="0"/>
          <w:sz w:val="24"/>
          <w:szCs w:val="24"/>
          <w:lang w:val="en-GB" w:eastAsia="en-US"/>
        </w:rPr>
        <w:t>Thiruvadi</w:t>
      </w:r>
      <w:proofErr w:type="spellEnd"/>
      <w:r w:rsidRPr="00D55507">
        <w:rPr>
          <w:rFonts w:ascii="Times New Roman" w:hAnsi="Times New Roman" w:cs="Times New Roman"/>
          <w:kern w:val="0"/>
          <w:sz w:val="24"/>
          <w:szCs w:val="24"/>
          <w:lang w:val="en-GB" w:eastAsia="en-US"/>
        </w:rPr>
        <w:t>. (2010) ‘CFO Gender and Accruals Quality’,</w:t>
      </w:r>
      <w:r w:rsidRPr="00D55507">
        <w:rPr>
          <w:rFonts w:ascii="Times New Roman" w:hAnsi="Times New Roman" w:cs="Times New Roman"/>
          <w:i/>
          <w:kern w:val="0"/>
          <w:sz w:val="24"/>
          <w:szCs w:val="24"/>
          <w:lang w:val="en-GB" w:eastAsia="en-US"/>
        </w:rPr>
        <w:t xml:space="preserve"> Accounting Horizons</w:t>
      </w:r>
      <w:r w:rsidRPr="00D55507">
        <w:rPr>
          <w:rFonts w:ascii="Times New Roman" w:hAnsi="Times New Roman" w:cs="Times New Roman"/>
          <w:kern w:val="0"/>
          <w:sz w:val="24"/>
          <w:szCs w:val="24"/>
          <w:lang w:val="en-GB" w:eastAsia="en-US"/>
        </w:rPr>
        <w:t>, 24(1), pp. 25-39.</w:t>
      </w:r>
    </w:p>
    <w:p w14:paraId="25596BE6"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Badertscher</w:t>
      </w:r>
      <w:proofErr w:type="spellEnd"/>
      <w:r w:rsidRPr="00D55507">
        <w:rPr>
          <w:rFonts w:ascii="Times New Roman" w:hAnsi="Times New Roman" w:cs="Times New Roman"/>
          <w:kern w:val="0"/>
          <w:sz w:val="24"/>
          <w:szCs w:val="24"/>
          <w:lang w:val="en-GB" w:eastAsia="en-US"/>
        </w:rPr>
        <w:t xml:space="preserve"> B A. (2011) ‘Overvaluation and the Choice of Alternative Earnings Management Mechanisms’, </w:t>
      </w:r>
      <w:r w:rsidRPr="00D55507">
        <w:rPr>
          <w:rFonts w:ascii="Times New Roman" w:hAnsi="Times New Roman" w:cs="Times New Roman"/>
          <w:i/>
          <w:kern w:val="0"/>
          <w:sz w:val="24"/>
          <w:szCs w:val="24"/>
          <w:lang w:val="en-GB" w:eastAsia="en-US"/>
        </w:rPr>
        <w:t>Accounting Review</w:t>
      </w:r>
      <w:r w:rsidRPr="00D55507">
        <w:rPr>
          <w:rFonts w:ascii="Times New Roman" w:hAnsi="Times New Roman" w:cs="Times New Roman"/>
          <w:kern w:val="0"/>
          <w:sz w:val="24"/>
          <w:szCs w:val="24"/>
          <w:lang w:val="en-GB" w:eastAsia="en-US"/>
        </w:rPr>
        <w:t>, 11(5), pp. 163-192.</w:t>
      </w:r>
    </w:p>
    <w:p w14:paraId="2729937E"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Cormier, D. </w:t>
      </w:r>
      <w:proofErr w:type="spellStart"/>
      <w:r w:rsidRPr="00D55507">
        <w:rPr>
          <w:rFonts w:ascii="Times New Roman" w:hAnsi="Times New Roman" w:cs="Times New Roman"/>
          <w:kern w:val="0"/>
          <w:sz w:val="24"/>
          <w:szCs w:val="24"/>
          <w:lang w:val="en-GB" w:eastAsia="en-US"/>
        </w:rPr>
        <w:t>Magnan</w:t>
      </w:r>
      <w:proofErr w:type="spellEnd"/>
      <w:r w:rsidRPr="00D55507">
        <w:rPr>
          <w:rFonts w:ascii="Times New Roman" w:hAnsi="Times New Roman" w:cs="Times New Roman"/>
          <w:kern w:val="0"/>
          <w:sz w:val="24"/>
          <w:szCs w:val="24"/>
          <w:lang w:val="en-GB" w:eastAsia="en-US"/>
        </w:rPr>
        <w:t>, M. (2006) ‘Intra-industry imitation in corporate environmental reporting: an international perspective’,</w:t>
      </w:r>
      <w:r w:rsidRPr="00D55507">
        <w:rPr>
          <w:rFonts w:ascii="Times New Roman" w:hAnsi="Times New Roman" w:cs="Times New Roman"/>
          <w:i/>
          <w:kern w:val="0"/>
          <w:sz w:val="24"/>
          <w:szCs w:val="24"/>
          <w:lang w:val="en-GB" w:eastAsia="en-US"/>
        </w:rPr>
        <w:t xml:space="preserve"> Journal of Accounting and Public Policy</w:t>
      </w:r>
      <w:r w:rsidRPr="00D55507">
        <w:rPr>
          <w:rFonts w:ascii="Times New Roman" w:hAnsi="Times New Roman" w:cs="Times New Roman"/>
          <w:kern w:val="0"/>
          <w:sz w:val="24"/>
          <w:szCs w:val="24"/>
          <w:lang w:val="en-GB" w:eastAsia="en-US"/>
        </w:rPr>
        <w:t>, 25(3), pp. 299-331.</w:t>
      </w:r>
    </w:p>
    <w:p w14:paraId="2E36CBDF"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De Angelo H. De Angelo L. and Skinner D. J. (1994) ‘Accounting Choice in Troubled Companies’, </w:t>
      </w:r>
      <w:r w:rsidRPr="00D55507">
        <w:rPr>
          <w:rFonts w:ascii="Times New Roman" w:hAnsi="Times New Roman" w:cs="Times New Roman"/>
          <w:i/>
          <w:kern w:val="0"/>
          <w:sz w:val="24"/>
          <w:szCs w:val="24"/>
          <w:lang w:val="en-GB" w:eastAsia="en-US"/>
        </w:rPr>
        <w:t>Accounting and Economics</w:t>
      </w:r>
      <w:r w:rsidRPr="00D55507">
        <w:rPr>
          <w:rFonts w:ascii="Times New Roman" w:hAnsi="Times New Roman" w:cs="Times New Roman"/>
          <w:kern w:val="0"/>
          <w:sz w:val="24"/>
          <w:szCs w:val="24"/>
          <w:lang w:val="en-GB" w:eastAsia="en-US"/>
        </w:rPr>
        <w:t>, 17(2), pp. 113-143.</w:t>
      </w:r>
    </w:p>
    <w:p w14:paraId="4AFB28AE"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Dichev</w:t>
      </w:r>
      <w:proofErr w:type="spellEnd"/>
      <w:r w:rsidRPr="00D55507">
        <w:rPr>
          <w:rFonts w:ascii="Times New Roman" w:hAnsi="Times New Roman" w:cs="Times New Roman"/>
          <w:kern w:val="0"/>
          <w:sz w:val="24"/>
          <w:szCs w:val="24"/>
          <w:lang w:val="en-GB" w:eastAsia="en-US"/>
        </w:rPr>
        <w:t xml:space="preserve"> I.D, Skinner D.J. (2002) ‘Large-sample evidence on the debt covenant hypothesis’, </w:t>
      </w:r>
      <w:r w:rsidRPr="00D55507">
        <w:rPr>
          <w:rFonts w:ascii="Times New Roman" w:hAnsi="Times New Roman" w:cs="Times New Roman"/>
          <w:i/>
          <w:kern w:val="0"/>
          <w:sz w:val="24"/>
          <w:szCs w:val="24"/>
          <w:lang w:val="en-GB" w:eastAsia="en-US"/>
        </w:rPr>
        <w:t>Journal of Accounting Research</w:t>
      </w:r>
      <w:r w:rsidRPr="00D55507">
        <w:rPr>
          <w:rFonts w:ascii="Times New Roman" w:hAnsi="Times New Roman" w:cs="Times New Roman"/>
          <w:kern w:val="0"/>
          <w:sz w:val="24"/>
          <w:szCs w:val="24"/>
          <w:lang w:val="en-GB" w:eastAsia="en-US"/>
        </w:rPr>
        <w:t>, 40(4), pp. 1091-1123.</w:t>
      </w:r>
    </w:p>
    <w:p w14:paraId="313311D2"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Technology Co., Ltd. (2016) Annual report 2016.</w:t>
      </w:r>
      <w:r w:rsidRPr="00D55507">
        <w:rPr>
          <w:rFonts w:ascii="Times New Roman" w:hAnsi="Times New Roman" w:cs="Times New Roman" w:hint="eastAsia"/>
          <w:kern w:val="0"/>
          <w:sz w:val="24"/>
          <w:szCs w:val="24"/>
          <w:lang w:val="en-GB" w:eastAsia="en-US"/>
        </w:rPr>
        <w:t xml:space="preserve"> </w:t>
      </w:r>
      <w:r w:rsidRPr="00D55507">
        <w:rPr>
          <w:rFonts w:ascii="Times New Roman" w:hAnsi="Times New Roman" w:cs="Times New Roman"/>
          <w:kern w:val="0"/>
          <w:sz w:val="24"/>
          <w:szCs w:val="24"/>
          <w:lang w:val="en-GB" w:eastAsia="en-US"/>
        </w:rPr>
        <w:t>Available at: https://www.datang.com/investorrelations/14936884605042952.html (Accessed: 7 M</w:t>
      </w:r>
      <w:r w:rsidRPr="00D55507">
        <w:rPr>
          <w:rFonts w:ascii="Times New Roman" w:hAnsi="Times New Roman" w:cs="Times New Roman" w:hint="eastAsia"/>
          <w:kern w:val="0"/>
          <w:sz w:val="24"/>
          <w:szCs w:val="24"/>
          <w:lang w:val="en-GB" w:eastAsia="en-US"/>
        </w:rPr>
        <w:t>arch</w:t>
      </w:r>
      <w:r w:rsidRPr="00D55507">
        <w:rPr>
          <w:rFonts w:ascii="Times New Roman" w:hAnsi="Times New Roman" w:cs="Times New Roman"/>
          <w:kern w:val="0"/>
          <w:sz w:val="24"/>
          <w:szCs w:val="24"/>
          <w:lang w:val="en-GB" w:eastAsia="en-US"/>
        </w:rPr>
        <w:t xml:space="preserve"> 2023).</w:t>
      </w:r>
    </w:p>
    <w:p w14:paraId="0F3F686E"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Technology Co., Ltd. (2017) Annual report 2017.</w:t>
      </w:r>
      <w:r w:rsidRPr="00D55507">
        <w:rPr>
          <w:rFonts w:ascii="Times New Roman" w:hAnsi="Times New Roman" w:cs="Times New Roman" w:hint="eastAsia"/>
          <w:kern w:val="0"/>
          <w:sz w:val="24"/>
          <w:szCs w:val="24"/>
          <w:lang w:val="en-GB" w:eastAsia="en-US"/>
        </w:rPr>
        <w:t xml:space="preserve"> </w:t>
      </w:r>
      <w:r w:rsidRPr="00D55507">
        <w:rPr>
          <w:rFonts w:ascii="Times New Roman" w:hAnsi="Times New Roman" w:cs="Times New Roman"/>
          <w:kern w:val="0"/>
          <w:sz w:val="24"/>
          <w:szCs w:val="24"/>
          <w:lang w:val="en-GB" w:eastAsia="en-US"/>
        </w:rPr>
        <w:t>Available at: https://www.datang.com/investorrelations/15248897938553150.html (Accessed: 7 M</w:t>
      </w:r>
      <w:r w:rsidRPr="00D55507">
        <w:rPr>
          <w:rFonts w:ascii="Times New Roman" w:hAnsi="Times New Roman" w:cs="Times New Roman" w:hint="eastAsia"/>
          <w:kern w:val="0"/>
          <w:sz w:val="24"/>
          <w:szCs w:val="24"/>
          <w:lang w:val="en-GB" w:eastAsia="en-US"/>
        </w:rPr>
        <w:t>arch</w:t>
      </w:r>
      <w:r w:rsidRPr="00D55507">
        <w:rPr>
          <w:rFonts w:ascii="Times New Roman" w:hAnsi="Times New Roman" w:cs="Times New Roman"/>
          <w:kern w:val="0"/>
          <w:sz w:val="24"/>
          <w:szCs w:val="24"/>
          <w:lang w:val="en-GB" w:eastAsia="en-US"/>
        </w:rPr>
        <w:t xml:space="preserve"> 2023).</w:t>
      </w:r>
    </w:p>
    <w:p w14:paraId="0E95EDD9"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Technology Co., Ltd. (2018) Annual report 2018.</w:t>
      </w:r>
      <w:r w:rsidRPr="00D55507">
        <w:rPr>
          <w:rFonts w:ascii="Times New Roman" w:hAnsi="Times New Roman" w:cs="Times New Roman" w:hint="eastAsia"/>
          <w:kern w:val="0"/>
          <w:sz w:val="24"/>
          <w:szCs w:val="24"/>
          <w:lang w:val="en-GB" w:eastAsia="en-US"/>
        </w:rPr>
        <w:t xml:space="preserve"> </w:t>
      </w:r>
      <w:r w:rsidRPr="00D55507">
        <w:rPr>
          <w:rFonts w:ascii="Times New Roman" w:hAnsi="Times New Roman" w:cs="Times New Roman"/>
          <w:kern w:val="0"/>
          <w:sz w:val="24"/>
          <w:szCs w:val="24"/>
          <w:lang w:val="en-GB" w:eastAsia="en-US"/>
        </w:rPr>
        <w:t>Available at: https://www.datang.com/investorrelations/15248900232323151.html (Accessed: 7 M</w:t>
      </w:r>
      <w:r w:rsidRPr="00D55507">
        <w:rPr>
          <w:rFonts w:ascii="Times New Roman" w:hAnsi="Times New Roman" w:cs="Times New Roman" w:hint="eastAsia"/>
          <w:kern w:val="0"/>
          <w:sz w:val="24"/>
          <w:szCs w:val="24"/>
          <w:lang w:val="en-GB" w:eastAsia="en-US"/>
        </w:rPr>
        <w:t>arch</w:t>
      </w:r>
      <w:r w:rsidRPr="00D55507">
        <w:rPr>
          <w:rFonts w:ascii="Times New Roman" w:hAnsi="Times New Roman" w:cs="Times New Roman"/>
          <w:kern w:val="0"/>
          <w:sz w:val="24"/>
          <w:szCs w:val="24"/>
          <w:lang w:val="en-GB" w:eastAsia="en-US"/>
        </w:rPr>
        <w:t xml:space="preserve"> 2023).</w:t>
      </w:r>
    </w:p>
    <w:p w14:paraId="28D265EA"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Technology Co., Ltd. (2019) Annual report 2019.</w:t>
      </w:r>
      <w:r w:rsidRPr="00D55507">
        <w:rPr>
          <w:rFonts w:ascii="Times New Roman" w:hAnsi="Times New Roman" w:cs="Times New Roman" w:hint="eastAsia"/>
          <w:kern w:val="0"/>
          <w:sz w:val="24"/>
          <w:szCs w:val="24"/>
          <w:lang w:val="en-GB" w:eastAsia="en-US"/>
        </w:rPr>
        <w:t xml:space="preserve"> </w:t>
      </w:r>
      <w:r w:rsidRPr="00D55507">
        <w:rPr>
          <w:rFonts w:ascii="Times New Roman" w:hAnsi="Times New Roman" w:cs="Times New Roman"/>
          <w:kern w:val="0"/>
          <w:sz w:val="24"/>
          <w:szCs w:val="24"/>
          <w:lang w:val="en-GB" w:eastAsia="en-US"/>
        </w:rPr>
        <w:t>Available at: https://www.datang.com/investorrelations/15342968999153185.html (Accessed: 7 M</w:t>
      </w:r>
      <w:r w:rsidRPr="00D55507">
        <w:rPr>
          <w:rFonts w:ascii="Times New Roman" w:hAnsi="Times New Roman" w:cs="Times New Roman" w:hint="eastAsia"/>
          <w:kern w:val="0"/>
          <w:sz w:val="24"/>
          <w:szCs w:val="24"/>
          <w:lang w:val="en-GB" w:eastAsia="en-US"/>
        </w:rPr>
        <w:t>arch</w:t>
      </w:r>
      <w:r w:rsidRPr="00D55507">
        <w:rPr>
          <w:rFonts w:ascii="Times New Roman" w:hAnsi="Times New Roman" w:cs="Times New Roman"/>
          <w:kern w:val="0"/>
          <w:sz w:val="24"/>
          <w:szCs w:val="24"/>
          <w:lang w:val="en-GB" w:eastAsia="en-US"/>
        </w:rPr>
        <w:t xml:space="preserve"> 2023).</w:t>
      </w:r>
    </w:p>
    <w:p w14:paraId="2A9C91CF"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proofErr w:type="spellStart"/>
      <w:r w:rsidRPr="00D55507">
        <w:rPr>
          <w:rFonts w:ascii="Times New Roman" w:hAnsi="Times New Roman" w:cs="Times New Roman"/>
          <w:kern w:val="0"/>
          <w:sz w:val="24"/>
          <w:szCs w:val="24"/>
          <w:lang w:val="en-GB" w:eastAsia="en-US"/>
        </w:rPr>
        <w:t>Datang</w:t>
      </w:r>
      <w:proofErr w:type="spellEnd"/>
      <w:r w:rsidRPr="00D55507">
        <w:rPr>
          <w:rFonts w:ascii="Times New Roman" w:hAnsi="Times New Roman" w:cs="Times New Roman"/>
          <w:kern w:val="0"/>
          <w:sz w:val="24"/>
          <w:szCs w:val="24"/>
          <w:lang w:val="en-GB" w:eastAsia="en-US"/>
        </w:rPr>
        <w:t xml:space="preserve"> Telecom Technology Co., Ltd. (2020) Annual report 2020.</w:t>
      </w:r>
      <w:r w:rsidRPr="00D55507">
        <w:rPr>
          <w:rFonts w:ascii="Times New Roman" w:hAnsi="Times New Roman" w:cs="Times New Roman" w:hint="eastAsia"/>
          <w:kern w:val="0"/>
          <w:sz w:val="24"/>
          <w:szCs w:val="24"/>
          <w:lang w:val="en-GB" w:eastAsia="en-US"/>
        </w:rPr>
        <w:t xml:space="preserve"> </w:t>
      </w:r>
      <w:r w:rsidRPr="00D55507">
        <w:rPr>
          <w:rFonts w:ascii="Times New Roman" w:hAnsi="Times New Roman" w:cs="Times New Roman"/>
          <w:kern w:val="0"/>
          <w:sz w:val="24"/>
          <w:szCs w:val="24"/>
          <w:lang w:val="en-GB" w:eastAsia="en-US"/>
        </w:rPr>
        <w:t>Available at: https://www.datang.com/investorrelations/15405163622373201.html (Accessed: 7 M</w:t>
      </w:r>
      <w:r w:rsidRPr="00D55507">
        <w:rPr>
          <w:rFonts w:ascii="Times New Roman" w:hAnsi="Times New Roman" w:cs="Times New Roman" w:hint="eastAsia"/>
          <w:kern w:val="0"/>
          <w:sz w:val="24"/>
          <w:szCs w:val="24"/>
          <w:lang w:val="en-GB" w:eastAsia="en-US"/>
        </w:rPr>
        <w:t>arch</w:t>
      </w:r>
      <w:r w:rsidRPr="00D55507">
        <w:rPr>
          <w:rFonts w:ascii="Times New Roman" w:hAnsi="Times New Roman" w:cs="Times New Roman"/>
          <w:kern w:val="0"/>
          <w:sz w:val="24"/>
          <w:szCs w:val="24"/>
          <w:lang w:val="en-GB" w:eastAsia="en-US"/>
        </w:rPr>
        <w:t xml:space="preserve"> 2023).</w:t>
      </w:r>
    </w:p>
    <w:p w14:paraId="5FE3F574"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Eli </w:t>
      </w:r>
      <w:proofErr w:type="spellStart"/>
      <w:r w:rsidRPr="00D55507">
        <w:rPr>
          <w:rFonts w:ascii="Times New Roman" w:hAnsi="Times New Roman" w:cs="Times New Roman"/>
          <w:kern w:val="0"/>
          <w:sz w:val="24"/>
          <w:szCs w:val="24"/>
          <w:lang w:val="en-GB" w:eastAsia="en-US"/>
        </w:rPr>
        <w:t>Bartov</w:t>
      </w:r>
      <w:proofErr w:type="spellEnd"/>
      <w:r w:rsidRPr="00D55507">
        <w:rPr>
          <w:rFonts w:ascii="Times New Roman" w:hAnsi="Times New Roman" w:cs="Times New Roman"/>
          <w:kern w:val="0"/>
          <w:sz w:val="24"/>
          <w:szCs w:val="24"/>
          <w:lang w:val="en-GB" w:eastAsia="en-US"/>
        </w:rPr>
        <w:t xml:space="preserve">, Dan </w:t>
      </w:r>
      <w:proofErr w:type="spellStart"/>
      <w:r w:rsidRPr="00D55507">
        <w:rPr>
          <w:rFonts w:ascii="Times New Roman" w:hAnsi="Times New Roman" w:cs="Times New Roman"/>
          <w:kern w:val="0"/>
          <w:sz w:val="24"/>
          <w:szCs w:val="24"/>
          <w:lang w:val="en-GB" w:eastAsia="en-US"/>
        </w:rPr>
        <w:t>Givoly</w:t>
      </w:r>
      <w:proofErr w:type="spellEnd"/>
      <w:r w:rsidRPr="00D55507">
        <w:rPr>
          <w:rFonts w:ascii="Times New Roman" w:hAnsi="Times New Roman" w:cs="Times New Roman"/>
          <w:kern w:val="0"/>
          <w:sz w:val="24"/>
          <w:szCs w:val="24"/>
          <w:lang w:val="en-GB" w:eastAsia="en-US"/>
        </w:rPr>
        <w:t xml:space="preserve">, Carla </w:t>
      </w:r>
      <w:proofErr w:type="spellStart"/>
      <w:r w:rsidRPr="00D55507">
        <w:rPr>
          <w:rFonts w:ascii="Times New Roman" w:hAnsi="Times New Roman" w:cs="Times New Roman"/>
          <w:kern w:val="0"/>
          <w:sz w:val="24"/>
          <w:szCs w:val="24"/>
          <w:lang w:val="en-GB" w:eastAsia="en-US"/>
        </w:rPr>
        <w:t>Hayn</w:t>
      </w:r>
      <w:proofErr w:type="spellEnd"/>
      <w:r w:rsidRPr="00D55507">
        <w:rPr>
          <w:rFonts w:ascii="Times New Roman" w:hAnsi="Times New Roman" w:cs="Times New Roman"/>
          <w:kern w:val="0"/>
          <w:sz w:val="24"/>
          <w:szCs w:val="24"/>
          <w:lang w:val="en-GB" w:eastAsia="en-US"/>
        </w:rPr>
        <w:t>, (2022) ‘The rewards to meeting or beating earnings expectations’,</w:t>
      </w:r>
      <w:r w:rsidRPr="00D55507">
        <w:rPr>
          <w:rFonts w:ascii="Times New Roman" w:hAnsi="Times New Roman" w:cs="Times New Roman"/>
          <w:i/>
          <w:kern w:val="0"/>
          <w:sz w:val="24"/>
          <w:szCs w:val="24"/>
          <w:lang w:val="en-GB" w:eastAsia="en-US"/>
        </w:rPr>
        <w:t xml:space="preserve"> Journal of Accounting and Economics</w:t>
      </w:r>
      <w:r w:rsidRPr="00D55507">
        <w:rPr>
          <w:rFonts w:ascii="Times New Roman" w:hAnsi="Times New Roman" w:cs="Times New Roman"/>
          <w:kern w:val="0"/>
          <w:sz w:val="24"/>
          <w:szCs w:val="24"/>
          <w:lang w:val="en-GB" w:eastAsia="en-US"/>
        </w:rPr>
        <w:t>, 33(2), pp. 173-204.</w:t>
      </w:r>
    </w:p>
    <w:p w14:paraId="120F6847"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Grace, M.F., </w:t>
      </w:r>
      <w:proofErr w:type="spellStart"/>
      <w:r w:rsidRPr="00D55507">
        <w:rPr>
          <w:rFonts w:ascii="Times New Roman" w:hAnsi="Times New Roman" w:cs="Times New Roman"/>
          <w:kern w:val="0"/>
          <w:sz w:val="24"/>
          <w:szCs w:val="24"/>
          <w:lang w:val="en-GB" w:eastAsia="en-US"/>
        </w:rPr>
        <w:t>Leverty</w:t>
      </w:r>
      <w:proofErr w:type="spellEnd"/>
      <w:r w:rsidRPr="00D55507">
        <w:rPr>
          <w:rFonts w:ascii="Times New Roman" w:hAnsi="Times New Roman" w:cs="Times New Roman"/>
          <w:kern w:val="0"/>
          <w:sz w:val="24"/>
          <w:szCs w:val="24"/>
          <w:lang w:val="en-GB" w:eastAsia="en-US"/>
        </w:rPr>
        <w:t xml:space="preserve"> J.T. (2010) ‘Political cost incentives for managing the property-liability insurer loss reserve’, </w:t>
      </w:r>
      <w:r w:rsidRPr="00D55507">
        <w:rPr>
          <w:rFonts w:ascii="Times New Roman" w:hAnsi="Times New Roman" w:cs="Times New Roman"/>
          <w:i/>
          <w:kern w:val="0"/>
          <w:sz w:val="24"/>
          <w:szCs w:val="24"/>
          <w:lang w:val="en-GB" w:eastAsia="en-US"/>
        </w:rPr>
        <w:t>Journal of Accounting Research</w:t>
      </w:r>
      <w:r w:rsidRPr="00D55507">
        <w:rPr>
          <w:rFonts w:ascii="Times New Roman" w:hAnsi="Times New Roman" w:cs="Times New Roman"/>
          <w:kern w:val="0"/>
          <w:sz w:val="24"/>
          <w:szCs w:val="24"/>
          <w:lang w:val="en-GB" w:eastAsia="en-US"/>
        </w:rPr>
        <w:t>, 48(1), pp. 21-49.</w:t>
      </w:r>
    </w:p>
    <w:p w14:paraId="6819CE1E" w14:textId="77777777" w:rsidR="00B37F1F" w:rsidRPr="00D55507" w:rsidRDefault="00B37F1F"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Healy P., </w:t>
      </w:r>
      <w:proofErr w:type="spellStart"/>
      <w:r w:rsidRPr="00D55507">
        <w:rPr>
          <w:rFonts w:ascii="Times New Roman" w:hAnsi="Times New Roman" w:cs="Times New Roman"/>
          <w:kern w:val="0"/>
          <w:sz w:val="24"/>
          <w:szCs w:val="24"/>
          <w:lang w:val="en-GB" w:eastAsia="en-US"/>
        </w:rPr>
        <w:t>Wahlen</w:t>
      </w:r>
      <w:proofErr w:type="spellEnd"/>
      <w:r w:rsidRPr="00D55507">
        <w:rPr>
          <w:rFonts w:ascii="Times New Roman" w:hAnsi="Times New Roman" w:cs="Times New Roman"/>
          <w:kern w:val="0"/>
          <w:sz w:val="24"/>
          <w:szCs w:val="24"/>
          <w:lang w:val="en-GB" w:eastAsia="en-US"/>
        </w:rPr>
        <w:t xml:space="preserve"> J. (1999) ‘A Review of Earnings Management Literature and its Implications for Standard Setting’, </w:t>
      </w:r>
      <w:r w:rsidRPr="00D55507">
        <w:rPr>
          <w:rFonts w:ascii="Times New Roman" w:hAnsi="Times New Roman" w:cs="Times New Roman"/>
          <w:i/>
          <w:kern w:val="0"/>
          <w:sz w:val="24"/>
          <w:szCs w:val="24"/>
          <w:lang w:val="en-GB" w:eastAsia="en-US"/>
        </w:rPr>
        <w:t>Accounting Horizons</w:t>
      </w:r>
      <w:r w:rsidRPr="00D55507">
        <w:rPr>
          <w:rFonts w:ascii="Times New Roman" w:hAnsi="Times New Roman" w:cs="Times New Roman"/>
          <w:kern w:val="0"/>
          <w:sz w:val="24"/>
          <w:szCs w:val="24"/>
          <w:lang w:val="en-GB" w:eastAsia="en-US"/>
        </w:rPr>
        <w:t>, 13(4), pp. 365-383.</w:t>
      </w:r>
    </w:p>
    <w:p w14:paraId="4DA1B0E2" w14:textId="77777777" w:rsidR="00653172" w:rsidRPr="00D55507" w:rsidRDefault="00653172"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Healy P., </w:t>
      </w:r>
      <w:proofErr w:type="spellStart"/>
      <w:r w:rsidRPr="00D55507">
        <w:rPr>
          <w:rFonts w:ascii="Times New Roman" w:hAnsi="Times New Roman" w:cs="Times New Roman"/>
          <w:kern w:val="0"/>
          <w:sz w:val="24"/>
          <w:szCs w:val="24"/>
          <w:lang w:val="en-GB" w:eastAsia="en-US"/>
        </w:rPr>
        <w:t>Wahlen</w:t>
      </w:r>
      <w:proofErr w:type="spellEnd"/>
      <w:r w:rsidRPr="00D55507">
        <w:rPr>
          <w:rFonts w:ascii="Times New Roman" w:hAnsi="Times New Roman" w:cs="Times New Roman"/>
          <w:kern w:val="0"/>
          <w:sz w:val="24"/>
          <w:szCs w:val="24"/>
          <w:lang w:val="en-GB" w:eastAsia="en-US"/>
        </w:rPr>
        <w:t xml:space="preserve"> J. (1999) ‘A Review of Earnings Management Literature and its Implications for Standard Setting’, </w:t>
      </w:r>
      <w:r w:rsidRPr="00D55507">
        <w:rPr>
          <w:rFonts w:ascii="Times New Roman" w:hAnsi="Times New Roman" w:cs="Times New Roman"/>
          <w:i/>
          <w:kern w:val="0"/>
          <w:sz w:val="24"/>
          <w:szCs w:val="24"/>
          <w:lang w:val="en-GB" w:eastAsia="en-US"/>
        </w:rPr>
        <w:t>Accounting Horizons</w:t>
      </w:r>
      <w:r w:rsidRPr="00D55507">
        <w:rPr>
          <w:rFonts w:ascii="Times New Roman" w:hAnsi="Times New Roman" w:cs="Times New Roman"/>
          <w:kern w:val="0"/>
          <w:sz w:val="24"/>
          <w:szCs w:val="24"/>
          <w:lang w:val="en-GB" w:eastAsia="en-US"/>
        </w:rPr>
        <w:t>, 13(4), pp. 365-383.</w:t>
      </w:r>
    </w:p>
    <w:p w14:paraId="3CCADE6D"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Jones J. (1991) ‘Earnings management during import relief investigations’, </w:t>
      </w:r>
      <w:r w:rsidRPr="00D55507">
        <w:rPr>
          <w:rFonts w:ascii="Times New Roman" w:hAnsi="Times New Roman" w:cs="Times New Roman"/>
          <w:i/>
          <w:kern w:val="0"/>
          <w:sz w:val="24"/>
          <w:szCs w:val="24"/>
          <w:lang w:val="en-GB" w:eastAsia="en-US"/>
        </w:rPr>
        <w:t>Journal of Accounting Research</w:t>
      </w:r>
      <w:r w:rsidRPr="00D55507">
        <w:rPr>
          <w:rFonts w:ascii="Times New Roman" w:hAnsi="Times New Roman" w:cs="Times New Roman"/>
          <w:kern w:val="0"/>
          <w:sz w:val="24"/>
          <w:szCs w:val="24"/>
          <w:lang w:val="en-GB" w:eastAsia="en-US"/>
        </w:rPr>
        <w:t>, 1991(29), pp. 193-228.</w:t>
      </w:r>
    </w:p>
    <w:p w14:paraId="4D1247BE" w14:textId="77777777" w:rsidR="00B37F1F" w:rsidRPr="00D55507" w:rsidRDefault="00B37F1F"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lastRenderedPageBreak/>
        <w:t xml:space="preserve">Jeffery </w:t>
      </w:r>
      <w:proofErr w:type="spellStart"/>
      <w:r w:rsidRPr="00D55507">
        <w:rPr>
          <w:rFonts w:ascii="Times New Roman" w:hAnsi="Times New Roman" w:cs="Times New Roman"/>
          <w:kern w:val="0"/>
          <w:sz w:val="24"/>
          <w:szCs w:val="24"/>
          <w:lang w:val="en-GB" w:eastAsia="en-US"/>
        </w:rPr>
        <w:t>Abarbanell</w:t>
      </w:r>
      <w:proofErr w:type="spellEnd"/>
      <w:r w:rsidRPr="00D55507">
        <w:rPr>
          <w:rFonts w:ascii="Times New Roman" w:hAnsi="Times New Roman" w:cs="Times New Roman"/>
          <w:kern w:val="0"/>
          <w:sz w:val="24"/>
          <w:szCs w:val="24"/>
          <w:lang w:val="en-GB" w:eastAsia="en-US"/>
        </w:rPr>
        <w:t xml:space="preserve">, Reuven </w:t>
      </w:r>
      <w:proofErr w:type="spellStart"/>
      <w:r w:rsidRPr="00D55507">
        <w:rPr>
          <w:rFonts w:ascii="Times New Roman" w:hAnsi="Times New Roman" w:cs="Times New Roman"/>
          <w:kern w:val="0"/>
          <w:sz w:val="24"/>
          <w:szCs w:val="24"/>
          <w:lang w:val="en-GB" w:eastAsia="en-US"/>
        </w:rPr>
        <w:t>Lehavy</w:t>
      </w:r>
      <w:proofErr w:type="spellEnd"/>
      <w:r w:rsidRPr="00D55507">
        <w:rPr>
          <w:rFonts w:ascii="Times New Roman" w:hAnsi="Times New Roman" w:cs="Times New Roman"/>
          <w:kern w:val="0"/>
          <w:sz w:val="24"/>
          <w:szCs w:val="24"/>
          <w:lang w:val="en-GB" w:eastAsia="en-US"/>
        </w:rPr>
        <w:t xml:space="preserve">, (2003) ‘Biased forecasts or biased earnings? The role of reported earnings in explaining apparent bias and over underreaction in analysts’ earnings forecasts’, </w:t>
      </w:r>
      <w:r w:rsidRPr="00D55507">
        <w:rPr>
          <w:rFonts w:ascii="Times New Roman" w:hAnsi="Times New Roman" w:cs="Times New Roman"/>
          <w:i/>
          <w:kern w:val="0"/>
          <w:sz w:val="24"/>
          <w:szCs w:val="24"/>
          <w:lang w:val="en-GB" w:eastAsia="en-US"/>
        </w:rPr>
        <w:t>Journal of Accounting and Economics</w:t>
      </w:r>
      <w:r w:rsidRPr="00D55507">
        <w:rPr>
          <w:rFonts w:ascii="Times New Roman" w:hAnsi="Times New Roman" w:cs="Times New Roman"/>
          <w:kern w:val="0"/>
          <w:sz w:val="24"/>
          <w:szCs w:val="24"/>
          <w:lang w:val="en-GB" w:eastAsia="en-US"/>
        </w:rPr>
        <w:t>, 36(3), pp. 105-146.</w:t>
      </w:r>
    </w:p>
    <w:p w14:paraId="69A98BC7"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Liu Feng. (2001) ‘Institutional Arrangement and Accounting Information Quality: A Case Study of Hong </w:t>
      </w:r>
      <w:proofErr w:type="spellStart"/>
      <w:r w:rsidRPr="00D55507">
        <w:rPr>
          <w:rFonts w:ascii="Times New Roman" w:hAnsi="Times New Roman" w:cs="Times New Roman"/>
          <w:kern w:val="0"/>
          <w:sz w:val="24"/>
          <w:szCs w:val="24"/>
          <w:lang w:val="en-GB" w:eastAsia="en-US"/>
        </w:rPr>
        <w:t>guang</w:t>
      </w:r>
      <w:proofErr w:type="spellEnd"/>
      <w:r w:rsidRPr="00D55507">
        <w:rPr>
          <w:rFonts w:ascii="Times New Roman" w:hAnsi="Times New Roman" w:cs="Times New Roman"/>
          <w:kern w:val="0"/>
          <w:sz w:val="24"/>
          <w:szCs w:val="24"/>
          <w:lang w:val="en-GB" w:eastAsia="en-US"/>
        </w:rPr>
        <w:t xml:space="preserve"> Industry’, </w:t>
      </w:r>
      <w:r w:rsidRPr="00D55507">
        <w:rPr>
          <w:rFonts w:ascii="Times New Roman" w:hAnsi="Times New Roman" w:cs="Times New Roman"/>
          <w:i/>
          <w:kern w:val="0"/>
          <w:sz w:val="24"/>
          <w:szCs w:val="24"/>
          <w:lang w:val="en-GB" w:eastAsia="en-US"/>
        </w:rPr>
        <w:t>Accounting Research</w:t>
      </w:r>
      <w:r w:rsidRPr="00D55507">
        <w:rPr>
          <w:rFonts w:ascii="Times New Roman" w:hAnsi="Times New Roman" w:cs="Times New Roman"/>
          <w:kern w:val="0"/>
          <w:sz w:val="24"/>
          <w:szCs w:val="24"/>
          <w:lang w:val="en-GB" w:eastAsia="en-US"/>
        </w:rPr>
        <w:t>, 7(1), pp. 7-16.</w:t>
      </w:r>
    </w:p>
    <w:p w14:paraId="286435D9"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Liu </w:t>
      </w:r>
      <w:proofErr w:type="spellStart"/>
      <w:r w:rsidRPr="00D55507">
        <w:rPr>
          <w:rFonts w:ascii="Times New Roman" w:hAnsi="Times New Roman" w:cs="Times New Roman"/>
          <w:kern w:val="0"/>
          <w:sz w:val="24"/>
          <w:szCs w:val="24"/>
          <w:lang w:val="en-GB" w:eastAsia="en-US"/>
        </w:rPr>
        <w:t>Huilong</w:t>
      </w:r>
      <w:proofErr w:type="spellEnd"/>
      <w:r w:rsidRPr="00D55507">
        <w:rPr>
          <w:rFonts w:ascii="Times New Roman" w:hAnsi="Times New Roman" w:cs="Times New Roman"/>
          <w:kern w:val="0"/>
          <w:sz w:val="24"/>
          <w:szCs w:val="24"/>
          <w:lang w:val="en-GB" w:eastAsia="en-US"/>
        </w:rPr>
        <w:t xml:space="preserve">, Wang </w:t>
      </w:r>
      <w:proofErr w:type="spellStart"/>
      <w:r w:rsidRPr="00D55507">
        <w:rPr>
          <w:rFonts w:ascii="Times New Roman" w:hAnsi="Times New Roman" w:cs="Times New Roman"/>
          <w:kern w:val="0"/>
          <w:sz w:val="24"/>
          <w:szCs w:val="24"/>
          <w:lang w:val="en-GB" w:eastAsia="en-US"/>
        </w:rPr>
        <w:t>Chengfang</w:t>
      </w:r>
      <w:proofErr w:type="spellEnd"/>
      <w:r w:rsidRPr="00D55507">
        <w:rPr>
          <w:rFonts w:ascii="Times New Roman" w:hAnsi="Times New Roman" w:cs="Times New Roman"/>
          <w:kern w:val="0"/>
          <w:sz w:val="24"/>
          <w:szCs w:val="24"/>
          <w:lang w:val="en-GB" w:eastAsia="en-US"/>
        </w:rPr>
        <w:t xml:space="preserve">, WU </w:t>
      </w:r>
      <w:proofErr w:type="spellStart"/>
      <w:r w:rsidRPr="00D55507">
        <w:rPr>
          <w:rFonts w:ascii="Times New Roman" w:hAnsi="Times New Roman" w:cs="Times New Roman"/>
          <w:kern w:val="0"/>
          <w:sz w:val="24"/>
          <w:szCs w:val="24"/>
          <w:lang w:val="en-GB" w:eastAsia="en-US"/>
        </w:rPr>
        <w:t>Liansheng</w:t>
      </w:r>
      <w:proofErr w:type="spellEnd"/>
      <w:r w:rsidRPr="00D55507">
        <w:rPr>
          <w:rFonts w:ascii="Times New Roman" w:hAnsi="Times New Roman" w:cs="Times New Roman"/>
          <w:kern w:val="0"/>
          <w:sz w:val="24"/>
          <w:szCs w:val="24"/>
          <w:lang w:val="en-GB" w:eastAsia="en-US"/>
        </w:rPr>
        <w:t xml:space="preserve">. (2014) ‘Allocation of Decision Power, Surplus Management and Investment Efficiency’, </w:t>
      </w:r>
      <w:r w:rsidRPr="00D55507">
        <w:rPr>
          <w:rFonts w:ascii="Times New Roman" w:hAnsi="Times New Roman" w:cs="Times New Roman"/>
          <w:i/>
          <w:kern w:val="0"/>
          <w:sz w:val="24"/>
          <w:szCs w:val="24"/>
          <w:lang w:val="en-GB" w:eastAsia="en-US"/>
        </w:rPr>
        <w:t>Economic Research Journal</w:t>
      </w:r>
      <w:r w:rsidRPr="00D55507">
        <w:rPr>
          <w:rFonts w:ascii="Times New Roman" w:hAnsi="Times New Roman" w:cs="Times New Roman"/>
          <w:kern w:val="0"/>
          <w:sz w:val="24"/>
          <w:szCs w:val="24"/>
          <w:lang w:val="en-GB" w:eastAsia="en-US"/>
        </w:rPr>
        <w:t>, 2014(08), pp. 93-106.</w:t>
      </w:r>
    </w:p>
    <w:p w14:paraId="7873B732" w14:textId="77777777" w:rsidR="00B37F1F" w:rsidRPr="00D55507" w:rsidRDefault="00B37F1F"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Michal </w:t>
      </w:r>
      <w:proofErr w:type="spellStart"/>
      <w:r w:rsidRPr="00D55507">
        <w:rPr>
          <w:rFonts w:ascii="Times New Roman" w:hAnsi="Times New Roman" w:cs="Times New Roman"/>
          <w:kern w:val="0"/>
          <w:sz w:val="24"/>
          <w:szCs w:val="24"/>
          <w:lang w:val="en-GB" w:eastAsia="en-US"/>
        </w:rPr>
        <w:t>Kaldoński</w:t>
      </w:r>
      <w:proofErr w:type="spellEnd"/>
      <w:r w:rsidRPr="00D55507">
        <w:rPr>
          <w:rFonts w:ascii="Times New Roman" w:hAnsi="Times New Roman" w:cs="Times New Roman"/>
          <w:kern w:val="0"/>
          <w:sz w:val="24"/>
          <w:szCs w:val="24"/>
          <w:lang w:val="en-GB" w:eastAsia="en-US"/>
        </w:rPr>
        <w:t xml:space="preserve">, Tomasz </w:t>
      </w:r>
      <w:proofErr w:type="spellStart"/>
      <w:r w:rsidRPr="00D55507">
        <w:rPr>
          <w:rFonts w:ascii="Times New Roman" w:hAnsi="Times New Roman" w:cs="Times New Roman"/>
          <w:kern w:val="0"/>
          <w:sz w:val="24"/>
          <w:szCs w:val="24"/>
          <w:lang w:val="en-GB" w:eastAsia="en-US"/>
        </w:rPr>
        <w:t>Jewartowski</w:t>
      </w:r>
      <w:proofErr w:type="spellEnd"/>
      <w:r w:rsidRPr="00D55507">
        <w:rPr>
          <w:rFonts w:ascii="Times New Roman" w:hAnsi="Times New Roman" w:cs="Times New Roman"/>
          <w:kern w:val="0"/>
          <w:sz w:val="24"/>
          <w:szCs w:val="24"/>
          <w:lang w:val="en-GB" w:eastAsia="en-US"/>
        </w:rPr>
        <w:t xml:space="preserve">, (2020) ‘Do firms using real earnings management care about taxes? Evidence from a high book-tax conformity country’, </w:t>
      </w:r>
      <w:r w:rsidRPr="00D55507">
        <w:rPr>
          <w:rFonts w:ascii="Times New Roman" w:hAnsi="Times New Roman" w:cs="Times New Roman"/>
          <w:i/>
          <w:kern w:val="0"/>
          <w:sz w:val="24"/>
          <w:szCs w:val="24"/>
          <w:lang w:val="en-GB" w:eastAsia="en-US"/>
        </w:rPr>
        <w:t>Finance Research Letters</w:t>
      </w:r>
      <w:r w:rsidRPr="00D55507">
        <w:rPr>
          <w:rFonts w:ascii="Times New Roman" w:hAnsi="Times New Roman" w:cs="Times New Roman"/>
          <w:kern w:val="0"/>
          <w:sz w:val="24"/>
          <w:szCs w:val="24"/>
          <w:lang w:val="en-GB" w:eastAsia="en-US"/>
        </w:rPr>
        <w:t>, 35(1), pp. 51-89</w:t>
      </w:r>
    </w:p>
    <w:p w14:paraId="20AF09B6"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Schipper K. (1989) ‘Commentary on earnings management’, </w:t>
      </w:r>
      <w:r w:rsidRPr="00D55507">
        <w:rPr>
          <w:rFonts w:ascii="Times New Roman" w:hAnsi="Times New Roman" w:cs="Times New Roman"/>
          <w:i/>
          <w:kern w:val="0"/>
          <w:sz w:val="24"/>
          <w:szCs w:val="24"/>
          <w:lang w:val="en-GB" w:eastAsia="en-US"/>
        </w:rPr>
        <w:t>Accounting Horizons,</w:t>
      </w:r>
      <w:r w:rsidRPr="00D55507">
        <w:rPr>
          <w:rFonts w:ascii="Times New Roman" w:hAnsi="Times New Roman" w:cs="Times New Roman"/>
          <w:kern w:val="0"/>
          <w:sz w:val="24"/>
          <w:szCs w:val="24"/>
          <w:lang w:val="en-GB" w:eastAsia="en-US"/>
        </w:rPr>
        <w:t xml:space="preserve"> 3(4), pp. 91-102.</w:t>
      </w:r>
    </w:p>
    <w:p w14:paraId="227009E2" w14:textId="77777777" w:rsidR="00D22D71" w:rsidRPr="00D55507" w:rsidRDefault="00D22D71"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Scott, W. R. (2003) ‘Financial accounting theory’, </w:t>
      </w:r>
      <w:r w:rsidRPr="00D55507">
        <w:rPr>
          <w:rFonts w:ascii="Times New Roman" w:hAnsi="Times New Roman" w:cs="Times New Roman"/>
          <w:i/>
          <w:kern w:val="0"/>
          <w:sz w:val="24"/>
          <w:szCs w:val="24"/>
          <w:lang w:val="en-GB" w:eastAsia="en-US"/>
        </w:rPr>
        <w:t>Prentice-Hall Inc</w:t>
      </w:r>
      <w:r w:rsidRPr="00D55507">
        <w:rPr>
          <w:rFonts w:ascii="Times New Roman" w:hAnsi="Times New Roman" w:cs="Times New Roman"/>
          <w:kern w:val="0"/>
          <w:sz w:val="24"/>
          <w:szCs w:val="24"/>
          <w:lang w:val="en-GB" w:eastAsia="en-US"/>
        </w:rPr>
        <w:t>.</w:t>
      </w:r>
    </w:p>
    <w:p w14:paraId="29BF94BC" w14:textId="77777777" w:rsidR="00B37F1F" w:rsidRPr="00D55507" w:rsidRDefault="00B37F1F"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Samuel </w:t>
      </w:r>
      <w:proofErr w:type="spellStart"/>
      <w:r w:rsidRPr="00D55507">
        <w:rPr>
          <w:rFonts w:ascii="Times New Roman" w:hAnsi="Times New Roman" w:cs="Times New Roman"/>
          <w:kern w:val="0"/>
          <w:sz w:val="24"/>
          <w:szCs w:val="24"/>
          <w:lang w:val="en-GB" w:eastAsia="en-US"/>
        </w:rPr>
        <w:t>Mongrut</w:t>
      </w:r>
      <w:proofErr w:type="spellEnd"/>
      <w:r w:rsidRPr="00D55507">
        <w:rPr>
          <w:rFonts w:ascii="Times New Roman" w:hAnsi="Times New Roman" w:cs="Times New Roman"/>
          <w:kern w:val="0"/>
          <w:sz w:val="24"/>
          <w:szCs w:val="24"/>
          <w:lang w:val="en-GB" w:eastAsia="en-US"/>
        </w:rPr>
        <w:t xml:space="preserve">, Diego Winkelried, (2019) ‘Unintended effects </w:t>
      </w:r>
      <w:proofErr w:type="gramStart"/>
      <w:r w:rsidRPr="00D55507">
        <w:rPr>
          <w:rFonts w:ascii="Times New Roman" w:hAnsi="Times New Roman" w:cs="Times New Roman"/>
          <w:kern w:val="0"/>
          <w:sz w:val="24"/>
          <w:szCs w:val="24"/>
          <w:lang w:val="en-GB" w:eastAsia="en-US"/>
        </w:rPr>
        <w:t>of  IFRS</w:t>
      </w:r>
      <w:proofErr w:type="gramEnd"/>
      <w:r w:rsidRPr="00D55507">
        <w:rPr>
          <w:rFonts w:ascii="Times New Roman" w:hAnsi="Times New Roman" w:cs="Times New Roman"/>
          <w:kern w:val="0"/>
          <w:sz w:val="24"/>
          <w:szCs w:val="24"/>
          <w:lang w:val="en-GB" w:eastAsia="en-US"/>
        </w:rPr>
        <w:t xml:space="preserve"> adoption on earnings management: The case of Latin America’, </w:t>
      </w:r>
      <w:r w:rsidRPr="00D55507">
        <w:rPr>
          <w:rFonts w:ascii="Times New Roman" w:hAnsi="Times New Roman" w:cs="Times New Roman"/>
          <w:i/>
          <w:kern w:val="0"/>
          <w:sz w:val="24"/>
          <w:szCs w:val="24"/>
          <w:lang w:val="en-GB" w:eastAsia="en-US"/>
        </w:rPr>
        <w:t>Emerging Markets Review</w:t>
      </w:r>
      <w:r w:rsidRPr="00D55507">
        <w:rPr>
          <w:rFonts w:ascii="Times New Roman" w:hAnsi="Times New Roman" w:cs="Times New Roman"/>
          <w:kern w:val="0"/>
          <w:sz w:val="24"/>
          <w:szCs w:val="24"/>
          <w:lang w:val="en-GB" w:eastAsia="en-US"/>
        </w:rPr>
        <w:t>, 38(1), pp. 377 -388.</w:t>
      </w:r>
    </w:p>
    <w:p w14:paraId="10B6FE18" w14:textId="163B8F80" w:rsidR="00653172" w:rsidRPr="00D55507" w:rsidRDefault="00B37F1F" w:rsidP="00D55507">
      <w:pPr>
        <w:widowControl/>
        <w:spacing w:line="259" w:lineRule="auto"/>
        <w:rPr>
          <w:rFonts w:ascii="Times New Roman" w:hAnsi="Times New Roman" w:cs="Times New Roman"/>
          <w:kern w:val="0"/>
          <w:sz w:val="24"/>
          <w:szCs w:val="24"/>
          <w:lang w:val="en-GB" w:eastAsia="en-US"/>
        </w:rPr>
      </w:pPr>
      <w:r w:rsidRPr="00D55507">
        <w:rPr>
          <w:rFonts w:ascii="Times New Roman" w:hAnsi="Times New Roman" w:cs="Times New Roman"/>
          <w:kern w:val="0"/>
          <w:sz w:val="24"/>
          <w:szCs w:val="24"/>
          <w:lang w:val="en-GB" w:eastAsia="en-US"/>
        </w:rPr>
        <w:t xml:space="preserve">Wei </w:t>
      </w:r>
      <w:proofErr w:type="spellStart"/>
      <w:r w:rsidRPr="00D55507">
        <w:rPr>
          <w:rFonts w:ascii="Times New Roman" w:hAnsi="Times New Roman" w:cs="Times New Roman"/>
          <w:kern w:val="0"/>
          <w:sz w:val="24"/>
          <w:szCs w:val="24"/>
          <w:lang w:val="en-GB" w:eastAsia="en-US"/>
        </w:rPr>
        <w:t>Minghai</w:t>
      </w:r>
      <w:proofErr w:type="spellEnd"/>
      <w:r w:rsidRPr="00D55507">
        <w:rPr>
          <w:rFonts w:ascii="Times New Roman" w:hAnsi="Times New Roman" w:cs="Times New Roman"/>
          <w:kern w:val="0"/>
          <w:sz w:val="24"/>
          <w:szCs w:val="24"/>
          <w:lang w:val="en-GB" w:eastAsia="en-US"/>
        </w:rPr>
        <w:t xml:space="preserve">. (2000) ‘Basic Theory of Earnings Management and Its Research Review’, </w:t>
      </w:r>
      <w:r w:rsidRPr="00D55507">
        <w:rPr>
          <w:rFonts w:ascii="Times New Roman" w:hAnsi="Times New Roman" w:cs="Times New Roman"/>
          <w:i/>
          <w:kern w:val="0"/>
          <w:sz w:val="24"/>
          <w:szCs w:val="24"/>
          <w:lang w:val="en-GB" w:eastAsia="en-US"/>
        </w:rPr>
        <w:t>Accounting Research</w:t>
      </w:r>
      <w:r w:rsidRPr="00D55507">
        <w:rPr>
          <w:rFonts w:ascii="Times New Roman" w:hAnsi="Times New Roman" w:cs="Times New Roman"/>
          <w:kern w:val="0"/>
          <w:sz w:val="24"/>
          <w:szCs w:val="24"/>
          <w:lang w:val="en-GB" w:eastAsia="en-US"/>
        </w:rPr>
        <w:t>, 9(1), pp. 37-42.</w:t>
      </w:r>
    </w:p>
    <w:sectPr w:rsidR="00653172" w:rsidRPr="00D55507" w:rsidSect="007945B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E451AF" w14:textId="77777777" w:rsidR="008147AE" w:rsidRDefault="008147AE" w:rsidP="00764679">
      <w:r>
        <w:separator/>
      </w:r>
    </w:p>
  </w:endnote>
  <w:endnote w:type="continuationSeparator" w:id="0">
    <w:p w14:paraId="7EB23756" w14:textId="77777777" w:rsidR="008147AE" w:rsidRDefault="008147AE" w:rsidP="007646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0145179"/>
      <w:docPartObj>
        <w:docPartGallery w:val="Page Numbers (Bottom of Page)"/>
        <w:docPartUnique/>
      </w:docPartObj>
    </w:sdtPr>
    <w:sdtEndPr>
      <w:rPr>
        <w:rFonts w:ascii="Times New Roman" w:hAnsi="Times New Roman" w:cs="Times New Roman"/>
      </w:rPr>
    </w:sdtEndPr>
    <w:sdtContent>
      <w:p w14:paraId="7C5029A7" w14:textId="79B662C2" w:rsidR="00B15CD3" w:rsidRPr="007945B2" w:rsidRDefault="00B15CD3">
        <w:pPr>
          <w:pStyle w:val="a5"/>
          <w:jc w:val="center"/>
          <w:rPr>
            <w:rFonts w:ascii="Times New Roman" w:hAnsi="Times New Roman" w:cs="Times New Roman"/>
          </w:rPr>
        </w:pPr>
        <w:r w:rsidRPr="007945B2">
          <w:rPr>
            <w:rFonts w:ascii="Times New Roman" w:hAnsi="Times New Roman" w:cs="Times New Roman"/>
          </w:rPr>
          <w:fldChar w:fldCharType="begin"/>
        </w:r>
        <w:r w:rsidRPr="007945B2">
          <w:rPr>
            <w:rFonts w:ascii="Times New Roman" w:hAnsi="Times New Roman" w:cs="Times New Roman"/>
          </w:rPr>
          <w:instrText>PAGE   \* MERGEFORMAT</w:instrText>
        </w:r>
        <w:r w:rsidRPr="007945B2">
          <w:rPr>
            <w:rFonts w:ascii="Times New Roman" w:hAnsi="Times New Roman" w:cs="Times New Roman"/>
          </w:rPr>
          <w:fldChar w:fldCharType="separate"/>
        </w:r>
        <w:r w:rsidRPr="007945B2">
          <w:rPr>
            <w:rFonts w:ascii="Times New Roman" w:hAnsi="Times New Roman" w:cs="Times New Roman"/>
            <w:lang w:val="zh-CN"/>
          </w:rPr>
          <w:t>2</w:t>
        </w:r>
        <w:r w:rsidRPr="007945B2">
          <w:rPr>
            <w:rFonts w:ascii="Times New Roman" w:hAnsi="Times New Roman" w:cs="Times New Roman"/>
          </w:rPr>
          <w:fldChar w:fldCharType="end"/>
        </w:r>
      </w:p>
    </w:sdtContent>
  </w:sdt>
  <w:p w14:paraId="00FC1C8B" w14:textId="77777777" w:rsidR="00B15CD3" w:rsidRDefault="00B15CD3">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2975C0" w14:textId="77777777" w:rsidR="008147AE" w:rsidRDefault="008147AE" w:rsidP="00764679">
      <w:r>
        <w:separator/>
      </w:r>
    </w:p>
  </w:footnote>
  <w:footnote w:type="continuationSeparator" w:id="0">
    <w:p w14:paraId="028515A3" w14:textId="77777777" w:rsidR="008147AE" w:rsidRDefault="008147AE" w:rsidP="0076467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DC3"/>
    <w:rsid w:val="0000647B"/>
    <w:rsid w:val="00013BEA"/>
    <w:rsid w:val="0003585B"/>
    <w:rsid w:val="000666AC"/>
    <w:rsid w:val="000723D8"/>
    <w:rsid w:val="00074290"/>
    <w:rsid w:val="000976C5"/>
    <w:rsid w:val="000B57CB"/>
    <w:rsid w:val="000F274F"/>
    <w:rsid w:val="00103B7C"/>
    <w:rsid w:val="00181DDE"/>
    <w:rsid w:val="0018272F"/>
    <w:rsid w:val="001D26BD"/>
    <w:rsid w:val="0023460B"/>
    <w:rsid w:val="002359DA"/>
    <w:rsid w:val="002378AF"/>
    <w:rsid w:val="0024246E"/>
    <w:rsid w:val="002E356E"/>
    <w:rsid w:val="00366E34"/>
    <w:rsid w:val="00375BB2"/>
    <w:rsid w:val="00406442"/>
    <w:rsid w:val="004278F0"/>
    <w:rsid w:val="00440FCF"/>
    <w:rsid w:val="00452267"/>
    <w:rsid w:val="004620DA"/>
    <w:rsid w:val="00477DAB"/>
    <w:rsid w:val="004B1096"/>
    <w:rsid w:val="004E17DB"/>
    <w:rsid w:val="004F31F1"/>
    <w:rsid w:val="00546E3B"/>
    <w:rsid w:val="005B4FC4"/>
    <w:rsid w:val="005C7311"/>
    <w:rsid w:val="005D72D6"/>
    <w:rsid w:val="00634DFC"/>
    <w:rsid w:val="00653172"/>
    <w:rsid w:val="00653ED6"/>
    <w:rsid w:val="00661864"/>
    <w:rsid w:val="00672EB0"/>
    <w:rsid w:val="006944D3"/>
    <w:rsid w:val="00694C2B"/>
    <w:rsid w:val="00704C5D"/>
    <w:rsid w:val="00724897"/>
    <w:rsid w:val="00764679"/>
    <w:rsid w:val="007945B2"/>
    <w:rsid w:val="00804356"/>
    <w:rsid w:val="008147AE"/>
    <w:rsid w:val="008E55BF"/>
    <w:rsid w:val="008F1C73"/>
    <w:rsid w:val="009129CC"/>
    <w:rsid w:val="00923347"/>
    <w:rsid w:val="00927E87"/>
    <w:rsid w:val="009370CD"/>
    <w:rsid w:val="0095536B"/>
    <w:rsid w:val="009825BC"/>
    <w:rsid w:val="0098622F"/>
    <w:rsid w:val="009F7ADF"/>
    <w:rsid w:val="00A66A45"/>
    <w:rsid w:val="00AB13F9"/>
    <w:rsid w:val="00AC597B"/>
    <w:rsid w:val="00B15CD3"/>
    <w:rsid w:val="00B37F1F"/>
    <w:rsid w:val="00BA2DC3"/>
    <w:rsid w:val="00BC0E94"/>
    <w:rsid w:val="00BD2C42"/>
    <w:rsid w:val="00BD4D6C"/>
    <w:rsid w:val="00BE1736"/>
    <w:rsid w:val="00BE33F2"/>
    <w:rsid w:val="00C20223"/>
    <w:rsid w:val="00C21C29"/>
    <w:rsid w:val="00C60E41"/>
    <w:rsid w:val="00C66E36"/>
    <w:rsid w:val="00C75BA5"/>
    <w:rsid w:val="00D02509"/>
    <w:rsid w:val="00D22D71"/>
    <w:rsid w:val="00D55507"/>
    <w:rsid w:val="00D705EA"/>
    <w:rsid w:val="00DA6F13"/>
    <w:rsid w:val="00E71BA7"/>
    <w:rsid w:val="00ED10E8"/>
    <w:rsid w:val="00ED4D59"/>
    <w:rsid w:val="00F0765E"/>
    <w:rsid w:val="00F360DD"/>
    <w:rsid w:val="00F363B5"/>
    <w:rsid w:val="00F50545"/>
    <w:rsid w:val="00F7393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535C50"/>
  <w15:chartTrackingRefBased/>
  <w15:docId w15:val="{1C9003A8-46BD-43C7-81C7-440122F58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C75BA5"/>
    <w:pPr>
      <w:widowControl w:val="0"/>
      <w:jc w:val="both"/>
    </w:pPr>
  </w:style>
  <w:style w:type="paragraph" w:styleId="1">
    <w:name w:val="heading 1"/>
    <w:basedOn w:val="a"/>
    <w:next w:val="a"/>
    <w:link w:val="10"/>
    <w:uiPriority w:val="9"/>
    <w:qFormat/>
    <w:rsid w:val="0076467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64679"/>
    <w:pPr>
      <w:keepNext/>
      <w:keepLines/>
      <w:widowControl/>
      <w:spacing w:before="260" w:after="260" w:line="416" w:lineRule="auto"/>
      <w:jc w:val="left"/>
      <w:outlineLvl w:val="1"/>
    </w:pPr>
    <w:rPr>
      <w:rFonts w:asciiTheme="majorHAnsi" w:eastAsiaTheme="majorEastAsia" w:hAnsiTheme="majorHAnsi" w:cstheme="majorBidi"/>
      <w:b/>
      <w:bCs/>
      <w:kern w:val="0"/>
      <w:sz w:val="32"/>
      <w:szCs w:val="32"/>
      <w:lang w:val="en-GB" w:eastAsia="en-GB"/>
    </w:rPr>
  </w:style>
  <w:style w:type="paragraph" w:styleId="3">
    <w:name w:val="heading 3"/>
    <w:basedOn w:val="a"/>
    <w:next w:val="a"/>
    <w:link w:val="30"/>
    <w:uiPriority w:val="9"/>
    <w:unhideWhenUsed/>
    <w:qFormat/>
    <w:rsid w:val="00764679"/>
    <w:pPr>
      <w:keepNext/>
      <w:keepLines/>
      <w:widowControl/>
      <w:spacing w:before="260" w:after="260" w:line="416" w:lineRule="auto"/>
      <w:jc w:val="left"/>
      <w:outlineLvl w:val="2"/>
    </w:pPr>
    <w:rPr>
      <w:rFonts w:ascii="Times New Roman" w:eastAsia="宋体" w:hAnsi="Times New Roman" w:cs="Times New Roman"/>
      <w:b/>
      <w:bCs/>
      <w:kern w:val="0"/>
      <w:sz w:val="32"/>
      <w:szCs w:val="32"/>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6467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64679"/>
    <w:rPr>
      <w:sz w:val="18"/>
      <w:szCs w:val="18"/>
    </w:rPr>
  </w:style>
  <w:style w:type="paragraph" w:styleId="a5">
    <w:name w:val="footer"/>
    <w:basedOn w:val="a"/>
    <w:link w:val="a6"/>
    <w:uiPriority w:val="99"/>
    <w:unhideWhenUsed/>
    <w:rsid w:val="00764679"/>
    <w:pPr>
      <w:tabs>
        <w:tab w:val="center" w:pos="4153"/>
        <w:tab w:val="right" w:pos="8306"/>
      </w:tabs>
      <w:snapToGrid w:val="0"/>
      <w:jc w:val="left"/>
    </w:pPr>
    <w:rPr>
      <w:sz w:val="18"/>
      <w:szCs w:val="18"/>
    </w:rPr>
  </w:style>
  <w:style w:type="character" w:customStyle="1" w:styleId="a6">
    <w:name w:val="页脚 字符"/>
    <w:basedOn w:val="a0"/>
    <w:link w:val="a5"/>
    <w:uiPriority w:val="99"/>
    <w:rsid w:val="00764679"/>
    <w:rPr>
      <w:sz w:val="18"/>
      <w:szCs w:val="18"/>
    </w:rPr>
  </w:style>
  <w:style w:type="character" w:customStyle="1" w:styleId="10">
    <w:name w:val="标题 1 字符"/>
    <w:basedOn w:val="a0"/>
    <w:link w:val="1"/>
    <w:uiPriority w:val="9"/>
    <w:rsid w:val="00764679"/>
    <w:rPr>
      <w:b/>
      <w:bCs/>
      <w:kern w:val="44"/>
      <w:sz w:val="44"/>
      <w:szCs w:val="44"/>
    </w:rPr>
  </w:style>
  <w:style w:type="character" w:customStyle="1" w:styleId="20">
    <w:name w:val="标题 2 字符"/>
    <w:basedOn w:val="a0"/>
    <w:link w:val="2"/>
    <w:uiPriority w:val="9"/>
    <w:rsid w:val="00764679"/>
    <w:rPr>
      <w:rFonts w:asciiTheme="majorHAnsi" w:eastAsiaTheme="majorEastAsia" w:hAnsiTheme="majorHAnsi" w:cstheme="majorBidi"/>
      <w:b/>
      <w:bCs/>
      <w:kern w:val="0"/>
      <w:sz w:val="32"/>
      <w:szCs w:val="32"/>
      <w:lang w:val="en-GB" w:eastAsia="en-GB"/>
    </w:rPr>
  </w:style>
  <w:style w:type="character" w:customStyle="1" w:styleId="30">
    <w:name w:val="标题 3 字符"/>
    <w:basedOn w:val="a0"/>
    <w:link w:val="3"/>
    <w:uiPriority w:val="9"/>
    <w:rsid w:val="00764679"/>
    <w:rPr>
      <w:rFonts w:ascii="Times New Roman" w:eastAsia="宋体" w:hAnsi="Times New Roman" w:cs="Times New Roman"/>
      <w:b/>
      <w:bCs/>
      <w:kern w:val="0"/>
      <w:sz w:val="32"/>
      <w:szCs w:val="32"/>
      <w:lang w:val="en-GB" w:eastAsia="en-GB"/>
    </w:rPr>
  </w:style>
  <w:style w:type="table" w:styleId="a7">
    <w:name w:val="Table Grid"/>
    <w:basedOn w:val="a1"/>
    <w:uiPriority w:val="39"/>
    <w:rsid w:val="008E55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annotation reference"/>
    <w:basedOn w:val="a0"/>
    <w:uiPriority w:val="99"/>
    <w:semiHidden/>
    <w:unhideWhenUsed/>
    <w:rsid w:val="004278F0"/>
    <w:rPr>
      <w:sz w:val="21"/>
      <w:szCs w:val="21"/>
    </w:rPr>
  </w:style>
  <w:style w:type="paragraph" w:styleId="a9">
    <w:name w:val="annotation text"/>
    <w:basedOn w:val="a"/>
    <w:link w:val="aa"/>
    <w:uiPriority w:val="99"/>
    <w:semiHidden/>
    <w:unhideWhenUsed/>
    <w:rsid w:val="004278F0"/>
    <w:pPr>
      <w:jc w:val="left"/>
    </w:pPr>
  </w:style>
  <w:style w:type="character" w:customStyle="1" w:styleId="aa">
    <w:name w:val="批注文字 字符"/>
    <w:basedOn w:val="a0"/>
    <w:link w:val="a9"/>
    <w:uiPriority w:val="99"/>
    <w:semiHidden/>
    <w:rsid w:val="004278F0"/>
  </w:style>
  <w:style w:type="paragraph" w:styleId="ab">
    <w:name w:val="annotation subject"/>
    <w:basedOn w:val="a9"/>
    <w:next w:val="a9"/>
    <w:link w:val="ac"/>
    <w:uiPriority w:val="99"/>
    <w:semiHidden/>
    <w:unhideWhenUsed/>
    <w:rsid w:val="004278F0"/>
    <w:rPr>
      <w:b/>
      <w:bCs/>
    </w:rPr>
  </w:style>
  <w:style w:type="character" w:customStyle="1" w:styleId="ac">
    <w:name w:val="批注主题 字符"/>
    <w:basedOn w:val="aa"/>
    <w:link w:val="ab"/>
    <w:uiPriority w:val="99"/>
    <w:semiHidden/>
    <w:rsid w:val="004278F0"/>
    <w:rPr>
      <w:b/>
      <w:bCs/>
    </w:rPr>
  </w:style>
  <w:style w:type="paragraph" w:styleId="ad">
    <w:name w:val="Balloon Text"/>
    <w:basedOn w:val="a"/>
    <w:link w:val="ae"/>
    <w:uiPriority w:val="99"/>
    <w:semiHidden/>
    <w:unhideWhenUsed/>
    <w:rsid w:val="004278F0"/>
    <w:rPr>
      <w:sz w:val="18"/>
      <w:szCs w:val="18"/>
    </w:rPr>
  </w:style>
  <w:style w:type="character" w:customStyle="1" w:styleId="ae">
    <w:name w:val="批注框文本 字符"/>
    <w:basedOn w:val="a0"/>
    <w:link w:val="ad"/>
    <w:uiPriority w:val="99"/>
    <w:semiHidden/>
    <w:rsid w:val="004278F0"/>
    <w:rPr>
      <w:sz w:val="18"/>
      <w:szCs w:val="18"/>
    </w:rPr>
  </w:style>
  <w:style w:type="paragraph" w:styleId="TOC">
    <w:name w:val="TOC Heading"/>
    <w:basedOn w:val="1"/>
    <w:next w:val="a"/>
    <w:uiPriority w:val="39"/>
    <w:unhideWhenUsed/>
    <w:qFormat/>
    <w:rsid w:val="007945B2"/>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4E17DB"/>
    <w:pPr>
      <w:tabs>
        <w:tab w:val="right" w:leader="dot" w:pos="8296"/>
      </w:tabs>
    </w:pPr>
    <w:rPr>
      <w:rFonts w:ascii="Times New Roman" w:hAnsi="Times New Roman" w:cs="Times New Roman"/>
      <w:noProof/>
      <w:sz w:val="24"/>
    </w:rPr>
  </w:style>
  <w:style w:type="paragraph" w:styleId="TOC2">
    <w:name w:val="toc 2"/>
    <w:basedOn w:val="a"/>
    <w:next w:val="a"/>
    <w:autoRedefine/>
    <w:uiPriority w:val="39"/>
    <w:unhideWhenUsed/>
    <w:rsid w:val="007945B2"/>
    <w:pPr>
      <w:ind w:leftChars="200" w:left="420"/>
    </w:pPr>
  </w:style>
  <w:style w:type="character" w:styleId="af">
    <w:name w:val="Hyperlink"/>
    <w:basedOn w:val="a0"/>
    <w:uiPriority w:val="99"/>
    <w:unhideWhenUsed/>
    <w:rsid w:val="007945B2"/>
    <w:rPr>
      <w:color w:val="0563C1" w:themeColor="hyperlink"/>
      <w:u w:val="single"/>
    </w:rPr>
  </w:style>
  <w:style w:type="character" w:styleId="af0">
    <w:name w:val="Unresolved Mention"/>
    <w:basedOn w:val="a0"/>
    <w:uiPriority w:val="99"/>
    <w:semiHidden/>
    <w:unhideWhenUsed/>
    <w:rsid w:val="005D72D6"/>
    <w:rPr>
      <w:color w:val="605E5C"/>
      <w:shd w:val="clear" w:color="auto" w:fill="E1DFDD"/>
    </w:rPr>
  </w:style>
  <w:style w:type="character" w:styleId="af1">
    <w:name w:val="Placeholder Text"/>
    <w:basedOn w:val="a0"/>
    <w:uiPriority w:val="99"/>
    <w:semiHidden/>
    <w:rsid w:val="009825BC"/>
    <w:rPr>
      <w:color w:val="808080"/>
    </w:rPr>
  </w:style>
  <w:style w:type="paragraph" w:styleId="TOC3">
    <w:name w:val="toc 3"/>
    <w:basedOn w:val="a"/>
    <w:next w:val="a"/>
    <w:autoRedefine/>
    <w:uiPriority w:val="39"/>
    <w:unhideWhenUsed/>
    <w:rsid w:val="00B15CD3"/>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843949">
      <w:bodyDiv w:val="1"/>
      <w:marLeft w:val="0"/>
      <w:marRight w:val="0"/>
      <w:marTop w:val="0"/>
      <w:marBottom w:val="0"/>
      <w:divBdr>
        <w:top w:val="none" w:sz="0" w:space="0" w:color="auto"/>
        <w:left w:val="none" w:sz="0" w:space="0" w:color="auto"/>
        <w:bottom w:val="none" w:sz="0" w:space="0" w:color="auto"/>
        <w:right w:val="none" w:sz="0" w:space="0" w:color="auto"/>
      </w:divBdr>
    </w:div>
    <w:div w:id="276789311">
      <w:bodyDiv w:val="1"/>
      <w:marLeft w:val="0"/>
      <w:marRight w:val="0"/>
      <w:marTop w:val="0"/>
      <w:marBottom w:val="0"/>
      <w:divBdr>
        <w:top w:val="none" w:sz="0" w:space="0" w:color="auto"/>
        <w:left w:val="none" w:sz="0" w:space="0" w:color="auto"/>
        <w:bottom w:val="none" w:sz="0" w:space="0" w:color="auto"/>
        <w:right w:val="none" w:sz="0" w:space="0" w:color="auto"/>
      </w:divBdr>
    </w:div>
    <w:div w:id="277376372">
      <w:bodyDiv w:val="1"/>
      <w:marLeft w:val="0"/>
      <w:marRight w:val="0"/>
      <w:marTop w:val="0"/>
      <w:marBottom w:val="0"/>
      <w:divBdr>
        <w:top w:val="none" w:sz="0" w:space="0" w:color="auto"/>
        <w:left w:val="none" w:sz="0" w:space="0" w:color="auto"/>
        <w:bottom w:val="none" w:sz="0" w:space="0" w:color="auto"/>
        <w:right w:val="none" w:sz="0" w:space="0" w:color="auto"/>
      </w:divBdr>
    </w:div>
    <w:div w:id="582302853">
      <w:bodyDiv w:val="1"/>
      <w:marLeft w:val="0"/>
      <w:marRight w:val="0"/>
      <w:marTop w:val="0"/>
      <w:marBottom w:val="0"/>
      <w:divBdr>
        <w:top w:val="none" w:sz="0" w:space="0" w:color="auto"/>
        <w:left w:val="none" w:sz="0" w:space="0" w:color="auto"/>
        <w:bottom w:val="none" w:sz="0" w:space="0" w:color="auto"/>
        <w:right w:val="none" w:sz="0" w:space="0" w:color="auto"/>
      </w:divBdr>
    </w:div>
    <w:div w:id="869993837">
      <w:bodyDiv w:val="1"/>
      <w:marLeft w:val="0"/>
      <w:marRight w:val="0"/>
      <w:marTop w:val="0"/>
      <w:marBottom w:val="0"/>
      <w:divBdr>
        <w:top w:val="none" w:sz="0" w:space="0" w:color="auto"/>
        <w:left w:val="none" w:sz="0" w:space="0" w:color="auto"/>
        <w:bottom w:val="none" w:sz="0" w:space="0" w:color="auto"/>
        <w:right w:val="none" w:sz="0" w:space="0" w:color="auto"/>
      </w:divBdr>
    </w:div>
    <w:div w:id="1092048298">
      <w:bodyDiv w:val="1"/>
      <w:marLeft w:val="0"/>
      <w:marRight w:val="0"/>
      <w:marTop w:val="0"/>
      <w:marBottom w:val="0"/>
      <w:divBdr>
        <w:top w:val="none" w:sz="0" w:space="0" w:color="auto"/>
        <w:left w:val="none" w:sz="0" w:space="0" w:color="auto"/>
        <w:bottom w:val="none" w:sz="0" w:space="0" w:color="auto"/>
        <w:right w:val="none" w:sz="0" w:space="0" w:color="auto"/>
      </w:divBdr>
    </w:div>
    <w:div w:id="1526869697">
      <w:bodyDiv w:val="1"/>
      <w:marLeft w:val="0"/>
      <w:marRight w:val="0"/>
      <w:marTop w:val="0"/>
      <w:marBottom w:val="0"/>
      <w:divBdr>
        <w:top w:val="none" w:sz="0" w:space="0" w:color="auto"/>
        <w:left w:val="none" w:sz="0" w:space="0" w:color="auto"/>
        <w:bottom w:val="none" w:sz="0" w:space="0" w:color="auto"/>
        <w:right w:val="none" w:sz="0" w:space="0" w:color="auto"/>
      </w:divBdr>
    </w:div>
    <w:div w:id="1790469926">
      <w:bodyDiv w:val="1"/>
      <w:marLeft w:val="0"/>
      <w:marRight w:val="0"/>
      <w:marTop w:val="0"/>
      <w:marBottom w:val="0"/>
      <w:divBdr>
        <w:top w:val="none" w:sz="0" w:space="0" w:color="auto"/>
        <w:left w:val="none" w:sz="0" w:space="0" w:color="auto"/>
        <w:bottom w:val="none" w:sz="0" w:space="0" w:color="auto"/>
        <w:right w:val="none" w:sz="0" w:space="0" w:color="auto"/>
      </w:divBdr>
    </w:div>
    <w:div w:id="1808015322">
      <w:bodyDiv w:val="1"/>
      <w:marLeft w:val="0"/>
      <w:marRight w:val="0"/>
      <w:marTop w:val="0"/>
      <w:marBottom w:val="0"/>
      <w:divBdr>
        <w:top w:val="none" w:sz="0" w:space="0" w:color="auto"/>
        <w:left w:val="none" w:sz="0" w:space="0" w:color="auto"/>
        <w:bottom w:val="none" w:sz="0" w:space="0" w:color="auto"/>
        <w:right w:val="none" w:sz="0" w:space="0" w:color="auto"/>
      </w:divBdr>
    </w:div>
    <w:div w:id="182925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FA1F8E-E893-4C1E-B937-B455A0CE46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1243</TotalTime>
  <Pages>15</Pages>
  <Words>5241</Words>
  <Characters>29877</Characters>
  <Application>Microsoft Office Word</Application>
  <DocSecurity>0</DocSecurity>
  <Lines>248</Lines>
  <Paragraphs>70</Paragraphs>
  <ScaleCrop>false</ScaleCrop>
  <Company/>
  <LinksUpToDate>false</LinksUpToDate>
  <CharactersWithSpaces>35048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小明</dc:creator>
  <cp:keywords/>
  <dc:description/>
  <cp:lastModifiedBy>小明</cp:lastModifiedBy>
  <cp:revision>5</cp:revision>
  <dcterms:created xsi:type="dcterms:W3CDTF">2022-12-05T04:19:00Z</dcterms:created>
  <dcterms:modified xsi:type="dcterms:W3CDTF">2023-03-29T14:40:00Z</dcterms:modified>
</cp:coreProperties>
</file>