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4EBF48C0" w:rsidR="00ED5964" w:rsidRDefault="00ED5964"/>
    <w:p w14:paraId="6B8ADB81" w14:textId="77777777" w:rsidR="006A5CFC" w:rsidRDefault="006A5CFC"/>
    <w:p w14:paraId="3BEDB360" w14:textId="775A28B3" w:rsidR="00ED5964" w:rsidRDefault="00ED5964"/>
    <w:p w14:paraId="2EF804A0" w14:textId="1740846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06671">
        <w:rPr>
          <w:rFonts w:asciiTheme="minorBidi" w:hAnsiTheme="minorBidi"/>
          <w:sz w:val="28"/>
          <w:szCs w:val="28"/>
        </w:rPr>
        <w:t>Danielle brown</w:t>
      </w:r>
    </w:p>
    <w:p w14:paraId="485B6F49" w14:textId="317692B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06671">
        <w:rPr>
          <w:rFonts w:asciiTheme="minorBidi" w:hAnsiTheme="minorBidi"/>
          <w:sz w:val="28"/>
          <w:szCs w:val="28"/>
        </w:rPr>
        <w:t>2532175</w:t>
      </w:r>
    </w:p>
    <w:p w14:paraId="3C1E7A20" w14:textId="3438A96C"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06671">
        <w:rPr>
          <w:rFonts w:asciiTheme="minorBidi" w:hAnsiTheme="minorBidi"/>
          <w:sz w:val="28"/>
          <w:szCs w:val="28"/>
        </w:rPr>
        <w:t>LCHS4007</w:t>
      </w:r>
      <w:r w:rsidR="00A11EEC">
        <w:rPr>
          <w:rFonts w:asciiTheme="minorBidi" w:hAnsiTheme="minorBidi"/>
          <w:sz w:val="28"/>
          <w:szCs w:val="28"/>
        </w:rPr>
        <w:t xml:space="preserve"> TASK 3</w:t>
      </w:r>
    </w:p>
    <w:p w14:paraId="4EEB2DA3" w14:textId="46B78CA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06671">
        <w:rPr>
          <w:rFonts w:asciiTheme="minorBidi" w:hAnsiTheme="minorBidi"/>
          <w:sz w:val="28"/>
          <w:szCs w:val="28"/>
        </w:rPr>
        <w:t>Health and social care</w:t>
      </w:r>
    </w:p>
    <w:p w14:paraId="6E5FC5BE" w14:textId="7F09291B" w:rsidR="00806671" w:rsidRDefault="00806671" w:rsidP="00ED5964">
      <w:pPr>
        <w:jc w:val="both"/>
        <w:rPr>
          <w:rFonts w:asciiTheme="minorBidi" w:hAnsiTheme="minorBidi"/>
          <w:sz w:val="28"/>
          <w:szCs w:val="28"/>
        </w:rPr>
      </w:pPr>
      <w:r>
        <w:rPr>
          <w:rFonts w:asciiTheme="minorBidi" w:hAnsiTheme="minorBidi"/>
          <w:sz w:val="28"/>
          <w:szCs w:val="28"/>
        </w:rPr>
        <w:t xml:space="preserve">Academic and Employment skills  </w:t>
      </w:r>
    </w:p>
    <w:p w14:paraId="78C0B80E" w14:textId="4CC6021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806671">
        <w:rPr>
          <w:rFonts w:asciiTheme="minorBidi" w:hAnsiTheme="minorBidi"/>
          <w:sz w:val="28"/>
          <w:szCs w:val="28"/>
        </w:rPr>
        <w:t>Mrs Oluwadamilola Tayo</w:t>
      </w:r>
    </w:p>
    <w:p w14:paraId="4D765DA6" w14:textId="0953D7CF" w:rsidR="00806671" w:rsidRDefault="003C3F9D" w:rsidP="003C3F9D">
      <w:r w:rsidRPr="003C3F9D">
        <w:rPr>
          <w:rFonts w:ascii="Arial" w:hAnsi="Arial" w:cs="Arial"/>
          <w:color w:val="000000"/>
          <w:sz w:val="28"/>
        </w:rPr>
        <w:t>Job Title: Mental Health Practitioner (Early Custody Intervention)</w:t>
      </w:r>
      <w:r>
        <w:rPr>
          <w:rFonts w:ascii="Arial" w:hAnsi="Arial" w:cs="Arial"/>
          <w:color w:val="000000"/>
          <w:sz w:val="28"/>
        </w:rPr>
        <w:t>.</w:t>
      </w: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2ED11D4"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806671">
        <w:rPr>
          <w:rFonts w:asciiTheme="minorBidi" w:hAnsiTheme="minorBidi"/>
          <w:sz w:val="28"/>
          <w:szCs w:val="28"/>
        </w:rPr>
        <w:t>21 April 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0157622F"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B93AEF">
              <w:rPr>
                <w:rStyle w:val="Hyperlink"/>
              </w:rPr>
              <w:t>Mental Health Practitioner</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03142B80"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B93AEF" w:rsidRPr="00B93AEF">
              <w:rPr>
                <w:rStyle w:val="Hyperlink"/>
              </w:rPr>
              <w:t>Mental Health Practitioner</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145703CB"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B93AEF" w:rsidRPr="00B93AEF">
              <w:rPr>
                <w:rStyle w:val="Hyperlink"/>
              </w:rPr>
              <w:t>Mental Health Practitioner</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740D754F"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B93AEF" w:rsidRPr="00B93AEF">
              <w:rPr>
                <w:rStyle w:val="Hyperlink"/>
              </w:rPr>
              <w:t>Mental Health Practitioner</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73A54BA4"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B93AEF" w:rsidRPr="00B93AEF">
              <w:rPr>
                <w:rStyle w:val="Hyperlink"/>
              </w:rPr>
              <w:t>Mental Health Practitioner</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6CD6B092" w14:textId="1A8E4324" w:rsidR="00536FB9" w:rsidRPr="00B93AEF" w:rsidRDefault="00536FB9" w:rsidP="00ED5964">
      <w:pPr>
        <w:jc w:val="both"/>
        <w:rPr>
          <w:rFonts w:cs="Segoe UI"/>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93AEF">
        <w:rPr>
          <w:rFonts w:cs="Segoe UI"/>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r w:rsidR="00596575" w:rsidRPr="00B93AEF">
        <w:rPr>
          <w:rFonts w:cs="Segoe UI"/>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NTRODUCTION</w:t>
      </w:r>
    </w:p>
    <w:p w14:paraId="0C03DED9" w14:textId="454D0696" w:rsidR="00DD5135" w:rsidRPr="00B93AEF" w:rsidRDefault="00646F81" w:rsidP="00AE603C">
      <w:pPr>
        <w:jc w:val="both"/>
        <w:rPr>
          <w:rFonts w:cs="Segoe UI"/>
          <w:sz w:val="22"/>
        </w:rPr>
      </w:pPr>
      <w:r w:rsidRPr="00B93AEF">
        <w:rPr>
          <w:rFonts w:cs="Segoe UI"/>
          <w:sz w:val="22"/>
        </w:rPr>
        <w:t xml:space="preserve">Effective service delivery in health and social care relies on a </w:t>
      </w:r>
      <w:r w:rsidR="00355779" w:rsidRPr="00B93AEF">
        <w:rPr>
          <w:rFonts w:cs="Segoe UI"/>
          <w:sz w:val="22"/>
        </w:rPr>
        <w:t>diverse range</w:t>
      </w:r>
      <w:r w:rsidRPr="00B93AEF">
        <w:rPr>
          <w:rFonts w:cs="Segoe UI"/>
          <w:sz w:val="22"/>
        </w:rPr>
        <w:t xml:space="preserve"> of professional roles each dedicated to supporting the well-being of vulnerable people and families in the </w:t>
      </w:r>
      <w:r w:rsidR="00355779" w:rsidRPr="00B93AEF">
        <w:rPr>
          <w:rFonts w:cs="Segoe UI"/>
          <w:sz w:val="22"/>
        </w:rPr>
        <w:t xml:space="preserve">community. This report examines the critical role of mental health practitioners, exploring their responsibilities and the professional standards that guide their practise. First </w:t>
      </w:r>
      <w:r w:rsidR="00F2210F" w:rsidRPr="00B93AEF">
        <w:rPr>
          <w:rFonts w:cs="Segoe UI"/>
          <w:sz w:val="22"/>
        </w:rPr>
        <w:t xml:space="preserve">the report will provide an overview of the practitioner’s specific duties and impact they have on services users. Subsequently, it will analyse the core skills and ethical farmwork required for this </w:t>
      </w:r>
      <w:r w:rsidR="00AE603C" w:rsidRPr="00B93AEF">
        <w:rPr>
          <w:rFonts w:cs="Segoe UI"/>
          <w:sz w:val="22"/>
        </w:rPr>
        <w:t>role. Finally</w:t>
      </w:r>
      <w:r w:rsidR="00F2210F" w:rsidRPr="00B93AEF">
        <w:rPr>
          <w:rFonts w:cs="Segoe UI"/>
          <w:sz w:val="22"/>
        </w:rPr>
        <w:t xml:space="preserve">, the discussion will conclude by outlining the professional development and approaches available with in this sector. </w:t>
      </w:r>
    </w:p>
    <w:p w14:paraId="4CC61BC1" w14:textId="55FEF9DD" w:rsidR="00F36ADC" w:rsidRPr="00242974" w:rsidRDefault="00F36ADC" w:rsidP="0156E134">
      <w:pPr>
        <w:spacing w:after="0" w:line="240" w:lineRule="auto"/>
        <w:rPr>
          <w:sz w:val="22"/>
        </w:rPr>
      </w:pPr>
    </w:p>
    <w:p w14:paraId="64F36E68" w14:textId="7C870071" w:rsidR="3C659699" w:rsidRDefault="003C3F9D" w:rsidP="0CF501EC">
      <w:pPr>
        <w:pStyle w:val="Heading2"/>
        <w:rPr>
          <w:color w:val="4472C4" w:themeColor="accent1"/>
        </w:rPr>
      </w:pPr>
      <w:bookmarkStart w:id="0" w:name="_Toc1915621813"/>
      <w:r>
        <w:rPr>
          <w:color w:val="4471C4"/>
        </w:rPr>
        <w:t>Mental health practitioners</w:t>
      </w:r>
      <w:r w:rsidR="3C659699" w:rsidRPr="0CF501EC">
        <w:rPr>
          <w:color w:val="4471C4"/>
        </w:rPr>
        <w:t xml:space="preserve"> in the Health and Social Care Field</w:t>
      </w:r>
      <w:bookmarkEnd w:id="0"/>
    </w:p>
    <w:p w14:paraId="3C079BEF" w14:textId="401104E7" w:rsidR="0156E134" w:rsidRDefault="0156E134" w:rsidP="0156E134">
      <w:pPr>
        <w:spacing w:after="0" w:line="240" w:lineRule="auto"/>
        <w:jc w:val="both"/>
        <w:rPr>
          <w:sz w:val="21"/>
          <w:szCs w:val="21"/>
        </w:rPr>
      </w:pPr>
    </w:p>
    <w:p w14:paraId="50A9FBC6" w14:textId="300823B0" w:rsidR="008B0B22" w:rsidRPr="002976D4" w:rsidRDefault="071F48DC" w:rsidP="0156E134">
      <w:pPr>
        <w:pStyle w:val="Heading2"/>
        <w:rPr>
          <w:color w:val="4472C4" w:themeColor="accent1"/>
        </w:rPr>
      </w:pPr>
      <w:bookmarkStart w:id="1" w:name="_Toc796087951"/>
      <w:r w:rsidRPr="0CF501EC">
        <w:rPr>
          <w:color w:val="4471C4"/>
        </w:rPr>
        <w:t>Description</w:t>
      </w:r>
      <w:r w:rsidR="00070818" w:rsidRPr="0CF501EC">
        <w:rPr>
          <w:color w:val="4471C4"/>
        </w:rPr>
        <w:t xml:space="preserve"> </w:t>
      </w:r>
      <w:r w:rsidR="13BD3D5D" w:rsidRPr="0CF501EC">
        <w:rPr>
          <w:color w:val="4471C4"/>
        </w:rPr>
        <w:t xml:space="preserve">of </w:t>
      </w:r>
      <w:r w:rsidR="000C4165">
        <w:rPr>
          <w:color w:val="4471C4"/>
        </w:rPr>
        <w:t xml:space="preserve">Mental health practitioner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1"/>
      <w:r w:rsidR="008B0B22" w:rsidRPr="0CF501EC">
        <w:rPr>
          <w:color w:val="4471C4"/>
        </w:rPr>
        <w:t xml:space="preserve"> </w:t>
      </w:r>
    </w:p>
    <w:p w14:paraId="4F1C47B0" w14:textId="4D8879CB" w:rsidR="0156E134" w:rsidRPr="00B93AEF" w:rsidRDefault="00C45BB2" w:rsidP="00063CEA">
      <w:pPr>
        <w:spacing w:after="0" w:line="240" w:lineRule="auto"/>
        <w:jc w:val="both"/>
        <w:rPr>
          <w:rFonts w:cs="Segoe UI"/>
          <w:sz w:val="22"/>
        </w:rPr>
      </w:pPr>
      <w:r w:rsidRPr="00B93AEF">
        <w:rPr>
          <w:rFonts w:cs="Segoe UI"/>
          <w:sz w:val="22"/>
        </w:rPr>
        <w:t xml:space="preserve">The mains duties of </w:t>
      </w:r>
      <w:r w:rsidR="00FC31B4" w:rsidRPr="00B93AEF">
        <w:rPr>
          <w:rFonts w:cs="Segoe UI"/>
          <w:sz w:val="22"/>
        </w:rPr>
        <w:t>this</w:t>
      </w:r>
      <w:r w:rsidRPr="00B93AEF">
        <w:rPr>
          <w:rFonts w:cs="Segoe UI"/>
          <w:sz w:val="22"/>
        </w:rPr>
        <w:t xml:space="preserve"> role </w:t>
      </w:r>
      <w:r w:rsidR="00FC31B4" w:rsidRPr="00B93AEF">
        <w:rPr>
          <w:rFonts w:cs="Segoe UI"/>
          <w:sz w:val="22"/>
        </w:rPr>
        <w:t xml:space="preserve">will be reception screening for new prisoners for the first 14 days into the prison system. This will immediately identify any health or risk safety prisoners may have. Secondary screening </w:t>
      </w:r>
      <w:r w:rsidR="00A0390E" w:rsidRPr="00B93AEF">
        <w:rPr>
          <w:rFonts w:cs="Segoe UI"/>
          <w:sz w:val="22"/>
        </w:rPr>
        <w:t xml:space="preserve">focuses on the rapid identification or immediate risks, such as the need doe detoxification, active psychosis or suicide intent. It also involves creating instant cares plans and developing mental health crisis assessment. Additionally, many individuals in custody have dual diagnosis with co-occurring mental health and substances misses </w:t>
      </w:r>
      <w:r w:rsidR="00063CEA" w:rsidRPr="00B93AEF">
        <w:rPr>
          <w:rFonts w:cs="Segoe UI"/>
          <w:sz w:val="22"/>
        </w:rPr>
        <w:t xml:space="preserve">use. </w:t>
      </w:r>
      <w:r w:rsidR="00063CEA" w:rsidRPr="00B93AEF">
        <w:rPr>
          <w:rFonts w:cs="Segoe UI"/>
          <w:color w:val="000000"/>
          <w:sz w:val="22"/>
        </w:rPr>
        <w:t>The early days in custody (EDIC) role is critical, as the first two weeks carry the highest risk for self-harm and suicide.</w:t>
      </w:r>
    </w:p>
    <w:p w14:paraId="3BE9CE70" w14:textId="357A86A8" w:rsidR="48942F29" w:rsidRPr="00384AC8" w:rsidRDefault="48942F29" w:rsidP="00384AC8">
      <w:pPr>
        <w:spacing w:after="0" w:line="240" w:lineRule="auto"/>
        <w:jc w:val="both"/>
        <w:rPr>
          <w:sz w:val="22"/>
        </w:rPr>
      </w:pPr>
    </w:p>
    <w:p w14:paraId="1CB8B0F1" w14:textId="34C40497" w:rsidR="0156E134" w:rsidRDefault="0156E134" w:rsidP="0156E134">
      <w:pPr>
        <w:spacing w:after="0" w:line="240" w:lineRule="auto"/>
        <w:jc w:val="both"/>
        <w:rPr>
          <w:sz w:val="22"/>
        </w:rPr>
      </w:pPr>
    </w:p>
    <w:p w14:paraId="558DD3FB" w14:textId="40E84D80" w:rsidR="18625B0D" w:rsidRPr="00035801" w:rsidRDefault="00DD5135" w:rsidP="00035801">
      <w:pPr>
        <w:pStyle w:val="Heading2"/>
        <w:rPr>
          <w:color w:val="4472C4" w:themeColor="accent1"/>
        </w:rPr>
      </w:pPr>
      <w:bookmarkStart w:id="2" w:name="_Toc1426973069"/>
      <w:r w:rsidRPr="0CF501EC">
        <w:rPr>
          <w:color w:val="4471C4"/>
        </w:rPr>
        <w:lastRenderedPageBreak/>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w:t>
      </w:r>
      <w:r w:rsidR="007138EF" w:rsidRPr="0CF501EC">
        <w:rPr>
          <w:color w:val="4471C4"/>
        </w:rPr>
        <w:t xml:space="preserve"> Health</w:t>
      </w:r>
      <w:r w:rsidR="655ACEAB" w:rsidRPr="0CF501EC">
        <w:rPr>
          <w:color w:val="4471C4"/>
        </w:rPr>
        <w:t xml:space="preserve"> and Soc</w:t>
      </w:r>
      <w:bookmarkEnd w:id="2"/>
      <w:r w:rsidR="00035801">
        <w:rPr>
          <w:color w:val="4471C4"/>
        </w:rPr>
        <w:t>ial</w:t>
      </w:r>
    </w:p>
    <w:p w14:paraId="4401079E" w14:textId="608BE672" w:rsidR="00D676C3" w:rsidRDefault="00A11EEC" w:rsidP="00C85A7C">
      <w:pPr>
        <w:spacing w:after="0" w:line="240" w:lineRule="auto"/>
        <w:jc w:val="both"/>
        <w:rPr>
          <w:sz w:val="22"/>
        </w:rPr>
      </w:pPr>
      <w:r>
        <w:rPr>
          <w:sz w:val="22"/>
        </w:rPr>
        <w:t>COMMUNICATION</w:t>
      </w:r>
    </w:p>
    <w:p w14:paraId="696747B5" w14:textId="02BE1CE2" w:rsidR="759A1527" w:rsidRDefault="00035801" w:rsidP="00A11EEC">
      <w:pPr>
        <w:spacing w:after="0" w:line="240" w:lineRule="auto"/>
        <w:jc w:val="both"/>
        <w:rPr>
          <w:sz w:val="22"/>
        </w:rPr>
      </w:pPr>
      <w:r>
        <w:rPr>
          <w:sz w:val="22"/>
        </w:rPr>
        <w:t xml:space="preserve">Effective communication is the most critical skill for health and social care professional working in custody environment. </w:t>
      </w:r>
      <w:r w:rsidR="00A11EEC" w:rsidRPr="00A11EEC">
        <w:rPr>
          <w:rFonts w:cs="Segoe UI"/>
          <w:color w:val="000000"/>
          <w:sz w:val="22"/>
        </w:rPr>
        <w:t>Establishing rapport quickly by actively listening helps practitioners obtain accurate information from individuals who may be upset or hesitant to trust. For instance, during an initial EDIC screening, a staff member using open-ended questions might uncover a substance misuse history not documented in the paperwork.</w:t>
      </w:r>
      <w:r w:rsidR="00A11EEC">
        <w:rPr>
          <w:rFonts w:cs="Segoe UI"/>
          <w:color w:val="000000"/>
          <w:sz w:val="22"/>
        </w:rPr>
        <w:t xml:space="preserve"> </w:t>
      </w:r>
      <w:r w:rsidR="00A11EEC">
        <w:rPr>
          <w:sz w:val="22"/>
        </w:rPr>
        <w:t xml:space="preserve"> </w:t>
      </w:r>
      <w:r w:rsidR="00A11EEC" w:rsidRPr="00A11EEC">
        <w:rPr>
          <w:rFonts w:cs="Segoe UI"/>
          <w:color w:val="000000"/>
          <w:sz w:val="22"/>
        </w:rPr>
        <w:t>This direct communication ensures care needs are promptly identified and addressed before they escalate.</w:t>
      </w:r>
      <w:r w:rsidR="00A11EEC">
        <w:rPr>
          <w:rFonts w:cs="Segoe UI"/>
          <w:color w:val="000000"/>
          <w:sz w:val="22"/>
        </w:rPr>
        <w:t xml:space="preserve"> </w:t>
      </w:r>
      <w:r w:rsidR="00A11EEC">
        <w:rPr>
          <w:sz w:val="22"/>
        </w:rPr>
        <w:t xml:space="preserve"> </w:t>
      </w:r>
    </w:p>
    <w:p w14:paraId="7338813D" w14:textId="04D914D3" w:rsidR="00C85A7C" w:rsidRDefault="00A11EEC" w:rsidP="00C85A7C">
      <w:pPr>
        <w:spacing w:after="0" w:line="240" w:lineRule="auto"/>
        <w:jc w:val="both"/>
        <w:rPr>
          <w:sz w:val="21"/>
          <w:szCs w:val="21"/>
        </w:rPr>
      </w:pPr>
      <w:r>
        <w:rPr>
          <w:sz w:val="21"/>
          <w:szCs w:val="21"/>
        </w:rPr>
        <w:t>RISK ASSESEEMENT AND OBSERVATION</w:t>
      </w:r>
    </w:p>
    <w:p w14:paraId="0BEB48E8" w14:textId="1AF04EA3" w:rsidR="00A11EEC" w:rsidRDefault="00D66017" w:rsidP="00D66017">
      <w:pPr>
        <w:spacing w:after="0" w:line="240" w:lineRule="auto"/>
        <w:jc w:val="both"/>
        <w:rPr>
          <w:sz w:val="21"/>
          <w:szCs w:val="21"/>
        </w:rPr>
      </w:pPr>
      <w:r w:rsidRPr="00D66017">
        <w:rPr>
          <w:rFonts w:cs="Segoe UI"/>
          <w:color w:val="000000"/>
          <w:sz w:val="21"/>
        </w:rPr>
        <w:t>Continuous and thorough risk assessment is crucial for safety, especially since the first two weeks in custody are when self-harm risk is highest. Staff should be alert to subtle changes, such as a resident becoming unusually withdrawn or giving away personal items—both warning signs of suicidal thoughts.</w:t>
      </w:r>
      <w:r>
        <w:rPr>
          <w:rFonts w:cs="Segoe UI"/>
          <w:color w:val="000000"/>
          <w:sz w:val="21"/>
        </w:rPr>
        <w:t xml:space="preserve"> </w:t>
      </w:r>
      <w:r>
        <w:rPr>
          <w:sz w:val="21"/>
          <w:szCs w:val="21"/>
        </w:rPr>
        <w:t xml:space="preserve"> Proficiency in these observations allow for the timely implementation of </w:t>
      </w:r>
      <w:r w:rsidR="00061AFF">
        <w:rPr>
          <w:sz w:val="21"/>
          <w:szCs w:val="21"/>
        </w:rPr>
        <w:t>constant</w:t>
      </w:r>
      <w:r>
        <w:rPr>
          <w:sz w:val="21"/>
          <w:szCs w:val="21"/>
        </w:rPr>
        <w:t xml:space="preserve"> watch </w:t>
      </w:r>
      <w:r w:rsidR="00061AFF">
        <w:rPr>
          <w:sz w:val="21"/>
          <w:szCs w:val="21"/>
        </w:rPr>
        <w:t>or mental health referrals directly preventing self-harm.</w:t>
      </w:r>
    </w:p>
    <w:p w14:paraId="40A687EF" w14:textId="26324ED4" w:rsidR="00061AFF" w:rsidRDefault="007F250B" w:rsidP="00D66017">
      <w:pPr>
        <w:spacing w:after="0" w:line="240" w:lineRule="auto"/>
        <w:jc w:val="both"/>
        <w:rPr>
          <w:sz w:val="21"/>
          <w:szCs w:val="21"/>
        </w:rPr>
      </w:pPr>
      <w:r>
        <w:rPr>
          <w:sz w:val="21"/>
          <w:szCs w:val="21"/>
        </w:rPr>
        <w:t>RESILIENCE AND PROFESSIONALISM</w:t>
      </w:r>
    </w:p>
    <w:p w14:paraId="695D1039" w14:textId="7FBBE9AA" w:rsidR="007F250B" w:rsidRDefault="007F250B" w:rsidP="00CE41AC">
      <w:pPr>
        <w:spacing w:after="0" w:line="240" w:lineRule="auto"/>
        <w:jc w:val="both"/>
        <w:rPr>
          <w:rFonts w:cs="Segoe UI"/>
          <w:color w:val="000000"/>
          <w:sz w:val="21"/>
        </w:rPr>
      </w:pPr>
      <w:r>
        <w:rPr>
          <w:sz w:val="21"/>
          <w:szCs w:val="21"/>
        </w:rPr>
        <w:t xml:space="preserve">Maintaining professional boundaries and emotional resilience is the key when working in a high -pressure care roles. Caregivers often face challenging behaviours or traumatic disclosure’s staying professional ensures the quality of care doesn’t </w:t>
      </w:r>
      <w:r w:rsidR="00CE41AC">
        <w:rPr>
          <w:sz w:val="21"/>
          <w:szCs w:val="21"/>
        </w:rPr>
        <w:t xml:space="preserve">waver. </w:t>
      </w:r>
      <w:r w:rsidR="00CE41AC" w:rsidRPr="00CE41AC">
        <w:rPr>
          <w:rFonts w:cs="Segoe UI"/>
          <w:color w:val="000000"/>
          <w:sz w:val="21"/>
        </w:rPr>
        <w:t>In practice, this means remaining calm and impartial even when service users become aggressive due to withdrawal symptoms.</w:t>
      </w:r>
      <w:r w:rsidR="00CE41AC">
        <w:rPr>
          <w:rFonts w:cs="Segoe UI"/>
          <w:color w:val="000000"/>
          <w:sz w:val="21"/>
        </w:rPr>
        <w:t xml:space="preserve"> </w:t>
      </w:r>
      <w:r w:rsidR="00CE41AC">
        <w:rPr>
          <w:sz w:val="21"/>
          <w:szCs w:val="21"/>
        </w:rPr>
        <w:t xml:space="preserve"> </w:t>
      </w:r>
      <w:r w:rsidR="00CE41AC" w:rsidRPr="00CE41AC">
        <w:rPr>
          <w:rFonts w:cs="Segoe UI"/>
          <w:color w:val="000000"/>
          <w:sz w:val="21"/>
        </w:rPr>
        <w:t>This stability creates a secure environment for service users and helps prevent staff burnout, supporting consistent long-term care.</w:t>
      </w:r>
    </w:p>
    <w:p w14:paraId="07917912" w14:textId="223857BA" w:rsidR="00CE41AC" w:rsidRDefault="00C67CAF" w:rsidP="00CE41AC">
      <w:pPr>
        <w:spacing w:after="0" w:line="240" w:lineRule="auto"/>
        <w:jc w:val="both"/>
        <w:rPr>
          <w:rFonts w:cs="Segoe UI"/>
          <w:color w:val="000000"/>
          <w:sz w:val="21"/>
        </w:rPr>
      </w:pPr>
      <w:r>
        <w:rPr>
          <w:rFonts w:cs="Segoe UI"/>
          <w:color w:val="000000"/>
          <w:sz w:val="21"/>
        </w:rPr>
        <w:t xml:space="preserve">CONSEQUENCES OF LACKING THESE SKILLS </w:t>
      </w:r>
    </w:p>
    <w:p w14:paraId="5FF55E6F" w14:textId="6039505B" w:rsidR="00C67CAF" w:rsidRDefault="00C67CAF" w:rsidP="00CE41AC">
      <w:pPr>
        <w:spacing w:after="0" w:line="240" w:lineRule="auto"/>
        <w:jc w:val="both"/>
        <w:rPr>
          <w:rFonts w:cs="Segoe UI"/>
          <w:color w:val="000000"/>
          <w:sz w:val="21"/>
        </w:rPr>
      </w:pPr>
      <w:r>
        <w:rPr>
          <w:rFonts w:cs="Segoe UI"/>
          <w:color w:val="000000"/>
          <w:sz w:val="21"/>
        </w:rPr>
        <w:t>A lack of these core skills among staff can lead to devastating consequences for both the services users and the facility.</w:t>
      </w:r>
    </w:p>
    <w:p w14:paraId="79B47404" w14:textId="3EAC2425" w:rsidR="00C67CAF" w:rsidRDefault="00C67CAF" w:rsidP="00C67CAF">
      <w:pPr>
        <w:spacing w:after="0" w:line="240" w:lineRule="auto"/>
        <w:jc w:val="both"/>
        <w:rPr>
          <w:sz w:val="21"/>
          <w:szCs w:val="21"/>
        </w:rPr>
      </w:pPr>
      <w:r>
        <w:rPr>
          <w:rFonts w:cs="Segoe UI"/>
          <w:color w:val="000000"/>
          <w:sz w:val="21"/>
        </w:rPr>
        <w:t xml:space="preserve">Without strong communication and risk assessments abilities critical warning signs of a mental health crisis can be easily missed. </w:t>
      </w:r>
      <w:r w:rsidRPr="00C67CAF">
        <w:rPr>
          <w:rFonts w:cs="Segoe UI"/>
          <w:color w:val="000000"/>
          <w:sz w:val="21"/>
        </w:rPr>
        <w:t>For example, if a staff member lacks empathy, they may dismiss a distressed resident as attention-seeking and fail to monitor them properly.</w:t>
      </w:r>
    </w:p>
    <w:p w14:paraId="30E6B35C" w14:textId="0E910F48" w:rsidR="00A11EEC" w:rsidRPr="00242974" w:rsidRDefault="00E93B28" w:rsidP="00E93B28">
      <w:r w:rsidRPr="00E93B28">
        <w:rPr>
          <w:rFonts w:cs="Segoe UI"/>
          <w:color w:val="000000"/>
          <w:sz w:val="21"/>
        </w:rPr>
        <w:t>The lack of these skills greatly raises the risk of preventable self-harm incidents or fatalities in the custody suite.</w:t>
      </w:r>
    </w:p>
    <w:p w14:paraId="2CAEA1EC" w14:textId="2598AC42" w:rsidR="002370CE" w:rsidRPr="002976D4" w:rsidRDefault="1F09BC6E" w:rsidP="0CF501EC">
      <w:pPr>
        <w:pStyle w:val="Heading2"/>
        <w:rPr>
          <w:color w:val="4472C4" w:themeColor="accent1"/>
        </w:rPr>
      </w:pPr>
      <w:bookmarkStart w:id="3"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3"/>
      <w:r w:rsidR="00C45BB2">
        <w:rPr>
          <w:color w:val="4471C4"/>
        </w:rPr>
        <w:t xml:space="preserve">Mental health practitioner </w:t>
      </w:r>
    </w:p>
    <w:p w14:paraId="01C49510" w14:textId="3F417BD3" w:rsidR="002370CE" w:rsidRPr="002976D4" w:rsidRDefault="0C5D0C5C" w:rsidP="0156E134">
      <w:pPr>
        <w:pStyle w:val="Heading2"/>
        <w:rPr>
          <w:color w:val="4472C4" w:themeColor="accent1"/>
        </w:rPr>
      </w:pPr>
      <w:bookmarkStart w:id="4" w:name="_Toc1405407187"/>
      <w:r w:rsidRPr="0CF501EC">
        <w:rPr>
          <w:color w:val="4471C4"/>
        </w:rPr>
        <w:t xml:space="preserve">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w:t>
      </w:r>
      <w:bookmarkEnd w:id="4"/>
      <w:r w:rsidR="00C45BB2">
        <w:rPr>
          <w:color w:val="4471C4"/>
        </w:rPr>
        <w:t xml:space="preserve"> Mental practitioner </w:t>
      </w:r>
    </w:p>
    <w:p w14:paraId="7DBB662F" w14:textId="48B25831" w:rsidR="00C20DB1" w:rsidRDefault="00514345" w:rsidP="00C20DB1">
      <w:pPr>
        <w:spacing w:after="0"/>
        <w:rPr>
          <w:rFonts w:cs="Segoe UI"/>
          <w:color w:val="000000"/>
          <w:sz w:val="22"/>
        </w:rPr>
      </w:pPr>
      <w:r>
        <w:rPr>
          <w:sz w:val="22"/>
        </w:rPr>
        <w:t xml:space="preserve">A primary </w:t>
      </w:r>
      <w:r w:rsidR="002A3DDB">
        <w:rPr>
          <w:sz w:val="22"/>
        </w:rPr>
        <w:t xml:space="preserve">strategy for practitioner’s is the implementation of assertive outreach during the secondary health screening phase. While the initial reception screening focus on immediate life-safety, the secondary screening ideally conducted with in the first 7 days must be holistic to capture complex needs like neurodiversity or historical trauma. </w:t>
      </w:r>
      <w:r w:rsidR="00C20DB1" w:rsidRPr="00C20DB1">
        <w:rPr>
          <w:rFonts w:cs="Segoe UI"/>
          <w:color w:val="000000"/>
          <w:sz w:val="22"/>
        </w:rPr>
        <w:t>EDIC project evaluations show that proactive engagement is essential because prisoners are often in survival mode during their first 72 hours and may not disclose mental health concerns. If a service user declines an appointment, the practitioner should not mark the case as DNA (did not attend) but instead offer follow-up wing-based visits to build rapport.</w:t>
      </w:r>
      <w:r w:rsidR="00C20DB1">
        <w:rPr>
          <w:rFonts w:cs="Segoe UI"/>
          <w:color w:val="000000"/>
          <w:sz w:val="22"/>
        </w:rPr>
        <w:t xml:space="preserve"> This strategy ensures that vulnerable individuals do not fall through the cracks of the busy induction process ultimately improving long term care plans.</w:t>
      </w:r>
    </w:p>
    <w:p w14:paraId="5A2A4E72" w14:textId="6A23C775" w:rsidR="00C20DB1" w:rsidRPr="00C20DB1" w:rsidRDefault="00C20DB1" w:rsidP="00C20DB1">
      <w:pPr>
        <w:spacing w:after="0"/>
        <w:rPr>
          <w:rFonts w:cs="Segoe UI"/>
          <w:color w:val="000000"/>
          <w:sz w:val="22"/>
        </w:rPr>
      </w:pPr>
      <w:r>
        <w:rPr>
          <w:rFonts w:cs="Segoe UI"/>
          <w:color w:val="000000"/>
          <w:sz w:val="22"/>
        </w:rPr>
        <w:t xml:space="preserve">INTERGARATING FAMILY LIAISON AND COMMUNITY CONTINUITY </w:t>
      </w:r>
    </w:p>
    <w:p w14:paraId="52583016" w14:textId="77777777" w:rsidR="000433E4" w:rsidRDefault="00C20DB1" w:rsidP="000433E4">
      <w:pPr>
        <w:spacing w:after="0"/>
        <w:rPr>
          <w:rFonts w:cs="Segoe UI"/>
          <w:color w:val="000000"/>
          <w:sz w:val="22"/>
        </w:rPr>
      </w:pPr>
      <w:r>
        <w:rPr>
          <w:sz w:val="22"/>
        </w:rPr>
        <w:t xml:space="preserve">Practitioners should adapt a strategy that prioritizes family liaison and community </w:t>
      </w:r>
      <w:r w:rsidR="00D54CCD">
        <w:rPr>
          <w:sz w:val="22"/>
        </w:rPr>
        <w:t xml:space="preserve">continuity to mitigate the SHOCK OF ENRTY into the custodial system. </w:t>
      </w:r>
      <w:r w:rsidR="00D54CCD" w:rsidRPr="00D54CCD">
        <w:rPr>
          <w:rFonts w:cs="Segoe UI"/>
          <w:color w:val="000000"/>
          <w:sz w:val="22"/>
        </w:rPr>
        <w:t xml:space="preserve">Evidence shows that losing </w:t>
      </w:r>
      <w:r w:rsidR="00D54CCD" w:rsidRPr="00D54CCD">
        <w:rPr>
          <w:rFonts w:cs="Segoe UI"/>
          <w:color w:val="000000"/>
          <w:sz w:val="22"/>
        </w:rPr>
        <w:lastRenderedPageBreak/>
        <w:t>community ties suddenly is a key cause of self-harm and acute distress in the first two weeks of custody.</w:t>
      </w:r>
      <w:r w:rsidR="00D54CCD">
        <w:rPr>
          <w:rFonts w:cs="Segoe UI"/>
          <w:color w:val="000000"/>
          <w:sz w:val="22"/>
        </w:rPr>
        <w:t xml:space="preserve"> </w:t>
      </w:r>
      <w:r w:rsidR="00D54CCD">
        <w:rPr>
          <w:sz w:val="22"/>
        </w:rPr>
        <w:t xml:space="preserve"> </w:t>
      </w:r>
      <w:r w:rsidR="00D54CCD">
        <w:rPr>
          <w:rFonts w:cs="Segoe UI"/>
          <w:color w:val="000000"/>
          <w:sz w:val="22"/>
        </w:rPr>
        <w:t>By working alongside Family Support Workers, mental health practitioners can gather vital collateral history and ensu</w:t>
      </w:r>
      <w:r w:rsidR="00C81009">
        <w:rPr>
          <w:rFonts w:cs="Segoe UI"/>
          <w:color w:val="000000"/>
          <w:sz w:val="22"/>
        </w:rPr>
        <w:t xml:space="preserve">re </w:t>
      </w:r>
      <w:r w:rsidR="000433E4">
        <w:rPr>
          <w:rFonts w:cs="Segoe UI"/>
          <w:color w:val="000000"/>
          <w:sz w:val="22"/>
        </w:rPr>
        <w:t xml:space="preserve">that the community bases prescriptions or care plans are maintained without interruption. </w:t>
      </w:r>
      <w:r w:rsidR="000433E4" w:rsidRPr="000433E4">
        <w:rPr>
          <w:rFonts w:cs="Segoe UI"/>
          <w:color w:val="000000"/>
          <w:sz w:val="22"/>
        </w:rPr>
        <w:t>This means confirming medications with community GPs and quickly connecting patients to protective factors, such as family members.</w:t>
      </w:r>
      <w:r w:rsidR="000433E4">
        <w:rPr>
          <w:rFonts w:cs="Segoe UI"/>
          <w:color w:val="000000"/>
          <w:sz w:val="22"/>
        </w:rPr>
        <w:t xml:space="preserve">  This approach moves beyond the medical model ton address the social stressors or imprisonment. </w:t>
      </w:r>
      <w:r w:rsidR="000433E4" w:rsidRPr="000433E4">
        <w:rPr>
          <w:rFonts w:cs="Segoe UI"/>
          <w:color w:val="000000"/>
          <w:sz w:val="22"/>
        </w:rPr>
        <w:t>The practitioner stabilizes the individual's external support network.</w:t>
      </w:r>
      <w:r w:rsidR="000433E4">
        <w:rPr>
          <w:rFonts w:cs="Segoe UI"/>
          <w:color w:val="000000"/>
          <w:sz w:val="22"/>
        </w:rPr>
        <w:t xml:space="preserve">  Significantly reduces the risk of a metal health crisis </w:t>
      </w:r>
    </w:p>
    <w:p w14:paraId="6A9598D6" w14:textId="5FEAEB77" w:rsidR="000433E4" w:rsidRDefault="000433E4" w:rsidP="000433E4">
      <w:pPr>
        <w:spacing w:after="0"/>
        <w:rPr>
          <w:rFonts w:cs="Segoe UI"/>
          <w:color w:val="000000"/>
          <w:sz w:val="22"/>
        </w:rPr>
      </w:pPr>
      <w:r>
        <w:rPr>
          <w:rFonts w:cs="Segoe UI"/>
          <w:color w:val="000000"/>
          <w:sz w:val="22"/>
        </w:rPr>
        <w:t>during the critical induction period.</w:t>
      </w:r>
    </w:p>
    <w:p w14:paraId="01218849" w14:textId="77777777" w:rsidR="000433E4" w:rsidRDefault="000433E4" w:rsidP="000433E4">
      <w:pPr>
        <w:spacing w:after="0"/>
        <w:rPr>
          <w:rFonts w:cs="Segoe UI"/>
          <w:color w:val="000000"/>
          <w:sz w:val="22"/>
        </w:rPr>
      </w:pPr>
      <w:r>
        <w:rPr>
          <w:rFonts w:cs="Segoe UI"/>
          <w:color w:val="000000"/>
          <w:sz w:val="22"/>
        </w:rPr>
        <w:t>TRAUMA-INFORMED BRIEF INTERVENTIONS FOR IMMEDAIATE STABILIZATION</w:t>
      </w:r>
    </w:p>
    <w:p w14:paraId="28284BD4" w14:textId="722BDF26" w:rsidR="000433E4" w:rsidRPr="000433E4" w:rsidRDefault="000433E4" w:rsidP="001368C1">
      <w:pPr>
        <w:spacing w:after="0"/>
        <w:rPr>
          <w:rFonts w:cs="Segoe UI"/>
          <w:color w:val="000000"/>
          <w:sz w:val="22"/>
        </w:rPr>
      </w:pPr>
      <w:r>
        <w:rPr>
          <w:rFonts w:cs="Segoe UI"/>
          <w:color w:val="000000"/>
          <w:sz w:val="22"/>
        </w:rPr>
        <w:t>The thir</w:t>
      </w:r>
      <w:r w:rsidR="005F7639">
        <w:rPr>
          <w:rFonts w:cs="Segoe UI"/>
          <w:color w:val="000000"/>
          <w:sz w:val="22"/>
        </w:rPr>
        <w:t xml:space="preserve">d </w:t>
      </w:r>
      <w:r w:rsidR="000C060D">
        <w:rPr>
          <w:rFonts w:cs="Segoe UI"/>
          <w:color w:val="000000"/>
          <w:sz w:val="22"/>
        </w:rPr>
        <w:t xml:space="preserve">strategy involves utilizing trauma informed brief interventions to provide immediate psychological stabilization for those in crisis. </w:t>
      </w:r>
      <w:r w:rsidR="000C060D" w:rsidRPr="000C060D">
        <w:rPr>
          <w:rFonts w:cs="Segoe UI"/>
          <w:color w:val="000000"/>
          <w:sz w:val="22"/>
        </w:rPr>
        <w:t>Instead of concentrating on long-term therapy</w:t>
      </w:r>
      <w:r w:rsidR="000C060D">
        <w:rPr>
          <w:rFonts w:cs="Segoe UI"/>
          <w:color w:val="000000"/>
          <w:sz w:val="22"/>
        </w:rPr>
        <w:t xml:space="preserve">. </w:t>
      </w:r>
      <w:r w:rsidR="000C060D" w:rsidRPr="000C060D">
        <w:rPr>
          <w:rFonts w:cs="Segoe UI"/>
          <w:color w:val="000000"/>
          <w:sz w:val="22"/>
        </w:rPr>
        <w:t>EDIC practitioners should offer simple tools like grounding techniques and sleep hygiene tips to help prisoners handle high-anxiety prison environments.</w:t>
      </w:r>
      <w:r w:rsidR="000C060D">
        <w:rPr>
          <w:rFonts w:cs="Segoe UI"/>
          <w:color w:val="000000"/>
          <w:sz w:val="22"/>
        </w:rPr>
        <w:t xml:space="preserve">  </w:t>
      </w:r>
      <w:r w:rsidR="000C060D" w:rsidRPr="000C060D">
        <w:rPr>
          <w:rFonts w:cs="Segoe UI"/>
          <w:color w:val="000000"/>
          <w:sz w:val="22"/>
        </w:rPr>
        <w:t>The NICE guidelines on mental health in the criminal justice system highlight the importance of early practical interventions to prevent distress from escalating into self-harm behaviours.</w:t>
      </w:r>
      <w:r w:rsidR="000C060D">
        <w:rPr>
          <w:rFonts w:cs="Segoe UI"/>
          <w:color w:val="000000"/>
          <w:sz w:val="22"/>
        </w:rPr>
        <w:t xml:space="preserve"> In a </w:t>
      </w:r>
      <w:r w:rsidR="00B91586">
        <w:rPr>
          <w:rFonts w:cs="Segoe UI"/>
          <w:color w:val="000000"/>
          <w:sz w:val="22"/>
        </w:rPr>
        <w:t>clinical</w:t>
      </w:r>
      <w:r w:rsidR="000C060D">
        <w:rPr>
          <w:rFonts w:cs="Segoe UI"/>
          <w:color w:val="000000"/>
          <w:sz w:val="22"/>
        </w:rPr>
        <w:t xml:space="preserve"> </w:t>
      </w:r>
      <w:r w:rsidR="00B91586">
        <w:rPr>
          <w:rFonts w:cs="Segoe UI"/>
          <w:color w:val="000000"/>
          <w:sz w:val="22"/>
        </w:rPr>
        <w:t xml:space="preserve">setting, a practitioner might co produce “safety and wellbeing plan “that gives the prisoners tangible coping mechanism for their first 14 day. </w:t>
      </w:r>
      <w:r w:rsidR="001368C1" w:rsidRPr="001368C1">
        <w:rPr>
          <w:rFonts w:cs="Segoe UI"/>
          <w:color w:val="000000"/>
          <w:sz w:val="22"/>
        </w:rPr>
        <w:t>This strategy enables service users to manage their distress, helping create a safer prison environment and enhancing practitioners' effectiveness during crises.</w:t>
      </w:r>
    </w:p>
    <w:p w14:paraId="1497148C" w14:textId="5D9ACA22" w:rsidR="00A946CB" w:rsidRPr="002976D4" w:rsidRDefault="5617AA6E" w:rsidP="0156E134">
      <w:pPr>
        <w:pStyle w:val="Heading2"/>
        <w:rPr>
          <w:color w:val="4472C4" w:themeColor="accent1"/>
        </w:rPr>
      </w:pPr>
      <w:bookmarkStart w:id="5" w:name="_Toc1799977123"/>
      <w:r w:rsidRPr="0CF501EC">
        <w:rPr>
          <w:color w:val="4471C4"/>
        </w:rPr>
        <w:t>4</w:t>
      </w:r>
      <w:r w:rsidR="00A946CB" w:rsidRPr="0CF501EC">
        <w:rPr>
          <w:color w:val="4471C4"/>
        </w:rPr>
        <w:t xml:space="preserve"> Conclusion</w:t>
      </w:r>
      <w:bookmarkEnd w:id="5"/>
    </w:p>
    <w:p w14:paraId="3F34EF19" w14:textId="4770789E" w:rsidR="00D676C3" w:rsidRPr="001368C1" w:rsidRDefault="001368C1" w:rsidP="008D2539">
      <w:r w:rsidRPr="001368C1">
        <w:rPr>
          <w:rFonts w:cs="Segoe UI"/>
          <w:color w:val="000000"/>
          <w:sz w:val="21"/>
        </w:rPr>
        <w:t>In summary, effective mental health safeguarding depends on smooth coordination between clinical care and community support. With clear strategies, practitioners can better manage risk</w:t>
      </w:r>
      <w:r>
        <w:rPr>
          <w:rFonts w:cs="Segoe UI"/>
          <w:color w:val="000000"/>
          <w:sz w:val="21"/>
        </w:rPr>
        <w:t xml:space="preserve">. </w:t>
      </w:r>
      <w:r w:rsidR="008D2539" w:rsidRPr="008D2539">
        <w:rPr>
          <w:rFonts w:cs="Segoe UI"/>
          <w:color w:val="000000"/>
          <w:sz w:val="21"/>
        </w:rPr>
        <w:t>Practitioners can reduce the increased risks that accompany the immediate post-discharge period, helping to ensure that no service users are overlooked. Integrating evidence-based interventions like grounding techniques and personalized safety plans also gives individuals greater autonomy in managing their distress.</w:t>
      </w:r>
      <w:r w:rsidR="008D2539">
        <w:rPr>
          <w:rFonts w:cs="Segoe UI"/>
          <w:color w:val="000000"/>
          <w:sz w:val="21"/>
        </w:rPr>
        <w:t xml:space="preserve">  </w:t>
      </w:r>
      <w:r w:rsidR="008D2539" w:rsidRPr="008D2539">
        <w:rPr>
          <w:rFonts w:cs="Segoe UI"/>
          <w:color w:val="000000"/>
          <w:sz w:val="21"/>
        </w:rPr>
        <w:t>Collaboration between families and primary care providers is crucial for sustained stability.</w:t>
      </w:r>
      <w:r w:rsidR="008D2539">
        <w:rPr>
          <w:rFonts w:cs="Segoe UI"/>
          <w:color w:val="000000"/>
          <w:sz w:val="21"/>
        </w:rPr>
        <w:t xml:space="preserve">  </w:t>
      </w:r>
      <w:r w:rsidR="008D2539" w:rsidRPr="008D2539">
        <w:rPr>
          <w:rFonts w:cs="Segoe UI"/>
          <w:color w:val="000000"/>
          <w:sz w:val="21"/>
        </w:rPr>
        <w:t>Following these guidelines not only lowers the risk of self-harm but also enhances the effectiveness and safety of mental health services.</w:t>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6" w:name="_Toc1911583216"/>
      <w:r w:rsidRPr="0CF501EC">
        <w:rPr>
          <w:color w:val="4471C4"/>
        </w:rPr>
        <w:t>5 Reference List</w:t>
      </w:r>
      <w:bookmarkEnd w:id="6"/>
    </w:p>
    <w:p w14:paraId="7B12CEED" w14:textId="6EAEB0FA" w:rsidR="006232DF" w:rsidRPr="00D676C3" w:rsidRDefault="006232DF" w:rsidP="006232DF">
      <w:pPr>
        <w:spacing w:after="0" w:line="240" w:lineRule="auto"/>
        <w:rPr>
          <w:sz w:val="22"/>
        </w:rPr>
      </w:pPr>
    </w:p>
    <w:p w14:paraId="3B0758D0" w14:textId="77777777" w:rsidR="00824DF2" w:rsidRPr="005E44B5" w:rsidRDefault="00824DF2" w:rsidP="00824DF2">
      <w:pPr>
        <w:rPr>
          <w:color w:val="FF0000"/>
        </w:rPr>
      </w:pPr>
      <w:r>
        <w:rPr>
          <w:color w:val="FF0000"/>
        </w:rPr>
        <w:t>NHS Jobs www.jobs.nhs.uk</w:t>
      </w:r>
    </w:p>
    <w:p w14:paraId="1D0F2D59" w14:textId="53B2BFB9" w:rsidR="004552CE" w:rsidRDefault="00F32558" w:rsidP="005E44B5">
      <w:pPr>
        <w:rPr>
          <w:color w:val="FF0000"/>
        </w:rPr>
      </w:pPr>
      <w:r>
        <w:rPr>
          <w:color w:val="FF0000"/>
        </w:rPr>
        <w:t>NICE (National Institute for Health and Care Excellence) www.nice.org.uk</w:t>
      </w:r>
    </w:p>
    <w:p w14:paraId="7DDC1962" w14:textId="6CD7851D" w:rsidR="00F32558" w:rsidRDefault="00F32558" w:rsidP="005E44B5">
      <w:pPr>
        <w:rPr>
          <w:color w:val="FF0000"/>
        </w:rPr>
      </w:pPr>
      <w:r>
        <w:rPr>
          <w:color w:val="FF0000"/>
        </w:rPr>
        <w:t xml:space="preserve">Our Values – </w:t>
      </w:r>
      <w:proofErr w:type="spellStart"/>
      <w:r>
        <w:rPr>
          <w:color w:val="FF0000"/>
        </w:rPr>
        <w:t>Oxleas</w:t>
      </w:r>
      <w:proofErr w:type="spellEnd"/>
      <w:r>
        <w:rPr>
          <w:color w:val="FF0000"/>
        </w:rPr>
        <w:t xml:space="preserve"> NHS Foundation Trust </w:t>
      </w:r>
      <w:hyperlink r:id="rId9" w:history="1">
        <w:r w:rsidR="00824DF2" w:rsidRPr="00447A83">
          <w:rPr>
            <w:rStyle w:val="Hyperlink"/>
          </w:rPr>
          <w:t>www.oxleas.nhs.uk</w:t>
        </w:r>
      </w:hyperlink>
    </w:p>
    <w:p w14:paraId="7D0CB904" w14:textId="77777777" w:rsidR="00824DF2" w:rsidRPr="005E44B5" w:rsidRDefault="00824DF2">
      <w:pPr>
        <w:rPr>
          <w:color w:val="FF0000"/>
        </w:rPr>
      </w:pPr>
    </w:p>
    <w:sectPr w:rsidR="00824DF2" w:rsidRPr="005E44B5" w:rsidSect="00D676C3">
      <w:headerReference w:type="even" r:id="rId10"/>
      <w:head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664058" w14:textId="77777777" w:rsidR="00FD3010" w:rsidRDefault="00FD3010" w:rsidP="003C7C97">
      <w:pPr>
        <w:spacing w:after="0" w:line="240" w:lineRule="auto"/>
      </w:pPr>
      <w:r>
        <w:separator/>
      </w:r>
    </w:p>
  </w:endnote>
  <w:endnote w:type="continuationSeparator" w:id="0">
    <w:p w14:paraId="0BF7EAEF" w14:textId="77777777" w:rsidR="00FD3010" w:rsidRDefault="00FD301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7381B2" w14:textId="77777777" w:rsidR="00FD3010" w:rsidRDefault="00FD3010" w:rsidP="003C7C97">
      <w:pPr>
        <w:spacing w:after="0" w:line="240" w:lineRule="auto"/>
      </w:pPr>
      <w:r>
        <w:separator/>
      </w:r>
    </w:p>
  </w:footnote>
  <w:footnote w:type="continuationSeparator" w:id="0">
    <w:p w14:paraId="1DB87DD0" w14:textId="77777777" w:rsidR="00FD3010" w:rsidRDefault="00FD3010"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CAAE0DB0"/>
    <w:lvl w:ilvl="0" w:tplc="61D494B8">
      <w:start w:val="1"/>
      <w:numFmt w:val="bullet"/>
      <w:lvlText w:val=""/>
      <w:lvlJc w:val="left"/>
      <w:pPr>
        <w:ind w:left="720" w:hanging="360"/>
      </w:pPr>
      <w:rPr>
        <w:rFonts w:ascii="Symbol" w:hAnsi="Symbol" w:hint="default"/>
      </w:rPr>
    </w:lvl>
    <w:lvl w:ilvl="1" w:tplc="D0E8F2D4">
      <w:start w:val="1"/>
      <w:numFmt w:val="bullet"/>
      <w:lvlText w:val="o"/>
      <w:lvlJc w:val="left"/>
      <w:pPr>
        <w:ind w:left="1440" w:hanging="360"/>
      </w:pPr>
      <w:rPr>
        <w:rFonts w:ascii="Courier New" w:hAnsi="Courier New" w:hint="default"/>
      </w:rPr>
    </w:lvl>
    <w:lvl w:ilvl="2" w:tplc="2E62B91A">
      <w:start w:val="1"/>
      <w:numFmt w:val="bullet"/>
      <w:lvlText w:val=""/>
      <w:lvlJc w:val="left"/>
      <w:pPr>
        <w:ind w:left="2160" w:hanging="360"/>
      </w:pPr>
      <w:rPr>
        <w:rFonts w:ascii="Wingdings" w:hAnsi="Wingdings" w:hint="default"/>
      </w:rPr>
    </w:lvl>
    <w:lvl w:ilvl="3" w:tplc="BF327394">
      <w:start w:val="1"/>
      <w:numFmt w:val="bullet"/>
      <w:lvlText w:val=""/>
      <w:lvlJc w:val="left"/>
      <w:pPr>
        <w:ind w:left="2880" w:hanging="360"/>
      </w:pPr>
      <w:rPr>
        <w:rFonts w:ascii="Symbol" w:hAnsi="Symbol" w:hint="default"/>
      </w:rPr>
    </w:lvl>
    <w:lvl w:ilvl="4" w:tplc="6F1CDF18">
      <w:start w:val="1"/>
      <w:numFmt w:val="bullet"/>
      <w:lvlText w:val="o"/>
      <w:lvlJc w:val="left"/>
      <w:pPr>
        <w:ind w:left="3600" w:hanging="360"/>
      </w:pPr>
      <w:rPr>
        <w:rFonts w:ascii="Courier New" w:hAnsi="Courier New" w:hint="default"/>
      </w:rPr>
    </w:lvl>
    <w:lvl w:ilvl="5" w:tplc="4D8EA7D8">
      <w:start w:val="1"/>
      <w:numFmt w:val="bullet"/>
      <w:lvlText w:val=""/>
      <w:lvlJc w:val="left"/>
      <w:pPr>
        <w:ind w:left="4320" w:hanging="360"/>
      </w:pPr>
      <w:rPr>
        <w:rFonts w:ascii="Wingdings" w:hAnsi="Wingdings" w:hint="default"/>
      </w:rPr>
    </w:lvl>
    <w:lvl w:ilvl="6" w:tplc="A4B0A6BE">
      <w:start w:val="1"/>
      <w:numFmt w:val="bullet"/>
      <w:lvlText w:val=""/>
      <w:lvlJc w:val="left"/>
      <w:pPr>
        <w:ind w:left="5040" w:hanging="360"/>
      </w:pPr>
      <w:rPr>
        <w:rFonts w:ascii="Symbol" w:hAnsi="Symbol" w:hint="default"/>
      </w:rPr>
    </w:lvl>
    <w:lvl w:ilvl="7" w:tplc="53728C1E">
      <w:start w:val="1"/>
      <w:numFmt w:val="bullet"/>
      <w:lvlText w:val="o"/>
      <w:lvlJc w:val="left"/>
      <w:pPr>
        <w:ind w:left="5760" w:hanging="360"/>
      </w:pPr>
      <w:rPr>
        <w:rFonts w:ascii="Courier New" w:hAnsi="Courier New" w:hint="default"/>
      </w:rPr>
    </w:lvl>
    <w:lvl w:ilvl="8" w:tplc="E86C11C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BEC4EBDE"/>
    <w:lvl w:ilvl="0" w:tplc="59AECFE4">
      <w:start w:val="1"/>
      <w:numFmt w:val="bullet"/>
      <w:lvlText w:val=""/>
      <w:lvlJc w:val="left"/>
      <w:pPr>
        <w:ind w:left="720" w:hanging="360"/>
      </w:pPr>
      <w:rPr>
        <w:rFonts w:ascii="Symbol" w:hAnsi="Symbol" w:hint="default"/>
      </w:rPr>
    </w:lvl>
    <w:lvl w:ilvl="1" w:tplc="D32E1058">
      <w:start w:val="1"/>
      <w:numFmt w:val="bullet"/>
      <w:lvlText w:val="o"/>
      <w:lvlJc w:val="left"/>
      <w:pPr>
        <w:ind w:left="1440" w:hanging="360"/>
      </w:pPr>
      <w:rPr>
        <w:rFonts w:ascii="Courier New" w:hAnsi="Courier New" w:hint="default"/>
      </w:rPr>
    </w:lvl>
    <w:lvl w:ilvl="2" w:tplc="7472CFC4">
      <w:start w:val="1"/>
      <w:numFmt w:val="bullet"/>
      <w:lvlText w:val=""/>
      <w:lvlJc w:val="left"/>
      <w:pPr>
        <w:ind w:left="2160" w:hanging="360"/>
      </w:pPr>
      <w:rPr>
        <w:rFonts w:ascii="Wingdings" w:hAnsi="Wingdings" w:hint="default"/>
      </w:rPr>
    </w:lvl>
    <w:lvl w:ilvl="3" w:tplc="398AB07E">
      <w:start w:val="1"/>
      <w:numFmt w:val="bullet"/>
      <w:lvlText w:val=""/>
      <w:lvlJc w:val="left"/>
      <w:pPr>
        <w:ind w:left="2880" w:hanging="360"/>
      </w:pPr>
      <w:rPr>
        <w:rFonts w:ascii="Symbol" w:hAnsi="Symbol" w:hint="default"/>
      </w:rPr>
    </w:lvl>
    <w:lvl w:ilvl="4" w:tplc="8592A176">
      <w:start w:val="1"/>
      <w:numFmt w:val="bullet"/>
      <w:lvlText w:val="o"/>
      <w:lvlJc w:val="left"/>
      <w:pPr>
        <w:ind w:left="3600" w:hanging="360"/>
      </w:pPr>
      <w:rPr>
        <w:rFonts w:ascii="Courier New" w:hAnsi="Courier New" w:hint="default"/>
      </w:rPr>
    </w:lvl>
    <w:lvl w:ilvl="5" w:tplc="949468D2">
      <w:start w:val="1"/>
      <w:numFmt w:val="bullet"/>
      <w:lvlText w:val=""/>
      <w:lvlJc w:val="left"/>
      <w:pPr>
        <w:ind w:left="4320" w:hanging="360"/>
      </w:pPr>
      <w:rPr>
        <w:rFonts w:ascii="Wingdings" w:hAnsi="Wingdings" w:hint="default"/>
      </w:rPr>
    </w:lvl>
    <w:lvl w:ilvl="6" w:tplc="B226E5CA">
      <w:start w:val="1"/>
      <w:numFmt w:val="bullet"/>
      <w:lvlText w:val=""/>
      <w:lvlJc w:val="left"/>
      <w:pPr>
        <w:ind w:left="5040" w:hanging="360"/>
      </w:pPr>
      <w:rPr>
        <w:rFonts w:ascii="Symbol" w:hAnsi="Symbol" w:hint="default"/>
      </w:rPr>
    </w:lvl>
    <w:lvl w:ilvl="7" w:tplc="F6549914">
      <w:start w:val="1"/>
      <w:numFmt w:val="bullet"/>
      <w:lvlText w:val="o"/>
      <w:lvlJc w:val="left"/>
      <w:pPr>
        <w:ind w:left="5760" w:hanging="360"/>
      </w:pPr>
      <w:rPr>
        <w:rFonts w:ascii="Courier New" w:hAnsi="Courier New" w:hint="default"/>
      </w:rPr>
    </w:lvl>
    <w:lvl w:ilvl="8" w:tplc="2238442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2D242BE6"/>
    <w:lvl w:ilvl="0" w:tplc="7E365C8E">
      <w:start w:val="1"/>
      <w:numFmt w:val="bullet"/>
      <w:lvlText w:val=""/>
      <w:lvlJc w:val="left"/>
      <w:pPr>
        <w:ind w:left="720" w:hanging="360"/>
      </w:pPr>
      <w:rPr>
        <w:rFonts w:ascii="Symbol" w:hAnsi="Symbol" w:hint="default"/>
      </w:rPr>
    </w:lvl>
    <w:lvl w:ilvl="1" w:tplc="2BBE81B8">
      <w:start w:val="1"/>
      <w:numFmt w:val="bullet"/>
      <w:lvlText w:val="o"/>
      <w:lvlJc w:val="left"/>
      <w:pPr>
        <w:ind w:left="1440" w:hanging="360"/>
      </w:pPr>
      <w:rPr>
        <w:rFonts w:ascii="Courier New" w:hAnsi="Courier New" w:hint="default"/>
      </w:rPr>
    </w:lvl>
    <w:lvl w:ilvl="2" w:tplc="E24C293E">
      <w:start w:val="1"/>
      <w:numFmt w:val="bullet"/>
      <w:lvlText w:val=""/>
      <w:lvlJc w:val="left"/>
      <w:pPr>
        <w:ind w:left="2160" w:hanging="360"/>
      </w:pPr>
      <w:rPr>
        <w:rFonts w:ascii="Wingdings" w:hAnsi="Wingdings" w:hint="default"/>
      </w:rPr>
    </w:lvl>
    <w:lvl w:ilvl="3" w:tplc="B4A49DD6">
      <w:start w:val="1"/>
      <w:numFmt w:val="bullet"/>
      <w:lvlText w:val=""/>
      <w:lvlJc w:val="left"/>
      <w:pPr>
        <w:ind w:left="2880" w:hanging="360"/>
      </w:pPr>
      <w:rPr>
        <w:rFonts w:ascii="Symbol" w:hAnsi="Symbol" w:hint="default"/>
      </w:rPr>
    </w:lvl>
    <w:lvl w:ilvl="4" w:tplc="BA2E1E50">
      <w:start w:val="1"/>
      <w:numFmt w:val="bullet"/>
      <w:lvlText w:val="o"/>
      <w:lvlJc w:val="left"/>
      <w:pPr>
        <w:ind w:left="3600" w:hanging="360"/>
      </w:pPr>
      <w:rPr>
        <w:rFonts w:ascii="Courier New" w:hAnsi="Courier New" w:hint="default"/>
      </w:rPr>
    </w:lvl>
    <w:lvl w:ilvl="5" w:tplc="29A4CA14">
      <w:start w:val="1"/>
      <w:numFmt w:val="bullet"/>
      <w:lvlText w:val=""/>
      <w:lvlJc w:val="left"/>
      <w:pPr>
        <w:ind w:left="4320" w:hanging="360"/>
      </w:pPr>
      <w:rPr>
        <w:rFonts w:ascii="Wingdings" w:hAnsi="Wingdings" w:hint="default"/>
      </w:rPr>
    </w:lvl>
    <w:lvl w:ilvl="6" w:tplc="00A62DB8">
      <w:start w:val="1"/>
      <w:numFmt w:val="bullet"/>
      <w:lvlText w:val=""/>
      <w:lvlJc w:val="left"/>
      <w:pPr>
        <w:ind w:left="5040" w:hanging="360"/>
      </w:pPr>
      <w:rPr>
        <w:rFonts w:ascii="Symbol" w:hAnsi="Symbol" w:hint="default"/>
      </w:rPr>
    </w:lvl>
    <w:lvl w:ilvl="7" w:tplc="614625B6">
      <w:start w:val="1"/>
      <w:numFmt w:val="bullet"/>
      <w:lvlText w:val="o"/>
      <w:lvlJc w:val="left"/>
      <w:pPr>
        <w:ind w:left="5760" w:hanging="360"/>
      </w:pPr>
      <w:rPr>
        <w:rFonts w:ascii="Courier New" w:hAnsi="Courier New" w:hint="default"/>
      </w:rPr>
    </w:lvl>
    <w:lvl w:ilvl="8" w:tplc="17C426E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863AF570"/>
    <w:lvl w:ilvl="0" w:tplc="4DA62DDE">
      <w:start w:val="1"/>
      <w:numFmt w:val="bullet"/>
      <w:lvlText w:val=""/>
      <w:lvlJc w:val="left"/>
      <w:pPr>
        <w:ind w:left="720" w:hanging="360"/>
      </w:pPr>
      <w:rPr>
        <w:rFonts w:ascii="Symbol" w:hAnsi="Symbol" w:hint="default"/>
      </w:rPr>
    </w:lvl>
    <w:lvl w:ilvl="1" w:tplc="FCA83EAC">
      <w:start w:val="1"/>
      <w:numFmt w:val="bullet"/>
      <w:lvlText w:val="o"/>
      <w:lvlJc w:val="left"/>
      <w:pPr>
        <w:ind w:left="1440" w:hanging="360"/>
      </w:pPr>
      <w:rPr>
        <w:rFonts w:ascii="Courier New" w:hAnsi="Courier New" w:hint="default"/>
      </w:rPr>
    </w:lvl>
    <w:lvl w:ilvl="2" w:tplc="D9D086A4">
      <w:start w:val="1"/>
      <w:numFmt w:val="bullet"/>
      <w:lvlText w:val=""/>
      <w:lvlJc w:val="left"/>
      <w:pPr>
        <w:ind w:left="2160" w:hanging="360"/>
      </w:pPr>
      <w:rPr>
        <w:rFonts w:ascii="Wingdings" w:hAnsi="Wingdings" w:hint="default"/>
      </w:rPr>
    </w:lvl>
    <w:lvl w:ilvl="3" w:tplc="DD66231A">
      <w:start w:val="1"/>
      <w:numFmt w:val="bullet"/>
      <w:lvlText w:val=""/>
      <w:lvlJc w:val="left"/>
      <w:pPr>
        <w:ind w:left="2880" w:hanging="360"/>
      </w:pPr>
      <w:rPr>
        <w:rFonts w:ascii="Symbol" w:hAnsi="Symbol" w:hint="default"/>
      </w:rPr>
    </w:lvl>
    <w:lvl w:ilvl="4" w:tplc="278A5D0E">
      <w:start w:val="1"/>
      <w:numFmt w:val="bullet"/>
      <w:lvlText w:val="o"/>
      <w:lvlJc w:val="left"/>
      <w:pPr>
        <w:ind w:left="3600" w:hanging="360"/>
      </w:pPr>
      <w:rPr>
        <w:rFonts w:ascii="Courier New" w:hAnsi="Courier New" w:hint="default"/>
      </w:rPr>
    </w:lvl>
    <w:lvl w:ilvl="5" w:tplc="3F40D462">
      <w:start w:val="1"/>
      <w:numFmt w:val="bullet"/>
      <w:lvlText w:val=""/>
      <w:lvlJc w:val="left"/>
      <w:pPr>
        <w:ind w:left="4320" w:hanging="360"/>
      </w:pPr>
      <w:rPr>
        <w:rFonts w:ascii="Wingdings" w:hAnsi="Wingdings" w:hint="default"/>
      </w:rPr>
    </w:lvl>
    <w:lvl w:ilvl="6" w:tplc="4F668B20">
      <w:start w:val="1"/>
      <w:numFmt w:val="bullet"/>
      <w:lvlText w:val=""/>
      <w:lvlJc w:val="left"/>
      <w:pPr>
        <w:ind w:left="5040" w:hanging="360"/>
      </w:pPr>
      <w:rPr>
        <w:rFonts w:ascii="Symbol" w:hAnsi="Symbol" w:hint="default"/>
      </w:rPr>
    </w:lvl>
    <w:lvl w:ilvl="7" w:tplc="AD40E7AC">
      <w:start w:val="1"/>
      <w:numFmt w:val="bullet"/>
      <w:lvlText w:val="o"/>
      <w:lvlJc w:val="left"/>
      <w:pPr>
        <w:ind w:left="5760" w:hanging="360"/>
      </w:pPr>
      <w:rPr>
        <w:rFonts w:ascii="Courier New" w:hAnsi="Courier New" w:hint="default"/>
      </w:rPr>
    </w:lvl>
    <w:lvl w:ilvl="8" w:tplc="69B268BE">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7B34E5F4"/>
    <w:lvl w:ilvl="0" w:tplc="6E26475A">
      <w:start w:val="1"/>
      <w:numFmt w:val="bullet"/>
      <w:lvlText w:val=""/>
      <w:lvlJc w:val="left"/>
      <w:pPr>
        <w:ind w:left="720" w:hanging="360"/>
      </w:pPr>
      <w:rPr>
        <w:rFonts w:ascii="Symbol" w:hAnsi="Symbol" w:hint="default"/>
      </w:rPr>
    </w:lvl>
    <w:lvl w:ilvl="1" w:tplc="CECE6070">
      <w:start w:val="1"/>
      <w:numFmt w:val="bullet"/>
      <w:lvlText w:val="o"/>
      <w:lvlJc w:val="left"/>
      <w:pPr>
        <w:ind w:left="1440" w:hanging="360"/>
      </w:pPr>
      <w:rPr>
        <w:rFonts w:ascii="Courier New" w:hAnsi="Courier New" w:hint="default"/>
      </w:rPr>
    </w:lvl>
    <w:lvl w:ilvl="2" w:tplc="3E9EA214">
      <w:start w:val="1"/>
      <w:numFmt w:val="bullet"/>
      <w:lvlText w:val=""/>
      <w:lvlJc w:val="left"/>
      <w:pPr>
        <w:ind w:left="2160" w:hanging="360"/>
      </w:pPr>
      <w:rPr>
        <w:rFonts w:ascii="Wingdings" w:hAnsi="Wingdings" w:hint="default"/>
      </w:rPr>
    </w:lvl>
    <w:lvl w:ilvl="3" w:tplc="681693A8">
      <w:start w:val="1"/>
      <w:numFmt w:val="bullet"/>
      <w:lvlText w:val=""/>
      <w:lvlJc w:val="left"/>
      <w:pPr>
        <w:ind w:left="2880" w:hanging="360"/>
      </w:pPr>
      <w:rPr>
        <w:rFonts w:ascii="Symbol" w:hAnsi="Symbol" w:hint="default"/>
      </w:rPr>
    </w:lvl>
    <w:lvl w:ilvl="4" w:tplc="24AC2BC2">
      <w:start w:val="1"/>
      <w:numFmt w:val="bullet"/>
      <w:lvlText w:val="o"/>
      <w:lvlJc w:val="left"/>
      <w:pPr>
        <w:ind w:left="3600" w:hanging="360"/>
      </w:pPr>
      <w:rPr>
        <w:rFonts w:ascii="Courier New" w:hAnsi="Courier New" w:hint="default"/>
      </w:rPr>
    </w:lvl>
    <w:lvl w:ilvl="5" w:tplc="263E83AA">
      <w:start w:val="1"/>
      <w:numFmt w:val="bullet"/>
      <w:lvlText w:val=""/>
      <w:lvlJc w:val="left"/>
      <w:pPr>
        <w:ind w:left="4320" w:hanging="360"/>
      </w:pPr>
      <w:rPr>
        <w:rFonts w:ascii="Wingdings" w:hAnsi="Wingdings" w:hint="default"/>
      </w:rPr>
    </w:lvl>
    <w:lvl w:ilvl="6" w:tplc="AD5E60AC">
      <w:start w:val="1"/>
      <w:numFmt w:val="bullet"/>
      <w:lvlText w:val=""/>
      <w:lvlJc w:val="left"/>
      <w:pPr>
        <w:ind w:left="5040" w:hanging="360"/>
      </w:pPr>
      <w:rPr>
        <w:rFonts w:ascii="Symbol" w:hAnsi="Symbol" w:hint="default"/>
      </w:rPr>
    </w:lvl>
    <w:lvl w:ilvl="7" w:tplc="456C8FF6">
      <w:start w:val="1"/>
      <w:numFmt w:val="bullet"/>
      <w:lvlText w:val="o"/>
      <w:lvlJc w:val="left"/>
      <w:pPr>
        <w:ind w:left="5760" w:hanging="360"/>
      </w:pPr>
      <w:rPr>
        <w:rFonts w:ascii="Courier New" w:hAnsi="Courier New" w:hint="default"/>
      </w:rPr>
    </w:lvl>
    <w:lvl w:ilvl="8" w:tplc="7BDA001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CA48BECC"/>
    <w:lvl w:ilvl="0" w:tplc="41665DE8">
      <w:start w:val="1"/>
      <w:numFmt w:val="bullet"/>
      <w:lvlText w:val=""/>
      <w:lvlJc w:val="left"/>
      <w:pPr>
        <w:ind w:left="720" w:hanging="360"/>
      </w:pPr>
      <w:rPr>
        <w:rFonts w:ascii="Symbol" w:hAnsi="Symbol" w:hint="default"/>
      </w:rPr>
    </w:lvl>
    <w:lvl w:ilvl="1" w:tplc="0B041D2C">
      <w:start w:val="1"/>
      <w:numFmt w:val="bullet"/>
      <w:lvlText w:val="o"/>
      <w:lvlJc w:val="left"/>
      <w:pPr>
        <w:ind w:left="1440" w:hanging="360"/>
      </w:pPr>
      <w:rPr>
        <w:rFonts w:ascii="Courier New" w:hAnsi="Courier New" w:hint="default"/>
      </w:rPr>
    </w:lvl>
    <w:lvl w:ilvl="2" w:tplc="95DA62F4">
      <w:start w:val="1"/>
      <w:numFmt w:val="bullet"/>
      <w:lvlText w:val=""/>
      <w:lvlJc w:val="left"/>
      <w:pPr>
        <w:ind w:left="2160" w:hanging="360"/>
      </w:pPr>
      <w:rPr>
        <w:rFonts w:ascii="Wingdings" w:hAnsi="Wingdings" w:hint="default"/>
      </w:rPr>
    </w:lvl>
    <w:lvl w:ilvl="3" w:tplc="BA4698BE">
      <w:start w:val="1"/>
      <w:numFmt w:val="bullet"/>
      <w:lvlText w:val=""/>
      <w:lvlJc w:val="left"/>
      <w:pPr>
        <w:ind w:left="2880" w:hanging="360"/>
      </w:pPr>
      <w:rPr>
        <w:rFonts w:ascii="Symbol" w:hAnsi="Symbol" w:hint="default"/>
      </w:rPr>
    </w:lvl>
    <w:lvl w:ilvl="4" w:tplc="30BE4F82">
      <w:start w:val="1"/>
      <w:numFmt w:val="bullet"/>
      <w:lvlText w:val="o"/>
      <w:lvlJc w:val="left"/>
      <w:pPr>
        <w:ind w:left="3600" w:hanging="360"/>
      </w:pPr>
      <w:rPr>
        <w:rFonts w:ascii="Courier New" w:hAnsi="Courier New" w:hint="default"/>
      </w:rPr>
    </w:lvl>
    <w:lvl w:ilvl="5" w:tplc="7ED65500">
      <w:start w:val="1"/>
      <w:numFmt w:val="bullet"/>
      <w:lvlText w:val=""/>
      <w:lvlJc w:val="left"/>
      <w:pPr>
        <w:ind w:left="4320" w:hanging="360"/>
      </w:pPr>
      <w:rPr>
        <w:rFonts w:ascii="Wingdings" w:hAnsi="Wingdings" w:hint="default"/>
      </w:rPr>
    </w:lvl>
    <w:lvl w:ilvl="6" w:tplc="30CEA51A">
      <w:start w:val="1"/>
      <w:numFmt w:val="bullet"/>
      <w:lvlText w:val=""/>
      <w:lvlJc w:val="left"/>
      <w:pPr>
        <w:ind w:left="5040" w:hanging="360"/>
      </w:pPr>
      <w:rPr>
        <w:rFonts w:ascii="Symbol" w:hAnsi="Symbol" w:hint="default"/>
      </w:rPr>
    </w:lvl>
    <w:lvl w:ilvl="7" w:tplc="454AA412">
      <w:start w:val="1"/>
      <w:numFmt w:val="bullet"/>
      <w:lvlText w:val="o"/>
      <w:lvlJc w:val="left"/>
      <w:pPr>
        <w:ind w:left="5760" w:hanging="360"/>
      </w:pPr>
      <w:rPr>
        <w:rFonts w:ascii="Courier New" w:hAnsi="Courier New" w:hint="default"/>
      </w:rPr>
    </w:lvl>
    <w:lvl w:ilvl="8" w:tplc="DD1407A4">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3705771">
    <w:abstractNumId w:val="11"/>
  </w:num>
  <w:num w:numId="2" w16cid:durableId="52242570">
    <w:abstractNumId w:val="12"/>
  </w:num>
  <w:num w:numId="3" w16cid:durableId="227615960">
    <w:abstractNumId w:val="1"/>
  </w:num>
  <w:num w:numId="4" w16cid:durableId="988896396">
    <w:abstractNumId w:val="3"/>
  </w:num>
  <w:num w:numId="5" w16cid:durableId="540360606">
    <w:abstractNumId w:val="15"/>
  </w:num>
  <w:num w:numId="6" w16cid:durableId="1934319883">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5801"/>
    <w:rsid w:val="000433E4"/>
    <w:rsid w:val="00061AFF"/>
    <w:rsid w:val="00063CEA"/>
    <w:rsid w:val="00070818"/>
    <w:rsid w:val="0008238F"/>
    <w:rsid w:val="00082EC6"/>
    <w:rsid w:val="00085388"/>
    <w:rsid w:val="000C060D"/>
    <w:rsid w:val="000C4165"/>
    <w:rsid w:val="000D41DC"/>
    <w:rsid w:val="00125D37"/>
    <w:rsid w:val="00127C1A"/>
    <w:rsid w:val="001368C1"/>
    <w:rsid w:val="00150D81"/>
    <w:rsid w:val="00166CEB"/>
    <w:rsid w:val="00183CB9"/>
    <w:rsid w:val="00184A9A"/>
    <w:rsid w:val="001947DF"/>
    <w:rsid w:val="00195B96"/>
    <w:rsid w:val="001B22BB"/>
    <w:rsid w:val="001B2F3E"/>
    <w:rsid w:val="001B619C"/>
    <w:rsid w:val="001C3DCE"/>
    <w:rsid w:val="001D1D3C"/>
    <w:rsid w:val="00200AE5"/>
    <w:rsid w:val="002205D4"/>
    <w:rsid w:val="00222C3A"/>
    <w:rsid w:val="00226D31"/>
    <w:rsid w:val="00236401"/>
    <w:rsid w:val="002370CE"/>
    <w:rsid w:val="00242974"/>
    <w:rsid w:val="002976D4"/>
    <w:rsid w:val="002A3DDB"/>
    <w:rsid w:val="002A5577"/>
    <w:rsid w:val="002B4AA4"/>
    <w:rsid w:val="002E71BA"/>
    <w:rsid w:val="002F31FC"/>
    <w:rsid w:val="002F5066"/>
    <w:rsid w:val="003003FD"/>
    <w:rsid w:val="00310245"/>
    <w:rsid w:val="00316C95"/>
    <w:rsid w:val="0034579C"/>
    <w:rsid w:val="003458DB"/>
    <w:rsid w:val="003523D3"/>
    <w:rsid w:val="00355779"/>
    <w:rsid w:val="00364C35"/>
    <w:rsid w:val="00384AC8"/>
    <w:rsid w:val="00396F60"/>
    <w:rsid w:val="003A51D6"/>
    <w:rsid w:val="003B125E"/>
    <w:rsid w:val="003B2A5E"/>
    <w:rsid w:val="003C1BE9"/>
    <w:rsid w:val="003C3F9D"/>
    <w:rsid w:val="003C7C97"/>
    <w:rsid w:val="00406B8D"/>
    <w:rsid w:val="00410068"/>
    <w:rsid w:val="0041618E"/>
    <w:rsid w:val="0042295C"/>
    <w:rsid w:val="00426EEC"/>
    <w:rsid w:val="004466C3"/>
    <w:rsid w:val="004552CE"/>
    <w:rsid w:val="00481FF7"/>
    <w:rsid w:val="00500295"/>
    <w:rsid w:val="00501AAF"/>
    <w:rsid w:val="00514345"/>
    <w:rsid w:val="00527AFA"/>
    <w:rsid w:val="00536FB9"/>
    <w:rsid w:val="005419DA"/>
    <w:rsid w:val="005678AC"/>
    <w:rsid w:val="005679BD"/>
    <w:rsid w:val="005709B1"/>
    <w:rsid w:val="00572B3B"/>
    <w:rsid w:val="005836D2"/>
    <w:rsid w:val="00587C58"/>
    <w:rsid w:val="00596575"/>
    <w:rsid w:val="005A7FD4"/>
    <w:rsid w:val="005B1A84"/>
    <w:rsid w:val="005D1AF9"/>
    <w:rsid w:val="005D5457"/>
    <w:rsid w:val="005E2699"/>
    <w:rsid w:val="005E44B5"/>
    <w:rsid w:val="005F7639"/>
    <w:rsid w:val="00612DEA"/>
    <w:rsid w:val="00614572"/>
    <w:rsid w:val="006232DF"/>
    <w:rsid w:val="00631F2E"/>
    <w:rsid w:val="006457C0"/>
    <w:rsid w:val="00646F81"/>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7F250B"/>
    <w:rsid w:val="00805726"/>
    <w:rsid w:val="00806671"/>
    <w:rsid w:val="00815117"/>
    <w:rsid w:val="00815B73"/>
    <w:rsid w:val="00824CB1"/>
    <w:rsid w:val="00824DF2"/>
    <w:rsid w:val="00841DBB"/>
    <w:rsid w:val="008520F8"/>
    <w:rsid w:val="00855F34"/>
    <w:rsid w:val="008826B6"/>
    <w:rsid w:val="008B0B22"/>
    <w:rsid w:val="008C58B0"/>
    <w:rsid w:val="008C591B"/>
    <w:rsid w:val="008C6182"/>
    <w:rsid w:val="008D2539"/>
    <w:rsid w:val="008D62DC"/>
    <w:rsid w:val="008F19B9"/>
    <w:rsid w:val="0090779E"/>
    <w:rsid w:val="00926458"/>
    <w:rsid w:val="00933720"/>
    <w:rsid w:val="009C7E52"/>
    <w:rsid w:val="009E4934"/>
    <w:rsid w:val="009F40A7"/>
    <w:rsid w:val="009F5CE6"/>
    <w:rsid w:val="00A035CD"/>
    <w:rsid w:val="00A0390E"/>
    <w:rsid w:val="00A07491"/>
    <w:rsid w:val="00A11EEC"/>
    <w:rsid w:val="00A13F1F"/>
    <w:rsid w:val="00A50E80"/>
    <w:rsid w:val="00A513B0"/>
    <w:rsid w:val="00A63F7F"/>
    <w:rsid w:val="00A667CE"/>
    <w:rsid w:val="00A75042"/>
    <w:rsid w:val="00A774BC"/>
    <w:rsid w:val="00A82678"/>
    <w:rsid w:val="00A946CB"/>
    <w:rsid w:val="00AA77C8"/>
    <w:rsid w:val="00AC7BE2"/>
    <w:rsid w:val="00AE35BF"/>
    <w:rsid w:val="00AE4CA4"/>
    <w:rsid w:val="00AE603C"/>
    <w:rsid w:val="00B1067E"/>
    <w:rsid w:val="00B81790"/>
    <w:rsid w:val="00B81BBC"/>
    <w:rsid w:val="00B91586"/>
    <w:rsid w:val="00B93AEF"/>
    <w:rsid w:val="00BD03D5"/>
    <w:rsid w:val="00C20DB1"/>
    <w:rsid w:val="00C3215E"/>
    <w:rsid w:val="00C45272"/>
    <w:rsid w:val="00C45BB2"/>
    <w:rsid w:val="00C46846"/>
    <w:rsid w:val="00C47770"/>
    <w:rsid w:val="00C67CAF"/>
    <w:rsid w:val="00C75856"/>
    <w:rsid w:val="00C81009"/>
    <w:rsid w:val="00C85A7C"/>
    <w:rsid w:val="00C95214"/>
    <w:rsid w:val="00CC3F59"/>
    <w:rsid w:val="00CD4774"/>
    <w:rsid w:val="00CE1732"/>
    <w:rsid w:val="00CE41AC"/>
    <w:rsid w:val="00D10AAF"/>
    <w:rsid w:val="00D27540"/>
    <w:rsid w:val="00D4006B"/>
    <w:rsid w:val="00D40D7A"/>
    <w:rsid w:val="00D54CCD"/>
    <w:rsid w:val="00D64A0D"/>
    <w:rsid w:val="00D66017"/>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93B28"/>
    <w:rsid w:val="00EA29A5"/>
    <w:rsid w:val="00EC107C"/>
    <w:rsid w:val="00EC7EBE"/>
    <w:rsid w:val="00EC7FD2"/>
    <w:rsid w:val="00ED5964"/>
    <w:rsid w:val="00F1720B"/>
    <w:rsid w:val="00F21A4F"/>
    <w:rsid w:val="00F2210F"/>
    <w:rsid w:val="00F32558"/>
    <w:rsid w:val="00F36ADC"/>
    <w:rsid w:val="00F605C6"/>
    <w:rsid w:val="00F6785B"/>
    <w:rsid w:val="00F9012D"/>
    <w:rsid w:val="00F915D6"/>
    <w:rsid w:val="00F9771C"/>
    <w:rsid w:val="00FC31B4"/>
    <w:rsid w:val="00FD3010"/>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824D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oxlea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2455</TotalTime>
  <Pages>4</Pages>
  <Words>1388</Words>
  <Characters>7482</Characters>
  <Application>Microsoft Office Word</Application>
  <DocSecurity>0</DocSecurity>
  <Lines>174</Lines>
  <Paragraphs>84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danielle brown</cp:lastModifiedBy>
  <cp:revision>9</cp:revision>
  <dcterms:created xsi:type="dcterms:W3CDTF">2025-11-19T18:30:00Z</dcterms:created>
  <dcterms:modified xsi:type="dcterms:W3CDTF">2026-04-29T21:43:00Z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