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BD99B" w14:textId="77777777" w:rsidR="00C43694" w:rsidRDefault="00C43694" w:rsidP="00C43694">
      <w:pPr>
        <w:pStyle w:val="Heading2"/>
      </w:pPr>
      <w:bookmarkStart w:id="0" w:name="_Toc72413635"/>
      <w:r w:rsidRPr="00BA2696">
        <w:t>CHAPTER 3: CONCEPTUAL FRAMEWORK AND METHODOLOGY</w:t>
      </w:r>
      <w:bookmarkEnd w:id="0"/>
    </w:p>
    <w:p w14:paraId="5617D7D7" w14:textId="77777777" w:rsidR="00C43694" w:rsidRPr="00C9500D" w:rsidRDefault="00C43694" w:rsidP="00C43694"/>
    <w:p w14:paraId="6BC02659" w14:textId="77777777" w:rsidR="00C43694" w:rsidRPr="00BA2696" w:rsidRDefault="00C43694" w:rsidP="00C43694">
      <w:pPr>
        <w:spacing w:after="0" w:line="480" w:lineRule="auto"/>
        <w:rPr>
          <w:sz w:val="24"/>
          <w:szCs w:val="24"/>
        </w:rPr>
      </w:pPr>
      <w:r w:rsidRPr="00BA2696">
        <w:rPr>
          <w:sz w:val="24"/>
          <w:szCs w:val="24"/>
        </w:rPr>
        <w:t>This research was a qualitative</w:t>
      </w:r>
      <w:r>
        <w:rPr>
          <w:sz w:val="24"/>
          <w:szCs w:val="24"/>
        </w:rPr>
        <w:t>, post-critical ethnographic</w:t>
      </w:r>
      <w:r w:rsidRPr="00BA2696">
        <w:rPr>
          <w:sz w:val="24"/>
          <w:szCs w:val="24"/>
        </w:rPr>
        <w:t xml:space="preserve"> exploration of how white trainee counsellors understand ‘race’, racism and whiteness. The research questions were: </w:t>
      </w:r>
      <w:bookmarkStart w:id="1" w:name="_Hlk39483168"/>
    </w:p>
    <w:p w14:paraId="458C1CF7" w14:textId="77777777" w:rsidR="00C43694" w:rsidRPr="00BA2696" w:rsidRDefault="00C43694" w:rsidP="00C43694">
      <w:pPr>
        <w:numPr>
          <w:ilvl w:val="0"/>
          <w:numId w:val="1"/>
        </w:numPr>
        <w:spacing w:after="0" w:line="240" w:lineRule="auto"/>
        <w:ind w:left="714" w:hanging="357"/>
        <w:rPr>
          <w:rFonts w:cs="Calibri"/>
          <w:sz w:val="24"/>
          <w:szCs w:val="24"/>
        </w:rPr>
      </w:pPr>
      <w:r w:rsidRPr="00BA2696">
        <w:rPr>
          <w:rFonts w:cs="Calibri"/>
          <w:sz w:val="24"/>
          <w:szCs w:val="24"/>
        </w:rPr>
        <w:t>How do white counselling trainees understand ‘race’?</w:t>
      </w:r>
    </w:p>
    <w:p w14:paraId="2B401AA8" w14:textId="77777777" w:rsidR="00C43694" w:rsidRPr="00BA2696" w:rsidRDefault="00C43694" w:rsidP="00C43694">
      <w:pPr>
        <w:numPr>
          <w:ilvl w:val="0"/>
          <w:numId w:val="1"/>
        </w:numPr>
        <w:spacing w:after="0" w:line="240" w:lineRule="auto"/>
        <w:ind w:left="714" w:hanging="357"/>
        <w:rPr>
          <w:rFonts w:cs="Calibri"/>
          <w:sz w:val="24"/>
          <w:szCs w:val="24"/>
        </w:rPr>
      </w:pPr>
      <w:r w:rsidRPr="00BA2696">
        <w:rPr>
          <w:rFonts w:cs="Calibri"/>
          <w:sz w:val="24"/>
          <w:szCs w:val="24"/>
        </w:rPr>
        <w:t>Do they understand ‘race’ to be a social construct?</w:t>
      </w:r>
    </w:p>
    <w:p w14:paraId="554B5A39" w14:textId="77777777" w:rsidR="00C43694" w:rsidRPr="00BA2696" w:rsidRDefault="00C43694" w:rsidP="00C43694">
      <w:pPr>
        <w:numPr>
          <w:ilvl w:val="0"/>
          <w:numId w:val="1"/>
        </w:numPr>
        <w:spacing w:after="0" w:line="240" w:lineRule="auto"/>
        <w:ind w:left="714" w:hanging="357"/>
        <w:rPr>
          <w:rFonts w:cs="Calibri"/>
          <w:sz w:val="24"/>
          <w:szCs w:val="24"/>
        </w:rPr>
      </w:pPr>
      <w:r w:rsidRPr="00BA2696">
        <w:rPr>
          <w:rFonts w:cs="Calibri"/>
          <w:sz w:val="24"/>
          <w:szCs w:val="24"/>
        </w:rPr>
        <w:t>How do they understand racism?</w:t>
      </w:r>
    </w:p>
    <w:p w14:paraId="46D12994" w14:textId="77777777" w:rsidR="00C43694" w:rsidRPr="00BA2696" w:rsidRDefault="00C43694" w:rsidP="00C43694">
      <w:pPr>
        <w:numPr>
          <w:ilvl w:val="0"/>
          <w:numId w:val="1"/>
        </w:numPr>
        <w:spacing w:after="0" w:line="240" w:lineRule="auto"/>
        <w:ind w:left="714" w:hanging="357"/>
        <w:rPr>
          <w:rFonts w:cs="Calibri"/>
          <w:sz w:val="24"/>
          <w:szCs w:val="24"/>
        </w:rPr>
      </w:pPr>
      <w:r w:rsidRPr="00BA2696">
        <w:rPr>
          <w:rFonts w:cs="Calibri"/>
          <w:sz w:val="24"/>
          <w:szCs w:val="24"/>
        </w:rPr>
        <w:t>Do they perceive whiteness as a racialised identity?</w:t>
      </w:r>
    </w:p>
    <w:p w14:paraId="6134E9AE" w14:textId="77777777" w:rsidR="00C43694" w:rsidRPr="00BA2696" w:rsidRDefault="00C43694" w:rsidP="00C43694">
      <w:pPr>
        <w:numPr>
          <w:ilvl w:val="0"/>
          <w:numId w:val="1"/>
        </w:numPr>
        <w:spacing w:after="0" w:line="240" w:lineRule="auto"/>
        <w:ind w:left="714" w:hanging="357"/>
        <w:rPr>
          <w:rFonts w:cs="Calibri"/>
          <w:sz w:val="24"/>
          <w:szCs w:val="24"/>
        </w:rPr>
      </w:pPr>
      <w:r w:rsidRPr="00BA2696">
        <w:rPr>
          <w:rFonts w:cs="Calibri"/>
          <w:sz w:val="24"/>
          <w:szCs w:val="24"/>
        </w:rPr>
        <w:t>How do they feel discussing ‘race’ and racism?</w:t>
      </w:r>
    </w:p>
    <w:bookmarkEnd w:id="1"/>
    <w:p w14:paraId="45F5AD06" w14:textId="77777777" w:rsidR="00C43694" w:rsidRPr="00BA2696" w:rsidRDefault="00C43694" w:rsidP="00C43694">
      <w:pPr>
        <w:spacing w:after="0" w:line="480" w:lineRule="auto"/>
        <w:rPr>
          <w:sz w:val="24"/>
          <w:szCs w:val="24"/>
        </w:rPr>
      </w:pPr>
    </w:p>
    <w:p w14:paraId="7CFB9FD5" w14:textId="77777777" w:rsidR="00C43694" w:rsidRPr="00BA2696" w:rsidRDefault="00C43694" w:rsidP="00C43694">
      <w:pPr>
        <w:spacing w:after="0" w:line="480" w:lineRule="auto"/>
        <w:rPr>
          <w:sz w:val="24"/>
          <w:szCs w:val="24"/>
        </w:rPr>
      </w:pPr>
      <w:r w:rsidRPr="00BA2696">
        <w:rPr>
          <w:sz w:val="24"/>
          <w:szCs w:val="24"/>
        </w:rPr>
        <w:t xml:space="preserve">A critical research paradigm was chosen to consider these questions. It has been argued that the choice of a research paradigm needs to be justifiable (Blaikie and Priest, 2017), therefore a discussion and outline of this paradigm is explored in this chapter. To achieve a sociological theory of ‘race’ and racism, Golash-Boza (2016) contends that empirical studies are needed to understand ‘race’ and racism in conjunction; this research and its findings will contribute to the understanding of ‘race’, racism and whiteness by explicitly exploring them with white trainee counsellors. This research actively acknowledges the social justice aspect of this research by aligning the appropriate research paradigm with the research aims, as well as reflecting my own personal stance. As will be demonstrated, these are imbued with notions of research being a political and potentially emancipatory activity. </w:t>
      </w:r>
    </w:p>
    <w:p w14:paraId="5C2FBAB8" w14:textId="77777777" w:rsidR="00C43694" w:rsidRPr="00BA2696" w:rsidRDefault="00C43694" w:rsidP="00C43694">
      <w:pPr>
        <w:spacing w:after="0" w:line="480" w:lineRule="auto"/>
        <w:rPr>
          <w:sz w:val="24"/>
          <w:szCs w:val="24"/>
        </w:rPr>
      </w:pPr>
    </w:p>
    <w:p w14:paraId="2E1B06ED" w14:textId="77777777" w:rsidR="00C43694" w:rsidRPr="00BA2696" w:rsidRDefault="00C43694" w:rsidP="00C43694">
      <w:pPr>
        <w:spacing w:after="0" w:line="480" w:lineRule="auto"/>
        <w:rPr>
          <w:sz w:val="24"/>
          <w:szCs w:val="24"/>
        </w:rPr>
      </w:pPr>
      <w:r w:rsidRPr="00BA2696">
        <w:rPr>
          <w:sz w:val="24"/>
          <w:szCs w:val="24"/>
        </w:rPr>
        <w:t xml:space="preserve">My own positionality and the circumstances that led to this doctoral journey have been discussed in Chapter 1 (Section 1.1). As a reflexive and critical researcher, I purport that consciously and unconsciously, every decision taken during this research is imbued with my own beliefs and experiences. This is supported by Creswell (2013) who suggests researchers bring their beliefs and assumptions to their research. For the purposes of research </w:t>
      </w:r>
      <w:r w:rsidRPr="00BA2696">
        <w:rPr>
          <w:sz w:val="24"/>
          <w:szCs w:val="24"/>
        </w:rPr>
        <w:lastRenderedPageBreak/>
        <w:t>transparency, this chapter will clearly state the theoretical positioning and outline the reasons for choosing these. This reflective exploration of the conceptual framework is understood as an example of post-critical ethnography being a ‘moral activity’ (Noblit, Flores and Murillo, 2004, p. 24) as it demonstrates the theoretical positioning of this research, and by implication my personal positionality.</w:t>
      </w:r>
    </w:p>
    <w:p w14:paraId="5DE58305" w14:textId="77777777" w:rsidR="00C43694" w:rsidRPr="00BA2696" w:rsidRDefault="00C43694" w:rsidP="00C43694">
      <w:pPr>
        <w:spacing w:after="0" w:line="480" w:lineRule="auto"/>
        <w:rPr>
          <w:sz w:val="24"/>
          <w:szCs w:val="24"/>
        </w:rPr>
      </w:pPr>
    </w:p>
    <w:p w14:paraId="48E03740" w14:textId="77777777" w:rsidR="00C43694" w:rsidRPr="00BA2696" w:rsidRDefault="00C43694" w:rsidP="00C43694">
      <w:pPr>
        <w:pStyle w:val="Heading3"/>
      </w:pPr>
      <w:bookmarkStart w:id="2" w:name="_Toc56523004"/>
      <w:bookmarkStart w:id="3" w:name="_Toc56523286"/>
      <w:bookmarkStart w:id="4" w:name="_Toc57910094"/>
      <w:bookmarkStart w:id="5" w:name="_Toc58251310"/>
      <w:bookmarkStart w:id="6" w:name="_Toc72413636"/>
      <w:r w:rsidRPr="00BA2696">
        <w:t>3.1 Research Paradigm</w:t>
      </w:r>
      <w:bookmarkEnd w:id="2"/>
      <w:bookmarkEnd w:id="3"/>
      <w:bookmarkEnd w:id="4"/>
      <w:bookmarkEnd w:id="5"/>
      <w:bookmarkEnd w:id="6"/>
      <w:r w:rsidRPr="00BA2696">
        <w:t xml:space="preserve">  </w:t>
      </w:r>
    </w:p>
    <w:p w14:paraId="5CB46352" w14:textId="77777777" w:rsidR="00C43694" w:rsidRPr="00BA2696" w:rsidRDefault="00C43694" w:rsidP="00C43694">
      <w:pPr>
        <w:spacing w:after="0" w:line="480" w:lineRule="auto"/>
        <w:rPr>
          <w:sz w:val="24"/>
          <w:szCs w:val="24"/>
        </w:rPr>
      </w:pPr>
      <w:r w:rsidRPr="00BA2696">
        <w:rPr>
          <w:sz w:val="24"/>
          <w:szCs w:val="24"/>
        </w:rPr>
        <w:t>Although it is over two decades old, Crotty’s (1998, p.</w:t>
      </w:r>
      <w:r>
        <w:rPr>
          <w:sz w:val="24"/>
          <w:szCs w:val="24"/>
        </w:rPr>
        <w:t xml:space="preserve"> </w:t>
      </w:r>
      <w:r w:rsidRPr="00BA2696">
        <w:rPr>
          <w:sz w:val="24"/>
          <w:szCs w:val="24"/>
        </w:rPr>
        <w:t>4</w:t>
      </w:r>
      <w:r>
        <w:rPr>
          <w:sz w:val="24"/>
          <w:szCs w:val="24"/>
        </w:rPr>
        <w:t>; Figure 2</w:t>
      </w:r>
      <w:r w:rsidRPr="00BA2696">
        <w:rPr>
          <w:sz w:val="24"/>
          <w:szCs w:val="24"/>
        </w:rPr>
        <w:t>) outline of the interrelating elements of a research paradigm still provides a cogent description of each element, which he argues, influences the other:</w:t>
      </w:r>
    </w:p>
    <w:p w14:paraId="0F532F29" w14:textId="77777777" w:rsidR="00C43694" w:rsidRPr="009C3ADD" w:rsidRDefault="00C43694" w:rsidP="00C43694">
      <w:pPr>
        <w:pStyle w:val="Caption"/>
        <w:rPr>
          <w:sz w:val="24"/>
          <w:szCs w:val="24"/>
        </w:rPr>
      </w:pPr>
      <w:bookmarkStart w:id="7" w:name="_Toc72253884"/>
      <w:r w:rsidRPr="009C3ADD">
        <w:rPr>
          <w:sz w:val="24"/>
          <w:szCs w:val="24"/>
        </w:rPr>
        <w:t xml:space="preserve">Figure </w:t>
      </w:r>
      <w:r w:rsidRPr="009C3ADD">
        <w:rPr>
          <w:sz w:val="24"/>
          <w:szCs w:val="24"/>
        </w:rPr>
        <w:fldChar w:fldCharType="begin"/>
      </w:r>
      <w:r w:rsidRPr="009C3ADD">
        <w:rPr>
          <w:sz w:val="24"/>
          <w:szCs w:val="24"/>
        </w:rPr>
        <w:instrText xml:space="preserve"> SEQ Figure \* ARABIC </w:instrText>
      </w:r>
      <w:r w:rsidRPr="009C3ADD">
        <w:rPr>
          <w:sz w:val="24"/>
          <w:szCs w:val="24"/>
        </w:rPr>
        <w:fldChar w:fldCharType="separate"/>
      </w:r>
      <w:r w:rsidRPr="009C3ADD">
        <w:rPr>
          <w:noProof/>
          <w:sz w:val="24"/>
          <w:szCs w:val="24"/>
        </w:rPr>
        <w:t>2</w:t>
      </w:r>
      <w:r w:rsidRPr="009C3ADD">
        <w:rPr>
          <w:sz w:val="24"/>
          <w:szCs w:val="24"/>
        </w:rPr>
        <w:fldChar w:fldCharType="end"/>
      </w:r>
      <w:r w:rsidRPr="009C3ADD">
        <w:rPr>
          <w:sz w:val="24"/>
          <w:szCs w:val="24"/>
        </w:rPr>
        <w:t xml:space="preserve"> Crotty’s (1998) Research Elements</w:t>
      </w:r>
      <w:bookmarkEnd w:id="7"/>
    </w:p>
    <w:p w14:paraId="054500BB" w14:textId="77777777" w:rsidR="00C43694" w:rsidRPr="00BA2696" w:rsidRDefault="00C43694" w:rsidP="00C43694">
      <w:pPr>
        <w:spacing w:after="0" w:line="240" w:lineRule="auto"/>
        <w:rPr>
          <w:sz w:val="24"/>
          <w:szCs w:val="24"/>
        </w:rPr>
      </w:pPr>
      <w:r w:rsidRPr="00A72ACD">
        <w:rPr>
          <w:noProof/>
          <w:lang w:eastAsia="en-GB"/>
        </w:rPr>
        <w:drawing>
          <wp:inline distT="0" distB="0" distL="0" distR="0" wp14:anchorId="1D3E3102" wp14:editId="75EAD657">
            <wp:extent cx="5370195" cy="786130"/>
            <wp:effectExtent l="19050" t="0" r="20955" b="0"/>
            <wp:docPr id="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339A853" w14:textId="77777777" w:rsidR="00C43694" w:rsidRPr="00BA2696" w:rsidRDefault="00C43694" w:rsidP="00C43694">
      <w:pPr>
        <w:spacing w:after="0" w:line="240" w:lineRule="auto"/>
        <w:jc w:val="right"/>
        <w:rPr>
          <w:sz w:val="24"/>
          <w:szCs w:val="24"/>
        </w:rPr>
      </w:pPr>
      <w:r w:rsidRPr="004939FF">
        <w:rPr>
          <w:sz w:val="24"/>
          <w:szCs w:val="24"/>
        </w:rPr>
        <w:t>(</w:t>
      </w:r>
      <w:r w:rsidRPr="00BA2696">
        <w:rPr>
          <w:i/>
          <w:iCs/>
          <w:sz w:val="24"/>
          <w:szCs w:val="24"/>
        </w:rPr>
        <w:t>Adapted from</w:t>
      </w:r>
      <w:r w:rsidRPr="00BA2696">
        <w:rPr>
          <w:sz w:val="24"/>
          <w:szCs w:val="24"/>
        </w:rPr>
        <w:t xml:space="preserve"> Crotty, 1998, p. 4)</w:t>
      </w:r>
    </w:p>
    <w:p w14:paraId="15FB604E" w14:textId="77777777" w:rsidR="00C43694" w:rsidRPr="00BA2696" w:rsidRDefault="00C43694" w:rsidP="00C43694">
      <w:pPr>
        <w:spacing w:after="0" w:line="480" w:lineRule="auto"/>
        <w:rPr>
          <w:sz w:val="24"/>
          <w:szCs w:val="24"/>
        </w:rPr>
      </w:pPr>
    </w:p>
    <w:p w14:paraId="67AA563E" w14:textId="77777777" w:rsidR="00C43694" w:rsidRPr="00BA2696" w:rsidRDefault="00C43694" w:rsidP="00C43694">
      <w:pPr>
        <w:spacing w:after="0" w:line="480" w:lineRule="auto"/>
        <w:rPr>
          <w:sz w:val="24"/>
          <w:szCs w:val="24"/>
        </w:rPr>
      </w:pPr>
      <w:r w:rsidRPr="00BA2696">
        <w:rPr>
          <w:sz w:val="24"/>
          <w:szCs w:val="24"/>
        </w:rPr>
        <w:t xml:space="preserve">Crotty (1998) excludes ontology from his four elements, with the rationale that ontology and epistemology are often conflated in research literature. However, I have considered and included my own ontological position in order to present clarity and transparency. I have also included the theoretical lens used in this research. Therefore, the interrelating elements of my research paradigm are: </w:t>
      </w:r>
    </w:p>
    <w:p w14:paraId="0CBB746C" w14:textId="77777777" w:rsidR="00C43694" w:rsidRPr="00BA2696" w:rsidRDefault="00C43694" w:rsidP="00C43694">
      <w:pPr>
        <w:spacing w:after="0" w:line="480" w:lineRule="auto"/>
        <w:rPr>
          <w:i/>
          <w:iCs/>
          <w:sz w:val="24"/>
          <w:szCs w:val="24"/>
        </w:rPr>
      </w:pPr>
    </w:p>
    <w:p w14:paraId="0E6E1C4B" w14:textId="77777777" w:rsidR="00C43694" w:rsidRPr="00946D5E" w:rsidRDefault="00C43694" w:rsidP="00C43694">
      <w:pPr>
        <w:pStyle w:val="Caption"/>
        <w:rPr>
          <w:sz w:val="24"/>
          <w:szCs w:val="24"/>
        </w:rPr>
      </w:pPr>
      <w:bookmarkStart w:id="8" w:name="_Toc72253885"/>
      <w:bookmarkStart w:id="9" w:name="_Hlk58263845"/>
      <w:r w:rsidRPr="00946D5E">
        <w:rPr>
          <w:sz w:val="24"/>
          <w:szCs w:val="24"/>
        </w:rPr>
        <w:t xml:space="preserve">Figure </w:t>
      </w:r>
      <w:r w:rsidRPr="00946D5E">
        <w:rPr>
          <w:sz w:val="24"/>
          <w:szCs w:val="24"/>
        </w:rPr>
        <w:fldChar w:fldCharType="begin"/>
      </w:r>
      <w:r w:rsidRPr="00946D5E">
        <w:rPr>
          <w:sz w:val="24"/>
          <w:szCs w:val="24"/>
        </w:rPr>
        <w:instrText xml:space="preserve"> SEQ Figure \* ARABIC </w:instrText>
      </w:r>
      <w:r w:rsidRPr="00946D5E">
        <w:rPr>
          <w:sz w:val="24"/>
          <w:szCs w:val="24"/>
        </w:rPr>
        <w:fldChar w:fldCharType="separate"/>
      </w:r>
      <w:r w:rsidRPr="00946D5E">
        <w:rPr>
          <w:sz w:val="24"/>
          <w:szCs w:val="24"/>
        </w:rPr>
        <w:t>3</w:t>
      </w:r>
      <w:r w:rsidRPr="00946D5E">
        <w:rPr>
          <w:sz w:val="24"/>
          <w:szCs w:val="24"/>
        </w:rPr>
        <w:fldChar w:fldCharType="end"/>
      </w:r>
      <w:r w:rsidRPr="00946D5E">
        <w:rPr>
          <w:sz w:val="24"/>
          <w:szCs w:val="24"/>
        </w:rPr>
        <w:t xml:space="preserve"> Chapter 3: My Research Elements</w:t>
      </w:r>
      <w:bookmarkEnd w:id="8"/>
    </w:p>
    <w:p w14:paraId="3140208B" w14:textId="77777777" w:rsidR="00C43694" w:rsidRPr="00BC30BF" w:rsidRDefault="00C43694" w:rsidP="00C43694">
      <w:pPr>
        <w:spacing w:after="0" w:line="480" w:lineRule="auto"/>
        <w:rPr>
          <w:i/>
          <w:iCs/>
        </w:rPr>
      </w:pPr>
      <w:r>
        <w:rPr>
          <w:i/>
          <w:iCs/>
          <w:noProof/>
          <w:lang w:eastAsia="en-GB"/>
        </w:rPr>
        <w:lastRenderedPageBreak/>
        <w:drawing>
          <wp:inline distT="0" distB="0" distL="0" distR="0" wp14:anchorId="4D2DC5C9" wp14:editId="7009855C">
            <wp:extent cx="5663565" cy="9569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3565" cy="956945"/>
                    </a:xfrm>
                    <a:prstGeom prst="rect">
                      <a:avLst/>
                    </a:prstGeom>
                    <a:noFill/>
                  </pic:spPr>
                </pic:pic>
              </a:graphicData>
            </a:graphic>
          </wp:inline>
        </w:drawing>
      </w:r>
    </w:p>
    <w:bookmarkEnd w:id="9"/>
    <w:p w14:paraId="042D504A" w14:textId="77777777" w:rsidR="00C43694" w:rsidRPr="00BA2696" w:rsidRDefault="00C43694" w:rsidP="00C43694">
      <w:pPr>
        <w:spacing w:after="0" w:line="480" w:lineRule="auto"/>
        <w:jc w:val="right"/>
        <w:rPr>
          <w:sz w:val="24"/>
          <w:szCs w:val="24"/>
        </w:rPr>
      </w:pPr>
      <w:r w:rsidRPr="00BA2696">
        <w:rPr>
          <w:sz w:val="24"/>
          <w:szCs w:val="24"/>
        </w:rPr>
        <w:t xml:space="preserve"> </w:t>
      </w:r>
      <w:bookmarkStart w:id="10" w:name="_Hlk58265486"/>
      <w:r w:rsidRPr="00BA2696">
        <w:rPr>
          <w:sz w:val="24"/>
          <w:szCs w:val="24"/>
        </w:rPr>
        <w:t>(</w:t>
      </w:r>
      <w:r w:rsidRPr="00BA2696">
        <w:rPr>
          <w:i/>
          <w:iCs/>
          <w:sz w:val="24"/>
          <w:szCs w:val="24"/>
        </w:rPr>
        <w:t>adapted from</w:t>
      </w:r>
      <w:r w:rsidRPr="00BA2696">
        <w:rPr>
          <w:sz w:val="24"/>
          <w:szCs w:val="24"/>
        </w:rPr>
        <w:t xml:space="preserve"> Crotty, 1998, p. 4)</w:t>
      </w:r>
    </w:p>
    <w:bookmarkEnd w:id="10"/>
    <w:p w14:paraId="596DC78D" w14:textId="77777777" w:rsidR="00C43694" w:rsidRDefault="00C43694" w:rsidP="00C43694">
      <w:pPr>
        <w:spacing w:after="0" w:line="480" w:lineRule="auto"/>
        <w:rPr>
          <w:sz w:val="24"/>
          <w:szCs w:val="24"/>
        </w:rPr>
      </w:pPr>
    </w:p>
    <w:p w14:paraId="638D4D8D" w14:textId="77777777" w:rsidR="00C43694" w:rsidRPr="00BA2696" w:rsidRDefault="00C43694" w:rsidP="00C43694">
      <w:pPr>
        <w:spacing w:after="0" w:line="480" w:lineRule="auto"/>
        <w:rPr>
          <w:sz w:val="24"/>
          <w:szCs w:val="24"/>
        </w:rPr>
      </w:pPr>
      <w:r>
        <w:rPr>
          <w:sz w:val="24"/>
          <w:szCs w:val="24"/>
        </w:rPr>
        <w:t xml:space="preserve">Although participant-observation encompasses interviewing and documentary analysis, creating one unified method, I have discussed their use separately in Chapter 4 (Section 4.2) for research transparency. </w:t>
      </w:r>
      <w:r w:rsidRPr="00BA2696">
        <w:rPr>
          <w:sz w:val="24"/>
          <w:szCs w:val="24"/>
        </w:rPr>
        <w:t>How th</w:t>
      </w:r>
      <w:r>
        <w:rPr>
          <w:sz w:val="24"/>
          <w:szCs w:val="24"/>
        </w:rPr>
        <w:t>e research</w:t>
      </w:r>
      <w:r w:rsidRPr="00BA2696">
        <w:rPr>
          <w:sz w:val="24"/>
          <w:szCs w:val="24"/>
        </w:rPr>
        <w:t xml:space="preserve"> elements are interrelated and the reasons for choosing them will be explored in this chapter and Chapter 4. </w:t>
      </w:r>
    </w:p>
    <w:p w14:paraId="3EE5188D" w14:textId="77777777" w:rsidR="00C43694" w:rsidRPr="00BA2696" w:rsidRDefault="00C43694" w:rsidP="00C43694">
      <w:pPr>
        <w:spacing w:after="0" w:line="480" w:lineRule="auto"/>
        <w:rPr>
          <w:sz w:val="24"/>
          <w:szCs w:val="24"/>
        </w:rPr>
      </w:pPr>
    </w:p>
    <w:p w14:paraId="75EBBC80" w14:textId="77777777" w:rsidR="00C43694" w:rsidRPr="00BA2696" w:rsidRDefault="00C43694" w:rsidP="00C43694">
      <w:pPr>
        <w:spacing w:after="0" w:line="480" w:lineRule="auto"/>
        <w:rPr>
          <w:sz w:val="24"/>
          <w:szCs w:val="24"/>
        </w:rPr>
      </w:pPr>
      <w:r w:rsidRPr="00BA2696">
        <w:rPr>
          <w:sz w:val="24"/>
          <w:szCs w:val="24"/>
        </w:rPr>
        <w:t>A qualitative research paradigm was chosen in order to access the lived experiences of the participants. The primary reason for undertaking qualitative research is that the power differential between researcher and participants is smaller in qualitative research than it is in quantitative research (Kumar, 2014). As highlighting, challenging and closing power differentials are a feature of critical theory (Section 3.3), using a qualitative approach is therefore an appropriate means of exploring the research question. Likewise, it has been suggested that social science research, specifically quantitative statistical methods, are rooted in ‘white logic, white methods’ that mirror the methods used in eugenics research, yet this historical lineage is surrounded by academic silence (Zuberi and Bonilla-Silva, 2008). This research sought to challenge silence around whiteness and ‘race’, critiques the status quo and offer reflexive transparency around the influence of being a white researcher; qualitative research lends itself to that aim.</w:t>
      </w:r>
    </w:p>
    <w:p w14:paraId="6FAB6E30" w14:textId="77777777" w:rsidR="00C43694" w:rsidRPr="00BA2696" w:rsidRDefault="00C43694" w:rsidP="00C43694">
      <w:pPr>
        <w:spacing w:after="0" w:line="480" w:lineRule="auto"/>
        <w:rPr>
          <w:i/>
          <w:iCs/>
          <w:sz w:val="24"/>
          <w:szCs w:val="24"/>
        </w:rPr>
      </w:pPr>
    </w:p>
    <w:p w14:paraId="1EAF12AA" w14:textId="77777777" w:rsidR="00C43694" w:rsidRPr="00BA2696" w:rsidRDefault="00C43694" w:rsidP="00C43694">
      <w:pPr>
        <w:pStyle w:val="Heading3"/>
      </w:pPr>
      <w:bookmarkStart w:id="11" w:name="_Toc56523005"/>
      <w:bookmarkStart w:id="12" w:name="_Toc56523287"/>
      <w:bookmarkStart w:id="13" w:name="_Toc57910095"/>
      <w:bookmarkStart w:id="14" w:name="_Toc58251311"/>
      <w:bookmarkStart w:id="15" w:name="_Toc72413637"/>
      <w:r w:rsidRPr="00BA2696">
        <w:lastRenderedPageBreak/>
        <w:t>3.2 Axiology, Ontology and Epistemology</w:t>
      </w:r>
      <w:bookmarkEnd w:id="11"/>
      <w:bookmarkEnd w:id="12"/>
      <w:bookmarkEnd w:id="13"/>
      <w:bookmarkEnd w:id="14"/>
      <w:bookmarkEnd w:id="15"/>
    </w:p>
    <w:p w14:paraId="3D6BB489" w14:textId="77777777" w:rsidR="00C43694" w:rsidRPr="00BA2696" w:rsidRDefault="00C43694" w:rsidP="00C43694">
      <w:pPr>
        <w:spacing w:after="0" w:line="480" w:lineRule="auto"/>
        <w:rPr>
          <w:sz w:val="24"/>
          <w:szCs w:val="24"/>
        </w:rPr>
      </w:pPr>
      <w:r w:rsidRPr="00BA2696">
        <w:rPr>
          <w:sz w:val="24"/>
          <w:szCs w:val="24"/>
        </w:rPr>
        <w:t>The axiological, ontological and epistemological assumptions of this research are based on critical theory; the rationale for these assumptions will be described and justified (Blaikie and Priest, 2017).</w:t>
      </w:r>
    </w:p>
    <w:p w14:paraId="67F9CF1F" w14:textId="77777777" w:rsidR="00C43694" w:rsidRPr="00BA2696" w:rsidRDefault="00C43694" w:rsidP="00C43694">
      <w:pPr>
        <w:spacing w:after="0" w:line="480" w:lineRule="auto"/>
        <w:rPr>
          <w:sz w:val="24"/>
          <w:szCs w:val="24"/>
        </w:rPr>
      </w:pPr>
    </w:p>
    <w:p w14:paraId="758BD2EB" w14:textId="77777777" w:rsidR="00C43694" w:rsidRPr="00BA2696" w:rsidRDefault="00C43694" w:rsidP="00C43694">
      <w:pPr>
        <w:spacing w:after="0" w:line="480" w:lineRule="auto"/>
        <w:rPr>
          <w:sz w:val="24"/>
          <w:szCs w:val="24"/>
        </w:rPr>
      </w:pPr>
      <w:r w:rsidRPr="00BA2696">
        <w:rPr>
          <w:sz w:val="24"/>
          <w:szCs w:val="24"/>
        </w:rPr>
        <w:t>Axiology is concerned with the philosophy of values (Hiles, 2008). Axiology as a research concern was introduced by Heron and Reason (1997) as another dimension to the research paradigm; its function is to ask what is intrinsically worthwhile. Heron and Reason (1997) suggest that one way to answer this question is to ask oneself as a researcher what the purpose of the research is. This reflexive questioning has been a personal motivator throughout t</w:t>
      </w:r>
      <w:r>
        <w:rPr>
          <w:sz w:val="24"/>
          <w:szCs w:val="24"/>
        </w:rPr>
        <w:t>his research</w:t>
      </w:r>
      <w:r w:rsidRPr="00BA2696">
        <w:rPr>
          <w:sz w:val="24"/>
          <w:szCs w:val="24"/>
        </w:rPr>
        <w:t xml:space="preserve"> process. It is hoped that this research will make a worthwhile contribution to ‘race’ discourse and social justice in Wales, as well as to counselling pedagogy. This is where its intrinsic purpose and value is located. This aligns with the axiological assumptions of critical research, which Heron and Reason (1997) argue lies in achieving social emancipation. This is supported by Tracy (2019) who notes that the values associated with a critical paradigm are predicated on social justice. Further, values take ‘pride of place’ (Hiles, 2008, p. 53) within a critical paradigm. Principally, being an ethically rigorous researcher is the central value of this research. </w:t>
      </w:r>
    </w:p>
    <w:p w14:paraId="1027687A" w14:textId="77777777" w:rsidR="00C43694" w:rsidRPr="00BA2696" w:rsidRDefault="00C43694" w:rsidP="00C43694">
      <w:pPr>
        <w:spacing w:after="0" w:line="480" w:lineRule="auto"/>
        <w:rPr>
          <w:sz w:val="24"/>
          <w:szCs w:val="24"/>
        </w:rPr>
      </w:pPr>
    </w:p>
    <w:p w14:paraId="52DFC166" w14:textId="77777777" w:rsidR="00C43694" w:rsidRPr="00BA2696" w:rsidRDefault="00C43694" w:rsidP="00C43694">
      <w:pPr>
        <w:spacing w:after="0" w:line="480" w:lineRule="auto"/>
        <w:rPr>
          <w:sz w:val="24"/>
          <w:szCs w:val="24"/>
        </w:rPr>
      </w:pPr>
      <w:r w:rsidRPr="00BA2696">
        <w:rPr>
          <w:sz w:val="24"/>
          <w:szCs w:val="24"/>
        </w:rPr>
        <w:t xml:space="preserve">Indeed, when used in relation to qualitative research, axiology encourages the explicit expression of the paradigmatic assumptions as an ethically motivated action (Hiles, 2008). This chapter, and Chapter 4, outline the paradigmatic assumptions and the practical research process as a demonstration of ethical transparency. Therefore, research </w:t>
      </w:r>
      <w:r w:rsidRPr="00BA2696">
        <w:rPr>
          <w:sz w:val="24"/>
          <w:szCs w:val="24"/>
        </w:rPr>
        <w:lastRenderedPageBreak/>
        <w:t xml:space="preserve">transparency and researcher reflexivity could be seen as ‘axiology in action’ throughout this research. </w:t>
      </w:r>
    </w:p>
    <w:p w14:paraId="6D0B3EEB" w14:textId="77777777" w:rsidR="00C43694" w:rsidRPr="00BA2696" w:rsidRDefault="00C43694" w:rsidP="00C43694">
      <w:pPr>
        <w:spacing w:after="0" w:line="480" w:lineRule="auto"/>
        <w:rPr>
          <w:sz w:val="24"/>
          <w:szCs w:val="24"/>
        </w:rPr>
      </w:pPr>
    </w:p>
    <w:p w14:paraId="6379A78B" w14:textId="77777777" w:rsidR="00C43694" w:rsidRPr="00BA2696" w:rsidRDefault="00C43694" w:rsidP="00C43694">
      <w:pPr>
        <w:spacing w:after="0" w:line="480" w:lineRule="auto"/>
        <w:rPr>
          <w:sz w:val="24"/>
          <w:szCs w:val="24"/>
        </w:rPr>
      </w:pPr>
      <w:r w:rsidRPr="00BA2696">
        <w:rPr>
          <w:sz w:val="24"/>
          <w:szCs w:val="24"/>
        </w:rPr>
        <w:t xml:space="preserve">Ontology relates to the question of reality (Waring, 2012) with epistemology providing a means to know or understand that reality (Waring, 2012). Denzin and Lincoln (2011) have outlined the ontological and epistemological assumptions of critical theory. The ontological stance of critical theory is provided through historical realism, or the belief that reality is ‘shaped by </w:t>
      </w:r>
      <w:bookmarkStart w:id="16" w:name="_Hlk15931677"/>
      <w:r w:rsidRPr="00BA2696">
        <w:rPr>
          <w:sz w:val="24"/>
          <w:szCs w:val="24"/>
        </w:rPr>
        <w:t xml:space="preserve">social, political, cultural, economic, ethnic, and gender values’ </w:t>
      </w:r>
      <w:bookmarkStart w:id="17" w:name="_Hlk52968136"/>
      <w:r w:rsidRPr="00BA2696">
        <w:rPr>
          <w:sz w:val="24"/>
          <w:szCs w:val="24"/>
        </w:rPr>
        <w:t xml:space="preserve">(Denzin and Lincoln, 2011, p. 98). </w:t>
      </w:r>
      <w:bookmarkEnd w:id="16"/>
      <w:bookmarkEnd w:id="17"/>
      <w:r>
        <w:rPr>
          <w:sz w:val="24"/>
          <w:szCs w:val="24"/>
        </w:rPr>
        <w:t>Although</w:t>
      </w:r>
      <w:r w:rsidRPr="00BA2696">
        <w:rPr>
          <w:sz w:val="24"/>
          <w:szCs w:val="24"/>
        </w:rPr>
        <w:t xml:space="preserve"> not using the term ‘historical realism’, Strydom (2011, p. 10) put forward a similar argument for the critical theorist’s ontological position, noting that its assumption ‘that social reality is socio-culturally constituted in an open-ended process of constitution, organization, transformation and evolution’. Thus, social reality is an evolving concept and the understanding of that reality will be shaped by the contemporary context. This is explored in Chapter 6 (Section 6.1).</w:t>
      </w:r>
    </w:p>
    <w:p w14:paraId="4D1D682C" w14:textId="77777777" w:rsidR="00C43694" w:rsidRPr="00BA2696" w:rsidRDefault="00C43694" w:rsidP="00C43694">
      <w:pPr>
        <w:spacing w:after="0" w:line="480" w:lineRule="auto"/>
        <w:rPr>
          <w:sz w:val="24"/>
          <w:szCs w:val="24"/>
        </w:rPr>
      </w:pPr>
    </w:p>
    <w:p w14:paraId="7C32304E" w14:textId="77777777" w:rsidR="00C43694" w:rsidRPr="00BA2696" w:rsidRDefault="00C43694" w:rsidP="00C43694">
      <w:pPr>
        <w:spacing w:after="0" w:line="480" w:lineRule="auto"/>
        <w:rPr>
          <w:sz w:val="24"/>
          <w:szCs w:val="24"/>
        </w:rPr>
      </w:pPr>
      <w:r w:rsidRPr="00BA2696">
        <w:rPr>
          <w:sz w:val="24"/>
          <w:szCs w:val="24"/>
        </w:rPr>
        <w:t xml:space="preserve">The epistemological stance of critical theory is that of subjectivism (Denzin and Lincoln, 2011). This maintains that reality is based on individual interpretation (O’Reilly and Kiyimba, 2015), giving space to diversity which a critical theory ontology has been accused of lacking (How, 2003). It also permits different understandings of the various factors that historical realism believes shapes reality, such as politics, culture and gender (Denzin and Lincoln, 2011, p. 98). Further, it is an approach that allows the researcher to try to understand the world of the participants in an empathic manner, in contrast to an objectivist epistemology which encourages researchers to become a detached observer (Abma and Widdershoven, 2011). A modern understanding of subjectivity is that of theorised subjectivity (Letherby, </w:t>
      </w:r>
      <w:r w:rsidRPr="00BA2696">
        <w:rPr>
          <w:sz w:val="24"/>
          <w:szCs w:val="24"/>
        </w:rPr>
        <w:lastRenderedPageBreak/>
        <w:t xml:space="preserve">2013). </w:t>
      </w:r>
      <w:bookmarkStart w:id="18" w:name="_Hlk52968239"/>
      <w:r w:rsidRPr="00BA2696">
        <w:rPr>
          <w:sz w:val="24"/>
          <w:szCs w:val="24"/>
        </w:rPr>
        <w:t xml:space="preserve">Influenced by feminist research principles, theorised subjectivity is a way of recognising political influences in the lives of both researcher and participant(s) through reflexivity. Further, it also recognises the emotional impact of research for those involved with it (Letherby, 2013). </w:t>
      </w:r>
      <w:bookmarkEnd w:id="18"/>
      <w:r w:rsidRPr="00BA2696">
        <w:rPr>
          <w:sz w:val="24"/>
          <w:szCs w:val="24"/>
        </w:rPr>
        <w:t xml:space="preserve">As this research sought to not only understand how the participants understood ‘race’, racism and whiteness, but to also understand how it felt emotionally to discuss these topics, theorised subjectivity is an appropriate epistemological stance. This is because critical theorists acknowledge the cultural, historical and political context that the research takes place in (Scotland, 2012). Thus, theorised subjectivity (Letherby, 2013) echoes my ontological belief that these factors influence the nature reality. I believe my own contextual factors, those of the participants and the political backdrop this research took place in, will shape the perceptions of the findings of this research (Chapter 6, Section 6.1). My contention is that the participants and I will experience this reality in differing ways, corresponding with the epistemological belief of subjectivism. Moreover, a reflexive approach (Chapter 4, Section 4.2) will allow for a transparent account </w:t>
      </w:r>
      <w:r>
        <w:rPr>
          <w:sz w:val="24"/>
          <w:szCs w:val="24"/>
        </w:rPr>
        <w:t>of</w:t>
      </w:r>
      <w:r w:rsidRPr="00BA2696">
        <w:rPr>
          <w:sz w:val="24"/>
          <w:szCs w:val="24"/>
        </w:rPr>
        <w:t xml:space="preserve"> these factors. This compliments the emphasis on researcher reflexivity in the post-critical ethnography methodology chosen; this will be discussed further in this chapter (Section 3.5).</w:t>
      </w:r>
    </w:p>
    <w:p w14:paraId="2C7415C0" w14:textId="77777777" w:rsidR="00C43694" w:rsidRPr="00BA2696" w:rsidRDefault="00C43694" w:rsidP="00C43694">
      <w:pPr>
        <w:spacing w:after="0" w:line="480" w:lineRule="auto"/>
        <w:rPr>
          <w:sz w:val="24"/>
          <w:szCs w:val="24"/>
        </w:rPr>
      </w:pPr>
    </w:p>
    <w:p w14:paraId="7C733280" w14:textId="77777777" w:rsidR="00C43694" w:rsidRPr="00BA2696" w:rsidRDefault="00C43694" w:rsidP="00C43694">
      <w:pPr>
        <w:pStyle w:val="Heading3"/>
      </w:pPr>
      <w:bookmarkStart w:id="19" w:name="_Toc56523006"/>
      <w:bookmarkStart w:id="20" w:name="_Toc56523288"/>
      <w:bookmarkStart w:id="21" w:name="_Toc57910096"/>
      <w:bookmarkStart w:id="22" w:name="_Toc58251312"/>
      <w:bookmarkStart w:id="23" w:name="_Toc72413638"/>
      <w:r w:rsidRPr="00BA2696">
        <w:t>3.3 Theoretical Paradigm: Critical Theory</w:t>
      </w:r>
      <w:bookmarkEnd w:id="19"/>
      <w:bookmarkEnd w:id="20"/>
      <w:bookmarkEnd w:id="21"/>
      <w:bookmarkEnd w:id="22"/>
      <w:bookmarkEnd w:id="23"/>
    </w:p>
    <w:p w14:paraId="6A654AD7" w14:textId="77777777" w:rsidR="00C43694" w:rsidRPr="00BA2696" w:rsidRDefault="00C43694" w:rsidP="00C43694">
      <w:pPr>
        <w:spacing w:after="0" w:line="480" w:lineRule="auto"/>
        <w:rPr>
          <w:sz w:val="24"/>
          <w:szCs w:val="24"/>
        </w:rPr>
      </w:pPr>
      <w:r w:rsidRPr="00BA2696">
        <w:rPr>
          <w:sz w:val="24"/>
          <w:szCs w:val="24"/>
        </w:rPr>
        <w:t>The theoretical perspective of this doctoral research is critical theory. This theory has a long history, with many complex and competing theories within it (Thompson, 2017). Most closely associated with its origins at the Frankfurt School, critical theory was initially influenced by the work of Karl Marx (Bonner, 2017).</w:t>
      </w:r>
      <w:r w:rsidRPr="00BA2696">
        <w:rPr>
          <w:color w:val="FF0000"/>
          <w:sz w:val="24"/>
          <w:szCs w:val="24"/>
        </w:rPr>
        <w:t xml:space="preserve"> </w:t>
      </w:r>
      <w:r w:rsidRPr="00BA2696">
        <w:rPr>
          <w:sz w:val="24"/>
          <w:szCs w:val="24"/>
        </w:rPr>
        <w:t xml:space="preserve">It was originally ‘intended as a general theory of society fuelled by the desire for liberation’ (Bonner, 2017, p. 21). In relation to </w:t>
      </w:r>
      <w:r w:rsidRPr="00BA2696">
        <w:rPr>
          <w:sz w:val="24"/>
          <w:szCs w:val="24"/>
        </w:rPr>
        <w:lastRenderedPageBreak/>
        <w:t>research, this has been reframed as a means ‘to emancipate the disempowered’ (</w:t>
      </w:r>
      <w:bookmarkStart w:id="24" w:name="_Hlk22542560"/>
      <w:r w:rsidRPr="00BA2696">
        <w:rPr>
          <w:sz w:val="24"/>
          <w:szCs w:val="24"/>
        </w:rPr>
        <w:t>Scotland, 2012, p. 13) and seek</w:t>
      </w:r>
      <w:r>
        <w:rPr>
          <w:sz w:val="24"/>
          <w:szCs w:val="24"/>
        </w:rPr>
        <w:t>s</w:t>
      </w:r>
      <w:r w:rsidRPr="00BA2696">
        <w:rPr>
          <w:sz w:val="24"/>
          <w:szCs w:val="24"/>
        </w:rPr>
        <w:t xml:space="preserve"> ‘enlightenment, emancipation and transformation, including self-transformation’ (Strydom, 2011, p. 9). </w:t>
      </w:r>
      <w:bookmarkEnd w:id="24"/>
      <w:r w:rsidRPr="00BA2696">
        <w:rPr>
          <w:sz w:val="24"/>
          <w:szCs w:val="24"/>
        </w:rPr>
        <w:t>This is echoed in the assertion that critical theories seek to raise consciousness:</w:t>
      </w:r>
    </w:p>
    <w:p w14:paraId="4AF4FB23" w14:textId="77777777" w:rsidR="00C43694" w:rsidRPr="00BA2696" w:rsidRDefault="00C43694" w:rsidP="00C43694">
      <w:pPr>
        <w:spacing w:after="0" w:line="240" w:lineRule="auto"/>
        <w:ind w:left="567" w:right="567"/>
        <w:rPr>
          <w:sz w:val="24"/>
          <w:szCs w:val="24"/>
        </w:rPr>
      </w:pPr>
      <w:bookmarkStart w:id="25" w:name="_Hlk23336223"/>
      <w:r w:rsidRPr="00BA2696">
        <w:rPr>
          <w:sz w:val="24"/>
          <w:szCs w:val="24"/>
        </w:rPr>
        <w:t>of social conditions and promoting emancipatory values such as equity, social welfare, justice, mutuality and political liberty (Thomas, 2009, p. 54)</w:t>
      </w:r>
    </w:p>
    <w:bookmarkEnd w:id="25"/>
    <w:p w14:paraId="3353502C" w14:textId="77777777" w:rsidR="00C43694" w:rsidRPr="00BA2696" w:rsidRDefault="00C43694" w:rsidP="00C43694">
      <w:pPr>
        <w:spacing w:after="0" w:line="480" w:lineRule="auto"/>
        <w:ind w:left="567" w:right="567"/>
        <w:rPr>
          <w:sz w:val="24"/>
          <w:szCs w:val="24"/>
        </w:rPr>
      </w:pPr>
    </w:p>
    <w:p w14:paraId="1E377563" w14:textId="77777777" w:rsidR="00C43694" w:rsidRPr="00BA2696" w:rsidRDefault="00C43694" w:rsidP="00C43694">
      <w:pPr>
        <w:spacing w:after="0" w:line="480" w:lineRule="auto"/>
        <w:rPr>
          <w:sz w:val="24"/>
          <w:szCs w:val="24"/>
        </w:rPr>
      </w:pPr>
      <w:r w:rsidRPr="00BA2696">
        <w:rPr>
          <w:sz w:val="24"/>
          <w:szCs w:val="24"/>
        </w:rPr>
        <w:t xml:space="preserve">To that emancipatory end, critical theory encompasses different schools of research, such as critical race theory, feminist theory and queer theory (Ormston </w:t>
      </w:r>
      <w:r w:rsidRPr="00BA2696">
        <w:rPr>
          <w:i/>
          <w:iCs/>
          <w:sz w:val="24"/>
          <w:szCs w:val="24"/>
        </w:rPr>
        <w:t>et al</w:t>
      </w:r>
      <w:r w:rsidRPr="00BA2696">
        <w:rPr>
          <w:sz w:val="24"/>
          <w:szCs w:val="24"/>
        </w:rPr>
        <w:t>, 2014).</w:t>
      </w:r>
    </w:p>
    <w:p w14:paraId="509F22CB" w14:textId="77777777" w:rsidR="00C43694" w:rsidRPr="00BA2696" w:rsidRDefault="00C43694" w:rsidP="00C43694">
      <w:pPr>
        <w:spacing w:after="0" w:line="480" w:lineRule="auto"/>
        <w:rPr>
          <w:strike/>
          <w:sz w:val="24"/>
          <w:szCs w:val="24"/>
        </w:rPr>
      </w:pPr>
      <w:r w:rsidRPr="00BA2696">
        <w:rPr>
          <w:sz w:val="24"/>
          <w:szCs w:val="24"/>
        </w:rPr>
        <w:t xml:space="preserve">The longevity of critical theory shows how it can be adapted to changing societal and political circumstances (Browne, 2017). This fluidity of application, depending on the contemporary political and societal climate, made critical theory an advantageous theoretical perspective to use for this doctoral research. This is because the political context this research took place in (Chapter 1, Section 1.1; Chapter 6, Section 6.1), meant that the political narrative was rapidly changing and therefore required an adaptable approach to contextualise it. </w:t>
      </w:r>
    </w:p>
    <w:p w14:paraId="040698B2" w14:textId="77777777" w:rsidR="00C43694" w:rsidRPr="00BA2696" w:rsidRDefault="00C43694" w:rsidP="00C43694">
      <w:pPr>
        <w:spacing w:after="0" w:line="480" w:lineRule="auto"/>
        <w:rPr>
          <w:sz w:val="24"/>
          <w:szCs w:val="24"/>
        </w:rPr>
      </w:pPr>
    </w:p>
    <w:p w14:paraId="0C1C9B11" w14:textId="77777777" w:rsidR="00C43694" w:rsidRPr="00BA2696" w:rsidRDefault="00C43694" w:rsidP="00C43694">
      <w:pPr>
        <w:spacing w:after="0" w:line="480" w:lineRule="auto"/>
        <w:rPr>
          <w:sz w:val="24"/>
          <w:szCs w:val="24"/>
        </w:rPr>
      </w:pPr>
      <w:r w:rsidRPr="00BA2696">
        <w:rPr>
          <w:sz w:val="24"/>
          <w:szCs w:val="24"/>
        </w:rPr>
        <w:t>A way of understanding power differentials and social factors can be found in immanent critique which is a key concept of critical theory. This has been described as:</w:t>
      </w:r>
    </w:p>
    <w:p w14:paraId="407589B5" w14:textId="77777777" w:rsidR="00C43694" w:rsidRPr="00BA2696" w:rsidRDefault="00C43694" w:rsidP="00C43694">
      <w:pPr>
        <w:spacing w:after="0" w:line="240" w:lineRule="auto"/>
        <w:ind w:left="567" w:right="567"/>
        <w:rPr>
          <w:sz w:val="24"/>
          <w:szCs w:val="24"/>
        </w:rPr>
      </w:pPr>
      <w:bookmarkStart w:id="26" w:name="_Hlk22286674"/>
      <w:r w:rsidRPr="00BA2696">
        <w:rPr>
          <w:sz w:val="24"/>
          <w:szCs w:val="24"/>
        </w:rPr>
        <w:t xml:space="preserve">the assessment of the rationality or worth of conventional understandings and standards by somehow drawing on resources internal to the society or culture of which they are a part </w:t>
      </w:r>
      <w:bookmarkStart w:id="27" w:name="_Hlk16792493"/>
      <w:r w:rsidRPr="00BA2696">
        <w:rPr>
          <w:sz w:val="24"/>
          <w:szCs w:val="24"/>
        </w:rPr>
        <w:t>(</w:t>
      </w:r>
      <w:bookmarkStart w:id="28" w:name="_Hlk20133288"/>
      <w:r w:rsidRPr="00BA2696">
        <w:rPr>
          <w:sz w:val="24"/>
          <w:szCs w:val="24"/>
        </w:rPr>
        <w:t>Sabia, 2010</w:t>
      </w:r>
      <w:bookmarkEnd w:id="27"/>
      <w:bookmarkEnd w:id="28"/>
      <w:r w:rsidRPr="00BA2696">
        <w:rPr>
          <w:sz w:val="24"/>
          <w:szCs w:val="24"/>
        </w:rPr>
        <w:t>, p. 687)</w:t>
      </w:r>
    </w:p>
    <w:bookmarkEnd w:id="26"/>
    <w:p w14:paraId="7830B6DF" w14:textId="77777777" w:rsidR="00C43694" w:rsidRPr="00BA2696" w:rsidRDefault="00C43694" w:rsidP="00C43694">
      <w:pPr>
        <w:spacing w:after="0" w:line="480" w:lineRule="auto"/>
        <w:ind w:left="567" w:right="567"/>
        <w:rPr>
          <w:sz w:val="24"/>
          <w:szCs w:val="24"/>
        </w:rPr>
      </w:pPr>
    </w:p>
    <w:p w14:paraId="7FE48C35" w14:textId="77777777" w:rsidR="00C43694" w:rsidRPr="00BA2696" w:rsidRDefault="00C43694" w:rsidP="00C43694">
      <w:pPr>
        <w:spacing w:after="0" w:line="480" w:lineRule="auto"/>
        <w:ind w:right="567"/>
        <w:rPr>
          <w:sz w:val="24"/>
          <w:szCs w:val="24"/>
        </w:rPr>
      </w:pPr>
      <w:r w:rsidRPr="00BA2696">
        <w:rPr>
          <w:sz w:val="24"/>
          <w:szCs w:val="24"/>
        </w:rPr>
        <w:t xml:space="preserve">Immanent critique has been termed the most significant contribution of critical theory, with its notion of societal assumptions and principles being criticised from an internal perspective </w:t>
      </w:r>
      <w:bookmarkStart w:id="29" w:name="_Hlk16792667"/>
      <w:r w:rsidRPr="00BA2696">
        <w:rPr>
          <w:sz w:val="24"/>
          <w:szCs w:val="24"/>
        </w:rPr>
        <w:t>(Stirk, 1992)</w:t>
      </w:r>
      <w:bookmarkEnd w:id="29"/>
      <w:r w:rsidRPr="00BA2696">
        <w:rPr>
          <w:sz w:val="24"/>
          <w:szCs w:val="24"/>
        </w:rPr>
        <w:t xml:space="preserve">. Wrenn (2016, p. 453) outlines that ‘immanent’ </w:t>
      </w:r>
      <w:r w:rsidRPr="00BA2696">
        <w:rPr>
          <w:sz w:val="24"/>
          <w:szCs w:val="24"/>
        </w:rPr>
        <w:lastRenderedPageBreak/>
        <w:t xml:space="preserve">refers to an internal critique of the beliefs and practices ‘that typify the experience and attitudes of the average individual within a given society’. Recently, Browne (2017, p. 109) has questioned whether immanent critique can remain relevant given the frictions between empiricism and ‘normative principles’. Whilst it is recognised that one way of overcoming this is via researcher reflexivity and a subjective epistemology, immanent critique will not be used as an overt means of understanding or analysing the data. Rather, it is the notion of understanding of a topic by utilising the resources of a group or culture from an internalised standpoint (Stirk, 1992; Sabia, 2010) that was pertinent to this research project. The purpose of this research was to understand how white trainee counsellors understood ‘race’, racism and whiteness by using resources relevant to the group. For trainee counsellors, the resources of talking, self-reflection and the articulation of emotion was relevant to their training and therefore the culture of counselling. Additionally, my previous experience as an internal member of the culture lends itself to immanent critique. By internal, it is meant that I understand counselling theory and practice, the training process and how to talk and listen in an empathic way, which would help to build rapport with the participants. </w:t>
      </w:r>
      <w:bookmarkStart w:id="30" w:name="_Hlk16789617"/>
      <w:r w:rsidRPr="00BA2696">
        <w:rPr>
          <w:sz w:val="24"/>
          <w:szCs w:val="24"/>
        </w:rPr>
        <w:t>Although it is recognised that immanent critique is a fundamental element of critical theory, its application in this research resides in the notion of using resources relevant to counselling trainees and utilising my own experience as</w:t>
      </w:r>
      <w:r>
        <w:rPr>
          <w:sz w:val="24"/>
          <w:szCs w:val="24"/>
        </w:rPr>
        <w:t xml:space="preserve"> a</w:t>
      </w:r>
      <w:r w:rsidRPr="00BA2696">
        <w:rPr>
          <w:sz w:val="24"/>
          <w:szCs w:val="24"/>
        </w:rPr>
        <w:t xml:space="preserve"> previous member of counselling culture.</w:t>
      </w:r>
    </w:p>
    <w:p w14:paraId="7DE3CF8D" w14:textId="77777777" w:rsidR="00C43694" w:rsidRPr="00BA2696" w:rsidRDefault="00C43694" w:rsidP="00C43694">
      <w:pPr>
        <w:spacing w:after="0" w:line="480" w:lineRule="auto"/>
        <w:ind w:right="567"/>
        <w:rPr>
          <w:sz w:val="24"/>
          <w:szCs w:val="24"/>
        </w:rPr>
      </w:pPr>
    </w:p>
    <w:bookmarkEnd w:id="30"/>
    <w:p w14:paraId="279E4FA2" w14:textId="77777777" w:rsidR="00C43694" w:rsidRPr="00BA2696" w:rsidRDefault="00C43694" w:rsidP="00C43694">
      <w:pPr>
        <w:spacing w:after="0" w:line="480" w:lineRule="auto"/>
        <w:rPr>
          <w:sz w:val="24"/>
          <w:szCs w:val="24"/>
        </w:rPr>
      </w:pPr>
      <w:r w:rsidRPr="00BA2696">
        <w:rPr>
          <w:sz w:val="24"/>
          <w:szCs w:val="24"/>
        </w:rPr>
        <w:t xml:space="preserve">Although carefully selected, it is also recognised that critical theory as a concept has been criticised.  One major critique argues that it has moved away from the founding members principles and philosophy, with latter day scholars presenting a version of critical theory that </w:t>
      </w:r>
      <w:r w:rsidRPr="00BA2696">
        <w:rPr>
          <w:sz w:val="24"/>
          <w:szCs w:val="24"/>
        </w:rPr>
        <w:lastRenderedPageBreak/>
        <w:t xml:space="preserve">is ‘domesticated’ and fails to adequately challenge systems of societal power and domination (Thompson, 2016). This viewpoint is supported by Hammer (2017) who states that the second generation of critical theorists took a more theoretical approach. Whereas the recent generation have returned to the original aim of the Frankfurt School by focusing on the ‘concrete mechanisms of social exclusion and oppression’ (Hammer, 2017, p. 614). For the purposes of this research, critical theory was chosen for its original intention of the questioning of social systems, specifically the social construction of ‘race’. Therefore, this research aligns with the traditional purpose of critical theory, rooted in ‘concrete’ concerns (Hammer, 2017, p. 614) rather than a solely theoretical exposition. </w:t>
      </w:r>
    </w:p>
    <w:p w14:paraId="7F61B39E" w14:textId="77777777" w:rsidR="00C43694" w:rsidRPr="00BA2696" w:rsidRDefault="00C43694" w:rsidP="00C43694">
      <w:pPr>
        <w:spacing w:after="0" w:line="480" w:lineRule="auto"/>
        <w:rPr>
          <w:color w:val="FF0000"/>
          <w:sz w:val="24"/>
          <w:szCs w:val="24"/>
        </w:rPr>
      </w:pPr>
    </w:p>
    <w:p w14:paraId="6234B653" w14:textId="77777777" w:rsidR="00C43694" w:rsidRPr="00BA2696" w:rsidRDefault="00C43694" w:rsidP="00C43694">
      <w:pPr>
        <w:spacing w:after="0" w:line="480" w:lineRule="auto"/>
        <w:rPr>
          <w:sz w:val="24"/>
          <w:szCs w:val="24"/>
        </w:rPr>
      </w:pPr>
      <w:r w:rsidRPr="00BA2696">
        <w:rPr>
          <w:sz w:val="24"/>
          <w:szCs w:val="24"/>
        </w:rPr>
        <w:t>Yet these noble aims have potential drawbacks. It has been argued that the emancipatory aspect of critical theory research may not be realised or lead to a greater sense of well</w:t>
      </w:r>
      <w:r>
        <w:rPr>
          <w:sz w:val="24"/>
          <w:szCs w:val="24"/>
        </w:rPr>
        <w:t>-</w:t>
      </w:r>
      <w:r w:rsidRPr="00BA2696">
        <w:rPr>
          <w:sz w:val="24"/>
          <w:szCs w:val="24"/>
        </w:rPr>
        <w:t xml:space="preserve">being, as participants may become cognisant of their situation without being able to change that situation (Scotland, 2012). Consequently, ‘despondency may ensue as blissful ignorance is shattered’ (Scotland, 2012, p. 14). This suggests that whilst research based on a critical theory paradigm may have honourable </w:t>
      </w:r>
      <w:r>
        <w:rPr>
          <w:sz w:val="24"/>
          <w:szCs w:val="24"/>
        </w:rPr>
        <w:t>intentions</w:t>
      </w:r>
      <w:r w:rsidRPr="00BA2696">
        <w:rPr>
          <w:sz w:val="24"/>
          <w:szCs w:val="24"/>
        </w:rPr>
        <w:t>, it is important to remain conscious that these may not be achieved and could be potentially harmful. To mitigate this as far as possible, great emphasis has been placed on maintaining a high ethical standard to ensure the participants’ well-being. Research ethics will be discussed</w:t>
      </w:r>
      <w:r>
        <w:rPr>
          <w:sz w:val="24"/>
          <w:szCs w:val="24"/>
        </w:rPr>
        <w:t xml:space="preserve"> in</w:t>
      </w:r>
      <w:r w:rsidRPr="00BA2696">
        <w:rPr>
          <w:sz w:val="24"/>
          <w:szCs w:val="24"/>
        </w:rPr>
        <w:t xml:space="preserve"> Chapter 4 (Section 4.4). </w:t>
      </w:r>
    </w:p>
    <w:p w14:paraId="1B4366CC" w14:textId="77777777" w:rsidR="00C43694" w:rsidRPr="00BA2696" w:rsidRDefault="00C43694" w:rsidP="00C43694">
      <w:pPr>
        <w:spacing w:after="0" w:line="480" w:lineRule="auto"/>
        <w:rPr>
          <w:sz w:val="24"/>
          <w:szCs w:val="24"/>
        </w:rPr>
      </w:pPr>
    </w:p>
    <w:p w14:paraId="03CB4F05" w14:textId="77777777" w:rsidR="00C43694" w:rsidRPr="00BA2696" w:rsidRDefault="00C43694" w:rsidP="00C43694">
      <w:pPr>
        <w:spacing w:after="0" w:line="480" w:lineRule="auto"/>
        <w:rPr>
          <w:sz w:val="24"/>
          <w:szCs w:val="24"/>
        </w:rPr>
      </w:pPr>
      <w:r w:rsidRPr="00BA2696">
        <w:rPr>
          <w:sz w:val="24"/>
          <w:szCs w:val="24"/>
        </w:rPr>
        <w:t xml:space="preserve">Critical race theory has provided a new critical social theory and was based upon the founding concepts of critical theory (Bonner, 2017).  Critical whiteness studies, which derived from critical race theory, is the primary theoretical lens used in this research. </w:t>
      </w:r>
      <w:r w:rsidRPr="00BA2696">
        <w:rPr>
          <w:sz w:val="24"/>
          <w:szCs w:val="24"/>
        </w:rPr>
        <w:lastRenderedPageBreak/>
        <w:t xml:space="preserve">Therefore, a connection between the theoretical perspective and theoretical lens can be identified. </w:t>
      </w:r>
    </w:p>
    <w:p w14:paraId="29A31B0E" w14:textId="77777777" w:rsidR="00C43694" w:rsidRPr="00BA2696" w:rsidRDefault="00C43694" w:rsidP="00C43694">
      <w:pPr>
        <w:spacing w:after="0" w:line="480" w:lineRule="auto"/>
        <w:rPr>
          <w:sz w:val="24"/>
          <w:szCs w:val="24"/>
        </w:rPr>
      </w:pPr>
    </w:p>
    <w:p w14:paraId="7151B050" w14:textId="77777777" w:rsidR="00C43694" w:rsidRPr="00BA2696" w:rsidRDefault="00C43694" w:rsidP="00C43694">
      <w:pPr>
        <w:pStyle w:val="Heading3"/>
      </w:pPr>
      <w:bookmarkStart w:id="31" w:name="_Toc56523007"/>
      <w:bookmarkStart w:id="32" w:name="_Toc56523289"/>
      <w:bookmarkStart w:id="33" w:name="_Toc57910097"/>
      <w:bookmarkStart w:id="34" w:name="_Toc58251313"/>
      <w:bookmarkStart w:id="35" w:name="_Hlk39483285"/>
      <w:bookmarkStart w:id="36" w:name="_Toc72413639"/>
      <w:r w:rsidRPr="00BA2696">
        <w:t>3.4 Theoretical Lens: Critical Whiteness Studies and Critical Race Theory</w:t>
      </w:r>
      <w:bookmarkEnd w:id="31"/>
      <w:bookmarkEnd w:id="32"/>
      <w:bookmarkEnd w:id="33"/>
      <w:bookmarkEnd w:id="34"/>
      <w:bookmarkEnd w:id="36"/>
    </w:p>
    <w:p w14:paraId="65E5F129" w14:textId="77777777" w:rsidR="00C43694" w:rsidRDefault="00C43694" w:rsidP="00C43694">
      <w:pPr>
        <w:spacing w:after="0" w:line="480" w:lineRule="auto"/>
        <w:rPr>
          <w:sz w:val="24"/>
          <w:szCs w:val="24"/>
        </w:rPr>
      </w:pPr>
      <w:r w:rsidRPr="00BA2696">
        <w:rPr>
          <w:sz w:val="24"/>
          <w:szCs w:val="24"/>
        </w:rPr>
        <w:t>Critical race theory was borne out of critical theory and by extension so was critical whiteness studies (in being an offshoot of critical race theory) meaning that there is a traceable theoretical foundation for the research paradigm used in this research.</w:t>
      </w:r>
      <w:r w:rsidRPr="00C05842">
        <w:rPr>
          <w:sz w:val="24"/>
          <w:szCs w:val="24"/>
        </w:rPr>
        <w:t xml:space="preserve"> </w:t>
      </w:r>
      <w:r>
        <w:rPr>
          <w:sz w:val="24"/>
          <w:szCs w:val="24"/>
        </w:rPr>
        <w:t xml:space="preserve">Twine and Gallagher (2007) have identified three ‘waves’ in the development of critical whiteness studies (discussed below). </w:t>
      </w:r>
      <w:r w:rsidRPr="007E46A4">
        <w:rPr>
          <w:sz w:val="24"/>
          <w:szCs w:val="24"/>
        </w:rPr>
        <w:t xml:space="preserve">This research falls into the third wave </w:t>
      </w:r>
      <w:r>
        <w:rPr>
          <w:sz w:val="24"/>
          <w:szCs w:val="24"/>
        </w:rPr>
        <w:t xml:space="preserve">which is concerned with how whiteness is ‘performed’ (Twine and Gallagher, 2007, p. 5) as it focused upon white peoples’ understanding of ‘race’, racism and whiteness. </w:t>
      </w:r>
      <w:bookmarkStart w:id="37" w:name="_Hlk70617232"/>
      <w:r>
        <w:rPr>
          <w:sz w:val="24"/>
          <w:szCs w:val="24"/>
        </w:rPr>
        <w:t>Examples of this performance can be seen in participants attempts to distance themselves from racism (Chapter 5, Section 5.2; Chapter 6, Section 6.3) and in their reactions to being asked about being white (Chapter 5, Section 5.3; Chapter 6, Section 6.4).</w:t>
      </w:r>
      <w:r w:rsidRPr="00BA2696">
        <w:rPr>
          <w:sz w:val="24"/>
          <w:szCs w:val="24"/>
        </w:rPr>
        <w:t xml:space="preserve"> </w:t>
      </w:r>
      <w:bookmarkEnd w:id="37"/>
    </w:p>
    <w:p w14:paraId="416194BA" w14:textId="77777777" w:rsidR="00C43694" w:rsidRDefault="00C43694" w:rsidP="00C43694">
      <w:pPr>
        <w:spacing w:after="0" w:line="480" w:lineRule="auto"/>
        <w:rPr>
          <w:sz w:val="24"/>
          <w:szCs w:val="24"/>
        </w:rPr>
      </w:pPr>
    </w:p>
    <w:p w14:paraId="57936D73" w14:textId="77777777" w:rsidR="00C43694" w:rsidRPr="00BA2696" w:rsidRDefault="00C43694" w:rsidP="00C43694">
      <w:pPr>
        <w:spacing w:after="0" w:line="480" w:lineRule="auto"/>
        <w:rPr>
          <w:sz w:val="24"/>
          <w:szCs w:val="24"/>
        </w:rPr>
      </w:pPr>
      <w:r w:rsidRPr="00BA2696">
        <w:rPr>
          <w:sz w:val="24"/>
          <w:szCs w:val="24"/>
        </w:rPr>
        <w:t xml:space="preserve">Critical whiteness studies provides the primary theoretical lens of this research, with critical race theory offering a complimentary adjunct to understanding the research findings. The rationale behind this decision is recognising that discussing a critical theory of whiteness, and therefore understanding the structural formation of whiteness, should be done whilst also recognising ‘the insight and knowledge of those oppressed by those structures’ (Owen, 2007, p. 219). The importance of acknowledging and incorporating the insights of critical race theory is also emphasised by Dolan (2006) who cautions that critical whiteness studies risks centring whiteness, and white theorists as the key agency of change, undermining the contributions of scholars of colour. Likewise, Roediger (2002) argues that for the critical </w:t>
      </w:r>
      <w:r w:rsidRPr="00BA2696">
        <w:rPr>
          <w:sz w:val="24"/>
          <w:szCs w:val="24"/>
        </w:rPr>
        <w:lastRenderedPageBreak/>
        <w:t xml:space="preserve">study of whiteness to be worthwhile, the contributions of African-American writers and academics must be recognised because they have been contemplating whiteness for much longer. </w:t>
      </w:r>
    </w:p>
    <w:p w14:paraId="4DDAB25D" w14:textId="77777777" w:rsidR="00C43694" w:rsidRPr="00BA2696" w:rsidRDefault="00C43694" w:rsidP="00C43694">
      <w:pPr>
        <w:spacing w:after="0" w:line="480" w:lineRule="auto"/>
        <w:rPr>
          <w:sz w:val="24"/>
          <w:szCs w:val="24"/>
        </w:rPr>
      </w:pPr>
    </w:p>
    <w:p w14:paraId="59F96E9A" w14:textId="77777777" w:rsidR="00C43694" w:rsidRPr="00BA2696" w:rsidRDefault="00C43694" w:rsidP="00C43694">
      <w:pPr>
        <w:spacing w:after="0" w:line="480" w:lineRule="auto"/>
        <w:rPr>
          <w:sz w:val="24"/>
          <w:szCs w:val="24"/>
        </w:rPr>
      </w:pPr>
      <w:r w:rsidRPr="00BA2696">
        <w:rPr>
          <w:sz w:val="24"/>
          <w:szCs w:val="24"/>
        </w:rPr>
        <w:t>Burton (2009) argues that although critical whiteness studies and critical race theory are connected, it is important to remember that they are two distinct fields. To that end, Burton (2009</w:t>
      </w:r>
      <w:r>
        <w:rPr>
          <w:sz w:val="24"/>
          <w:szCs w:val="24"/>
        </w:rPr>
        <w:t>; Table 9</w:t>
      </w:r>
      <w:r w:rsidRPr="00BA2696">
        <w:rPr>
          <w:sz w:val="24"/>
          <w:szCs w:val="24"/>
        </w:rPr>
        <w:t>) has offered a clear differentiation between the two which forms the understanding for this research.</w:t>
      </w:r>
    </w:p>
    <w:p w14:paraId="5114FB76" w14:textId="77777777" w:rsidR="00C43694" w:rsidRPr="009C3ADD" w:rsidRDefault="00C43694" w:rsidP="00C43694">
      <w:pPr>
        <w:pStyle w:val="Caption"/>
        <w:keepNext/>
        <w:rPr>
          <w:sz w:val="24"/>
          <w:szCs w:val="24"/>
        </w:rPr>
      </w:pPr>
      <w:bookmarkStart w:id="38" w:name="_Toc72253523"/>
      <w:bookmarkStart w:id="39" w:name="_Toc72253845"/>
      <w:bookmarkStart w:id="40" w:name="_Toc72253867"/>
      <w:bookmarkStart w:id="41" w:name="_Toc72324670"/>
      <w:r w:rsidRPr="009C3ADD">
        <w:rPr>
          <w:sz w:val="24"/>
          <w:szCs w:val="24"/>
        </w:rPr>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9</w:t>
      </w:r>
      <w:r w:rsidRPr="009C3ADD">
        <w:rPr>
          <w:sz w:val="24"/>
          <w:szCs w:val="24"/>
        </w:rPr>
        <w:fldChar w:fldCharType="end"/>
      </w:r>
      <w:r w:rsidRPr="009C3ADD">
        <w:rPr>
          <w:sz w:val="24"/>
          <w:szCs w:val="24"/>
        </w:rPr>
        <w:t xml:space="preserve"> Typology of Whiteness Theory and Critical Race Theory as methodological domains</w:t>
      </w:r>
      <w:bookmarkEnd w:id="38"/>
      <w:bookmarkEnd w:id="39"/>
      <w:bookmarkEnd w:id="40"/>
      <w:bookmarkEnd w:id="41"/>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2829"/>
        <w:gridCol w:w="2816"/>
        <w:gridCol w:w="2814"/>
      </w:tblGrid>
      <w:tr w:rsidR="00C43694" w:rsidRPr="00BA2696" w14:paraId="1E31FD67" w14:textId="77777777" w:rsidTr="00C75158">
        <w:tc>
          <w:tcPr>
            <w:tcW w:w="2829" w:type="dxa"/>
            <w:shd w:val="clear" w:color="auto" w:fill="auto"/>
          </w:tcPr>
          <w:p w14:paraId="2CFFBED3" w14:textId="77777777" w:rsidR="00C43694" w:rsidRPr="00BA2696" w:rsidRDefault="00C43694" w:rsidP="00C75158">
            <w:pPr>
              <w:spacing w:after="0" w:line="240" w:lineRule="auto"/>
              <w:rPr>
                <w:b/>
                <w:bCs/>
                <w:sz w:val="24"/>
                <w:szCs w:val="24"/>
              </w:rPr>
            </w:pPr>
          </w:p>
        </w:tc>
        <w:tc>
          <w:tcPr>
            <w:tcW w:w="2816" w:type="dxa"/>
            <w:shd w:val="clear" w:color="auto" w:fill="auto"/>
          </w:tcPr>
          <w:p w14:paraId="6A488023" w14:textId="77777777" w:rsidR="00C43694" w:rsidRPr="00BA2696" w:rsidRDefault="00C43694" w:rsidP="00C75158">
            <w:pPr>
              <w:spacing w:after="0" w:line="240" w:lineRule="auto"/>
              <w:jc w:val="center"/>
              <w:rPr>
                <w:b/>
                <w:bCs/>
                <w:sz w:val="24"/>
                <w:szCs w:val="24"/>
              </w:rPr>
            </w:pPr>
            <w:r w:rsidRPr="00BA2696">
              <w:rPr>
                <w:b/>
                <w:bCs/>
                <w:sz w:val="24"/>
                <w:szCs w:val="24"/>
              </w:rPr>
              <w:t>Critical Race Theory</w:t>
            </w:r>
          </w:p>
        </w:tc>
        <w:tc>
          <w:tcPr>
            <w:tcW w:w="2814" w:type="dxa"/>
            <w:shd w:val="clear" w:color="auto" w:fill="auto"/>
          </w:tcPr>
          <w:p w14:paraId="7A68B699" w14:textId="77777777" w:rsidR="00C43694" w:rsidRPr="00BA2696" w:rsidRDefault="00C43694" w:rsidP="00C75158">
            <w:pPr>
              <w:spacing w:after="0" w:line="240" w:lineRule="auto"/>
              <w:jc w:val="center"/>
              <w:rPr>
                <w:b/>
                <w:bCs/>
                <w:sz w:val="24"/>
                <w:szCs w:val="24"/>
              </w:rPr>
            </w:pPr>
            <w:r w:rsidRPr="00BA2696">
              <w:rPr>
                <w:b/>
                <w:bCs/>
                <w:sz w:val="24"/>
                <w:szCs w:val="24"/>
              </w:rPr>
              <w:t>Whiteness Theory (studies)</w:t>
            </w:r>
          </w:p>
        </w:tc>
      </w:tr>
      <w:tr w:rsidR="00C43694" w:rsidRPr="00BA2696" w14:paraId="2A3E55E5" w14:textId="77777777" w:rsidTr="00C75158">
        <w:tc>
          <w:tcPr>
            <w:tcW w:w="2829" w:type="dxa"/>
            <w:shd w:val="clear" w:color="auto" w:fill="F2F2F2"/>
          </w:tcPr>
          <w:p w14:paraId="7ED30898" w14:textId="77777777" w:rsidR="00C43694" w:rsidRPr="00BA2696" w:rsidRDefault="00C43694" w:rsidP="00C75158">
            <w:pPr>
              <w:spacing w:after="0" w:line="240" w:lineRule="auto"/>
              <w:rPr>
                <w:b/>
                <w:bCs/>
                <w:sz w:val="24"/>
                <w:szCs w:val="24"/>
              </w:rPr>
            </w:pPr>
            <w:r w:rsidRPr="00BA2696">
              <w:rPr>
                <w:b/>
                <w:bCs/>
                <w:sz w:val="24"/>
                <w:szCs w:val="24"/>
              </w:rPr>
              <w:t>Date emerges as a distinct theoretical approach</w:t>
            </w:r>
          </w:p>
        </w:tc>
        <w:tc>
          <w:tcPr>
            <w:tcW w:w="2816" w:type="dxa"/>
            <w:shd w:val="clear" w:color="auto" w:fill="F2F2F2"/>
          </w:tcPr>
          <w:p w14:paraId="00FDA78F" w14:textId="77777777" w:rsidR="00C43694" w:rsidRPr="00BA2696" w:rsidRDefault="00C43694" w:rsidP="00C75158">
            <w:pPr>
              <w:spacing w:after="0" w:line="240" w:lineRule="auto"/>
              <w:rPr>
                <w:sz w:val="24"/>
                <w:szCs w:val="24"/>
              </w:rPr>
            </w:pPr>
            <w:r w:rsidRPr="00BA2696">
              <w:rPr>
                <w:sz w:val="24"/>
                <w:szCs w:val="24"/>
              </w:rPr>
              <w:t>1970s</w:t>
            </w:r>
          </w:p>
        </w:tc>
        <w:tc>
          <w:tcPr>
            <w:tcW w:w="2814" w:type="dxa"/>
            <w:shd w:val="clear" w:color="auto" w:fill="F2F2F2"/>
          </w:tcPr>
          <w:p w14:paraId="1E11C1A3" w14:textId="77777777" w:rsidR="00C43694" w:rsidRPr="00BA2696" w:rsidRDefault="00C43694" w:rsidP="00C75158">
            <w:pPr>
              <w:spacing w:after="0" w:line="240" w:lineRule="auto"/>
              <w:rPr>
                <w:sz w:val="24"/>
                <w:szCs w:val="24"/>
              </w:rPr>
            </w:pPr>
            <w:r w:rsidRPr="00BA2696">
              <w:rPr>
                <w:sz w:val="24"/>
                <w:szCs w:val="24"/>
              </w:rPr>
              <w:t>1990s</w:t>
            </w:r>
          </w:p>
        </w:tc>
      </w:tr>
      <w:tr w:rsidR="00C43694" w:rsidRPr="00BA2696" w14:paraId="65C8B683" w14:textId="77777777" w:rsidTr="00C75158">
        <w:tc>
          <w:tcPr>
            <w:tcW w:w="2829" w:type="dxa"/>
            <w:shd w:val="clear" w:color="auto" w:fill="auto"/>
          </w:tcPr>
          <w:p w14:paraId="347202B4" w14:textId="77777777" w:rsidR="00C43694" w:rsidRPr="00BA2696" w:rsidRDefault="00C43694" w:rsidP="00C75158">
            <w:pPr>
              <w:spacing w:after="0" w:line="240" w:lineRule="auto"/>
              <w:rPr>
                <w:b/>
                <w:bCs/>
                <w:sz w:val="24"/>
                <w:szCs w:val="24"/>
              </w:rPr>
            </w:pPr>
            <w:r w:rsidRPr="00BA2696">
              <w:rPr>
                <w:b/>
                <w:bCs/>
                <w:sz w:val="24"/>
                <w:szCs w:val="24"/>
              </w:rPr>
              <w:t>Initial “host” disciplines</w:t>
            </w:r>
          </w:p>
        </w:tc>
        <w:tc>
          <w:tcPr>
            <w:tcW w:w="2816" w:type="dxa"/>
            <w:shd w:val="clear" w:color="auto" w:fill="auto"/>
          </w:tcPr>
          <w:p w14:paraId="14DE80AF" w14:textId="77777777" w:rsidR="00C43694" w:rsidRPr="00BA2696" w:rsidRDefault="00C43694" w:rsidP="00C75158">
            <w:pPr>
              <w:spacing w:after="0" w:line="240" w:lineRule="auto"/>
              <w:rPr>
                <w:sz w:val="24"/>
                <w:szCs w:val="24"/>
              </w:rPr>
            </w:pPr>
            <w:r w:rsidRPr="00BA2696">
              <w:rPr>
                <w:sz w:val="24"/>
                <w:szCs w:val="24"/>
              </w:rPr>
              <w:t>Legal Studies</w:t>
            </w:r>
          </w:p>
        </w:tc>
        <w:tc>
          <w:tcPr>
            <w:tcW w:w="2814" w:type="dxa"/>
            <w:shd w:val="clear" w:color="auto" w:fill="auto"/>
          </w:tcPr>
          <w:p w14:paraId="36FB67C5" w14:textId="77777777" w:rsidR="00C43694" w:rsidRPr="00BA2696" w:rsidRDefault="00C43694" w:rsidP="00C75158">
            <w:pPr>
              <w:spacing w:after="0" w:line="240" w:lineRule="auto"/>
              <w:rPr>
                <w:sz w:val="24"/>
                <w:szCs w:val="24"/>
              </w:rPr>
            </w:pPr>
            <w:r w:rsidRPr="00BA2696">
              <w:rPr>
                <w:sz w:val="24"/>
                <w:szCs w:val="24"/>
              </w:rPr>
              <w:t>Labour history</w:t>
            </w:r>
          </w:p>
        </w:tc>
      </w:tr>
      <w:tr w:rsidR="00C43694" w:rsidRPr="00BA2696" w14:paraId="223BE109" w14:textId="77777777" w:rsidTr="00C75158">
        <w:tc>
          <w:tcPr>
            <w:tcW w:w="2829" w:type="dxa"/>
            <w:shd w:val="clear" w:color="auto" w:fill="F2F2F2"/>
          </w:tcPr>
          <w:p w14:paraId="600E9BC0" w14:textId="77777777" w:rsidR="00C43694" w:rsidRPr="00BA2696" w:rsidRDefault="00C43694" w:rsidP="00C75158">
            <w:pPr>
              <w:spacing w:after="0" w:line="240" w:lineRule="auto"/>
              <w:rPr>
                <w:b/>
                <w:bCs/>
                <w:sz w:val="24"/>
                <w:szCs w:val="24"/>
              </w:rPr>
            </w:pPr>
            <w:r w:rsidRPr="00BA2696">
              <w:rPr>
                <w:b/>
                <w:bCs/>
                <w:sz w:val="24"/>
                <w:szCs w:val="24"/>
              </w:rPr>
              <w:t>Research focus centres</w:t>
            </w:r>
          </w:p>
        </w:tc>
        <w:tc>
          <w:tcPr>
            <w:tcW w:w="2816" w:type="dxa"/>
            <w:shd w:val="clear" w:color="auto" w:fill="F2F2F2"/>
          </w:tcPr>
          <w:p w14:paraId="2B79FEA0" w14:textId="77777777" w:rsidR="00C43694" w:rsidRPr="00BA2696" w:rsidRDefault="00C43694" w:rsidP="00C75158">
            <w:pPr>
              <w:spacing w:after="0" w:line="240" w:lineRule="auto"/>
              <w:rPr>
                <w:sz w:val="24"/>
                <w:szCs w:val="24"/>
              </w:rPr>
            </w:pPr>
            <w:r w:rsidRPr="00BA2696">
              <w:rPr>
                <w:sz w:val="24"/>
                <w:szCs w:val="24"/>
              </w:rPr>
              <w:t>Race / ethnicity</w:t>
            </w:r>
          </w:p>
        </w:tc>
        <w:tc>
          <w:tcPr>
            <w:tcW w:w="2814" w:type="dxa"/>
            <w:shd w:val="clear" w:color="auto" w:fill="F2F2F2"/>
          </w:tcPr>
          <w:p w14:paraId="022A0CDB" w14:textId="77777777" w:rsidR="00C43694" w:rsidRPr="00BA2696" w:rsidRDefault="00C43694" w:rsidP="00C75158">
            <w:pPr>
              <w:spacing w:after="0" w:line="240" w:lineRule="auto"/>
              <w:rPr>
                <w:sz w:val="24"/>
                <w:szCs w:val="24"/>
              </w:rPr>
            </w:pPr>
            <w:r w:rsidRPr="00BA2696">
              <w:rPr>
                <w:sz w:val="24"/>
                <w:szCs w:val="24"/>
              </w:rPr>
              <w:t>Whiteness</w:t>
            </w:r>
          </w:p>
        </w:tc>
      </w:tr>
      <w:tr w:rsidR="00C43694" w:rsidRPr="00BA2696" w14:paraId="66D2A28D" w14:textId="77777777" w:rsidTr="00C75158">
        <w:tc>
          <w:tcPr>
            <w:tcW w:w="2829" w:type="dxa"/>
            <w:shd w:val="clear" w:color="auto" w:fill="auto"/>
          </w:tcPr>
          <w:p w14:paraId="6E34E7F1" w14:textId="77777777" w:rsidR="00C43694" w:rsidRPr="00BA2696" w:rsidRDefault="00C43694" w:rsidP="00C75158">
            <w:pPr>
              <w:spacing w:after="0" w:line="240" w:lineRule="auto"/>
              <w:rPr>
                <w:b/>
                <w:bCs/>
                <w:sz w:val="24"/>
                <w:szCs w:val="24"/>
              </w:rPr>
            </w:pPr>
            <w:r w:rsidRPr="00BA2696">
              <w:rPr>
                <w:b/>
                <w:bCs/>
                <w:sz w:val="24"/>
                <w:szCs w:val="24"/>
              </w:rPr>
              <w:t>Race/ethnicity of researchers</w:t>
            </w:r>
          </w:p>
        </w:tc>
        <w:tc>
          <w:tcPr>
            <w:tcW w:w="2816" w:type="dxa"/>
            <w:shd w:val="clear" w:color="auto" w:fill="auto"/>
          </w:tcPr>
          <w:p w14:paraId="7EB2F8F1" w14:textId="77777777" w:rsidR="00C43694" w:rsidRPr="00BA2696" w:rsidRDefault="00C43694" w:rsidP="00C75158">
            <w:pPr>
              <w:spacing w:after="0" w:line="240" w:lineRule="auto"/>
              <w:rPr>
                <w:sz w:val="24"/>
                <w:szCs w:val="24"/>
              </w:rPr>
            </w:pPr>
            <w:r w:rsidRPr="00BA2696">
              <w:rPr>
                <w:sz w:val="24"/>
                <w:szCs w:val="24"/>
              </w:rPr>
              <w:t>People of colour</w:t>
            </w:r>
          </w:p>
        </w:tc>
        <w:tc>
          <w:tcPr>
            <w:tcW w:w="2814" w:type="dxa"/>
            <w:shd w:val="clear" w:color="auto" w:fill="auto"/>
          </w:tcPr>
          <w:p w14:paraId="33052113" w14:textId="77777777" w:rsidR="00C43694" w:rsidRPr="00BA2696" w:rsidRDefault="00C43694" w:rsidP="00C75158">
            <w:pPr>
              <w:spacing w:after="0" w:line="240" w:lineRule="auto"/>
              <w:rPr>
                <w:sz w:val="24"/>
                <w:szCs w:val="24"/>
              </w:rPr>
            </w:pPr>
            <w:r w:rsidRPr="00BA2696">
              <w:rPr>
                <w:sz w:val="24"/>
                <w:szCs w:val="24"/>
              </w:rPr>
              <w:t>White</w:t>
            </w:r>
          </w:p>
        </w:tc>
      </w:tr>
      <w:tr w:rsidR="00C43694" w:rsidRPr="00BA2696" w14:paraId="6F3729DF" w14:textId="77777777" w:rsidTr="00C75158">
        <w:tc>
          <w:tcPr>
            <w:tcW w:w="2829" w:type="dxa"/>
            <w:shd w:val="clear" w:color="auto" w:fill="F2F2F2"/>
          </w:tcPr>
          <w:p w14:paraId="39B2F475" w14:textId="77777777" w:rsidR="00C43694" w:rsidRPr="00BA2696" w:rsidRDefault="00C43694" w:rsidP="00C75158">
            <w:pPr>
              <w:spacing w:after="0" w:line="240" w:lineRule="auto"/>
              <w:rPr>
                <w:b/>
                <w:bCs/>
                <w:sz w:val="24"/>
                <w:szCs w:val="24"/>
              </w:rPr>
            </w:pPr>
            <w:r w:rsidRPr="00BA2696">
              <w:rPr>
                <w:b/>
                <w:bCs/>
                <w:sz w:val="24"/>
                <w:szCs w:val="24"/>
              </w:rPr>
              <w:t>Race/ethnicity of researched</w:t>
            </w:r>
          </w:p>
        </w:tc>
        <w:tc>
          <w:tcPr>
            <w:tcW w:w="2816" w:type="dxa"/>
            <w:shd w:val="clear" w:color="auto" w:fill="F2F2F2"/>
          </w:tcPr>
          <w:p w14:paraId="2159024D" w14:textId="77777777" w:rsidR="00C43694" w:rsidRPr="00BA2696" w:rsidRDefault="00C43694" w:rsidP="00C75158">
            <w:pPr>
              <w:spacing w:after="0" w:line="240" w:lineRule="auto"/>
              <w:rPr>
                <w:sz w:val="24"/>
                <w:szCs w:val="24"/>
              </w:rPr>
            </w:pPr>
            <w:r w:rsidRPr="00BA2696">
              <w:rPr>
                <w:sz w:val="24"/>
                <w:szCs w:val="24"/>
              </w:rPr>
              <w:t>People of colour</w:t>
            </w:r>
          </w:p>
        </w:tc>
        <w:tc>
          <w:tcPr>
            <w:tcW w:w="2814" w:type="dxa"/>
            <w:shd w:val="clear" w:color="auto" w:fill="F2F2F2"/>
          </w:tcPr>
          <w:p w14:paraId="6EB9F69F" w14:textId="77777777" w:rsidR="00C43694" w:rsidRPr="00BA2696" w:rsidRDefault="00C43694" w:rsidP="00C75158">
            <w:pPr>
              <w:spacing w:after="0" w:line="240" w:lineRule="auto"/>
              <w:rPr>
                <w:sz w:val="24"/>
                <w:szCs w:val="24"/>
              </w:rPr>
            </w:pPr>
            <w:r w:rsidRPr="00BA2696">
              <w:rPr>
                <w:sz w:val="24"/>
                <w:szCs w:val="24"/>
              </w:rPr>
              <w:t>White</w:t>
            </w:r>
          </w:p>
        </w:tc>
      </w:tr>
      <w:tr w:rsidR="00C43694" w:rsidRPr="00BA2696" w14:paraId="299658BE" w14:textId="77777777" w:rsidTr="00C75158">
        <w:tc>
          <w:tcPr>
            <w:tcW w:w="2829" w:type="dxa"/>
            <w:shd w:val="clear" w:color="auto" w:fill="auto"/>
          </w:tcPr>
          <w:p w14:paraId="324E3072" w14:textId="77777777" w:rsidR="00C43694" w:rsidRPr="00BA2696" w:rsidRDefault="00C43694" w:rsidP="00C75158">
            <w:pPr>
              <w:spacing w:after="0" w:line="240" w:lineRule="auto"/>
              <w:rPr>
                <w:b/>
                <w:bCs/>
                <w:sz w:val="24"/>
                <w:szCs w:val="24"/>
              </w:rPr>
            </w:pPr>
            <w:r w:rsidRPr="00BA2696">
              <w:rPr>
                <w:b/>
                <w:bCs/>
                <w:sz w:val="24"/>
                <w:szCs w:val="24"/>
              </w:rPr>
              <w:t xml:space="preserve">Methodological Tradition </w:t>
            </w:r>
          </w:p>
        </w:tc>
        <w:tc>
          <w:tcPr>
            <w:tcW w:w="2816" w:type="dxa"/>
            <w:shd w:val="clear" w:color="auto" w:fill="auto"/>
          </w:tcPr>
          <w:p w14:paraId="7CA5568F" w14:textId="77777777" w:rsidR="00C43694" w:rsidRPr="00BA2696" w:rsidRDefault="00C43694" w:rsidP="00C75158">
            <w:pPr>
              <w:spacing w:after="0" w:line="240" w:lineRule="auto"/>
              <w:rPr>
                <w:sz w:val="24"/>
                <w:szCs w:val="24"/>
              </w:rPr>
            </w:pPr>
            <w:r w:rsidRPr="00BA2696">
              <w:rPr>
                <w:sz w:val="24"/>
                <w:szCs w:val="24"/>
              </w:rPr>
              <w:t xml:space="preserve">Storytelling, counter-stories, oral history, ethnography, participatory action research. </w:t>
            </w:r>
          </w:p>
        </w:tc>
        <w:tc>
          <w:tcPr>
            <w:tcW w:w="2814" w:type="dxa"/>
            <w:shd w:val="clear" w:color="auto" w:fill="auto"/>
          </w:tcPr>
          <w:p w14:paraId="6DF6A149" w14:textId="77777777" w:rsidR="00C43694" w:rsidRPr="00BA2696" w:rsidRDefault="00C43694" w:rsidP="00C75158">
            <w:pPr>
              <w:spacing w:after="0" w:line="240" w:lineRule="auto"/>
              <w:rPr>
                <w:sz w:val="24"/>
                <w:szCs w:val="24"/>
              </w:rPr>
            </w:pPr>
            <w:r w:rsidRPr="00BA2696">
              <w:rPr>
                <w:sz w:val="24"/>
                <w:szCs w:val="24"/>
              </w:rPr>
              <w:t xml:space="preserve">Textual analysis, discourse analysis, in-depth interviewing. </w:t>
            </w:r>
          </w:p>
        </w:tc>
      </w:tr>
    </w:tbl>
    <w:p w14:paraId="07D7482B" w14:textId="77777777" w:rsidR="00C43694" w:rsidRPr="00BA2696" w:rsidRDefault="00C43694" w:rsidP="00C43694">
      <w:pPr>
        <w:spacing w:after="0" w:line="480" w:lineRule="auto"/>
        <w:jc w:val="right"/>
        <w:rPr>
          <w:sz w:val="24"/>
          <w:szCs w:val="24"/>
        </w:rPr>
      </w:pPr>
      <w:r w:rsidRPr="00BA2696">
        <w:rPr>
          <w:sz w:val="24"/>
          <w:szCs w:val="24"/>
        </w:rPr>
        <w:t>(</w:t>
      </w:r>
      <w:r w:rsidRPr="00BA2696">
        <w:rPr>
          <w:i/>
          <w:iCs/>
          <w:sz w:val="24"/>
          <w:szCs w:val="24"/>
        </w:rPr>
        <w:t>taken from</w:t>
      </w:r>
      <w:r w:rsidRPr="00BA2696">
        <w:rPr>
          <w:sz w:val="24"/>
          <w:szCs w:val="24"/>
        </w:rPr>
        <w:t xml:space="preserve"> Burton, 2009, p. 178)</w:t>
      </w:r>
    </w:p>
    <w:p w14:paraId="68F8569C" w14:textId="77777777" w:rsidR="00C43694" w:rsidRPr="00BA2696" w:rsidRDefault="00C43694" w:rsidP="00C43694">
      <w:pPr>
        <w:spacing w:after="0" w:line="480" w:lineRule="auto"/>
        <w:rPr>
          <w:sz w:val="24"/>
          <w:szCs w:val="24"/>
        </w:rPr>
      </w:pPr>
      <w:r w:rsidRPr="00BA2696">
        <w:rPr>
          <w:sz w:val="24"/>
          <w:szCs w:val="24"/>
        </w:rPr>
        <w:t xml:space="preserve">According to Burton’s (2009) typology, it is clear this research aligns with critical whiteness studies in that I am a white researcher, the participants are also white and </w:t>
      </w:r>
      <w:r w:rsidRPr="00FD17BC">
        <w:rPr>
          <w:sz w:val="24"/>
          <w:szCs w:val="24"/>
        </w:rPr>
        <w:t>in-depth interviewing</w:t>
      </w:r>
      <w:r>
        <w:rPr>
          <w:sz w:val="24"/>
          <w:szCs w:val="24"/>
        </w:rPr>
        <w:t xml:space="preserve"> was used as a key component of the participant-observation method used in this research</w:t>
      </w:r>
      <w:r w:rsidRPr="00BA2696">
        <w:rPr>
          <w:sz w:val="24"/>
          <w:szCs w:val="24"/>
        </w:rPr>
        <w:t>. However, there are some overlaps with critical race theory in that the focus of the research was on understandings of ‘race’, as well as whiteness and post-critical ethnography provid</w:t>
      </w:r>
      <w:r>
        <w:rPr>
          <w:sz w:val="24"/>
          <w:szCs w:val="24"/>
        </w:rPr>
        <w:t>ing</w:t>
      </w:r>
      <w:r w:rsidRPr="00BA2696">
        <w:rPr>
          <w:sz w:val="24"/>
          <w:szCs w:val="24"/>
        </w:rPr>
        <w:t xml:space="preserve"> the methodological approach. Again, this justifies the application of </w:t>
      </w:r>
      <w:r w:rsidRPr="00BA2696">
        <w:rPr>
          <w:sz w:val="24"/>
          <w:szCs w:val="24"/>
        </w:rPr>
        <w:lastRenderedPageBreak/>
        <w:t xml:space="preserve">both critical whiteness studies and critical race theory, but with greater emphasis being placed on the former, given mine and the participants’ racial positionality of whiteness. </w:t>
      </w:r>
    </w:p>
    <w:p w14:paraId="1A1F9955" w14:textId="77777777" w:rsidR="00C43694" w:rsidRPr="00BA2696" w:rsidRDefault="00C43694" w:rsidP="00C43694">
      <w:pPr>
        <w:spacing w:after="0" w:line="480" w:lineRule="auto"/>
        <w:rPr>
          <w:strike/>
          <w:color w:val="C00000"/>
          <w:sz w:val="24"/>
          <w:szCs w:val="24"/>
        </w:rPr>
      </w:pPr>
    </w:p>
    <w:p w14:paraId="494A129E" w14:textId="77777777" w:rsidR="00C43694" w:rsidRPr="00BA2696" w:rsidRDefault="00C43694" w:rsidP="00C43694">
      <w:pPr>
        <w:pStyle w:val="Heading4"/>
        <w:spacing w:before="0" w:after="240" w:line="250" w:lineRule="auto"/>
      </w:pPr>
      <w:r w:rsidRPr="00BA2696">
        <w:t>Critical Whiteness Studies</w:t>
      </w:r>
      <w:bookmarkStart w:id="42" w:name="_Hlk17105168"/>
    </w:p>
    <w:p w14:paraId="39B90ED7" w14:textId="77777777" w:rsidR="00C43694" w:rsidRPr="00BA2696" w:rsidRDefault="00C43694" w:rsidP="00C43694">
      <w:pPr>
        <w:spacing w:after="0" w:line="480" w:lineRule="auto"/>
        <w:rPr>
          <w:sz w:val="24"/>
          <w:szCs w:val="24"/>
        </w:rPr>
      </w:pPr>
      <w:r w:rsidRPr="00BA2696">
        <w:rPr>
          <w:sz w:val="24"/>
          <w:szCs w:val="24"/>
        </w:rPr>
        <w:t>Critical whiteness studies is an area of scholarship that has emerged predominantly in the USA over that last thirty years, with its focus being on how white people understand racial identity, their culture and their privilege (</w:t>
      </w:r>
      <w:bookmarkStart w:id="43" w:name="_Hlk18055997"/>
      <w:r w:rsidRPr="00BA2696">
        <w:rPr>
          <w:sz w:val="24"/>
          <w:szCs w:val="24"/>
        </w:rPr>
        <w:t>Hartmann, Gerteis and Croll, 2009</w:t>
      </w:r>
      <w:bookmarkEnd w:id="43"/>
      <w:r w:rsidRPr="00BA2696">
        <w:rPr>
          <w:sz w:val="24"/>
          <w:szCs w:val="24"/>
        </w:rPr>
        <w:t>). Its purpose is to expose the systemic factors that produce white supremacy by examining white privilege (Applebaum, 2016a). Overall, the intention is to make whiteness visible (Hartmann, Gerteis and Croll, 2009; Applebaum, 2016a). As Dyer (2017, p.</w:t>
      </w:r>
      <w:r>
        <w:rPr>
          <w:sz w:val="24"/>
          <w:szCs w:val="24"/>
        </w:rPr>
        <w:t xml:space="preserve"> </w:t>
      </w:r>
      <w:r w:rsidRPr="00BA2696">
        <w:rPr>
          <w:sz w:val="24"/>
          <w:szCs w:val="24"/>
        </w:rPr>
        <w:t>10) argues, ‘the point of looking at whiteness is to dislodge it from its centrality and authority, not to reinstate it’. It should be noted that when reading about critical whiteness studies, it is frequently referred to as ‘whiteness studies’ or ‘whiteness theory’. I have taken the deliberate decision to consistently prefix it with the word ‘critical’ throughout. This is both in line with how it was described by Delgado and Stefancic (1997), as well as adhering to the suggestion that:</w:t>
      </w:r>
    </w:p>
    <w:p w14:paraId="0B7B26F9" w14:textId="77777777" w:rsidR="00C43694" w:rsidRPr="00BA2696" w:rsidRDefault="00C43694" w:rsidP="00C43694">
      <w:pPr>
        <w:spacing w:after="0" w:line="240" w:lineRule="auto"/>
        <w:ind w:left="567" w:right="567"/>
        <w:rPr>
          <w:sz w:val="24"/>
          <w:szCs w:val="24"/>
        </w:rPr>
      </w:pPr>
      <w:r w:rsidRPr="00BA2696">
        <w:rPr>
          <w:sz w:val="24"/>
          <w:szCs w:val="24"/>
        </w:rPr>
        <w:t xml:space="preserve">taking a critical line might make it possible to retain an analysis of ‘whiteness’ as a potentially emancipatory tool for understanding how racism impacts on the freedom of all groups (Garner, 2006, p. 296). </w:t>
      </w:r>
    </w:p>
    <w:p w14:paraId="0E92E245" w14:textId="77777777" w:rsidR="00C43694" w:rsidRPr="00BA2696" w:rsidRDefault="00C43694" w:rsidP="00C43694">
      <w:pPr>
        <w:spacing w:after="0" w:line="480" w:lineRule="auto"/>
        <w:rPr>
          <w:sz w:val="24"/>
          <w:szCs w:val="24"/>
        </w:rPr>
      </w:pPr>
    </w:p>
    <w:p w14:paraId="33FF334E" w14:textId="77777777" w:rsidR="00C43694" w:rsidRPr="00BA2696" w:rsidRDefault="00C43694" w:rsidP="00C43694">
      <w:pPr>
        <w:spacing w:after="0" w:line="480" w:lineRule="auto"/>
        <w:rPr>
          <w:sz w:val="24"/>
          <w:szCs w:val="24"/>
        </w:rPr>
      </w:pPr>
      <w:r w:rsidRPr="00BA2696">
        <w:rPr>
          <w:sz w:val="24"/>
          <w:szCs w:val="24"/>
        </w:rPr>
        <w:t xml:space="preserve">Therefore, the deliberate use of ‘critical’ is a reflection that the application of critical whiteness studies as the primary theoretical lens, is done so with its emancipatory potential at the forefront. In addition, although it was once considered an area of study dominated by a North American perspective, it has been argued that critical whiteness studies should take a more international perspective (Steyn and Conway, 2010; Christian, 2019). By using critical </w:t>
      </w:r>
      <w:r w:rsidRPr="00BA2696">
        <w:rPr>
          <w:sz w:val="24"/>
          <w:szCs w:val="24"/>
        </w:rPr>
        <w:lastRenderedPageBreak/>
        <w:t xml:space="preserve">whiteness studies in research based in Wales, a new perspective has been presented to the field and will contribute to an international understanding of whiteness. </w:t>
      </w:r>
    </w:p>
    <w:p w14:paraId="606000B0" w14:textId="77777777" w:rsidR="00C43694" w:rsidRPr="00BA2696" w:rsidRDefault="00C43694" w:rsidP="00C43694">
      <w:pPr>
        <w:spacing w:after="0" w:line="480" w:lineRule="auto"/>
        <w:rPr>
          <w:sz w:val="24"/>
          <w:szCs w:val="24"/>
        </w:rPr>
      </w:pPr>
    </w:p>
    <w:p w14:paraId="5E075978" w14:textId="77777777" w:rsidR="00C43694" w:rsidRPr="00BA2696" w:rsidRDefault="00C43694" w:rsidP="00C43694">
      <w:pPr>
        <w:spacing w:after="0" w:line="480" w:lineRule="auto"/>
        <w:rPr>
          <w:sz w:val="24"/>
          <w:szCs w:val="24"/>
        </w:rPr>
      </w:pPr>
      <w:r w:rsidRPr="00BA2696">
        <w:rPr>
          <w:sz w:val="24"/>
          <w:szCs w:val="24"/>
        </w:rPr>
        <w:t>Although critical whiteness studies began in the early 1990s, its origin is traced back to DuBois’s (1998 [1935] p. 700) contention that white workers in 19</w:t>
      </w:r>
      <w:r w:rsidRPr="00BA2696">
        <w:rPr>
          <w:sz w:val="24"/>
          <w:szCs w:val="24"/>
          <w:vertAlign w:val="superscript"/>
        </w:rPr>
        <w:t>th</w:t>
      </w:r>
      <w:r w:rsidRPr="00BA2696">
        <w:rPr>
          <w:sz w:val="24"/>
          <w:szCs w:val="24"/>
        </w:rPr>
        <w:t xml:space="preserve"> century USA, received a ‘public and psychological wage’ from being white no matter their socio-economic status. In making this observation, DuBois (1998 [1935]) reoriented the focus of ‘race’ onto white people. This notion of whites receiving a psychological wage due to their ‘race’, later inspired one of the first works in the field of critical whiteness studies, Roediger’s (1991) ‘The Wages of Whiteness’. Other early contributions to the field include the work by white scholars such as McIntosh (1988), Ware (2015 [1992]) Frankenberg (1993; 1997) and Dyer (2017). The understanding of whiteness by writers and scholars of colour cannot be overlooked (Roediger, 2002; Dolan, 2006; Owen, 2007) and contributions of writers such as Baldwin (2018 [1985]), hooks (1997), Yancy (2012a; 2015); Hall (1992; 2017) and more recently Eddo-Lodge (2017) have been influential. Gilroy (2002) made a significant British contribution to ‘race’ scholarship in his analysis of British nationalism, identity and the impact this had on </w:t>
      </w:r>
      <w:r>
        <w:rPr>
          <w:sz w:val="24"/>
          <w:szCs w:val="24"/>
        </w:rPr>
        <w:t>b</w:t>
      </w:r>
      <w:r w:rsidRPr="00BA2696">
        <w:rPr>
          <w:sz w:val="24"/>
          <w:szCs w:val="24"/>
        </w:rPr>
        <w:t xml:space="preserve">lack Britons. Written in the 1980s, he considered the political and structural methods of upholding racism and called for collective community activism to challenge those methods (Gilroy, 2002). </w:t>
      </w:r>
    </w:p>
    <w:p w14:paraId="5B004242" w14:textId="77777777" w:rsidR="00C43694" w:rsidRPr="00BA2696" w:rsidRDefault="00C43694" w:rsidP="00C43694">
      <w:pPr>
        <w:spacing w:after="0" w:line="480" w:lineRule="auto"/>
        <w:rPr>
          <w:sz w:val="24"/>
          <w:szCs w:val="24"/>
        </w:rPr>
      </w:pPr>
    </w:p>
    <w:p w14:paraId="33FACCDF" w14:textId="77777777" w:rsidR="00C43694" w:rsidRPr="007E46A4" w:rsidRDefault="00C43694" w:rsidP="00C43694">
      <w:pPr>
        <w:spacing w:after="0" w:line="480" w:lineRule="auto"/>
        <w:rPr>
          <w:sz w:val="24"/>
          <w:szCs w:val="24"/>
        </w:rPr>
      </w:pPr>
      <w:r>
        <w:rPr>
          <w:sz w:val="24"/>
          <w:szCs w:val="24"/>
        </w:rPr>
        <w:t xml:space="preserve">As mentioned previously, </w:t>
      </w:r>
      <w:r w:rsidRPr="00BA2696">
        <w:rPr>
          <w:sz w:val="24"/>
          <w:szCs w:val="24"/>
        </w:rPr>
        <w:t xml:space="preserve">Twine and Gallagher (2007) have separated the evolution of critical whiteness studies into three ‘waves’, with the first being influenced by DuBois (1998 [1935]) identifying that white invisibility upholds white supremacy </w:t>
      </w:r>
      <w:bookmarkStart w:id="44" w:name="_Hlk18063699"/>
      <w:r w:rsidRPr="00BA2696">
        <w:rPr>
          <w:sz w:val="24"/>
          <w:szCs w:val="24"/>
        </w:rPr>
        <w:t>(Twine and Gallagher, 2007, p. 9)</w:t>
      </w:r>
      <w:bookmarkEnd w:id="44"/>
      <w:r w:rsidRPr="00BA2696">
        <w:rPr>
          <w:sz w:val="24"/>
          <w:szCs w:val="24"/>
        </w:rPr>
        <w:t xml:space="preserve">. The second wave focused on systemic racism and inequality and was pioneered </w:t>
      </w:r>
      <w:r w:rsidRPr="00BA2696">
        <w:rPr>
          <w:sz w:val="24"/>
          <w:szCs w:val="24"/>
        </w:rPr>
        <w:lastRenderedPageBreak/>
        <w:t>by critical legal, feminist and black theorists (Twine and Gallagher, 2007, p. 10) and the third wave explores how ‘whiteness as a form of power is defined, displayed, performed, policed and reinvented’ (</w:t>
      </w:r>
      <w:bookmarkStart w:id="45" w:name="_Hlk52967302"/>
      <w:r w:rsidRPr="00BA2696">
        <w:rPr>
          <w:sz w:val="24"/>
          <w:szCs w:val="24"/>
        </w:rPr>
        <w:t>Twine and Gallagher, 2007</w:t>
      </w:r>
      <w:bookmarkEnd w:id="45"/>
      <w:r w:rsidRPr="00BA2696">
        <w:rPr>
          <w:sz w:val="24"/>
          <w:szCs w:val="24"/>
        </w:rPr>
        <w:t xml:space="preserve">, p. 5). In the development of critical whiteness studies, the indebtedness it owes to writers of colour can be seen in the first two waves. </w:t>
      </w:r>
      <w:bookmarkStart w:id="46" w:name="_Hlk70597187"/>
      <w:r w:rsidRPr="007E46A4">
        <w:rPr>
          <w:sz w:val="24"/>
          <w:szCs w:val="24"/>
        </w:rPr>
        <w:t xml:space="preserve">This research falls into the third wave by considering how white trainee counsellors understand ‘race’, racism and whiteness (and therefore </w:t>
      </w:r>
      <w:r>
        <w:rPr>
          <w:sz w:val="24"/>
          <w:szCs w:val="24"/>
        </w:rPr>
        <w:t>whether they</w:t>
      </w:r>
      <w:r w:rsidRPr="007E46A4">
        <w:rPr>
          <w:sz w:val="24"/>
          <w:szCs w:val="24"/>
        </w:rPr>
        <w:t xml:space="preserve"> recognise whiteness as being a racialised identity) and how this is displayed and enacted, or ‘performed’ (Twine and Gallagher, 2007, p. 5). </w:t>
      </w:r>
      <w:bookmarkEnd w:id="46"/>
    </w:p>
    <w:p w14:paraId="37925A42" w14:textId="77777777" w:rsidR="00C43694" w:rsidRPr="00BA2696" w:rsidRDefault="00C43694" w:rsidP="00C43694">
      <w:pPr>
        <w:spacing w:after="0" w:line="480" w:lineRule="auto"/>
        <w:rPr>
          <w:color w:val="FF0000"/>
          <w:sz w:val="24"/>
          <w:szCs w:val="24"/>
        </w:rPr>
      </w:pPr>
    </w:p>
    <w:p w14:paraId="049D6840" w14:textId="77777777" w:rsidR="00C43694" w:rsidRPr="00BA2696" w:rsidRDefault="00C43694" w:rsidP="00C43694">
      <w:pPr>
        <w:spacing w:after="0" w:line="480" w:lineRule="auto"/>
        <w:rPr>
          <w:sz w:val="24"/>
          <w:szCs w:val="24"/>
        </w:rPr>
      </w:pPr>
      <w:bookmarkStart w:id="47" w:name="_Hlk18057395"/>
      <w:r w:rsidRPr="00BA2696">
        <w:rPr>
          <w:sz w:val="24"/>
          <w:szCs w:val="24"/>
        </w:rPr>
        <w:t>Hartmann, Gerteis and Croll (2009</w:t>
      </w:r>
      <w:r>
        <w:rPr>
          <w:sz w:val="24"/>
          <w:szCs w:val="24"/>
        </w:rPr>
        <w:t>; Table 10</w:t>
      </w:r>
      <w:r w:rsidRPr="00BA2696">
        <w:rPr>
          <w:sz w:val="24"/>
          <w:szCs w:val="24"/>
        </w:rPr>
        <w:t xml:space="preserve">) </w:t>
      </w:r>
      <w:bookmarkEnd w:id="47"/>
      <w:r w:rsidRPr="00BA2696">
        <w:rPr>
          <w:sz w:val="24"/>
          <w:szCs w:val="24"/>
        </w:rPr>
        <w:t xml:space="preserve">have </w:t>
      </w:r>
      <w:bookmarkStart w:id="48" w:name="_Hlk18057895"/>
      <w:r w:rsidRPr="00BA2696">
        <w:rPr>
          <w:sz w:val="24"/>
          <w:szCs w:val="24"/>
        </w:rPr>
        <w:t xml:space="preserve">presented what </w:t>
      </w:r>
      <w:bookmarkEnd w:id="48"/>
      <w:r w:rsidRPr="00BA2696">
        <w:rPr>
          <w:sz w:val="24"/>
          <w:szCs w:val="24"/>
        </w:rPr>
        <w:t xml:space="preserve">they term the ‘critical theoretical core of the field’. </w:t>
      </w:r>
    </w:p>
    <w:p w14:paraId="25B523A9" w14:textId="77777777" w:rsidR="00C43694" w:rsidRPr="009C3ADD" w:rsidRDefault="00C43694" w:rsidP="00C43694">
      <w:pPr>
        <w:pStyle w:val="Caption"/>
        <w:keepNext/>
        <w:rPr>
          <w:sz w:val="24"/>
          <w:szCs w:val="24"/>
        </w:rPr>
      </w:pPr>
      <w:bookmarkStart w:id="49" w:name="_Toc72253524"/>
      <w:bookmarkStart w:id="50" w:name="_Toc72253846"/>
      <w:bookmarkStart w:id="51" w:name="_Toc72253868"/>
      <w:bookmarkStart w:id="52" w:name="_Toc72324671"/>
      <w:r w:rsidRPr="009C3ADD">
        <w:rPr>
          <w:sz w:val="24"/>
          <w:szCs w:val="24"/>
        </w:rPr>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10</w:t>
      </w:r>
      <w:r w:rsidRPr="009C3ADD">
        <w:rPr>
          <w:sz w:val="24"/>
          <w:szCs w:val="24"/>
        </w:rPr>
        <w:fldChar w:fldCharType="end"/>
      </w:r>
      <w:r w:rsidRPr="009C3ADD">
        <w:rPr>
          <w:sz w:val="24"/>
          <w:szCs w:val="24"/>
        </w:rPr>
        <w:t xml:space="preserve"> Summary of Hartmann, Gerteis and Croll’s (2009) theoretical core of</w:t>
      </w:r>
      <w:bookmarkEnd w:id="49"/>
      <w:bookmarkEnd w:id="50"/>
      <w:bookmarkEnd w:id="51"/>
      <w:bookmarkEnd w:id="52"/>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3028"/>
        <w:gridCol w:w="5431"/>
      </w:tblGrid>
      <w:tr w:rsidR="00C43694" w:rsidRPr="00BA2696" w14:paraId="1A04B710" w14:textId="77777777" w:rsidTr="00C75158">
        <w:tc>
          <w:tcPr>
            <w:tcW w:w="3028" w:type="dxa"/>
            <w:shd w:val="clear" w:color="auto" w:fill="auto"/>
          </w:tcPr>
          <w:p w14:paraId="3125DE04" w14:textId="77777777" w:rsidR="00C43694" w:rsidRPr="00BA2696" w:rsidRDefault="00C43694" w:rsidP="00C75158">
            <w:pPr>
              <w:spacing w:after="0" w:line="240" w:lineRule="auto"/>
              <w:rPr>
                <w:b/>
                <w:bCs/>
                <w:sz w:val="24"/>
                <w:szCs w:val="24"/>
              </w:rPr>
            </w:pPr>
            <w:r w:rsidRPr="00BC30BF">
              <w:rPr>
                <w:b/>
                <w:bCs/>
                <w:sz w:val="24"/>
                <w:szCs w:val="24"/>
              </w:rPr>
              <w:t>Theoretical principle</w:t>
            </w:r>
          </w:p>
        </w:tc>
        <w:tc>
          <w:tcPr>
            <w:tcW w:w="5431" w:type="dxa"/>
            <w:shd w:val="clear" w:color="auto" w:fill="auto"/>
          </w:tcPr>
          <w:p w14:paraId="14C30E35" w14:textId="77777777" w:rsidR="00C43694" w:rsidRPr="00BA2696" w:rsidRDefault="00C43694" w:rsidP="00C75158">
            <w:pPr>
              <w:spacing w:after="0" w:line="240" w:lineRule="auto"/>
              <w:rPr>
                <w:b/>
                <w:bCs/>
                <w:sz w:val="24"/>
                <w:szCs w:val="24"/>
              </w:rPr>
            </w:pPr>
            <w:r w:rsidRPr="00BA2696">
              <w:rPr>
                <w:b/>
                <w:bCs/>
                <w:sz w:val="24"/>
                <w:szCs w:val="24"/>
              </w:rPr>
              <w:t xml:space="preserve">Description </w:t>
            </w:r>
          </w:p>
        </w:tc>
      </w:tr>
      <w:tr w:rsidR="00C43694" w:rsidRPr="00BA2696" w14:paraId="14AC9F52" w14:textId="77777777" w:rsidTr="00C75158">
        <w:tc>
          <w:tcPr>
            <w:tcW w:w="3028" w:type="dxa"/>
            <w:shd w:val="clear" w:color="auto" w:fill="F2F2F2"/>
          </w:tcPr>
          <w:p w14:paraId="41EF8FF1" w14:textId="77777777" w:rsidR="00C43694" w:rsidRPr="00BA2696" w:rsidRDefault="00C43694" w:rsidP="00C75158">
            <w:pPr>
              <w:spacing w:after="0" w:line="240" w:lineRule="auto"/>
              <w:rPr>
                <w:b/>
                <w:bCs/>
                <w:sz w:val="24"/>
                <w:szCs w:val="24"/>
              </w:rPr>
            </w:pPr>
            <w:r w:rsidRPr="00BA2696">
              <w:rPr>
                <w:b/>
                <w:bCs/>
                <w:sz w:val="24"/>
                <w:szCs w:val="24"/>
              </w:rPr>
              <w:t>White Identity</w:t>
            </w:r>
          </w:p>
        </w:tc>
        <w:tc>
          <w:tcPr>
            <w:tcW w:w="5431" w:type="dxa"/>
            <w:shd w:val="clear" w:color="auto" w:fill="F2F2F2"/>
          </w:tcPr>
          <w:p w14:paraId="1E71F40F" w14:textId="77777777" w:rsidR="00C43694" w:rsidRPr="00BA2696" w:rsidRDefault="00C43694" w:rsidP="00C75158">
            <w:pPr>
              <w:spacing w:after="0" w:line="240" w:lineRule="auto"/>
              <w:rPr>
                <w:sz w:val="24"/>
                <w:szCs w:val="24"/>
              </w:rPr>
            </w:pPr>
            <w:r w:rsidRPr="00BA2696">
              <w:rPr>
                <w:sz w:val="24"/>
                <w:szCs w:val="24"/>
              </w:rPr>
              <w:t>White people are not generally racially self-aware, conscious about their race or its social construction.</w:t>
            </w:r>
          </w:p>
        </w:tc>
      </w:tr>
      <w:tr w:rsidR="00C43694" w:rsidRPr="00BA2696" w14:paraId="062F6CF1" w14:textId="77777777" w:rsidTr="00C75158">
        <w:tc>
          <w:tcPr>
            <w:tcW w:w="3028" w:type="dxa"/>
            <w:shd w:val="clear" w:color="auto" w:fill="auto"/>
          </w:tcPr>
          <w:p w14:paraId="3D68C549" w14:textId="77777777" w:rsidR="00C43694" w:rsidRPr="00BA2696" w:rsidRDefault="00C43694" w:rsidP="00C75158">
            <w:pPr>
              <w:spacing w:after="0" w:line="240" w:lineRule="auto"/>
              <w:rPr>
                <w:b/>
                <w:bCs/>
                <w:sz w:val="24"/>
                <w:szCs w:val="24"/>
              </w:rPr>
            </w:pPr>
            <w:r w:rsidRPr="00BA2696">
              <w:rPr>
                <w:b/>
                <w:bCs/>
                <w:sz w:val="24"/>
                <w:szCs w:val="24"/>
              </w:rPr>
              <w:t>Understanding Privilege</w:t>
            </w:r>
          </w:p>
        </w:tc>
        <w:tc>
          <w:tcPr>
            <w:tcW w:w="5431" w:type="dxa"/>
            <w:shd w:val="clear" w:color="auto" w:fill="auto"/>
          </w:tcPr>
          <w:p w14:paraId="776559B5" w14:textId="77777777" w:rsidR="00C43694" w:rsidRPr="00BA2696" w:rsidRDefault="00C43694" w:rsidP="00C75158">
            <w:pPr>
              <w:spacing w:after="0" w:line="240" w:lineRule="auto"/>
              <w:rPr>
                <w:sz w:val="24"/>
                <w:szCs w:val="24"/>
              </w:rPr>
            </w:pPr>
            <w:r w:rsidRPr="00BA2696">
              <w:rPr>
                <w:sz w:val="24"/>
                <w:szCs w:val="24"/>
              </w:rPr>
              <w:t xml:space="preserve">Whites are unaware of the status, privileges and advantages that being white affords. </w:t>
            </w:r>
          </w:p>
        </w:tc>
      </w:tr>
      <w:tr w:rsidR="00C43694" w:rsidRPr="00BA2696" w14:paraId="098366B1" w14:textId="77777777" w:rsidTr="00C75158">
        <w:tc>
          <w:tcPr>
            <w:tcW w:w="3028" w:type="dxa"/>
            <w:shd w:val="clear" w:color="auto" w:fill="F2F2F2"/>
          </w:tcPr>
          <w:p w14:paraId="64731A83" w14:textId="77777777" w:rsidR="00C43694" w:rsidRPr="00BA2696" w:rsidRDefault="00C43694" w:rsidP="00C75158">
            <w:pPr>
              <w:spacing w:after="0" w:line="240" w:lineRule="auto"/>
              <w:rPr>
                <w:b/>
                <w:bCs/>
                <w:sz w:val="24"/>
                <w:szCs w:val="24"/>
              </w:rPr>
            </w:pPr>
            <w:r w:rsidRPr="00BA2696">
              <w:rPr>
                <w:b/>
                <w:bCs/>
                <w:sz w:val="24"/>
                <w:szCs w:val="24"/>
              </w:rPr>
              <w:t>Colour-blind Ideology</w:t>
            </w:r>
          </w:p>
        </w:tc>
        <w:tc>
          <w:tcPr>
            <w:tcW w:w="5431" w:type="dxa"/>
            <w:shd w:val="clear" w:color="auto" w:fill="F2F2F2"/>
          </w:tcPr>
          <w:p w14:paraId="2ECCFFF0" w14:textId="77777777" w:rsidR="00C43694" w:rsidRPr="00BA2696" w:rsidRDefault="00C43694" w:rsidP="00C75158">
            <w:pPr>
              <w:spacing w:after="0" w:line="240" w:lineRule="auto"/>
              <w:rPr>
                <w:sz w:val="24"/>
                <w:szCs w:val="24"/>
              </w:rPr>
            </w:pPr>
            <w:r w:rsidRPr="00BA2696">
              <w:rPr>
                <w:sz w:val="24"/>
                <w:szCs w:val="24"/>
              </w:rPr>
              <w:t xml:space="preserve">Structural racism is not acknowledged, ideas of meritocracy, hard work and being race neutral are dominant narratives. To talk openly about race is to fuel racism. </w:t>
            </w:r>
          </w:p>
        </w:tc>
      </w:tr>
    </w:tbl>
    <w:p w14:paraId="1107593D" w14:textId="77777777" w:rsidR="00C43694" w:rsidRPr="00BA2696" w:rsidRDefault="00C43694" w:rsidP="00C43694">
      <w:pPr>
        <w:spacing w:after="0" w:line="480" w:lineRule="auto"/>
        <w:jc w:val="right"/>
        <w:rPr>
          <w:sz w:val="24"/>
          <w:szCs w:val="24"/>
        </w:rPr>
      </w:pPr>
      <w:r w:rsidRPr="00BA2696">
        <w:rPr>
          <w:i/>
          <w:iCs/>
          <w:sz w:val="24"/>
          <w:szCs w:val="24"/>
        </w:rPr>
        <w:t>(Adapted from</w:t>
      </w:r>
      <w:r w:rsidRPr="00BA2696">
        <w:rPr>
          <w:sz w:val="24"/>
          <w:szCs w:val="24"/>
        </w:rPr>
        <w:t xml:space="preserve"> </w:t>
      </w:r>
      <w:bookmarkStart w:id="53" w:name="_Hlk18404397"/>
      <w:r w:rsidRPr="00BA2696">
        <w:rPr>
          <w:sz w:val="24"/>
          <w:szCs w:val="24"/>
        </w:rPr>
        <w:t>Hartmann, Gerteis and Croll, 2009</w:t>
      </w:r>
      <w:bookmarkEnd w:id="53"/>
      <w:r w:rsidRPr="00BA2696">
        <w:rPr>
          <w:sz w:val="24"/>
          <w:szCs w:val="24"/>
        </w:rPr>
        <w:t>, pp. 407-409)</w:t>
      </w:r>
    </w:p>
    <w:p w14:paraId="61F730D5" w14:textId="77777777" w:rsidR="00C43694" w:rsidRPr="00BA2696" w:rsidRDefault="00C43694" w:rsidP="00C43694">
      <w:pPr>
        <w:spacing w:after="0" w:line="480" w:lineRule="auto"/>
        <w:rPr>
          <w:sz w:val="24"/>
          <w:szCs w:val="24"/>
        </w:rPr>
      </w:pPr>
    </w:p>
    <w:p w14:paraId="631933A5" w14:textId="77777777" w:rsidR="00C43694" w:rsidRPr="00BA2696" w:rsidRDefault="00C43694" w:rsidP="00C43694">
      <w:pPr>
        <w:spacing w:after="0" w:line="480" w:lineRule="auto"/>
        <w:rPr>
          <w:sz w:val="24"/>
          <w:szCs w:val="24"/>
        </w:rPr>
      </w:pPr>
      <w:r w:rsidRPr="00BA2696">
        <w:rPr>
          <w:sz w:val="24"/>
          <w:szCs w:val="24"/>
        </w:rPr>
        <w:t>Also aiming to refine critical whiteness studies into key concepts, Applebaum (2016a, pp. 2-7</w:t>
      </w:r>
      <w:r>
        <w:rPr>
          <w:sz w:val="24"/>
          <w:szCs w:val="24"/>
        </w:rPr>
        <w:t>; Table 11</w:t>
      </w:r>
      <w:r w:rsidRPr="00BA2696">
        <w:rPr>
          <w:sz w:val="24"/>
          <w:szCs w:val="24"/>
        </w:rPr>
        <w:t xml:space="preserve">) has presented her own three core categories. </w:t>
      </w:r>
    </w:p>
    <w:p w14:paraId="58DF19BB" w14:textId="77777777" w:rsidR="00C43694" w:rsidRPr="009C3ADD" w:rsidRDefault="00C43694" w:rsidP="00C43694">
      <w:pPr>
        <w:pStyle w:val="Caption"/>
        <w:keepNext/>
        <w:rPr>
          <w:sz w:val="24"/>
          <w:szCs w:val="24"/>
        </w:rPr>
      </w:pPr>
      <w:bookmarkStart w:id="54" w:name="_Toc72253525"/>
      <w:bookmarkStart w:id="55" w:name="_Toc72253847"/>
      <w:bookmarkStart w:id="56" w:name="_Toc72253869"/>
      <w:bookmarkStart w:id="57" w:name="_Toc72324672"/>
      <w:r w:rsidRPr="009C3ADD">
        <w:rPr>
          <w:sz w:val="24"/>
          <w:szCs w:val="24"/>
        </w:rPr>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11</w:t>
      </w:r>
      <w:r w:rsidRPr="009C3ADD">
        <w:rPr>
          <w:sz w:val="24"/>
          <w:szCs w:val="24"/>
        </w:rPr>
        <w:fldChar w:fldCharType="end"/>
      </w:r>
      <w:r w:rsidRPr="009C3ADD">
        <w:rPr>
          <w:sz w:val="24"/>
          <w:szCs w:val="24"/>
        </w:rPr>
        <w:t xml:space="preserve"> Summary of Applebaum’s (2016a) key concepts of critical whiteness studies</w:t>
      </w:r>
      <w:bookmarkEnd w:id="54"/>
      <w:bookmarkEnd w:id="55"/>
      <w:bookmarkEnd w:id="56"/>
      <w:bookmarkEnd w:id="57"/>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2612"/>
        <w:gridCol w:w="5847"/>
      </w:tblGrid>
      <w:tr w:rsidR="00C43694" w:rsidRPr="00BA2696" w14:paraId="24209EAC" w14:textId="77777777" w:rsidTr="00C75158">
        <w:tc>
          <w:tcPr>
            <w:tcW w:w="2612" w:type="dxa"/>
            <w:shd w:val="clear" w:color="auto" w:fill="auto"/>
          </w:tcPr>
          <w:p w14:paraId="01EAFE25" w14:textId="77777777" w:rsidR="00C43694" w:rsidRPr="00BA2696" w:rsidRDefault="00C43694" w:rsidP="00C75158">
            <w:pPr>
              <w:spacing w:after="0" w:line="240" w:lineRule="auto"/>
              <w:rPr>
                <w:b/>
                <w:bCs/>
                <w:sz w:val="24"/>
                <w:szCs w:val="24"/>
              </w:rPr>
            </w:pPr>
            <w:r w:rsidRPr="00BC30BF">
              <w:rPr>
                <w:b/>
                <w:bCs/>
                <w:sz w:val="24"/>
                <w:szCs w:val="24"/>
              </w:rPr>
              <w:t xml:space="preserve">Concept </w:t>
            </w:r>
          </w:p>
        </w:tc>
        <w:tc>
          <w:tcPr>
            <w:tcW w:w="5847" w:type="dxa"/>
            <w:shd w:val="clear" w:color="auto" w:fill="auto"/>
          </w:tcPr>
          <w:p w14:paraId="2F247170" w14:textId="77777777" w:rsidR="00C43694" w:rsidRPr="00BA2696" w:rsidRDefault="00C43694" w:rsidP="00C75158">
            <w:pPr>
              <w:spacing w:after="0" w:line="240" w:lineRule="auto"/>
              <w:rPr>
                <w:b/>
                <w:bCs/>
                <w:sz w:val="24"/>
                <w:szCs w:val="24"/>
              </w:rPr>
            </w:pPr>
            <w:r w:rsidRPr="00BA2696">
              <w:rPr>
                <w:b/>
                <w:bCs/>
                <w:sz w:val="24"/>
                <w:szCs w:val="24"/>
              </w:rPr>
              <w:t>Description</w:t>
            </w:r>
          </w:p>
        </w:tc>
      </w:tr>
      <w:tr w:rsidR="00C43694" w:rsidRPr="00BA2696" w14:paraId="6C95A00C" w14:textId="77777777" w:rsidTr="00C75158">
        <w:tc>
          <w:tcPr>
            <w:tcW w:w="2612" w:type="dxa"/>
            <w:shd w:val="clear" w:color="auto" w:fill="F2F2F2"/>
          </w:tcPr>
          <w:p w14:paraId="1273F3D2" w14:textId="77777777" w:rsidR="00C43694" w:rsidRPr="00BA2696" w:rsidRDefault="00C43694" w:rsidP="00C75158">
            <w:pPr>
              <w:spacing w:after="0" w:line="240" w:lineRule="auto"/>
              <w:rPr>
                <w:b/>
                <w:bCs/>
                <w:sz w:val="24"/>
                <w:szCs w:val="24"/>
              </w:rPr>
            </w:pPr>
            <w:r w:rsidRPr="00BA2696">
              <w:rPr>
                <w:b/>
                <w:bCs/>
                <w:sz w:val="24"/>
                <w:szCs w:val="24"/>
              </w:rPr>
              <w:t xml:space="preserve">White Invisibility </w:t>
            </w:r>
          </w:p>
        </w:tc>
        <w:tc>
          <w:tcPr>
            <w:tcW w:w="5847" w:type="dxa"/>
            <w:shd w:val="clear" w:color="auto" w:fill="F2F2F2"/>
          </w:tcPr>
          <w:p w14:paraId="055D6FC6" w14:textId="77777777" w:rsidR="00C43694" w:rsidRPr="00BA2696" w:rsidRDefault="00C43694" w:rsidP="00C75158">
            <w:pPr>
              <w:spacing w:after="0" w:line="240" w:lineRule="auto"/>
              <w:rPr>
                <w:sz w:val="24"/>
                <w:szCs w:val="24"/>
              </w:rPr>
            </w:pPr>
            <w:r w:rsidRPr="00BA2696">
              <w:rPr>
                <w:sz w:val="24"/>
                <w:szCs w:val="24"/>
              </w:rPr>
              <w:t xml:space="preserve">Making whiteness visible through explicitly exploring social power and the invisibility of whiteness. Also </w:t>
            </w:r>
            <w:r w:rsidRPr="00BA2696">
              <w:rPr>
                <w:sz w:val="24"/>
                <w:szCs w:val="24"/>
              </w:rPr>
              <w:lastRenderedPageBreak/>
              <w:t>recognises how whiteness can adapt (as discussed in Chapter 2, Section 2.1.2).</w:t>
            </w:r>
          </w:p>
        </w:tc>
      </w:tr>
      <w:tr w:rsidR="00C43694" w:rsidRPr="00BA2696" w14:paraId="2C2D15D3" w14:textId="77777777" w:rsidTr="00C75158">
        <w:tc>
          <w:tcPr>
            <w:tcW w:w="2612" w:type="dxa"/>
            <w:shd w:val="clear" w:color="auto" w:fill="auto"/>
          </w:tcPr>
          <w:p w14:paraId="4329D123" w14:textId="77777777" w:rsidR="00C43694" w:rsidRPr="00BA2696" w:rsidRDefault="00C43694" w:rsidP="00C75158">
            <w:pPr>
              <w:spacing w:after="0" w:line="240" w:lineRule="auto"/>
              <w:rPr>
                <w:b/>
                <w:bCs/>
                <w:sz w:val="24"/>
                <w:szCs w:val="24"/>
              </w:rPr>
            </w:pPr>
            <w:r w:rsidRPr="00BA2696">
              <w:rPr>
                <w:b/>
                <w:bCs/>
                <w:sz w:val="24"/>
                <w:szCs w:val="24"/>
              </w:rPr>
              <w:lastRenderedPageBreak/>
              <w:t>White Supremacy</w:t>
            </w:r>
          </w:p>
        </w:tc>
        <w:tc>
          <w:tcPr>
            <w:tcW w:w="5847" w:type="dxa"/>
            <w:shd w:val="clear" w:color="auto" w:fill="auto"/>
          </w:tcPr>
          <w:p w14:paraId="36491165" w14:textId="77777777" w:rsidR="00C43694" w:rsidRPr="00BA2696" w:rsidRDefault="00C43694" w:rsidP="00C75158">
            <w:pPr>
              <w:spacing w:after="0" w:line="240" w:lineRule="auto"/>
              <w:rPr>
                <w:sz w:val="24"/>
                <w:szCs w:val="24"/>
              </w:rPr>
            </w:pPr>
            <w:r w:rsidRPr="00BA2696">
              <w:rPr>
                <w:sz w:val="24"/>
                <w:szCs w:val="24"/>
              </w:rPr>
              <w:t xml:space="preserve">Not in relation to far-right groups but to a form of racism that is invisible and expressed through practices and policies that are viewed as normal and even race neutral. </w:t>
            </w:r>
          </w:p>
        </w:tc>
      </w:tr>
      <w:tr w:rsidR="00C43694" w:rsidRPr="00BA2696" w14:paraId="3332E5EE" w14:textId="77777777" w:rsidTr="00C75158">
        <w:tc>
          <w:tcPr>
            <w:tcW w:w="2612" w:type="dxa"/>
            <w:shd w:val="clear" w:color="auto" w:fill="F2F2F2"/>
          </w:tcPr>
          <w:p w14:paraId="58AB1A17" w14:textId="77777777" w:rsidR="00C43694" w:rsidRPr="00BA2696" w:rsidRDefault="00C43694" w:rsidP="00C75158">
            <w:pPr>
              <w:spacing w:after="0" w:line="240" w:lineRule="auto"/>
              <w:rPr>
                <w:b/>
                <w:bCs/>
                <w:sz w:val="24"/>
                <w:szCs w:val="24"/>
              </w:rPr>
            </w:pPr>
            <w:r w:rsidRPr="00BA2696">
              <w:rPr>
                <w:b/>
                <w:bCs/>
                <w:sz w:val="24"/>
                <w:szCs w:val="24"/>
              </w:rPr>
              <w:t xml:space="preserve">White Privilege </w:t>
            </w:r>
          </w:p>
        </w:tc>
        <w:tc>
          <w:tcPr>
            <w:tcW w:w="5847" w:type="dxa"/>
            <w:shd w:val="clear" w:color="auto" w:fill="F2F2F2"/>
          </w:tcPr>
          <w:p w14:paraId="3714C769" w14:textId="77777777" w:rsidR="00C43694" w:rsidRPr="00BA2696" w:rsidRDefault="00C43694" w:rsidP="00C75158">
            <w:pPr>
              <w:spacing w:after="0" w:line="240" w:lineRule="auto"/>
              <w:rPr>
                <w:sz w:val="24"/>
                <w:szCs w:val="24"/>
              </w:rPr>
            </w:pPr>
            <w:r w:rsidRPr="00BA2696">
              <w:rPr>
                <w:sz w:val="24"/>
                <w:szCs w:val="24"/>
              </w:rPr>
              <w:t xml:space="preserve">The benefits of belonging to the dominant group (i.e., white) that are unearned and exist despite personal beliefs. </w:t>
            </w:r>
          </w:p>
        </w:tc>
      </w:tr>
    </w:tbl>
    <w:p w14:paraId="42ABACAF" w14:textId="77777777" w:rsidR="00C43694" w:rsidRPr="00BA2696" w:rsidRDefault="00C43694" w:rsidP="00C43694">
      <w:pPr>
        <w:spacing w:after="0" w:line="480" w:lineRule="auto"/>
        <w:jc w:val="right"/>
        <w:rPr>
          <w:sz w:val="24"/>
          <w:szCs w:val="24"/>
        </w:rPr>
      </w:pPr>
      <w:r w:rsidRPr="00BA2696">
        <w:rPr>
          <w:i/>
          <w:iCs/>
          <w:sz w:val="24"/>
          <w:szCs w:val="24"/>
        </w:rPr>
        <w:t xml:space="preserve">(adapted from </w:t>
      </w:r>
      <w:r w:rsidRPr="00BA2696">
        <w:rPr>
          <w:sz w:val="24"/>
          <w:szCs w:val="24"/>
        </w:rPr>
        <w:t>Applebaum, 2016a, pp. 2-7)</w:t>
      </w:r>
    </w:p>
    <w:p w14:paraId="4F0C8B84" w14:textId="77777777" w:rsidR="00C43694" w:rsidRPr="00BA2696" w:rsidRDefault="00C43694" w:rsidP="00C43694">
      <w:pPr>
        <w:spacing w:after="0" w:line="480" w:lineRule="auto"/>
        <w:rPr>
          <w:sz w:val="24"/>
          <w:szCs w:val="24"/>
        </w:rPr>
      </w:pPr>
    </w:p>
    <w:p w14:paraId="2F512DE8" w14:textId="77777777" w:rsidR="00C43694" w:rsidRPr="00BA2696" w:rsidRDefault="00C43694" w:rsidP="00C43694">
      <w:pPr>
        <w:spacing w:after="0" w:line="480" w:lineRule="auto"/>
        <w:rPr>
          <w:strike/>
          <w:color w:val="C00000"/>
          <w:sz w:val="24"/>
          <w:szCs w:val="24"/>
        </w:rPr>
      </w:pPr>
      <w:r w:rsidRPr="00BA2696">
        <w:rPr>
          <w:sz w:val="24"/>
          <w:szCs w:val="24"/>
        </w:rPr>
        <w:t xml:space="preserve">Comparisons can be drawn from both definitions of the core principles of critical whiteness studies. Central to them are the beliefs that whiteness is invisible to white people, white people generally lack a white racial identity, white people are the recipients of unearned advantages due to their whiteness (and they may be unaware of this) and these all contribute to the upholding a system dominated by principles, policies and practices that are formed through a lens of whiteness being ‘normal’. Underpinning this is the idea that to be colour-blind is to be egalitarian, but in actuality this means racism is enacted and overlooked (Chapter 2, Section 2.1.7). </w:t>
      </w:r>
    </w:p>
    <w:p w14:paraId="585AE6C9" w14:textId="77777777" w:rsidR="00C43694" w:rsidRPr="00BA2696" w:rsidRDefault="00C43694" w:rsidP="00C43694">
      <w:pPr>
        <w:spacing w:after="0" w:line="480" w:lineRule="auto"/>
        <w:rPr>
          <w:rFonts w:cs="Calibri"/>
          <w:sz w:val="24"/>
          <w:szCs w:val="24"/>
        </w:rPr>
      </w:pPr>
    </w:p>
    <w:p w14:paraId="32548E21" w14:textId="77777777" w:rsidR="00C43694" w:rsidRPr="00BA2696" w:rsidRDefault="00C43694" w:rsidP="00C43694">
      <w:pPr>
        <w:spacing w:after="0" w:line="480" w:lineRule="auto"/>
        <w:rPr>
          <w:sz w:val="24"/>
          <w:szCs w:val="24"/>
        </w:rPr>
      </w:pPr>
      <w:r w:rsidRPr="00BA2696">
        <w:rPr>
          <w:sz w:val="24"/>
          <w:szCs w:val="24"/>
        </w:rPr>
        <w:t>Critical whiteness studies relatively recent arrival on the academic landscape may account for its lack of prevalence in the European academy (Garner, 2006). It has been argued that empirical research into whiteness within a British context has been ‘sporadic’ and particularly absent is research that is based outside of England, located rurally and includes women (Clarke and Garner, 2010, p. 59). Consequently, this research addresses geographical and gender oversights in British research into whiteness</w:t>
      </w:r>
      <w:r>
        <w:rPr>
          <w:sz w:val="24"/>
          <w:szCs w:val="24"/>
        </w:rPr>
        <w:t xml:space="preserve"> in the specific context of counselling trainees in Wales</w:t>
      </w:r>
      <w:r w:rsidRPr="00BA2696">
        <w:rPr>
          <w:sz w:val="24"/>
          <w:szCs w:val="24"/>
        </w:rPr>
        <w:t>.</w:t>
      </w:r>
      <w:r>
        <w:rPr>
          <w:sz w:val="24"/>
          <w:szCs w:val="24"/>
        </w:rPr>
        <w:t xml:space="preserve"> </w:t>
      </w:r>
      <w:r w:rsidRPr="00BA2696">
        <w:rPr>
          <w:sz w:val="24"/>
          <w:szCs w:val="24"/>
        </w:rPr>
        <w:t>Clarke and Garner (2010</w:t>
      </w:r>
      <w:r>
        <w:rPr>
          <w:sz w:val="24"/>
          <w:szCs w:val="24"/>
        </w:rPr>
        <w:t>; Table 12</w:t>
      </w:r>
      <w:r w:rsidRPr="00BA2696">
        <w:rPr>
          <w:sz w:val="24"/>
          <w:szCs w:val="24"/>
        </w:rPr>
        <w:t xml:space="preserve">) have categorised British empirical sociological research into whiteness by presenting prevalent themes that occur in a British context: </w:t>
      </w:r>
    </w:p>
    <w:p w14:paraId="70DD4B0C" w14:textId="77777777" w:rsidR="00C43694" w:rsidRPr="009C3ADD" w:rsidRDefault="00C43694" w:rsidP="00C43694">
      <w:pPr>
        <w:pStyle w:val="Caption"/>
        <w:keepNext/>
        <w:rPr>
          <w:sz w:val="24"/>
          <w:szCs w:val="24"/>
        </w:rPr>
      </w:pPr>
      <w:bookmarkStart w:id="58" w:name="_Toc72253526"/>
      <w:bookmarkStart w:id="59" w:name="_Toc72253848"/>
      <w:bookmarkStart w:id="60" w:name="_Toc72253870"/>
      <w:bookmarkStart w:id="61" w:name="_Toc72324673"/>
      <w:r w:rsidRPr="009C3ADD">
        <w:rPr>
          <w:sz w:val="24"/>
          <w:szCs w:val="24"/>
        </w:rPr>
        <w:lastRenderedPageBreak/>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12</w:t>
      </w:r>
      <w:r w:rsidRPr="009C3ADD">
        <w:rPr>
          <w:sz w:val="24"/>
          <w:szCs w:val="24"/>
        </w:rPr>
        <w:fldChar w:fldCharType="end"/>
      </w:r>
      <w:r w:rsidRPr="009C3ADD">
        <w:rPr>
          <w:sz w:val="24"/>
          <w:szCs w:val="24"/>
        </w:rPr>
        <w:t xml:space="preserve"> Summary of themes in British sociological whiteness research</w:t>
      </w:r>
      <w:bookmarkEnd w:id="58"/>
      <w:bookmarkEnd w:id="59"/>
      <w:bookmarkEnd w:id="60"/>
      <w:bookmarkEnd w:id="61"/>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2835"/>
        <w:gridCol w:w="5624"/>
      </w:tblGrid>
      <w:tr w:rsidR="00C43694" w:rsidRPr="00BA2696" w14:paraId="261046EB" w14:textId="77777777" w:rsidTr="00C75158">
        <w:tc>
          <w:tcPr>
            <w:tcW w:w="2835" w:type="dxa"/>
            <w:shd w:val="clear" w:color="auto" w:fill="auto"/>
          </w:tcPr>
          <w:p w14:paraId="7494FB00" w14:textId="77777777" w:rsidR="00C43694" w:rsidRPr="00BA2696" w:rsidRDefault="00C43694" w:rsidP="00C75158">
            <w:pPr>
              <w:spacing w:after="0" w:line="240" w:lineRule="auto"/>
              <w:rPr>
                <w:b/>
                <w:bCs/>
                <w:szCs w:val="24"/>
              </w:rPr>
            </w:pPr>
            <w:r w:rsidRPr="00BA2696">
              <w:rPr>
                <w:b/>
                <w:bCs/>
                <w:szCs w:val="24"/>
              </w:rPr>
              <w:t>Theme</w:t>
            </w:r>
          </w:p>
        </w:tc>
        <w:tc>
          <w:tcPr>
            <w:tcW w:w="5624" w:type="dxa"/>
            <w:shd w:val="clear" w:color="auto" w:fill="auto"/>
          </w:tcPr>
          <w:p w14:paraId="126E21B8" w14:textId="77777777" w:rsidR="00C43694" w:rsidRPr="00BA2696" w:rsidRDefault="00C43694" w:rsidP="00C75158">
            <w:pPr>
              <w:spacing w:after="0" w:line="240" w:lineRule="auto"/>
              <w:rPr>
                <w:b/>
                <w:bCs/>
                <w:szCs w:val="24"/>
              </w:rPr>
            </w:pPr>
            <w:r w:rsidRPr="00BA2696">
              <w:rPr>
                <w:b/>
                <w:bCs/>
                <w:szCs w:val="24"/>
              </w:rPr>
              <w:t>Description</w:t>
            </w:r>
          </w:p>
        </w:tc>
      </w:tr>
      <w:tr w:rsidR="00C43694" w:rsidRPr="00BA2696" w14:paraId="3BFBA5EF" w14:textId="77777777" w:rsidTr="00C75158">
        <w:tc>
          <w:tcPr>
            <w:tcW w:w="2835" w:type="dxa"/>
            <w:shd w:val="clear" w:color="auto" w:fill="F2F2F2"/>
          </w:tcPr>
          <w:p w14:paraId="597D6C41" w14:textId="77777777" w:rsidR="00C43694" w:rsidRPr="00BA2696" w:rsidRDefault="00C43694" w:rsidP="00C75158">
            <w:pPr>
              <w:spacing w:after="0" w:line="240" w:lineRule="auto"/>
              <w:rPr>
                <w:b/>
                <w:bCs/>
                <w:szCs w:val="24"/>
              </w:rPr>
            </w:pPr>
            <w:r w:rsidRPr="00BA2696">
              <w:rPr>
                <w:b/>
                <w:bCs/>
                <w:szCs w:val="24"/>
              </w:rPr>
              <w:t>Whiteness as Invisibility</w:t>
            </w:r>
          </w:p>
        </w:tc>
        <w:tc>
          <w:tcPr>
            <w:tcW w:w="5624" w:type="dxa"/>
            <w:shd w:val="clear" w:color="auto" w:fill="F2F2F2"/>
          </w:tcPr>
          <w:p w14:paraId="3BAECD02" w14:textId="77777777" w:rsidR="00C43694" w:rsidRPr="00BA2696" w:rsidRDefault="00C43694" w:rsidP="00C75158">
            <w:pPr>
              <w:spacing w:after="0" w:line="240" w:lineRule="auto"/>
              <w:rPr>
                <w:szCs w:val="24"/>
              </w:rPr>
            </w:pPr>
            <w:r w:rsidRPr="00BA2696">
              <w:rPr>
                <w:szCs w:val="24"/>
              </w:rPr>
              <w:t xml:space="preserve">Whiteness is a de-racialised identity surrounded by silence and racialised power dynamics remain unexamined. </w:t>
            </w:r>
          </w:p>
        </w:tc>
      </w:tr>
      <w:tr w:rsidR="00C43694" w:rsidRPr="00BA2696" w14:paraId="7F9A42AA" w14:textId="77777777" w:rsidTr="00C75158">
        <w:tc>
          <w:tcPr>
            <w:tcW w:w="2835" w:type="dxa"/>
            <w:shd w:val="clear" w:color="auto" w:fill="auto"/>
          </w:tcPr>
          <w:p w14:paraId="4019A45B" w14:textId="77777777" w:rsidR="00C43694" w:rsidRPr="00BA2696" w:rsidRDefault="00C43694" w:rsidP="00C75158">
            <w:pPr>
              <w:spacing w:after="0" w:line="240" w:lineRule="auto"/>
              <w:rPr>
                <w:szCs w:val="24"/>
              </w:rPr>
            </w:pPr>
            <w:r w:rsidRPr="00BA2696">
              <w:rPr>
                <w:b/>
                <w:bCs/>
                <w:szCs w:val="24"/>
              </w:rPr>
              <w:t>White Norms and Values in Practice: urban settings</w:t>
            </w:r>
          </w:p>
        </w:tc>
        <w:tc>
          <w:tcPr>
            <w:tcW w:w="5624" w:type="dxa"/>
            <w:shd w:val="clear" w:color="auto" w:fill="auto"/>
          </w:tcPr>
          <w:p w14:paraId="32C30B6E" w14:textId="77777777" w:rsidR="00C43694" w:rsidRPr="00BA2696" w:rsidRDefault="00C43694" w:rsidP="00C75158">
            <w:pPr>
              <w:spacing w:after="0" w:line="240" w:lineRule="auto"/>
              <w:rPr>
                <w:szCs w:val="24"/>
              </w:rPr>
            </w:pPr>
            <w:r w:rsidRPr="00BA2696">
              <w:rPr>
                <w:szCs w:val="24"/>
              </w:rPr>
              <w:t xml:space="preserve">Whiteness is the normalised standard, leading to white people feeling racially superior. </w:t>
            </w:r>
          </w:p>
        </w:tc>
      </w:tr>
      <w:tr w:rsidR="00C43694" w:rsidRPr="00BA2696" w14:paraId="49443A89" w14:textId="77777777" w:rsidTr="00C75158">
        <w:tc>
          <w:tcPr>
            <w:tcW w:w="2835" w:type="dxa"/>
            <w:shd w:val="clear" w:color="auto" w:fill="F2F2F2"/>
          </w:tcPr>
          <w:p w14:paraId="5BFC6D71" w14:textId="77777777" w:rsidR="00C43694" w:rsidRPr="00BA2696" w:rsidRDefault="00C43694" w:rsidP="00C75158">
            <w:pPr>
              <w:spacing w:after="0" w:line="240" w:lineRule="auto"/>
              <w:rPr>
                <w:b/>
                <w:bCs/>
                <w:szCs w:val="24"/>
              </w:rPr>
            </w:pPr>
            <w:r w:rsidRPr="00BA2696">
              <w:rPr>
                <w:b/>
                <w:bCs/>
                <w:szCs w:val="24"/>
              </w:rPr>
              <w:t>White Norms and Values in Practice: rural settings</w:t>
            </w:r>
          </w:p>
        </w:tc>
        <w:tc>
          <w:tcPr>
            <w:tcW w:w="5624" w:type="dxa"/>
            <w:shd w:val="clear" w:color="auto" w:fill="F2F2F2"/>
          </w:tcPr>
          <w:p w14:paraId="7DFF6149" w14:textId="77777777" w:rsidR="00C43694" w:rsidRPr="00BA2696" w:rsidRDefault="00C43694" w:rsidP="00C75158">
            <w:pPr>
              <w:spacing w:after="0" w:line="240" w:lineRule="auto"/>
              <w:rPr>
                <w:szCs w:val="24"/>
              </w:rPr>
            </w:pPr>
            <w:r w:rsidRPr="00BA2696">
              <w:rPr>
                <w:szCs w:val="24"/>
              </w:rPr>
              <w:t>Whiteness is the normalised standard, leading to white people feeling racially superior. Additionally, the English countryside represents ‘a repository of pure English values’ (p. 43)</w:t>
            </w:r>
          </w:p>
        </w:tc>
      </w:tr>
      <w:tr w:rsidR="00C43694" w:rsidRPr="00BA2696" w14:paraId="2D67AF8A" w14:textId="77777777" w:rsidTr="00C75158">
        <w:tc>
          <w:tcPr>
            <w:tcW w:w="2835" w:type="dxa"/>
            <w:shd w:val="clear" w:color="auto" w:fill="auto"/>
          </w:tcPr>
          <w:p w14:paraId="59866DEA" w14:textId="77777777" w:rsidR="00C43694" w:rsidRPr="00BA2696" w:rsidRDefault="00C43694" w:rsidP="00C75158">
            <w:pPr>
              <w:spacing w:after="0" w:line="240" w:lineRule="auto"/>
              <w:rPr>
                <w:b/>
                <w:bCs/>
                <w:szCs w:val="24"/>
              </w:rPr>
            </w:pPr>
            <w:r w:rsidRPr="00BA2696">
              <w:rPr>
                <w:b/>
                <w:bCs/>
                <w:szCs w:val="24"/>
              </w:rPr>
              <w:t>Cultural Capital and Respectability</w:t>
            </w:r>
          </w:p>
        </w:tc>
        <w:tc>
          <w:tcPr>
            <w:tcW w:w="5624" w:type="dxa"/>
            <w:shd w:val="clear" w:color="auto" w:fill="auto"/>
          </w:tcPr>
          <w:p w14:paraId="1533832D" w14:textId="77777777" w:rsidR="00C43694" w:rsidRPr="00BA2696" w:rsidRDefault="00C43694" w:rsidP="00C75158">
            <w:pPr>
              <w:spacing w:after="0" w:line="240" w:lineRule="auto"/>
              <w:rPr>
                <w:szCs w:val="24"/>
              </w:rPr>
            </w:pPr>
            <w:r w:rsidRPr="00BA2696">
              <w:rPr>
                <w:szCs w:val="24"/>
              </w:rPr>
              <w:t xml:space="preserve">Whites perceive ‘respectability’ in ethnic minorities is demonstrated by their ability to become invisible and thus achieve that status if ‘belonging’ (p. 45) via their invisibility. </w:t>
            </w:r>
          </w:p>
          <w:p w14:paraId="743C0EAA" w14:textId="77777777" w:rsidR="00C43694" w:rsidRPr="00BA2696" w:rsidRDefault="00C43694" w:rsidP="00C75158">
            <w:pPr>
              <w:spacing w:after="0" w:line="240" w:lineRule="auto"/>
              <w:rPr>
                <w:szCs w:val="24"/>
              </w:rPr>
            </w:pPr>
            <w:r w:rsidRPr="00BA2696">
              <w:rPr>
                <w:szCs w:val="24"/>
              </w:rPr>
              <w:t>Includes white peoples’ belief of belonging to a ‘tradition of dominance, including empire’ (p. 46)</w:t>
            </w:r>
          </w:p>
          <w:p w14:paraId="3F0B8E3D" w14:textId="77777777" w:rsidR="00C43694" w:rsidRPr="00BA2696" w:rsidRDefault="00C43694" w:rsidP="00C75158">
            <w:pPr>
              <w:spacing w:after="0" w:line="240" w:lineRule="auto"/>
              <w:rPr>
                <w:szCs w:val="24"/>
              </w:rPr>
            </w:pPr>
            <w:r w:rsidRPr="00BA2696">
              <w:rPr>
                <w:szCs w:val="24"/>
              </w:rPr>
              <w:t>Whites assume a position ‘of rationality juxtaposed with the irrationality of Others’ (p. 46).</w:t>
            </w:r>
          </w:p>
          <w:p w14:paraId="395C8504" w14:textId="77777777" w:rsidR="00C43694" w:rsidRPr="00BA2696" w:rsidRDefault="00C43694" w:rsidP="00C75158">
            <w:pPr>
              <w:spacing w:after="0" w:line="240" w:lineRule="auto"/>
              <w:rPr>
                <w:szCs w:val="24"/>
              </w:rPr>
            </w:pPr>
          </w:p>
        </w:tc>
      </w:tr>
      <w:tr w:rsidR="00C43694" w:rsidRPr="00BA2696" w14:paraId="06CCE0E7" w14:textId="77777777" w:rsidTr="00C75158">
        <w:tc>
          <w:tcPr>
            <w:tcW w:w="2835" w:type="dxa"/>
            <w:shd w:val="clear" w:color="auto" w:fill="F2F2F2"/>
          </w:tcPr>
          <w:p w14:paraId="7DC606BD" w14:textId="77777777" w:rsidR="00C43694" w:rsidRPr="00BA2696" w:rsidRDefault="00C43694" w:rsidP="00C75158">
            <w:pPr>
              <w:spacing w:after="0" w:line="240" w:lineRule="auto"/>
              <w:rPr>
                <w:b/>
                <w:bCs/>
                <w:szCs w:val="24"/>
              </w:rPr>
            </w:pPr>
            <w:r w:rsidRPr="00BA2696">
              <w:rPr>
                <w:b/>
                <w:bCs/>
                <w:szCs w:val="24"/>
              </w:rPr>
              <w:t>Contingent Hierarchies</w:t>
            </w:r>
          </w:p>
        </w:tc>
        <w:tc>
          <w:tcPr>
            <w:tcW w:w="5624" w:type="dxa"/>
            <w:shd w:val="clear" w:color="auto" w:fill="F2F2F2"/>
          </w:tcPr>
          <w:p w14:paraId="30FD770C" w14:textId="77777777" w:rsidR="00C43694" w:rsidRPr="00BA2696" w:rsidRDefault="00C43694" w:rsidP="00C75158">
            <w:pPr>
              <w:spacing w:after="0" w:line="240" w:lineRule="auto"/>
              <w:rPr>
                <w:szCs w:val="24"/>
              </w:rPr>
            </w:pPr>
            <w:r w:rsidRPr="00BA2696">
              <w:rPr>
                <w:szCs w:val="24"/>
              </w:rPr>
              <w:t xml:space="preserve">Whereby ethnic minorities are accepted into whiteness at interpersonal and geographically local levels, despite not having a white phenotype. For example, whites in one local area accept one group of people, e.g., Afro-Caribbean but do not accept another, e.g., Somalian. </w:t>
            </w:r>
          </w:p>
        </w:tc>
      </w:tr>
      <w:tr w:rsidR="00C43694" w:rsidRPr="00BA2696" w14:paraId="7BF538DB" w14:textId="77777777" w:rsidTr="00C75158">
        <w:tc>
          <w:tcPr>
            <w:tcW w:w="2835" w:type="dxa"/>
            <w:shd w:val="clear" w:color="auto" w:fill="auto"/>
          </w:tcPr>
          <w:p w14:paraId="7CDCB3B7" w14:textId="77777777" w:rsidR="00C43694" w:rsidRPr="00BA2696" w:rsidRDefault="00C43694" w:rsidP="00C75158">
            <w:pPr>
              <w:spacing w:after="0" w:line="240" w:lineRule="auto"/>
              <w:rPr>
                <w:b/>
                <w:bCs/>
                <w:szCs w:val="24"/>
              </w:rPr>
            </w:pPr>
            <w:r w:rsidRPr="00BA2696">
              <w:rPr>
                <w:b/>
                <w:bCs/>
                <w:szCs w:val="24"/>
              </w:rPr>
              <w:t xml:space="preserve">Narratives of Disempowerment: Empire as Presence. </w:t>
            </w:r>
          </w:p>
        </w:tc>
        <w:tc>
          <w:tcPr>
            <w:tcW w:w="5624" w:type="dxa"/>
            <w:shd w:val="clear" w:color="auto" w:fill="auto"/>
          </w:tcPr>
          <w:p w14:paraId="39E75D5B" w14:textId="77777777" w:rsidR="00C43694" w:rsidRPr="00BA2696" w:rsidRDefault="00C43694" w:rsidP="00C75158">
            <w:pPr>
              <w:spacing w:after="0" w:line="240" w:lineRule="auto"/>
              <w:rPr>
                <w:szCs w:val="24"/>
              </w:rPr>
            </w:pPr>
            <w:r w:rsidRPr="00BA2696">
              <w:rPr>
                <w:szCs w:val="24"/>
              </w:rPr>
              <w:t xml:space="preserve">White people who experience societal disadvantage attribute this to racialised minority groups. This disadvantage is linked to ‘a fragile and threatened slot in the post-empire world order’ (p. 55). </w:t>
            </w:r>
          </w:p>
        </w:tc>
      </w:tr>
    </w:tbl>
    <w:p w14:paraId="099330BC" w14:textId="77777777" w:rsidR="00C43694" w:rsidRPr="00BA2696" w:rsidRDefault="00C43694" w:rsidP="00C43694">
      <w:pPr>
        <w:spacing w:after="0" w:line="480" w:lineRule="auto"/>
        <w:jc w:val="right"/>
        <w:rPr>
          <w:iCs/>
          <w:sz w:val="24"/>
          <w:szCs w:val="24"/>
        </w:rPr>
      </w:pPr>
      <w:r w:rsidRPr="00BA2696">
        <w:rPr>
          <w:iCs/>
          <w:sz w:val="24"/>
          <w:szCs w:val="24"/>
        </w:rPr>
        <w:t>(</w:t>
      </w:r>
      <w:r w:rsidRPr="00BA2696">
        <w:rPr>
          <w:i/>
          <w:sz w:val="24"/>
          <w:szCs w:val="24"/>
        </w:rPr>
        <w:t xml:space="preserve">Adapted from </w:t>
      </w:r>
      <w:r w:rsidRPr="00BA2696">
        <w:rPr>
          <w:iCs/>
          <w:sz w:val="24"/>
          <w:szCs w:val="24"/>
        </w:rPr>
        <w:t>Clarke and Garner, 2010, pp. 39-58)</w:t>
      </w:r>
    </w:p>
    <w:p w14:paraId="6EC1437B" w14:textId="77777777" w:rsidR="00C43694" w:rsidRPr="00BA2696" w:rsidRDefault="00C43694" w:rsidP="00C43694">
      <w:pPr>
        <w:spacing w:after="0" w:line="480" w:lineRule="auto"/>
        <w:rPr>
          <w:strike/>
          <w:sz w:val="24"/>
          <w:szCs w:val="24"/>
        </w:rPr>
      </w:pPr>
      <w:r w:rsidRPr="00BA2696">
        <w:rPr>
          <w:sz w:val="24"/>
          <w:szCs w:val="24"/>
        </w:rPr>
        <w:t xml:space="preserve">Considering the themes Clarke and Garner (2010) have presented, it is possible to draw parallels with Hartmann, Gerteis and Crolls’s (2009) and Applebaum’s (2016a) core themes of critical whiteness studies. Although the latter two write from a USA perspective, themes of white invisibility and normalisation were also </w:t>
      </w:r>
      <w:r>
        <w:rPr>
          <w:sz w:val="24"/>
          <w:szCs w:val="24"/>
        </w:rPr>
        <w:t>identified</w:t>
      </w:r>
      <w:r w:rsidRPr="00BA2696">
        <w:rPr>
          <w:sz w:val="24"/>
          <w:szCs w:val="24"/>
        </w:rPr>
        <w:t xml:space="preserve"> by Clarke and Garner (2010) in British research. Where they diverge is with Clarke and Garner’s (2010) inclusion of the historical dimension, specifically the role that an idealised nostalgic view of the British Empire plays, and an emphasis on geographical location. Supporting this, it has been argued that ‘the collective identity of Britain remains raced’, an identity which is embedded yet ‘whiteness is not an identity that is often spoken of’ (Byrne, 2006, p. 170). </w:t>
      </w:r>
      <w:r>
        <w:rPr>
          <w:sz w:val="24"/>
          <w:szCs w:val="24"/>
        </w:rPr>
        <w:t xml:space="preserve">This research has </w:t>
      </w:r>
      <w:r>
        <w:rPr>
          <w:sz w:val="24"/>
          <w:szCs w:val="24"/>
        </w:rPr>
        <w:lastRenderedPageBreak/>
        <w:t>sought to challenge this silence around whiteness by foregrounding it in the research questions</w:t>
      </w:r>
      <w:r w:rsidRPr="00BA2696">
        <w:rPr>
          <w:sz w:val="24"/>
          <w:szCs w:val="24"/>
        </w:rPr>
        <w:t>.</w:t>
      </w:r>
    </w:p>
    <w:p w14:paraId="0746C5D1" w14:textId="77777777" w:rsidR="00C43694" w:rsidRPr="00BA2696" w:rsidRDefault="00C43694" w:rsidP="00C43694">
      <w:pPr>
        <w:spacing w:after="0" w:line="480" w:lineRule="auto"/>
        <w:rPr>
          <w:strike/>
          <w:sz w:val="24"/>
          <w:szCs w:val="24"/>
        </w:rPr>
      </w:pPr>
    </w:p>
    <w:p w14:paraId="411F876B" w14:textId="77777777" w:rsidR="00C43694" w:rsidRPr="00BA2696" w:rsidRDefault="00C43694" w:rsidP="00C43694">
      <w:pPr>
        <w:spacing w:after="0" w:line="480" w:lineRule="auto"/>
        <w:rPr>
          <w:sz w:val="24"/>
          <w:szCs w:val="24"/>
        </w:rPr>
      </w:pPr>
      <w:r w:rsidRPr="00BA2696">
        <w:rPr>
          <w:sz w:val="24"/>
          <w:szCs w:val="24"/>
        </w:rPr>
        <w:t xml:space="preserve">Chen (2017) outlines that critical whiteness studies can take two paths. The first is through an historical perspective by understanding the historical context of whiteness, and the second is an experiential approach whereby whiteness is considered and analysed ‘as a social condition of white people that needs to be acknowledged, exposed and ultimately resisted’ (Chen, 2017, p. 15). Whilst the purpose of this research would fall into the second, experiential school of critical whiteness studies, the literature review has provided an historical and contemporary context of ‘race’ and whiteness. Thereby the two approaches to critical whiteness studies have been acknowledged in this thesis, although it </w:t>
      </w:r>
      <w:r>
        <w:rPr>
          <w:sz w:val="24"/>
          <w:szCs w:val="24"/>
        </w:rPr>
        <w:t xml:space="preserve">is </w:t>
      </w:r>
      <w:r w:rsidRPr="00BA2696">
        <w:rPr>
          <w:sz w:val="24"/>
          <w:szCs w:val="24"/>
        </w:rPr>
        <w:t xml:space="preserve">recognised that the emphasis is on the experiential approach. </w:t>
      </w:r>
    </w:p>
    <w:p w14:paraId="719AD8F4" w14:textId="77777777" w:rsidR="00C43694" w:rsidRPr="00BA2696" w:rsidRDefault="00C43694" w:rsidP="00C43694">
      <w:pPr>
        <w:spacing w:after="0" w:line="480" w:lineRule="auto"/>
        <w:rPr>
          <w:sz w:val="24"/>
          <w:szCs w:val="24"/>
        </w:rPr>
      </w:pPr>
    </w:p>
    <w:bookmarkEnd w:id="42"/>
    <w:p w14:paraId="5C81F49C" w14:textId="77777777" w:rsidR="00C43694" w:rsidRPr="00BA2696" w:rsidRDefault="00C43694" w:rsidP="00C43694">
      <w:pPr>
        <w:spacing w:after="0" w:line="480" w:lineRule="auto"/>
        <w:rPr>
          <w:sz w:val="24"/>
          <w:szCs w:val="24"/>
        </w:rPr>
      </w:pPr>
      <w:r w:rsidRPr="00BA2696">
        <w:rPr>
          <w:sz w:val="24"/>
          <w:szCs w:val="24"/>
        </w:rPr>
        <w:t xml:space="preserve">Helms (2017) suggests that the development of a white racial identity, in line with Helms (1990) model, could be a crucial ethical consideration for the white researcher. To achieve this, she argues that white researchers should understand the white racial theoretical framework in order to negate any harm caused by their academic pursuits (Helms, 2017). The ethical implications of being a white researcher is considered in Chapter 4 (Section 4.4). </w:t>
      </w:r>
    </w:p>
    <w:p w14:paraId="0091FB23" w14:textId="77777777" w:rsidR="00C43694" w:rsidRPr="00BA2696" w:rsidRDefault="00C43694" w:rsidP="00C43694">
      <w:pPr>
        <w:spacing w:after="0" w:line="480" w:lineRule="auto"/>
        <w:rPr>
          <w:sz w:val="24"/>
          <w:szCs w:val="24"/>
        </w:rPr>
      </w:pPr>
    </w:p>
    <w:p w14:paraId="7B5C27DB" w14:textId="77777777" w:rsidR="00C43694" w:rsidRPr="00BA2696" w:rsidRDefault="00C43694" w:rsidP="00C43694">
      <w:pPr>
        <w:spacing w:after="0" w:line="480" w:lineRule="auto"/>
        <w:rPr>
          <w:sz w:val="24"/>
          <w:szCs w:val="24"/>
        </w:rPr>
      </w:pPr>
      <w:r w:rsidRPr="00BA2696">
        <w:rPr>
          <w:sz w:val="24"/>
          <w:szCs w:val="24"/>
        </w:rPr>
        <w:t xml:space="preserve">Therefore, a potential limitation of critical whiteness studies appears to be that as a white researcher, there will be things one cannot ‘see’ due to continuing to benefit from systemic inequality and privileges. It seems paramount that the white researcher holds this awareness and is open to recognising that there will be ‘blind spots’. Additionally, the application of critical whiteness studies in research should be done with humility for what is </w:t>
      </w:r>
      <w:r w:rsidRPr="00BA2696">
        <w:rPr>
          <w:sz w:val="24"/>
          <w:szCs w:val="24"/>
        </w:rPr>
        <w:lastRenderedPageBreak/>
        <w:t>yet to be learned, recognition for what has gone before (particularly from critical race scholars) and to be consistently open to critical feedback.</w:t>
      </w:r>
    </w:p>
    <w:p w14:paraId="1971FAF7" w14:textId="77777777" w:rsidR="00C43694" w:rsidRPr="00BA2696" w:rsidRDefault="00C43694" w:rsidP="00C43694">
      <w:pPr>
        <w:spacing w:after="0" w:line="480" w:lineRule="auto"/>
        <w:rPr>
          <w:sz w:val="24"/>
          <w:szCs w:val="24"/>
        </w:rPr>
      </w:pPr>
    </w:p>
    <w:p w14:paraId="44B5A53B" w14:textId="77777777" w:rsidR="00C43694" w:rsidRPr="00BA2696" w:rsidRDefault="00C43694" w:rsidP="00C43694">
      <w:pPr>
        <w:pStyle w:val="Heading4"/>
        <w:spacing w:before="0" w:after="240" w:line="250" w:lineRule="auto"/>
      </w:pPr>
      <w:r w:rsidRPr="00BA2696">
        <w:t>Critical Race Theory</w:t>
      </w:r>
    </w:p>
    <w:p w14:paraId="07909790" w14:textId="77777777" w:rsidR="00C43694" w:rsidRPr="00BA2696" w:rsidRDefault="00C43694" w:rsidP="00C43694">
      <w:pPr>
        <w:spacing w:after="0" w:line="480" w:lineRule="auto"/>
        <w:rPr>
          <w:sz w:val="24"/>
          <w:szCs w:val="24"/>
        </w:rPr>
      </w:pPr>
      <w:r w:rsidRPr="00BA2696">
        <w:rPr>
          <w:sz w:val="24"/>
          <w:szCs w:val="24"/>
        </w:rPr>
        <w:t>As previously outlined, critical whiteness studies provides the primary theoretical lens whilst critical race theory offers a complimentary theoretical lens. The intention is not to be dismissive of the history and contribution of critical race theory, but rather it is an acknowledgment of my positionality as a white researcher, researching the white participants understanding of ‘race’, racism and whiteness. The use of critical race theory comes at a time when the UK Government have denounced it in the Houses of Parliament as an ‘ideology’ and pronounced that the teaching of it in schools without counter views is ‘illegal’ (Murray, 2020).</w:t>
      </w:r>
    </w:p>
    <w:p w14:paraId="51131B98" w14:textId="77777777" w:rsidR="00C43694" w:rsidRPr="00BA2696" w:rsidRDefault="00C43694" w:rsidP="00C43694">
      <w:pPr>
        <w:spacing w:after="0" w:line="480" w:lineRule="auto"/>
        <w:rPr>
          <w:sz w:val="24"/>
          <w:szCs w:val="24"/>
        </w:rPr>
      </w:pPr>
    </w:p>
    <w:p w14:paraId="65167D78" w14:textId="77777777" w:rsidR="00C43694" w:rsidRPr="00BA2696" w:rsidRDefault="00C43694" w:rsidP="00C43694">
      <w:pPr>
        <w:spacing w:after="0" w:line="480" w:lineRule="auto"/>
        <w:rPr>
          <w:sz w:val="24"/>
          <w:szCs w:val="24"/>
        </w:rPr>
      </w:pPr>
      <w:bookmarkStart w:id="62" w:name="_Hlk19205793"/>
      <w:r w:rsidRPr="00BA2696">
        <w:rPr>
          <w:sz w:val="24"/>
          <w:szCs w:val="24"/>
        </w:rPr>
        <w:t xml:space="preserve">Critical race theory’s origins lie in critical legal studies and was influenced by the radical feminist movement, particularly their ideas around authority and power and the concept of the invisible patterns of domination (Crenshaw </w:t>
      </w:r>
      <w:r w:rsidRPr="00BA2696">
        <w:rPr>
          <w:i/>
          <w:iCs/>
          <w:sz w:val="24"/>
          <w:szCs w:val="24"/>
        </w:rPr>
        <w:t>et al</w:t>
      </w:r>
      <w:r w:rsidRPr="00BA2696">
        <w:rPr>
          <w:sz w:val="24"/>
          <w:szCs w:val="24"/>
        </w:rPr>
        <w:t xml:space="preserve">, 1995; Delgado and Stefancic, 2017). Critical race theory seeks to transform the connection between ‘race’, racism and power by </w:t>
      </w:r>
      <w:r>
        <w:rPr>
          <w:sz w:val="24"/>
          <w:szCs w:val="24"/>
        </w:rPr>
        <w:t>contextualising</w:t>
      </w:r>
      <w:r w:rsidRPr="00BA2696">
        <w:rPr>
          <w:sz w:val="24"/>
          <w:szCs w:val="24"/>
        </w:rPr>
        <w:t xml:space="preserve"> them, for example, into historical</w:t>
      </w:r>
      <w:r>
        <w:rPr>
          <w:sz w:val="24"/>
          <w:szCs w:val="24"/>
        </w:rPr>
        <w:t>, legal</w:t>
      </w:r>
      <w:r w:rsidRPr="00BA2696">
        <w:rPr>
          <w:sz w:val="24"/>
          <w:szCs w:val="24"/>
        </w:rPr>
        <w:t xml:space="preserve"> and economic contexts (Delgado and Stefancic, 2017). It is in this way that this research echoes critical race theory through the inclusion and exploration of the history of ‘race’ in the literature review (Sections 2.1.1 and 2.1.2), providing an historical foundation on which to contextualise the research findings. </w:t>
      </w:r>
      <w:r>
        <w:rPr>
          <w:sz w:val="24"/>
          <w:szCs w:val="24"/>
        </w:rPr>
        <w:t>It is th</w:t>
      </w:r>
      <w:r w:rsidRPr="00BA2696">
        <w:rPr>
          <w:sz w:val="24"/>
          <w:szCs w:val="24"/>
        </w:rPr>
        <w:t>e core tenets of critical race theory</w:t>
      </w:r>
      <w:r>
        <w:rPr>
          <w:sz w:val="24"/>
          <w:szCs w:val="24"/>
        </w:rPr>
        <w:t>, as presented by Delagado and Stefancic (2017; Table 13),</w:t>
      </w:r>
      <w:r w:rsidRPr="00BA2696">
        <w:rPr>
          <w:sz w:val="24"/>
          <w:szCs w:val="24"/>
        </w:rPr>
        <w:t xml:space="preserve"> that provided its main theoretical influence in this research:</w:t>
      </w:r>
    </w:p>
    <w:p w14:paraId="2AD849F9" w14:textId="77777777" w:rsidR="00C43694" w:rsidRPr="009C3ADD" w:rsidRDefault="00C43694" w:rsidP="00C43694">
      <w:pPr>
        <w:pStyle w:val="Caption"/>
        <w:keepNext/>
        <w:rPr>
          <w:sz w:val="24"/>
          <w:szCs w:val="24"/>
        </w:rPr>
      </w:pPr>
      <w:bookmarkStart w:id="63" w:name="_Toc72253527"/>
      <w:bookmarkStart w:id="64" w:name="_Toc72253849"/>
      <w:bookmarkStart w:id="65" w:name="_Toc72253871"/>
      <w:bookmarkStart w:id="66" w:name="_Toc72324674"/>
      <w:r w:rsidRPr="009C3ADD">
        <w:rPr>
          <w:sz w:val="24"/>
          <w:szCs w:val="24"/>
        </w:rPr>
        <w:lastRenderedPageBreak/>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13</w:t>
      </w:r>
      <w:r w:rsidRPr="009C3ADD">
        <w:rPr>
          <w:sz w:val="24"/>
          <w:szCs w:val="24"/>
        </w:rPr>
        <w:fldChar w:fldCharType="end"/>
      </w:r>
      <w:r w:rsidRPr="009C3ADD">
        <w:rPr>
          <w:sz w:val="24"/>
          <w:szCs w:val="24"/>
        </w:rPr>
        <w:t xml:space="preserve"> Summary of the Core Tenets of Critical Race Theory</w:t>
      </w:r>
      <w:bookmarkEnd w:id="63"/>
      <w:bookmarkEnd w:id="64"/>
      <w:bookmarkEnd w:id="65"/>
      <w:bookmarkEnd w:id="66"/>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2758"/>
        <w:gridCol w:w="5701"/>
      </w:tblGrid>
      <w:tr w:rsidR="00C43694" w:rsidRPr="00BA2696" w14:paraId="42926AFF" w14:textId="77777777" w:rsidTr="00C75158">
        <w:tc>
          <w:tcPr>
            <w:tcW w:w="2758" w:type="dxa"/>
            <w:shd w:val="clear" w:color="auto" w:fill="auto"/>
          </w:tcPr>
          <w:p w14:paraId="469AA614" w14:textId="77777777" w:rsidR="00C43694" w:rsidRPr="00BA2696" w:rsidRDefault="00C43694" w:rsidP="00C75158">
            <w:pPr>
              <w:spacing w:after="0" w:line="240" w:lineRule="auto"/>
              <w:rPr>
                <w:b/>
                <w:bCs/>
                <w:szCs w:val="24"/>
              </w:rPr>
            </w:pPr>
            <w:r w:rsidRPr="00BA2696">
              <w:rPr>
                <w:b/>
                <w:bCs/>
                <w:szCs w:val="24"/>
              </w:rPr>
              <w:t xml:space="preserve">Core Tenet </w:t>
            </w:r>
          </w:p>
        </w:tc>
        <w:tc>
          <w:tcPr>
            <w:tcW w:w="5701" w:type="dxa"/>
            <w:shd w:val="clear" w:color="auto" w:fill="auto"/>
          </w:tcPr>
          <w:p w14:paraId="35E23830" w14:textId="77777777" w:rsidR="00C43694" w:rsidRPr="00BA2696" w:rsidRDefault="00C43694" w:rsidP="00C75158">
            <w:pPr>
              <w:spacing w:after="0" w:line="240" w:lineRule="auto"/>
              <w:rPr>
                <w:b/>
                <w:bCs/>
                <w:szCs w:val="24"/>
              </w:rPr>
            </w:pPr>
            <w:r w:rsidRPr="00BA2696">
              <w:rPr>
                <w:b/>
                <w:bCs/>
                <w:szCs w:val="24"/>
              </w:rPr>
              <w:t xml:space="preserve">Description </w:t>
            </w:r>
          </w:p>
        </w:tc>
      </w:tr>
      <w:tr w:rsidR="00C43694" w:rsidRPr="00BA2696" w14:paraId="7BD1E8DE" w14:textId="77777777" w:rsidTr="00C75158">
        <w:tc>
          <w:tcPr>
            <w:tcW w:w="2758" w:type="dxa"/>
            <w:shd w:val="clear" w:color="auto" w:fill="F2F2F2"/>
          </w:tcPr>
          <w:p w14:paraId="061F7F26" w14:textId="77777777" w:rsidR="00C43694" w:rsidRPr="00BA2696" w:rsidRDefault="00C43694" w:rsidP="00C75158">
            <w:pPr>
              <w:spacing w:after="0" w:line="240" w:lineRule="auto"/>
              <w:rPr>
                <w:b/>
                <w:bCs/>
                <w:szCs w:val="24"/>
              </w:rPr>
            </w:pPr>
            <w:r w:rsidRPr="00BA2696">
              <w:rPr>
                <w:b/>
                <w:bCs/>
                <w:szCs w:val="24"/>
              </w:rPr>
              <w:t xml:space="preserve">Racism </w:t>
            </w:r>
          </w:p>
        </w:tc>
        <w:tc>
          <w:tcPr>
            <w:tcW w:w="5701" w:type="dxa"/>
            <w:shd w:val="clear" w:color="auto" w:fill="F2F2F2"/>
          </w:tcPr>
          <w:p w14:paraId="015D855D" w14:textId="77777777" w:rsidR="00C43694" w:rsidRPr="00BA2696" w:rsidRDefault="00C43694" w:rsidP="00C75158">
            <w:pPr>
              <w:spacing w:after="0" w:line="240" w:lineRule="auto"/>
              <w:rPr>
                <w:szCs w:val="24"/>
              </w:rPr>
            </w:pPr>
            <w:r w:rsidRPr="00BA2696">
              <w:rPr>
                <w:szCs w:val="24"/>
              </w:rPr>
              <w:t xml:space="preserve">Racism is an ordinary, everyday occurrence for people of colour and not an anomaly. </w:t>
            </w:r>
          </w:p>
        </w:tc>
      </w:tr>
      <w:tr w:rsidR="00C43694" w:rsidRPr="00BA2696" w14:paraId="4BBF662C" w14:textId="77777777" w:rsidTr="00C75158">
        <w:tc>
          <w:tcPr>
            <w:tcW w:w="2758" w:type="dxa"/>
            <w:shd w:val="clear" w:color="auto" w:fill="auto"/>
          </w:tcPr>
          <w:p w14:paraId="3EDF93AC" w14:textId="77777777" w:rsidR="00C43694" w:rsidRPr="00BA2696" w:rsidRDefault="00C43694" w:rsidP="00C75158">
            <w:pPr>
              <w:spacing w:after="0" w:line="240" w:lineRule="auto"/>
              <w:rPr>
                <w:b/>
                <w:bCs/>
                <w:szCs w:val="24"/>
              </w:rPr>
            </w:pPr>
            <w:r w:rsidRPr="00BA2696">
              <w:rPr>
                <w:b/>
                <w:bCs/>
                <w:szCs w:val="24"/>
              </w:rPr>
              <w:t>Interest Convergence</w:t>
            </w:r>
          </w:p>
        </w:tc>
        <w:tc>
          <w:tcPr>
            <w:tcW w:w="5701" w:type="dxa"/>
            <w:shd w:val="clear" w:color="auto" w:fill="auto"/>
          </w:tcPr>
          <w:p w14:paraId="2230F8A4" w14:textId="77777777" w:rsidR="00C43694" w:rsidRPr="00BA2696" w:rsidRDefault="00C43694" w:rsidP="00C75158">
            <w:pPr>
              <w:spacing w:after="0" w:line="240" w:lineRule="auto"/>
              <w:rPr>
                <w:szCs w:val="24"/>
              </w:rPr>
            </w:pPr>
            <w:r w:rsidRPr="00BA2696">
              <w:rPr>
                <w:szCs w:val="24"/>
              </w:rPr>
              <w:t xml:space="preserve">White supremacy offers both ‘psychic’ (p. 8) and ‘material’ (p. 9) advantages to white people, meaning there is little incentive to challenge the racial hierarchical status quo. Therefore, it is only challenged when it can benefit white people. </w:t>
            </w:r>
          </w:p>
        </w:tc>
      </w:tr>
      <w:tr w:rsidR="00C43694" w:rsidRPr="00BA2696" w14:paraId="0D08CA24" w14:textId="77777777" w:rsidTr="00C75158">
        <w:tc>
          <w:tcPr>
            <w:tcW w:w="2758" w:type="dxa"/>
            <w:shd w:val="clear" w:color="auto" w:fill="F2F2F2"/>
          </w:tcPr>
          <w:p w14:paraId="08BF817A" w14:textId="77777777" w:rsidR="00C43694" w:rsidRPr="00BA2696" w:rsidRDefault="00C43694" w:rsidP="00C75158">
            <w:pPr>
              <w:spacing w:after="0" w:line="240" w:lineRule="auto"/>
              <w:rPr>
                <w:b/>
                <w:bCs/>
                <w:szCs w:val="24"/>
              </w:rPr>
            </w:pPr>
            <w:r w:rsidRPr="00BA2696">
              <w:rPr>
                <w:b/>
                <w:bCs/>
                <w:szCs w:val="24"/>
              </w:rPr>
              <w:t>Social Construction</w:t>
            </w:r>
          </w:p>
        </w:tc>
        <w:tc>
          <w:tcPr>
            <w:tcW w:w="5701" w:type="dxa"/>
            <w:shd w:val="clear" w:color="auto" w:fill="F2F2F2"/>
          </w:tcPr>
          <w:p w14:paraId="35D6D07B" w14:textId="77777777" w:rsidR="00C43694" w:rsidRPr="00BA2696" w:rsidRDefault="00C43694" w:rsidP="00C75158">
            <w:pPr>
              <w:spacing w:after="0" w:line="240" w:lineRule="auto"/>
              <w:rPr>
                <w:szCs w:val="24"/>
              </w:rPr>
            </w:pPr>
            <w:r w:rsidRPr="00BA2696">
              <w:rPr>
                <w:szCs w:val="24"/>
              </w:rPr>
              <w:t xml:space="preserve">Race is a socially constructed category that is under constant revision and reinvention that ‘society invents, manipulates, or retires when convenient’ (p. 9) </w:t>
            </w:r>
          </w:p>
        </w:tc>
      </w:tr>
      <w:tr w:rsidR="00C43694" w:rsidRPr="00BA2696" w14:paraId="45B7FF49" w14:textId="77777777" w:rsidTr="00C75158">
        <w:tc>
          <w:tcPr>
            <w:tcW w:w="2758" w:type="dxa"/>
            <w:shd w:val="clear" w:color="auto" w:fill="auto"/>
          </w:tcPr>
          <w:p w14:paraId="253F772F" w14:textId="77777777" w:rsidR="00C43694" w:rsidRPr="00BA2696" w:rsidRDefault="00C43694" w:rsidP="00C75158">
            <w:pPr>
              <w:spacing w:after="0" w:line="240" w:lineRule="auto"/>
              <w:rPr>
                <w:b/>
                <w:bCs/>
                <w:szCs w:val="24"/>
              </w:rPr>
            </w:pPr>
            <w:r w:rsidRPr="00BA2696">
              <w:rPr>
                <w:b/>
                <w:bCs/>
                <w:szCs w:val="24"/>
              </w:rPr>
              <w:t>Differential Racialisation</w:t>
            </w:r>
          </w:p>
        </w:tc>
        <w:tc>
          <w:tcPr>
            <w:tcW w:w="5701" w:type="dxa"/>
            <w:shd w:val="clear" w:color="auto" w:fill="auto"/>
          </w:tcPr>
          <w:p w14:paraId="0ECC1115" w14:textId="77777777" w:rsidR="00C43694" w:rsidRPr="00BA2696" w:rsidRDefault="00C43694" w:rsidP="00C75158">
            <w:pPr>
              <w:spacing w:after="0" w:line="240" w:lineRule="auto"/>
              <w:rPr>
                <w:szCs w:val="24"/>
              </w:rPr>
            </w:pPr>
            <w:r w:rsidRPr="00BA2696">
              <w:rPr>
                <w:szCs w:val="24"/>
              </w:rPr>
              <w:t>The dominant racial group (white) racialises minority groups depending on the conditions and circumstances that suit them. For example, Muslims are harmless neighbours’ pre 9/11 vs Muslims are terrorists’ post 9/11.</w:t>
            </w:r>
          </w:p>
        </w:tc>
      </w:tr>
      <w:tr w:rsidR="00C43694" w:rsidRPr="00BA2696" w14:paraId="17AAEFAE" w14:textId="77777777" w:rsidTr="00C75158">
        <w:tc>
          <w:tcPr>
            <w:tcW w:w="2758" w:type="dxa"/>
            <w:shd w:val="clear" w:color="auto" w:fill="F2F2F2"/>
          </w:tcPr>
          <w:p w14:paraId="3EC97740" w14:textId="77777777" w:rsidR="00C43694" w:rsidRPr="00BA2696" w:rsidRDefault="00C43694" w:rsidP="00C75158">
            <w:pPr>
              <w:spacing w:after="0" w:line="240" w:lineRule="auto"/>
              <w:rPr>
                <w:b/>
                <w:bCs/>
                <w:szCs w:val="24"/>
              </w:rPr>
            </w:pPr>
            <w:r w:rsidRPr="00BA2696">
              <w:rPr>
                <w:b/>
                <w:bCs/>
                <w:szCs w:val="24"/>
              </w:rPr>
              <w:t>Intersectionality and anti-essentialism</w:t>
            </w:r>
          </w:p>
        </w:tc>
        <w:tc>
          <w:tcPr>
            <w:tcW w:w="5701" w:type="dxa"/>
            <w:shd w:val="clear" w:color="auto" w:fill="F2F2F2"/>
          </w:tcPr>
          <w:p w14:paraId="51F0A306" w14:textId="77777777" w:rsidR="00C43694" w:rsidRPr="00BA2696" w:rsidRDefault="00C43694" w:rsidP="00C75158">
            <w:pPr>
              <w:spacing w:after="0" w:line="240" w:lineRule="auto"/>
              <w:rPr>
                <w:szCs w:val="24"/>
              </w:rPr>
            </w:pPr>
            <w:r w:rsidRPr="00BA2696">
              <w:rPr>
                <w:szCs w:val="24"/>
              </w:rPr>
              <w:t xml:space="preserve">Intersectionality recognises that a person will have many aspects to their identity (race, gender, class, sexuality etc.) which affect their lives. These experiences cannot be essentialised or reduced and generalised to whole groups. </w:t>
            </w:r>
          </w:p>
        </w:tc>
      </w:tr>
      <w:tr w:rsidR="00C43694" w:rsidRPr="00BA2696" w14:paraId="6F6842D3" w14:textId="77777777" w:rsidTr="00C75158">
        <w:tc>
          <w:tcPr>
            <w:tcW w:w="2758" w:type="dxa"/>
            <w:shd w:val="clear" w:color="auto" w:fill="auto"/>
          </w:tcPr>
          <w:p w14:paraId="13B9992A" w14:textId="77777777" w:rsidR="00C43694" w:rsidRPr="00BA2696" w:rsidRDefault="00C43694" w:rsidP="00C75158">
            <w:pPr>
              <w:spacing w:after="0" w:line="240" w:lineRule="auto"/>
              <w:rPr>
                <w:b/>
                <w:bCs/>
                <w:szCs w:val="24"/>
              </w:rPr>
            </w:pPr>
            <w:r w:rsidRPr="00BA2696">
              <w:rPr>
                <w:b/>
                <w:bCs/>
                <w:szCs w:val="24"/>
              </w:rPr>
              <w:t>Unique Voice of Colour</w:t>
            </w:r>
          </w:p>
        </w:tc>
        <w:tc>
          <w:tcPr>
            <w:tcW w:w="5701" w:type="dxa"/>
            <w:shd w:val="clear" w:color="auto" w:fill="auto"/>
          </w:tcPr>
          <w:p w14:paraId="5235A784" w14:textId="77777777" w:rsidR="00C43694" w:rsidRPr="00BA2696" w:rsidRDefault="00C43694" w:rsidP="00C75158">
            <w:pPr>
              <w:spacing w:after="0" w:line="240" w:lineRule="auto"/>
              <w:rPr>
                <w:szCs w:val="24"/>
              </w:rPr>
            </w:pPr>
            <w:r w:rsidRPr="00BA2696">
              <w:rPr>
                <w:szCs w:val="24"/>
              </w:rPr>
              <w:t xml:space="preserve">People of colour have more insight about race and historical and current forms of oppressions than white people and will ‘be able to communicate to their white counterparts matters that whites are unlikely to know’ (p. 11). </w:t>
            </w:r>
          </w:p>
        </w:tc>
      </w:tr>
    </w:tbl>
    <w:p w14:paraId="0DD88A9F" w14:textId="77777777" w:rsidR="00C43694" w:rsidRPr="00BA2696" w:rsidRDefault="00C43694" w:rsidP="00C43694">
      <w:pPr>
        <w:spacing w:after="0" w:line="480" w:lineRule="auto"/>
        <w:jc w:val="right"/>
        <w:rPr>
          <w:sz w:val="24"/>
          <w:szCs w:val="24"/>
        </w:rPr>
      </w:pPr>
      <w:r w:rsidRPr="00BA2696">
        <w:rPr>
          <w:sz w:val="24"/>
          <w:szCs w:val="24"/>
        </w:rPr>
        <w:t>(</w:t>
      </w:r>
      <w:r w:rsidRPr="00BA2696">
        <w:rPr>
          <w:i/>
          <w:iCs/>
          <w:sz w:val="24"/>
          <w:szCs w:val="24"/>
        </w:rPr>
        <w:t>adapted from</w:t>
      </w:r>
      <w:r w:rsidRPr="00BA2696">
        <w:rPr>
          <w:sz w:val="24"/>
          <w:szCs w:val="24"/>
        </w:rPr>
        <w:t xml:space="preserve"> Delgado and Stefancic, 2017, pp. 8-11)</w:t>
      </w:r>
    </w:p>
    <w:p w14:paraId="474AB3E1" w14:textId="77777777" w:rsidR="00C43694" w:rsidRPr="00BA2696" w:rsidRDefault="00C43694" w:rsidP="00C43694">
      <w:pPr>
        <w:spacing w:after="0" w:line="480" w:lineRule="auto"/>
        <w:rPr>
          <w:sz w:val="24"/>
          <w:szCs w:val="24"/>
        </w:rPr>
      </w:pPr>
    </w:p>
    <w:p w14:paraId="17E38878" w14:textId="77777777" w:rsidR="00C43694" w:rsidRPr="00BA2696" w:rsidRDefault="00C43694" w:rsidP="00C43694">
      <w:pPr>
        <w:spacing w:after="0" w:line="480" w:lineRule="auto"/>
        <w:rPr>
          <w:rFonts w:cs="Calibri"/>
          <w:sz w:val="24"/>
          <w:szCs w:val="24"/>
        </w:rPr>
      </w:pPr>
      <w:r w:rsidRPr="00BA2696">
        <w:rPr>
          <w:sz w:val="24"/>
          <w:szCs w:val="24"/>
        </w:rPr>
        <w:t>These central tenets form the foundation of critical race theory and some commonalities with critical whiteness studies can be seen. Particularly around the idea that racism is not an abnormal or infrequent occurrence, but is invisible, permeating practices and polic</w:t>
      </w:r>
      <w:r>
        <w:rPr>
          <w:sz w:val="24"/>
          <w:szCs w:val="24"/>
        </w:rPr>
        <w:t>i</w:t>
      </w:r>
      <w:r w:rsidRPr="00BA2696">
        <w:rPr>
          <w:sz w:val="24"/>
          <w:szCs w:val="24"/>
        </w:rPr>
        <w:t>es (Applebaum, 2016a). The importance of privileging the ‘unique voices of colour’ has been emphasised by critical whiteness scholars (Roediger, 2002; Dolan, 2006; Owen 2007) and is a significant factor in employing critical race theory as one of the theoretical lenses in this research. The social construction of ‘race’ has been presented (Chapter 2, Sections 2.1.1 and 2.1.2). Differential racialisation has been explored (Chapter 2, Sections 2.1.2) in relation to inclusion into the category of ‘whiteness’ as experienced historically by the Irish and contemporarily by the GRT community</w:t>
      </w:r>
      <w:r w:rsidRPr="00BA2696">
        <w:rPr>
          <w:rFonts w:cs="Calibri"/>
          <w:color w:val="000000"/>
          <w:sz w:val="24"/>
          <w:szCs w:val="24"/>
        </w:rPr>
        <w:t xml:space="preserve">. It is also discussed in Chapter 6 (Section 6.6). </w:t>
      </w:r>
      <w:r w:rsidRPr="00BA2696">
        <w:rPr>
          <w:rFonts w:cs="Calibri"/>
          <w:color w:val="000000"/>
          <w:sz w:val="24"/>
          <w:szCs w:val="24"/>
        </w:rPr>
        <w:lastRenderedPageBreak/>
        <w:t xml:space="preserve">Intersectionality maintains that awareness is needed about the intersecting identities of individuals and how these intersections can be sites of multiple manifestations of oppression such as racism, sexism and classism (Crenshaw, 1989; </w:t>
      </w:r>
      <w:r w:rsidRPr="00BA2696">
        <w:rPr>
          <w:rFonts w:cs="Calibri"/>
          <w:sz w:val="24"/>
          <w:szCs w:val="24"/>
        </w:rPr>
        <w:t>Hill Collins and Bilge, 2016). Admittedly, the focus of this research has been on ‘race’, rather than intersectional identities. The reason for this is because ‘race’ is</w:t>
      </w:r>
      <w:r>
        <w:rPr>
          <w:rFonts w:cs="Calibri"/>
          <w:sz w:val="24"/>
          <w:szCs w:val="24"/>
        </w:rPr>
        <w:t xml:space="preserve"> a</w:t>
      </w:r>
      <w:r w:rsidRPr="00BA2696">
        <w:rPr>
          <w:rFonts w:cs="Calibri"/>
          <w:sz w:val="24"/>
          <w:szCs w:val="24"/>
        </w:rPr>
        <w:t xml:space="preserve"> neglected topic in counselling (as discussed in Chapter 2, Section 2.2), and the emphasis on ‘race’ was a way of unambiguously exploring how it is understood by counselling trainees. </w:t>
      </w:r>
      <w:r>
        <w:rPr>
          <w:rFonts w:cs="Calibri"/>
          <w:sz w:val="24"/>
          <w:szCs w:val="24"/>
        </w:rPr>
        <w:t>Similarly</w:t>
      </w:r>
      <w:r w:rsidRPr="00BA2696">
        <w:rPr>
          <w:rFonts w:cs="Calibri"/>
          <w:sz w:val="24"/>
          <w:szCs w:val="24"/>
        </w:rPr>
        <w:t xml:space="preserve">, the inclusion of ‘unique voices of colour’ in terms of the experiences of black counselling trainees has not been included due to an ethical concern about being a white researcher who may induce racial trauma (Carter, 2007) by asking about experiences of counselling training. </w:t>
      </w:r>
      <w:r>
        <w:rPr>
          <w:rFonts w:cs="Calibri"/>
          <w:sz w:val="24"/>
          <w:szCs w:val="24"/>
        </w:rPr>
        <w:t>To address this, t</w:t>
      </w:r>
      <w:r w:rsidRPr="00BA2696">
        <w:rPr>
          <w:rFonts w:cs="Calibri"/>
          <w:sz w:val="24"/>
          <w:szCs w:val="24"/>
        </w:rPr>
        <w:t xml:space="preserve">he work of scholars and writers of colour have been woven throughout this research in order to have ‘unique voices of colour’ represented. </w:t>
      </w:r>
    </w:p>
    <w:p w14:paraId="0EF7333F" w14:textId="77777777" w:rsidR="00C43694" w:rsidRPr="00BA2696" w:rsidRDefault="00C43694" w:rsidP="00C43694">
      <w:pPr>
        <w:spacing w:after="0" w:line="480" w:lineRule="auto"/>
        <w:rPr>
          <w:sz w:val="24"/>
          <w:szCs w:val="24"/>
        </w:rPr>
      </w:pPr>
    </w:p>
    <w:p w14:paraId="3C75AE96" w14:textId="77777777" w:rsidR="00C43694" w:rsidRPr="00BA2696" w:rsidRDefault="00C43694" w:rsidP="00C43694">
      <w:pPr>
        <w:spacing w:after="0" w:line="480" w:lineRule="auto"/>
        <w:rPr>
          <w:sz w:val="24"/>
          <w:szCs w:val="24"/>
        </w:rPr>
      </w:pPr>
      <w:r w:rsidRPr="00BA2696">
        <w:rPr>
          <w:sz w:val="24"/>
          <w:szCs w:val="24"/>
        </w:rPr>
        <w:t xml:space="preserve">A point for personal reflection is that of interest convergence, which </w:t>
      </w:r>
      <w:r>
        <w:rPr>
          <w:sz w:val="24"/>
          <w:szCs w:val="24"/>
        </w:rPr>
        <w:t>w</w:t>
      </w:r>
      <w:r w:rsidRPr="00BA2696">
        <w:rPr>
          <w:sz w:val="24"/>
          <w:szCs w:val="24"/>
        </w:rPr>
        <w:t>as conceived by Bell (1980) in relation to the landmark legal case of Brown v. Board of Education. The notion that white people only participate in racial equality when it is beneficial to them has led to an ongoing conflict between a personal commitment to social justice and equality (of which this research is an example) and the way in which I may benefit from this research (through the PhD and the advantages this may bring). This internal conflict sits as a reminder of the benefits a white researcher can accrue, even when critically researching whiteness.</w:t>
      </w:r>
    </w:p>
    <w:p w14:paraId="09B77AE6" w14:textId="77777777" w:rsidR="00C43694" w:rsidRPr="00BA2696" w:rsidRDefault="00C43694" w:rsidP="00C43694">
      <w:pPr>
        <w:spacing w:after="0" w:line="480" w:lineRule="auto"/>
        <w:rPr>
          <w:sz w:val="24"/>
          <w:szCs w:val="24"/>
        </w:rPr>
      </w:pPr>
    </w:p>
    <w:p w14:paraId="5EF28B31" w14:textId="77777777" w:rsidR="00C43694" w:rsidRPr="00BA2696" w:rsidRDefault="00C43694" w:rsidP="00C43694">
      <w:pPr>
        <w:spacing w:after="0" w:line="480" w:lineRule="auto"/>
        <w:rPr>
          <w:sz w:val="24"/>
          <w:szCs w:val="24"/>
        </w:rPr>
      </w:pPr>
      <w:r w:rsidRPr="00BA2696">
        <w:rPr>
          <w:sz w:val="24"/>
          <w:szCs w:val="24"/>
        </w:rPr>
        <w:t>Although critical race theory origins were in legal studies, it soon became a part of educational research (Taylor, Gillborn and Ladson-Billings, 2016).</w:t>
      </w:r>
      <w:r w:rsidRPr="00BA2696">
        <w:rPr>
          <w:color w:val="FF0000"/>
          <w:sz w:val="24"/>
          <w:szCs w:val="24"/>
        </w:rPr>
        <w:t xml:space="preserve"> </w:t>
      </w:r>
      <w:r w:rsidRPr="00BA2696">
        <w:rPr>
          <w:sz w:val="24"/>
          <w:szCs w:val="24"/>
        </w:rPr>
        <w:t xml:space="preserve">In the UK, Gillborn (2005; 2006; 2008; 2010) has made contributions to the field of education by doing just this. </w:t>
      </w:r>
      <w:r w:rsidRPr="00BA2696">
        <w:rPr>
          <w:sz w:val="24"/>
          <w:szCs w:val="24"/>
        </w:rPr>
        <w:lastRenderedPageBreak/>
        <w:t xml:space="preserve">Solórzano and Yasso (2002) </w:t>
      </w:r>
      <w:bookmarkEnd w:id="62"/>
      <w:r w:rsidRPr="00BA2696">
        <w:rPr>
          <w:sz w:val="24"/>
          <w:szCs w:val="24"/>
        </w:rPr>
        <w:t>presented a critical ‘race’ methodology for education research that prioriti</w:t>
      </w:r>
      <w:r>
        <w:rPr>
          <w:sz w:val="24"/>
          <w:szCs w:val="24"/>
        </w:rPr>
        <w:t>ses</w:t>
      </w:r>
      <w:r w:rsidRPr="00BA2696">
        <w:rPr>
          <w:sz w:val="24"/>
          <w:szCs w:val="24"/>
        </w:rPr>
        <w:t xml:space="preserve"> the experiences of students of colour, takes an intersectional approach, explicitly seeks liberation from racial, class and gender oppression and places ‘race’ and racism at the forefront of the research. Although this is a methodological, rather than</w:t>
      </w:r>
      <w:r>
        <w:rPr>
          <w:sz w:val="24"/>
          <w:szCs w:val="24"/>
        </w:rPr>
        <w:t xml:space="preserve"> a</w:t>
      </w:r>
      <w:r w:rsidRPr="00BA2696">
        <w:rPr>
          <w:sz w:val="24"/>
          <w:szCs w:val="24"/>
        </w:rPr>
        <w:t xml:space="preserve"> theoretical, approach which was created for the purpose of educational research with students of colour, it nonetheless offers a focused use of critical race theory in research. Specifically, the centring of ‘race’ and racism at the forefront of the research and</w:t>
      </w:r>
      <w:r>
        <w:rPr>
          <w:sz w:val="24"/>
          <w:szCs w:val="24"/>
        </w:rPr>
        <w:t xml:space="preserve"> the</w:t>
      </w:r>
      <w:r w:rsidRPr="00BA2696">
        <w:rPr>
          <w:sz w:val="24"/>
          <w:szCs w:val="24"/>
        </w:rPr>
        <w:t xml:space="preserve"> unapologetic goal of ending ‘race’, gender and class oppression can be extrapolated to this research. However, </w:t>
      </w:r>
      <w:bookmarkStart w:id="67" w:name="_Hlk19211349"/>
      <w:r w:rsidRPr="00BA2696">
        <w:rPr>
          <w:sz w:val="24"/>
          <w:szCs w:val="24"/>
        </w:rPr>
        <w:t xml:space="preserve">Solórzano and Yasso (2002) </w:t>
      </w:r>
      <w:bookmarkEnd w:id="67"/>
      <w:r w:rsidRPr="00BA2696">
        <w:rPr>
          <w:sz w:val="24"/>
          <w:szCs w:val="24"/>
        </w:rPr>
        <w:t xml:space="preserve">also highlight the need to extend ‘race’ discourse beyond the black-white binary and this research has not done this; this is a recognised limitation of this research and will be discussed further in Chapter 7 (Section 7.8). </w:t>
      </w:r>
    </w:p>
    <w:p w14:paraId="19D2B523" w14:textId="77777777" w:rsidR="00C43694" w:rsidRPr="00BA2696" w:rsidRDefault="00C43694" w:rsidP="00C43694">
      <w:pPr>
        <w:spacing w:after="0" w:line="480" w:lineRule="auto"/>
        <w:rPr>
          <w:strike/>
          <w:sz w:val="24"/>
          <w:szCs w:val="24"/>
        </w:rPr>
      </w:pPr>
    </w:p>
    <w:p w14:paraId="437BCD7E" w14:textId="77777777" w:rsidR="00C43694" w:rsidRPr="00BA2696" w:rsidRDefault="00C43694" w:rsidP="00C43694">
      <w:pPr>
        <w:spacing w:after="0" w:line="480" w:lineRule="auto"/>
        <w:rPr>
          <w:sz w:val="24"/>
          <w:szCs w:val="24"/>
        </w:rPr>
      </w:pPr>
      <w:r w:rsidRPr="00BA2696">
        <w:rPr>
          <w:sz w:val="24"/>
          <w:szCs w:val="24"/>
        </w:rPr>
        <w:t xml:space="preserve">However, discussing the use of critical race theory in education research, </w:t>
      </w:r>
      <w:bookmarkStart w:id="68" w:name="_Hlk19258387"/>
      <w:r w:rsidRPr="00BA2696">
        <w:rPr>
          <w:sz w:val="24"/>
          <w:szCs w:val="24"/>
        </w:rPr>
        <w:t>Howard and Navarro (2016,</w:t>
      </w:r>
      <w:bookmarkEnd w:id="68"/>
      <w:r w:rsidRPr="00BA2696">
        <w:rPr>
          <w:sz w:val="24"/>
          <w:szCs w:val="24"/>
        </w:rPr>
        <w:t xml:space="preserve"> pp. 259-260) argue that whilst it has had a strong theoretical influence, ‘concrete examples of how to use it an analytical tool…remain a pressing need’. In the same way, Cabrera (2018) argues that the core tenets of critical</w:t>
      </w:r>
      <w:r>
        <w:rPr>
          <w:sz w:val="24"/>
          <w:szCs w:val="24"/>
        </w:rPr>
        <w:t xml:space="preserve"> race</w:t>
      </w:r>
      <w:r w:rsidRPr="00BA2696">
        <w:rPr>
          <w:sz w:val="24"/>
          <w:szCs w:val="24"/>
        </w:rPr>
        <w:t xml:space="preserve"> theory were not meant to be a theoretical research framework and that a racial theory is required to strengthen the use of critical race theory. To remedy this, Cabrera (2018) suggests that adding the ‘hegemony of whiteness’ as an additional tenet to critical race theory in HE research. Arguably, the combination of critical whiteness studies and critical race theory used in this research incorporates the core tenets of the latter and the theory of whiteness (and therefore the hegemony of whiteness) of the former. </w:t>
      </w:r>
    </w:p>
    <w:p w14:paraId="7F872313" w14:textId="77777777" w:rsidR="00C43694" w:rsidRPr="00BA2696" w:rsidRDefault="00C43694" w:rsidP="00C43694">
      <w:pPr>
        <w:spacing w:after="0" w:line="480" w:lineRule="auto"/>
        <w:rPr>
          <w:sz w:val="24"/>
          <w:szCs w:val="24"/>
        </w:rPr>
      </w:pPr>
    </w:p>
    <w:p w14:paraId="7E599AF7" w14:textId="77777777" w:rsidR="00C43694" w:rsidRPr="00BA2696" w:rsidRDefault="00C43694" w:rsidP="00C43694">
      <w:pPr>
        <w:spacing w:after="0" w:line="480" w:lineRule="auto"/>
        <w:rPr>
          <w:sz w:val="24"/>
          <w:szCs w:val="24"/>
        </w:rPr>
      </w:pPr>
      <w:r w:rsidRPr="00BA2696">
        <w:rPr>
          <w:sz w:val="24"/>
          <w:szCs w:val="24"/>
        </w:rPr>
        <w:lastRenderedPageBreak/>
        <w:t xml:space="preserve">On the other hand, it has been argued that adherence to the tenets of critical theory is vital to producing responsible and quality work, and by inference, research (Ladson-Billings, 2013). Moreover, Johnson-Ahorlu (2017) believes that combining critical ‘race’ research with activism can lead to social justice. It is in that spirit that the core tenets of critical race theory are utilised in this research. </w:t>
      </w:r>
    </w:p>
    <w:p w14:paraId="4E9AFABA" w14:textId="77777777" w:rsidR="00C43694" w:rsidRPr="00BA2696" w:rsidRDefault="00C43694" w:rsidP="00C43694">
      <w:pPr>
        <w:spacing w:after="0" w:line="480" w:lineRule="auto"/>
        <w:rPr>
          <w:sz w:val="24"/>
          <w:szCs w:val="24"/>
        </w:rPr>
      </w:pPr>
    </w:p>
    <w:p w14:paraId="2A919B4C" w14:textId="77777777" w:rsidR="00C43694" w:rsidRPr="00BA2696" w:rsidRDefault="00C43694" w:rsidP="00C43694">
      <w:pPr>
        <w:pStyle w:val="Heading3"/>
      </w:pPr>
      <w:bookmarkStart w:id="69" w:name="_Toc56523008"/>
      <w:bookmarkStart w:id="70" w:name="_Toc56523290"/>
      <w:bookmarkStart w:id="71" w:name="_Toc57910098"/>
      <w:bookmarkStart w:id="72" w:name="_Toc58251314"/>
      <w:bookmarkStart w:id="73" w:name="_Toc72413640"/>
      <w:r w:rsidRPr="00BA2696">
        <w:t>3.5 Methodology: Post-critical Ethnography</w:t>
      </w:r>
      <w:bookmarkEnd w:id="69"/>
      <w:bookmarkEnd w:id="70"/>
      <w:bookmarkEnd w:id="71"/>
      <w:bookmarkEnd w:id="72"/>
      <w:bookmarkEnd w:id="73"/>
    </w:p>
    <w:p w14:paraId="2EFF7167" w14:textId="77777777" w:rsidR="00C43694" w:rsidRPr="00BA2696" w:rsidRDefault="00C43694" w:rsidP="00C43694">
      <w:pPr>
        <w:spacing w:after="0" w:line="480" w:lineRule="auto"/>
        <w:rPr>
          <w:sz w:val="24"/>
          <w:szCs w:val="24"/>
        </w:rPr>
      </w:pPr>
      <w:r w:rsidRPr="00BA2696">
        <w:rPr>
          <w:sz w:val="24"/>
          <w:szCs w:val="24"/>
        </w:rPr>
        <w:t xml:space="preserve">Throughout this chapter there have been consistent themes in the chosen research paradigm, namely notions of research being political and emancipatory. This has been demonstrated by the theoretical perspective of critical theory, the ontological and epistemological positions and the theoretical lens of critical whiteness studies and critical race theory. In the same way, the chosen methodology for this research is post-critical ethnography. </w:t>
      </w:r>
    </w:p>
    <w:p w14:paraId="18AE3823" w14:textId="77777777" w:rsidR="00C43694" w:rsidRPr="00BA2696" w:rsidRDefault="00C43694" w:rsidP="00C43694">
      <w:pPr>
        <w:spacing w:after="0" w:line="480" w:lineRule="auto"/>
        <w:rPr>
          <w:sz w:val="24"/>
          <w:szCs w:val="24"/>
        </w:rPr>
      </w:pPr>
    </w:p>
    <w:p w14:paraId="6EAC67A3" w14:textId="77777777" w:rsidR="00C43694" w:rsidRPr="00BA2696" w:rsidRDefault="00C43694" w:rsidP="00C43694">
      <w:pPr>
        <w:spacing w:after="0" w:line="480" w:lineRule="auto"/>
        <w:rPr>
          <w:sz w:val="24"/>
          <w:szCs w:val="24"/>
        </w:rPr>
      </w:pPr>
      <w:r w:rsidRPr="00BA2696">
        <w:rPr>
          <w:sz w:val="24"/>
          <w:szCs w:val="24"/>
        </w:rPr>
        <w:t>Ethnography began during the end of colonialism and imperialism, with early ethnographic work being used by colonial powers as way of understanding the colonised culture and to assimilate them to Westernised expectations (Mantzoukas, 2010). Given the historical link between colonialism and ethnography, it required reconstruction from a once oppressive methodology in order</w:t>
      </w:r>
      <w:r>
        <w:rPr>
          <w:sz w:val="24"/>
          <w:szCs w:val="24"/>
        </w:rPr>
        <w:t xml:space="preserve"> to</w:t>
      </w:r>
      <w:r w:rsidRPr="00BA2696">
        <w:rPr>
          <w:sz w:val="24"/>
          <w:szCs w:val="24"/>
        </w:rPr>
        <w:t xml:space="preserve"> better understand systems of oppression. Critical ethnography diverges from its traditional predecessor in its political objective and its emancipatory purpose (Thomas, 1993; Carspecken, 1996) by seeking to challenge systems of power and inequality (Creswell, 2013), as well as developing the understanding of social justice (Madison, 2012; Denzin, 2017). Moreover, critical ethnographers not only recognise their biases but also ‘celebrate their normative and political position as a means of invoking social </w:t>
      </w:r>
      <w:r w:rsidRPr="00BA2696">
        <w:rPr>
          <w:sz w:val="24"/>
          <w:szCs w:val="24"/>
        </w:rPr>
        <w:lastRenderedPageBreak/>
        <w:t xml:space="preserve">consciousness and societal change’ (Thomas, 1993, p. 4). To that end, critical ethnography can be seen as the active application of critical theory (Thomas, 1993; Kinchloe and McLaren; 2000, Madison, 2012). Despite critical ethnography developing ethnography by incorporating critical theory’s ideas of emancipation, it has been accused of being ‘a form hegemony – patriarchal, Eurocentric, individualistic and white’ (Noblit, Flores and Murillo, 2004, p. 15). In this way, critical ethnography has been criticised for failing to allow the researcher to ‘problematize’ </w:t>
      </w:r>
      <w:r w:rsidRPr="00BA2696">
        <w:rPr>
          <w:i/>
          <w:iCs/>
          <w:sz w:val="24"/>
          <w:szCs w:val="24"/>
        </w:rPr>
        <w:t>(sic)</w:t>
      </w:r>
      <w:r w:rsidRPr="00BA2696">
        <w:rPr>
          <w:sz w:val="24"/>
          <w:szCs w:val="24"/>
        </w:rPr>
        <w:t xml:space="preserve"> their subjective understanding of the world’ (Hytten, 2004, p. 96). Similarly, Lather (1992) has suggested that it is an approach which can position the researcher as the answer to the problem of the participants. Therefore, whilst critical ethnography is the </w:t>
      </w:r>
      <w:r w:rsidRPr="00BA2696">
        <w:rPr>
          <w:i/>
          <w:iCs/>
          <w:sz w:val="24"/>
          <w:szCs w:val="24"/>
        </w:rPr>
        <w:t xml:space="preserve">doing </w:t>
      </w:r>
      <w:r w:rsidRPr="00BA2696">
        <w:rPr>
          <w:sz w:val="24"/>
          <w:szCs w:val="24"/>
        </w:rPr>
        <w:t>of critical theory and is concerned with ideas of emancipation, power dynamics and equality, it can potentially reproduce inequality through a lack of researcher reflexivity and even reinforce oppression (Vandenberg and Hall, 2011).</w:t>
      </w:r>
    </w:p>
    <w:p w14:paraId="6710B8A5" w14:textId="77777777" w:rsidR="00C43694" w:rsidRPr="00BA2696" w:rsidRDefault="00C43694" w:rsidP="00C43694">
      <w:pPr>
        <w:spacing w:after="0" w:line="480" w:lineRule="auto"/>
        <w:rPr>
          <w:sz w:val="24"/>
          <w:szCs w:val="24"/>
        </w:rPr>
      </w:pPr>
    </w:p>
    <w:p w14:paraId="07888975" w14:textId="77777777" w:rsidR="00C43694" w:rsidRPr="00BA2696" w:rsidRDefault="00C43694" w:rsidP="00C43694">
      <w:pPr>
        <w:spacing w:after="0" w:line="480" w:lineRule="auto"/>
        <w:rPr>
          <w:sz w:val="24"/>
          <w:szCs w:val="24"/>
        </w:rPr>
      </w:pPr>
      <w:r w:rsidRPr="00BA2696">
        <w:rPr>
          <w:sz w:val="24"/>
          <w:szCs w:val="24"/>
        </w:rPr>
        <w:t>To overcome these shortcomings of critical ethnography, post-critical ethnography was introduced. Central to the methodology is the concern with reflexive exploration of the researcher’s position, as well as the purpose of the research (Noblit, Flores and Murillo, 2004). Although post-critical ethnography adopts the political and emancipatory core of critical ethnography, where it departs from its predecessor is the role and responsibilities of the researcher, as ‘</w:t>
      </w:r>
      <w:bookmarkStart w:id="74" w:name="_Hlk58267557"/>
      <w:r w:rsidRPr="00BA2696">
        <w:rPr>
          <w:sz w:val="24"/>
          <w:szCs w:val="24"/>
        </w:rPr>
        <w:t xml:space="preserve">post-critical ethnographies require the interrogation of the power and politics of the critic himself/herself as well as in the social scene studied’ </w:t>
      </w:r>
      <w:bookmarkStart w:id="75" w:name="_Hlk19778754"/>
      <w:r w:rsidRPr="00BA2696">
        <w:rPr>
          <w:sz w:val="24"/>
          <w:szCs w:val="24"/>
        </w:rPr>
        <w:t>(</w:t>
      </w:r>
      <w:bookmarkStart w:id="76" w:name="_Hlk19779806"/>
      <w:r w:rsidRPr="00BA2696">
        <w:rPr>
          <w:sz w:val="24"/>
          <w:szCs w:val="24"/>
        </w:rPr>
        <w:t>Noblit, Flores and Murillo, 2004</w:t>
      </w:r>
      <w:bookmarkEnd w:id="75"/>
      <w:bookmarkEnd w:id="76"/>
      <w:r w:rsidRPr="00BA2696">
        <w:rPr>
          <w:sz w:val="24"/>
          <w:szCs w:val="24"/>
        </w:rPr>
        <w:t xml:space="preserve">, p. 19). </w:t>
      </w:r>
      <w:bookmarkEnd w:id="74"/>
      <w:r w:rsidRPr="00BA2696">
        <w:rPr>
          <w:sz w:val="24"/>
          <w:szCs w:val="24"/>
        </w:rPr>
        <w:t xml:space="preserve">Indeed, post-critical ethnographers usually come to research with a pre-existing commitment to justice that extends beyond the research itself (Anders and Lester, 2019) and focus their research on systemic inequalities and injustices (Anders, 2019). </w:t>
      </w:r>
      <w:r w:rsidRPr="00BA2696">
        <w:rPr>
          <w:sz w:val="24"/>
          <w:szCs w:val="24"/>
        </w:rPr>
        <w:lastRenderedPageBreak/>
        <w:t xml:space="preserve">Noblit, Flores and Murillo (2004) outline four central issues to guide the post-critical ethnographer (Table </w:t>
      </w:r>
      <w:r>
        <w:rPr>
          <w:sz w:val="24"/>
          <w:szCs w:val="24"/>
        </w:rPr>
        <w:t>14</w:t>
      </w:r>
      <w:r w:rsidRPr="00BA2696">
        <w:rPr>
          <w:sz w:val="24"/>
          <w:szCs w:val="24"/>
        </w:rPr>
        <w:t>):</w:t>
      </w:r>
    </w:p>
    <w:p w14:paraId="1C0DF61E" w14:textId="77777777" w:rsidR="00C43694" w:rsidRPr="009C3ADD" w:rsidRDefault="00C43694" w:rsidP="00C43694">
      <w:pPr>
        <w:pStyle w:val="Caption"/>
        <w:keepNext/>
        <w:rPr>
          <w:sz w:val="24"/>
          <w:szCs w:val="24"/>
        </w:rPr>
      </w:pPr>
      <w:bookmarkStart w:id="77" w:name="_Toc72253528"/>
      <w:bookmarkStart w:id="78" w:name="_Toc72253850"/>
      <w:bookmarkStart w:id="79" w:name="_Toc72253872"/>
      <w:bookmarkStart w:id="80" w:name="_Toc72324675"/>
      <w:bookmarkStart w:id="81" w:name="_Hlk67128194"/>
      <w:r w:rsidRPr="009C3ADD">
        <w:rPr>
          <w:sz w:val="24"/>
          <w:szCs w:val="24"/>
        </w:rPr>
        <w:t xml:space="preserve">Table </w:t>
      </w:r>
      <w:r w:rsidRPr="009C3ADD">
        <w:rPr>
          <w:sz w:val="24"/>
          <w:szCs w:val="24"/>
        </w:rPr>
        <w:fldChar w:fldCharType="begin"/>
      </w:r>
      <w:r w:rsidRPr="009C3ADD">
        <w:rPr>
          <w:sz w:val="24"/>
          <w:szCs w:val="24"/>
        </w:rPr>
        <w:instrText xml:space="preserve"> SEQ Table \* ARABIC </w:instrText>
      </w:r>
      <w:r w:rsidRPr="009C3ADD">
        <w:rPr>
          <w:sz w:val="24"/>
          <w:szCs w:val="24"/>
        </w:rPr>
        <w:fldChar w:fldCharType="separate"/>
      </w:r>
      <w:r w:rsidRPr="009C3ADD">
        <w:rPr>
          <w:noProof/>
          <w:sz w:val="24"/>
          <w:szCs w:val="24"/>
        </w:rPr>
        <w:t>14</w:t>
      </w:r>
      <w:r w:rsidRPr="009C3ADD">
        <w:rPr>
          <w:sz w:val="24"/>
          <w:szCs w:val="24"/>
        </w:rPr>
        <w:fldChar w:fldCharType="end"/>
      </w:r>
      <w:r w:rsidRPr="009C3ADD">
        <w:rPr>
          <w:sz w:val="24"/>
          <w:szCs w:val="24"/>
        </w:rPr>
        <w:t xml:space="preserve"> Summary of the central issues to post-critical ethnography</w:t>
      </w:r>
      <w:bookmarkEnd w:id="77"/>
      <w:bookmarkEnd w:id="78"/>
      <w:bookmarkEnd w:id="79"/>
      <w:bookmarkEnd w:id="80"/>
    </w:p>
    <w:tbl>
      <w:tblPr>
        <w:tblW w:w="0" w:type="auto"/>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2373"/>
        <w:gridCol w:w="6086"/>
      </w:tblGrid>
      <w:tr w:rsidR="00C43694" w:rsidRPr="00BA2696" w14:paraId="07DEEB1B" w14:textId="77777777" w:rsidTr="00C75158">
        <w:tc>
          <w:tcPr>
            <w:tcW w:w="2373" w:type="dxa"/>
            <w:shd w:val="clear" w:color="auto" w:fill="auto"/>
          </w:tcPr>
          <w:bookmarkEnd w:id="81"/>
          <w:p w14:paraId="5EA7A19B" w14:textId="77777777" w:rsidR="00C43694" w:rsidRPr="00BA2696" w:rsidRDefault="00C43694" w:rsidP="00C75158">
            <w:pPr>
              <w:spacing w:after="0" w:line="240" w:lineRule="auto"/>
              <w:ind w:right="567"/>
              <w:rPr>
                <w:b/>
                <w:bCs/>
                <w:sz w:val="24"/>
                <w:szCs w:val="24"/>
              </w:rPr>
            </w:pPr>
            <w:r w:rsidRPr="00BA2696">
              <w:rPr>
                <w:b/>
                <w:bCs/>
                <w:sz w:val="24"/>
                <w:szCs w:val="24"/>
              </w:rPr>
              <w:t>Issue</w:t>
            </w:r>
          </w:p>
        </w:tc>
        <w:tc>
          <w:tcPr>
            <w:tcW w:w="6086" w:type="dxa"/>
            <w:shd w:val="clear" w:color="auto" w:fill="auto"/>
          </w:tcPr>
          <w:p w14:paraId="5FEFA6CD" w14:textId="77777777" w:rsidR="00C43694" w:rsidRPr="00BA2696" w:rsidRDefault="00C43694" w:rsidP="00C75158">
            <w:pPr>
              <w:spacing w:after="0" w:line="240" w:lineRule="auto"/>
              <w:ind w:right="567"/>
              <w:rPr>
                <w:b/>
                <w:bCs/>
                <w:sz w:val="24"/>
                <w:szCs w:val="24"/>
              </w:rPr>
            </w:pPr>
            <w:r w:rsidRPr="00BA2696">
              <w:rPr>
                <w:b/>
                <w:bCs/>
                <w:sz w:val="24"/>
                <w:szCs w:val="24"/>
              </w:rPr>
              <w:t>Description</w:t>
            </w:r>
          </w:p>
        </w:tc>
      </w:tr>
      <w:tr w:rsidR="00C43694" w:rsidRPr="00BA2696" w14:paraId="19A33A5D" w14:textId="77777777" w:rsidTr="00C75158">
        <w:tc>
          <w:tcPr>
            <w:tcW w:w="2373" w:type="dxa"/>
            <w:shd w:val="clear" w:color="auto" w:fill="F2F2F2"/>
          </w:tcPr>
          <w:p w14:paraId="0DEE1C1D" w14:textId="77777777" w:rsidR="00C43694" w:rsidRPr="00BA2696" w:rsidRDefault="00C43694" w:rsidP="00C75158">
            <w:pPr>
              <w:spacing w:after="0" w:line="240" w:lineRule="auto"/>
              <w:ind w:right="567"/>
              <w:rPr>
                <w:b/>
                <w:bCs/>
                <w:sz w:val="24"/>
                <w:szCs w:val="24"/>
              </w:rPr>
            </w:pPr>
            <w:r w:rsidRPr="00BA2696">
              <w:rPr>
                <w:b/>
                <w:bCs/>
                <w:sz w:val="24"/>
                <w:szCs w:val="24"/>
              </w:rPr>
              <w:t>Positionality</w:t>
            </w:r>
          </w:p>
        </w:tc>
        <w:tc>
          <w:tcPr>
            <w:tcW w:w="6086" w:type="dxa"/>
            <w:shd w:val="clear" w:color="auto" w:fill="F2F2F2"/>
          </w:tcPr>
          <w:p w14:paraId="02B94BF2" w14:textId="77777777" w:rsidR="00C43694" w:rsidRPr="00BA2696" w:rsidRDefault="00C43694" w:rsidP="00C75158">
            <w:pPr>
              <w:spacing w:after="0" w:line="240" w:lineRule="auto"/>
              <w:ind w:right="567"/>
              <w:rPr>
                <w:sz w:val="24"/>
                <w:szCs w:val="24"/>
              </w:rPr>
            </w:pPr>
            <w:r w:rsidRPr="00BA2696">
              <w:rPr>
                <w:sz w:val="24"/>
                <w:szCs w:val="24"/>
              </w:rPr>
              <w:t xml:space="preserve">The researcher’s race, gender, class etc. are explored in relation to the ethnography. </w:t>
            </w:r>
          </w:p>
        </w:tc>
      </w:tr>
      <w:tr w:rsidR="00C43694" w:rsidRPr="00BA2696" w14:paraId="0F867E9A" w14:textId="77777777" w:rsidTr="00C75158">
        <w:tc>
          <w:tcPr>
            <w:tcW w:w="2373" w:type="dxa"/>
            <w:shd w:val="clear" w:color="auto" w:fill="auto"/>
          </w:tcPr>
          <w:p w14:paraId="2602C526" w14:textId="77777777" w:rsidR="00C43694" w:rsidRPr="00BA2696" w:rsidRDefault="00C43694" w:rsidP="00C75158">
            <w:pPr>
              <w:spacing w:after="0" w:line="240" w:lineRule="auto"/>
              <w:ind w:right="567"/>
              <w:rPr>
                <w:b/>
                <w:bCs/>
                <w:sz w:val="24"/>
                <w:szCs w:val="24"/>
              </w:rPr>
            </w:pPr>
            <w:r w:rsidRPr="00BA2696">
              <w:rPr>
                <w:b/>
                <w:bCs/>
                <w:sz w:val="24"/>
                <w:szCs w:val="24"/>
              </w:rPr>
              <w:t>Reflexivity</w:t>
            </w:r>
          </w:p>
        </w:tc>
        <w:tc>
          <w:tcPr>
            <w:tcW w:w="6086" w:type="dxa"/>
            <w:shd w:val="clear" w:color="auto" w:fill="auto"/>
          </w:tcPr>
          <w:p w14:paraId="53521899" w14:textId="77777777" w:rsidR="00C43694" w:rsidRPr="00BA2696" w:rsidRDefault="00C43694" w:rsidP="00C75158">
            <w:pPr>
              <w:spacing w:after="0" w:line="240" w:lineRule="auto"/>
              <w:ind w:right="567"/>
              <w:rPr>
                <w:sz w:val="24"/>
                <w:szCs w:val="24"/>
              </w:rPr>
            </w:pPr>
            <w:r w:rsidRPr="00BA2696">
              <w:rPr>
                <w:sz w:val="24"/>
                <w:szCs w:val="24"/>
              </w:rPr>
              <w:t>Reflexivity in relation to the researcher and the participants. Whereby the researcher accepts the identity of participants can be variable given the context. The researcher recognises ‘the alternative possibilities, identities, juxtapositions and outcomes in any scene studied ethnographically’ (p. 22)</w:t>
            </w:r>
          </w:p>
        </w:tc>
      </w:tr>
      <w:tr w:rsidR="00C43694" w:rsidRPr="00BA2696" w14:paraId="2916A67B" w14:textId="77777777" w:rsidTr="00C75158">
        <w:tc>
          <w:tcPr>
            <w:tcW w:w="2373" w:type="dxa"/>
            <w:shd w:val="clear" w:color="auto" w:fill="F2F2F2"/>
          </w:tcPr>
          <w:p w14:paraId="35B38554" w14:textId="77777777" w:rsidR="00C43694" w:rsidRPr="00BA2696" w:rsidRDefault="00C43694" w:rsidP="00C75158">
            <w:pPr>
              <w:spacing w:after="0" w:line="240" w:lineRule="auto"/>
              <w:ind w:right="567"/>
              <w:rPr>
                <w:b/>
                <w:bCs/>
                <w:sz w:val="24"/>
                <w:szCs w:val="24"/>
              </w:rPr>
            </w:pPr>
            <w:r w:rsidRPr="00BA2696">
              <w:rPr>
                <w:b/>
                <w:bCs/>
                <w:sz w:val="24"/>
                <w:szCs w:val="24"/>
              </w:rPr>
              <w:t>Objectivity</w:t>
            </w:r>
          </w:p>
        </w:tc>
        <w:tc>
          <w:tcPr>
            <w:tcW w:w="6086" w:type="dxa"/>
            <w:shd w:val="clear" w:color="auto" w:fill="F2F2F2"/>
          </w:tcPr>
          <w:p w14:paraId="430EC7E0" w14:textId="77777777" w:rsidR="00C43694" w:rsidRPr="00BA2696" w:rsidRDefault="00C43694" w:rsidP="00C75158">
            <w:pPr>
              <w:spacing w:after="0" w:line="240" w:lineRule="auto"/>
              <w:ind w:right="567"/>
              <w:rPr>
                <w:sz w:val="24"/>
                <w:szCs w:val="24"/>
              </w:rPr>
            </w:pPr>
            <w:r w:rsidRPr="00BA2696">
              <w:rPr>
                <w:sz w:val="24"/>
                <w:szCs w:val="24"/>
              </w:rPr>
              <w:t>Although objectivity is rejected by post-critical ethnography, it is recognised that ‘the act of writing inscribes a critical interpretation that exists beyond the intentions to de-objectify’ (p. 22)</w:t>
            </w:r>
          </w:p>
        </w:tc>
      </w:tr>
      <w:tr w:rsidR="00C43694" w:rsidRPr="00BA2696" w14:paraId="70B4F817" w14:textId="77777777" w:rsidTr="00C75158">
        <w:tc>
          <w:tcPr>
            <w:tcW w:w="2373" w:type="dxa"/>
            <w:shd w:val="clear" w:color="auto" w:fill="auto"/>
          </w:tcPr>
          <w:p w14:paraId="64FD88CF" w14:textId="77777777" w:rsidR="00C43694" w:rsidRPr="00BA2696" w:rsidRDefault="00C43694" w:rsidP="00C75158">
            <w:pPr>
              <w:spacing w:after="0" w:line="240" w:lineRule="auto"/>
              <w:ind w:right="567"/>
              <w:rPr>
                <w:b/>
                <w:bCs/>
                <w:sz w:val="24"/>
                <w:szCs w:val="24"/>
              </w:rPr>
            </w:pPr>
            <w:r w:rsidRPr="00BA2696">
              <w:rPr>
                <w:b/>
                <w:bCs/>
                <w:sz w:val="24"/>
                <w:szCs w:val="24"/>
              </w:rPr>
              <w:t>Representation</w:t>
            </w:r>
          </w:p>
        </w:tc>
        <w:tc>
          <w:tcPr>
            <w:tcW w:w="6086" w:type="dxa"/>
            <w:shd w:val="clear" w:color="auto" w:fill="auto"/>
          </w:tcPr>
          <w:p w14:paraId="6D765C04" w14:textId="77777777" w:rsidR="00C43694" w:rsidRPr="00BA2696" w:rsidRDefault="00C43694" w:rsidP="00C75158">
            <w:pPr>
              <w:spacing w:after="0" w:line="240" w:lineRule="auto"/>
              <w:ind w:right="567"/>
              <w:rPr>
                <w:sz w:val="24"/>
                <w:szCs w:val="24"/>
              </w:rPr>
            </w:pPr>
            <w:r w:rsidRPr="00BA2696">
              <w:rPr>
                <w:sz w:val="24"/>
                <w:szCs w:val="24"/>
              </w:rPr>
              <w:t xml:space="preserve">This relates to how the research is disseminated and the decisions taken about why the topic is being studied, </w:t>
            </w:r>
            <w:bookmarkStart w:id="82" w:name="_Hlk23756054"/>
            <w:r w:rsidRPr="00BA2696">
              <w:rPr>
                <w:sz w:val="24"/>
                <w:szCs w:val="24"/>
              </w:rPr>
              <w:t xml:space="preserve">how the participants are portrayed </w:t>
            </w:r>
            <w:bookmarkEnd w:id="82"/>
            <w:r w:rsidRPr="00BA2696">
              <w:rPr>
                <w:sz w:val="24"/>
                <w:szCs w:val="24"/>
              </w:rPr>
              <w:t xml:space="preserve">and to explore the educative aspects of the research. </w:t>
            </w:r>
          </w:p>
        </w:tc>
      </w:tr>
    </w:tbl>
    <w:p w14:paraId="699E8742" w14:textId="77777777" w:rsidR="00C43694" w:rsidRPr="00BA2696" w:rsidRDefault="00C43694" w:rsidP="00C43694">
      <w:pPr>
        <w:spacing w:after="0" w:line="240" w:lineRule="auto"/>
        <w:ind w:left="1440" w:right="567"/>
        <w:jc w:val="right"/>
        <w:rPr>
          <w:i/>
          <w:iCs/>
          <w:sz w:val="24"/>
          <w:szCs w:val="24"/>
        </w:rPr>
      </w:pPr>
      <w:r w:rsidRPr="00BA2696">
        <w:rPr>
          <w:sz w:val="24"/>
          <w:szCs w:val="24"/>
        </w:rPr>
        <w:t xml:space="preserve">  (</w:t>
      </w:r>
      <w:r w:rsidRPr="00BA2696">
        <w:rPr>
          <w:i/>
          <w:iCs/>
          <w:sz w:val="24"/>
          <w:szCs w:val="24"/>
        </w:rPr>
        <w:t xml:space="preserve">adapted from </w:t>
      </w:r>
      <w:bookmarkStart w:id="83" w:name="_Hlk36200609"/>
      <w:r w:rsidRPr="00BA2696">
        <w:rPr>
          <w:sz w:val="24"/>
          <w:szCs w:val="24"/>
        </w:rPr>
        <w:t>Noblit, Flores and Murillo, 2004</w:t>
      </w:r>
      <w:bookmarkEnd w:id="83"/>
      <w:r w:rsidRPr="00BA2696">
        <w:rPr>
          <w:sz w:val="24"/>
          <w:szCs w:val="24"/>
        </w:rPr>
        <w:t>, pp 21-24)</w:t>
      </w:r>
    </w:p>
    <w:p w14:paraId="01B7E764" w14:textId="77777777" w:rsidR="00C43694" w:rsidRPr="00BA2696" w:rsidRDefault="00C43694" w:rsidP="00C43694">
      <w:pPr>
        <w:spacing w:after="0" w:line="480" w:lineRule="auto"/>
        <w:jc w:val="right"/>
        <w:rPr>
          <w:sz w:val="24"/>
          <w:szCs w:val="24"/>
        </w:rPr>
      </w:pPr>
    </w:p>
    <w:p w14:paraId="073496D6" w14:textId="77777777" w:rsidR="00C43694" w:rsidRPr="00BA2696" w:rsidRDefault="00C43694" w:rsidP="00C43694">
      <w:pPr>
        <w:spacing w:after="0" w:line="480" w:lineRule="auto"/>
        <w:rPr>
          <w:sz w:val="24"/>
          <w:szCs w:val="24"/>
        </w:rPr>
      </w:pPr>
      <w:r w:rsidRPr="00BA2696">
        <w:rPr>
          <w:sz w:val="24"/>
          <w:szCs w:val="24"/>
        </w:rPr>
        <w:t xml:space="preserve">These (Table </w:t>
      </w:r>
      <w:r>
        <w:rPr>
          <w:sz w:val="24"/>
          <w:szCs w:val="24"/>
        </w:rPr>
        <w:t>14</w:t>
      </w:r>
      <w:r w:rsidRPr="00BA2696">
        <w:rPr>
          <w:sz w:val="24"/>
          <w:szCs w:val="24"/>
        </w:rPr>
        <w:t>) attempt to overcome the potential oppression in critical theory due</w:t>
      </w:r>
      <w:r>
        <w:rPr>
          <w:sz w:val="24"/>
          <w:szCs w:val="24"/>
        </w:rPr>
        <w:t xml:space="preserve"> to</w:t>
      </w:r>
      <w:r w:rsidRPr="00BA2696">
        <w:rPr>
          <w:sz w:val="24"/>
          <w:szCs w:val="24"/>
        </w:rPr>
        <w:t xml:space="preserve"> its lack of reflexivity and consideration of researcher bias (Vandenberg and Hall, 2011). Thus, post-critical ethnographers ‘address the significance of positionality, and practice reflexivity’ (Anders, 2019, p. 2). To do this, the researcher’s positionality needs to be:</w:t>
      </w:r>
    </w:p>
    <w:p w14:paraId="078B495E" w14:textId="77777777" w:rsidR="00C43694" w:rsidRPr="00BA2696" w:rsidRDefault="00C43694" w:rsidP="00C43694">
      <w:pPr>
        <w:spacing w:after="0" w:line="240" w:lineRule="auto"/>
        <w:ind w:left="567" w:right="567"/>
        <w:rPr>
          <w:sz w:val="24"/>
          <w:szCs w:val="24"/>
        </w:rPr>
      </w:pPr>
      <w:r w:rsidRPr="00BA2696">
        <w:rPr>
          <w:sz w:val="24"/>
          <w:szCs w:val="24"/>
        </w:rPr>
        <w:t>accessible, transparent and vulnerable to judgement and evaluation. In this way we take ethical responsibility for</w:t>
      </w:r>
      <w:r>
        <w:rPr>
          <w:sz w:val="24"/>
          <w:szCs w:val="24"/>
        </w:rPr>
        <w:t xml:space="preserve"> our</w:t>
      </w:r>
      <w:r w:rsidRPr="00BA2696">
        <w:rPr>
          <w:sz w:val="24"/>
          <w:szCs w:val="24"/>
        </w:rPr>
        <w:t xml:space="preserve"> own subjectivity and political perspective, resisting the trap of gratuitous self-centeredness (Madison, 2012, p. 9)</w:t>
      </w:r>
    </w:p>
    <w:p w14:paraId="058A5969" w14:textId="77777777" w:rsidR="00C43694" w:rsidRPr="00BA2696" w:rsidRDefault="00C43694" w:rsidP="00C43694">
      <w:pPr>
        <w:spacing w:after="0" w:line="480" w:lineRule="auto"/>
        <w:ind w:right="567"/>
        <w:rPr>
          <w:sz w:val="24"/>
          <w:szCs w:val="24"/>
        </w:rPr>
      </w:pPr>
    </w:p>
    <w:p w14:paraId="2794B331" w14:textId="77777777" w:rsidR="00C43694" w:rsidRPr="00BA2696" w:rsidRDefault="00C43694" w:rsidP="00C43694">
      <w:pPr>
        <w:spacing w:after="0" w:line="480" w:lineRule="auto"/>
        <w:ind w:right="567"/>
        <w:rPr>
          <w:sz w:val="24"/>
          <w:szCs w:val="24"/>
        </w:rPr>
      </w:pPr>
      <w:r w:rsidRPr="00BA2696">
        <w:rPr>
          <w:sz w:val="24"/>
          <w:szCs w:val="24"/>
        </w:rPr>
        <w:t xml:space="preserve">However, </w:t>
      </w:r>
      <w:bookmarkStart w:id="84" w:name="_Hlk70950039"/>
      <w:r w:rsidRPr="00BA2696">
        <w:rPr>
          <w:sz w:val="24"/>
          <w:szCs w:val="24"/>
        </w:rPr>
        <w:t xml:space="preserve">‘gratuitous self-centredness’ (Madison, 2012, p. 9) </w:t>
      </w:r>
      <w:bookmarkEnd w:id="84"/>
      <w:r w:rsidRPr="00BA2696">
        <w:rPr>
          <w:sz w:val="24"/>
          <w:szCs w:val="24"/>
        </w:rPr>
        <w:t>is difficult to define, leaving it to the individual researcher to decide what is appropriate to share and what teeters into self-indulgence. This recalls the caution presented about critical whiteness studies, which may give the white scholar permission</w:t>
      </w:r>
      <w:r>
        <w:rPr>
          <w:sz w:val="24"/>
          <w:szCs w:val="24"/>
        </w:rPr>
        <w:t xml:space="preserve"> to</w:t>
      </w:r>
      <w:r w:rsidRPr="00BA2696">
        <w:rPr>
          <w:sz w:val="24"/>
          <w:szCs w:val="24"/>
        </w:rPr>
        <w:t xml:space="preserve"> centre their story (Byrne, </w:t>
      </w:r>
      <w:r w:rsidRPr="00BA2696">
        <w:rPr>
          <w:sz w:val="24"/>
          <w:szCs w:val="24"/>
        </w:rPr>
        <w:lastRenderedPageBreak/>
        <w:t xml:space="preserve">2006; Dyer, 2017). Therefore, it would appear that the white post-critical ethnographer who uses a critical whiteness studies theoretical lens has a unique dilemma: the methodology demands a reflexive and transparent consideration of their positionality and how this may influence the research, and the theory demands situating the research into discussions of white supremacy without replicating that supremacy through white researchers dominating ‘race’ studies. To traverse this difficult terrain, I remain open to critical feedback throughout the research about my positionality, particularly in relation to whiteness. </w:t>
      </w:r>
    </w:p>
    <w:p w14:paraId="0EAB2B85" w14:textId="77777777" w:rsidR="00C43694" w:rsidRPr="00BA2696" w:rsidRDefault="00C43694" w:rsidP="00C43694">
      <w:pPr>
        <w:spacing w:after="0" w:line="480" w:lineRule="auto"/>
        <w:ind w:right="567"/>
        <w:rPr>
          <w:sz w:val="24"/>
          <w:szCs w:val="24"/>
        </w:rPr>
      </w:pPr>
    </w:p>
    <w:p w14:paraId="57B157E8" w14:textId="77777777" w:rsidR="00C43694" w:rsidRPr="00BA2696" w:rsidRDefault="00C43694" w:rsidP="00C43694">
      <w:pPr>
        <w:spacing w:after="0" w:line="480" w:lineRule="auto"/>
        <w:ind w:right="567"/>
        <w:rPr>
          <w:sz w:val="24"/>
          <w:szCs w:val="24"/>
        </w:rPr>
      </w:pPr>
      <w:r w:rsidRPr="00BA2696">
        <w:rPr>
          <w:sz w:val="24"/>
          <w:szCs w:val="24"/>
        </w:rPr>
        <w:t>However, being a post-critical ethnographer using reflexivity is not without its difficulties</w:t>
      </w:r>
      <w:r>
        <w:rPr>
          <w:sz w:val="24"/>
          <w:szCs w:val="24"/>
        </w:rPr>
        <w:t>.</w:t>
      </w:r>
      <w:r w:rsidRPr="00BA2696">
        <w:rPr>
          <w:sz w:val="24"/>
          <w:szCs w:val="24"/>
        </w:rPr>
        <w:t xml:space="preserve"> Anders and Lester (2019) recall how their post-critical ethnographic research with refugees left them with a sense of loss and grief at witnessing traumatic stories, arguing that complex emotional feelings can become entangled with the critique. They suggest incorporating these emotional reactions into the research, noting that ‘ideological informed research…tears at the edges of process, hearts and bodies’ (Anders and Lester, 2019, p. 9). Likewise, McQueeney and Lavelle (2017) have referred to this as the ‘emotional labour’ of critical ethnography, moving the emotional reactions beyond personal reflections by including them as part of the data analysis. This will be discussed in Chapter 6 (Sections 6.1 and 6.4) and Chapter 7 (Section 7.8). I have also explored the emotional impact of</w:t>
      </w:r>
      <w:r>
        <w:rPr>
          <w:sz w:val="24"/>
          <w:szCs w:val="24"/>
        </w:rPr>
        <w:t xml:space="preserve"> this</w:t>
      </w:r>
      <w:r w:rsidRPr="00BA2696">
        <w:rPr>
          <w:sz w:val="24"/>
          <w:szCs w:val="24"/>
        </w:rPr>
        <w:t xml:space="preserve"> research elsewhere (Smith, 2021, see Appendix v</w:t>
      </w:r>
      <w:r>
        <w:rPr>
          <w:sz w:val="24"/>
          <w:szCs w:val="24"/>
        </w:rPr>
        <w:t>i</w:t>
      </w:r>
      <w:r w:rsidRPr="00BA2696">
        <w:rPr>
          <w:sz w:val="24"/>
          <w:szCs w:val="24"/>
        </w:rPr>
        <w:t xml:space="preserve">). This recognition of the emotional toll of research compliments the epistemological stance of ‘theorised subjectivity’ (Letherby, 2013) where the political and emotional impact of the research is acknowledged. </w:t>
      </w:r>
    </w:p>
    <w:p w14:paraId="49864585" w14:textId="77777777" w:rsidR="00C43694" w:rsidRPr="00BA2696" w:rsidRDefault="00C43694" w:rsidP="00C43694">
      <w:pPr>
        <w:spacing w:after="0" w:line="480" w:lineRule="auto"/>
        <w:rPr>
          <w:sz w:val="24"/>
          <w:szCs w:val="24"/>
        </w:rPr>
      </w:pPr>
    </w:p>
    <w:p w14:paraId="3F25E691" w14:textId="77777777" w:rsidR="00C43694" w:rsidRPr="00BA2696" w:rsidRDefault="00C43694" w:rsidP="00C43694">
      <w:pPr>
        <w:spacing w:after="0" w:line="480" w:lineRule="auto"/>
        <w:rPr>
          <w:sz w:val="24"/>
          <w:szCs w:val="24"/>
        </w:rPr>
      </w:pPr>
      <w:r w:rsidRPr="00BA2696">
        <w:rPr>
          <w:sz w:val="24"/>
          <w:szCs w:val="24"/>
        </w:rPr>
        <w:lastRenderedPageBreak/>
        <w:t xml:space="preserve">Furthermore, not only is post-critical ethnography a political, reflexive and anti-oppressive methodology, but it is also one imbued with a sense of morality (Lester and Anders, 2018). It has been proposed that ‘post-critical ethnographies are in an important sense not designed but enacted or produced as a </w:t>
      </w:r>
      <w:bookmarkStart w:id="85" w:name="_Hlk52383025"/>
      <w:r w:rsidRPr="00BA2696">
        <w:rPr>
          <w:sz w:val="24"/>
          <w:szCs w:val="24"/>
        </w:rPr>
        <w:t>moral activity’ (</w:t>
      </w:r>
      <w:bookmarkStart w:id="86" w:name="_Hlk22548140"/>
      <w:r w:rsidRPr="00BA2696">
        <w:rPr>
          <w:sz w:val="24"/>
          <w:szCs w:val="24"/>
        </w:rPr>
        <w:t>Nobilt, Flores and Murillo, 2004, p. 24).</w:t>
      </w:r>
      <w:bookmarkEnd w:id="85"/>
      <w:r w:rsidRPr="00BA2696">
        <w:rPr>
          <w:sz w:val="24"/>
          <w:szCs w:val="24"/>
        </w:rPr>
        <w:t xml:space="preserve"> In this way, the most important responsibility the post-critical ethnographer has is to their participants (</w:t>
      </w:r>
      <w:bookmarkStart w:id="87" w:name="_Hlk22717424"/>
      <w:r w:rsidRPr="00BA2696">
        <w:rPr>
          <w:sz w:val="24"/>
          <w:szCs w:val="24"/>
        </w:rPr>
        <w:t>Lester and Anders, 2018</w:t>
      </w:r>
      <w:bookmarkEnd w:id="87"/>
      <w:r w:rsidRPr="00BA2696">
        <w:rPr>
          <w:sz w:val="24"/>
          <w:szCs w:val="24"/>
        </w:rPr>
        <w:t xml:space="preserve">), with Hytten (2004) </w:t>
      </w:r>
      <w:bookmarkEnd w:id="86"/>
      <w:r w:rsidRPr="00BA2696">
        <w:rPr>
          <w:sz w:val="24"/>
          <w:szCs w:val="24"/>
        </w:rPr>
        <w:t xml:space="preserve">arguing that the researcher should make their work accessible to their participants and the research itself should have an educative purpose. It is for that reason that participants had the right to withdraw from the research at any time, were given the autonomy to choose their research pseudonym and were invited to give feedback to the findings (see Chapter 4, Sections 4.3 and 4.5). It is certainly the case that the topic of this research is one that stems from personal experience (Chapter 1, Section 1.1) and there is a sense of moral duty to both represent the participants fairly and to contribute to discourse about ‘race’, racism and whiteness in a principled and ethical way. The careful representation of the participants, through choosing their own pseudonyms, using lengthy verbatim interview extracts </w:t>
      </w:r>
      <w:r>
        <w:rPr>
          <w:sz w:val="24"/>
          <w:szCs w:val="24"/>
        </w:rPr>
        <w:t>t</w:t>
      </w:r>
      <w:r w:rsidRPr="00BA2696">
        <w:rPr>
          <w:sz w:val="24"/>
          <w:szCs w:val="24"/>
        </w:rPr>
        <w:t xml:space="preserve">o represent their voices (Chapter 5), and discussing the findings without condemnation (Chapter 6), all serve to demonstrate the ‘representation’ and ‘objectivity’ aspects of post-critical ethnography (Noblit, Flores and Murillo, 2004). </w:t>
      </w:r>
    </w:p>
    <w:p w14:paraId="2C0B2E0E" w14:textId="77777777" w:rsidR="00C43694" w:rsidRPr="00BA2696" w:rsidRDefault="00C43694" w:rsidP="00C43694">
      <w:pPr>
        <w:spacing w:after="0" w:line="480" w:lineRule="auto"/>
        <w:ind w:right="567"/>
        <w:rPr>
          <w:sz w:val="24"/>
          <w:szCs w:val="24"/>
        </w:rPr>
      </w:pPr>
    </w:p>
    <w:p w14:paraId="43F29FB5" w14:textId="77777777" w:rsidR="00C43694" w:rsidRPr="00BA2696" w:rsidRDefault="00C43694" w:rsidP="00C43694">
      <w:pPr>
        <w:spacing w:after="0" w:line="480" w:lineRule="auto"/>
        <w:ind w:right="567"/>
        <w:rPr>
          <w:sz w:val="24"/>
          <w:szCs w:val="24"/>
        </w:rPr>
      </w:pPr>
      <w:r w:rsidRPr="00BA2696">
        <w:rPr>
          <w:sz w:val="24"/>
          <w:szCs w:val="24"/>
        </w:rPr>
        <w:t xml:space="preserve">It has been demonstrated how post-critical ethnography fits in with the research paradigm, namely in being an iteration of critical ethnography which itself was influenced by critical theory. It also reflects the epistemological stance of subjectivity in its advocation of researcher reflexivity, as well as encompassing the anti-oppressive, emancipatory ideals of critical whiteness studies and critical race theory. It is for this </w:t>
      </w:r>
      <w:r w:rsidRPr="00BA2696">
        <w:rPr>
          <w:sz w:val="24"/>
          <w:szCs w:val="24"/>
        </w:rPr>
        <w:lastRenderedPageBreak/>
        <w:t>reason that post-critical ethnography was chosen as the research methodology. As mentioned previously (Chapter 1, Section 1.4; Chapter 2, Section 2.3.3) using post-critical ethnography as the methodological approach for counselling related research in Wales, is also a contribution to knowledge as this combination of methodology, topic and geographical location has not been found elsewhere.</w:t>
      </w:r>
    </w:p>
    <w:p w14:paraId="4DE5CDAD" w14:textId="77777777" w:rsidR="00C43694" w:rsidRPr="00BA2696" w:rsidRDefault="00C43694" w:rsidP="00C43694">
      <w:pPr>
        <w:spacing w:after="0" w:line="480" w:lineRule="auto"/>
        <w:rPr>
          <w:sz w:val="24"/>
          <w:szCs w:val="24"/>
        </w:rPr>
      </w:pPr>
    </w:p>
    <w:p w14:paraId="04104769" w14:textId="77777777" w:rsidR="00C43694" w:rsidRPr="00B16CEB" w:rsidRDefault="00C43694" w:rsidP="00C43694">
      <w:pPr>
        <w:spacing w:after="0" w:line="480" w:lineRule="auto"/>
        <w:rPr>
          <w:sz w:val="24"/>
          <w:szCs w:val="24"/>
        </w:rPr>
      </w:pPr>
      <w:r w:rsidRPr="00BA2696">
        <w:rPr>
          <w:sz w:val="24"/>
          <w:szCs w:val="24"/>
        </w:rPr>
        <w:t>This chapter has outlined the conceptual framework</w:t>
      </w:r>
      <w:r>
        <w:rPr>
          <w:sz w:val="24"/>
          <w:szCs w:val="24"/>
        </w:rPr>
        <w:t xml:space="preserve"> and</w:t>
      </w:r>
      <w:r w:rsidRPr="00BA2696">
        <w:rPr>
          <w:sz w:val="24"/>
          <w:szCs w:val="24"/>
        </w:rPr>
        <w:t xml:space="preserve"> methodology used in this research.</w:t>
      </w:r>
      <w:r>
        <w:rPr>
          <w:sz w:val="24"/>
          <w:szCs w:val="24"/>
        </w:rPr>
        <w:t xml:space="preserve"> Unifying these approaches, is a belief in research being a political activity, whereby the researcher has responsibility to the well-being of the participants and a commitment to social justice.</w:t>
      </w:r>
      <w:r w:rsidRPr="00BA2696">
        <w:rPr>
          <w:sz w:val="24"/>
          <w:szCs w:val="24"/>
        </w:rPr>
        <w:t xml:space="preserve"> </w:t>
      </w:r>
      <w:r w:rsidRPr="00B16CEB">
        <w:rPr>
          <w:sz w:val="24"/>
          <w:szCs w:val="24"/>
        </w:rPr>
        <w:t xml:space="preserve">The following chapter will consider the theoretical and practical application of the methods. </w:t>
      </w:r>
    </w:p>
    <w:p w14:paraId="7F902749" w14:textId="77777777" w:rsidR="00C43694" w:rsidRPr="00BA2696" w:rsidRDefault="00C43694" w:rsidP="00C43694">
      <w:pPr>
        <w:spacing w:after="0" w:line="480" w:lineRule="auto"/>
        <w:rPr>
          <w:sz w:val="24"/>
          <w:szCs w:val="24"/>
        </w:rPr>
      </w:pPr>
    </w:p>
    <w:p w14:paraId="584018CC" w14:textId="77777777" w:rsidR="00C43694" w:rsidRPr="00BA2696" w:rsidRDefault="00C43694" w:rsidP="00C43694">
      <w:pPr>
        <w:spacing w:after="0" w:line="480" w:lineRule="auto"/>
        <w:rPr>
          <w:sz w:val="24"/>
          <w:szCs w:val="24"/>
        </w:rPr>
      </w:pPr>
    </w:p>
    <w:bookmarkEnd w:id="35"/>
    <w:p w14:paraId="263A14D7" w14:textId="28A12FE3" w:rsidR="00C43694" w:rsidRPr="00BA2696" w:rsidRDefault="00C43694" w:rsidP="00C43694">
      <w:pPr>
        <w:pStyle w:val="Heading2"/>
        <w:rPr>
          <w:sz w:val="24"/>
          <w:szCs w:val="24"/>
        </w:rPr>
      </w:pPr>
      <w:r w:rsidRPr="00BA2696">
        <w:br w:type="page"/>
      </w:r>
    </w:p>
    <w:p w14:paraId="541360ED" w14:textId="77777777" w:rsidR="00413A7C" w:rsidRDefault="00413A7C"/>
    <w:sectPr w:rsidR="00413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54C"/>
    <w:multiLevelType w:val="hybridMultilevel"/>
    <w:tmpl w:val="1DE0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0090C"/>
    <w:multiLevelType w:val="hybridMultilevel"/>
    <w:tmpl w:val="82C2BFA6"/>
    <w:lvl w:ilvl="0" w:tplc="08090001">
      <w:start w:val="1"/>
      <w:numFmt w:val="bullet"/>
      <w:lvlText w:val=""/>
      <w:lvlJc w:val="left"/>
      <w:pPr>
        <w:ind w:left="1434" w:hanging="360"/>
      </w:pPr>
      <w:rPr>
        <w:rFonts w:ascii="Symbol" w:hAnsi="Symbol" w:hint="default"/>
      </w:r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2" w15:restartNumberingAfterBreak="0">
    <w:nsid w:val="09EF4405"/>
    <w:multiLevelType w:val="hybridMultilevel"/>
    <w:tmpl w:val="89F4E7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D0DDD"/>
    <w:multiLevelType w:val="multilevel"/>
    <w:tmpl w:val="C35AD8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DC462D"/>
    <w:multiLevelType w:val="hybridMultilevel"/>
    <w:tmpl w:val="3F4E14A4"/>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C7157"/>
    <w:multiLevelType w:val="multilevel"/>
    <w:tmpl w:val="E7CE6CBC"/>
    <w:lvl w:ilvl="0">
      <w:start w:val="2"/>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804797"/>
    <w:multiLevelType w:val="multilevel"/>
    <w:tmpl w:val="75AA7C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F435A1"/>
    <w:multiLevelType w:val="hybridMultilevel"/>
    <w:tmpl w:val="4626A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D0867"/>
    <w:multiLevelType w:val="hybridMultilevel"/>
    <w:tmpl w:val="011A954A"/>
    <w:lvl w:ilvl="0" w:tplc="1122989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D355D"/>
    <w:multiLevelType w:val="hybridMultilevel"/>
    <w:tmpl w:val="C13E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E7480"/>
    <w:multiLevelType w:val="hybridMultilevel"/>
    <w:tmpl w:val="5BFA0EA2"/>
    <w:lvl w:ilvl="0" w:tplc="0809001B">
      <w:start w:val="1"/>
      <w:numFmt w:val="lowerRoman"/>
      <w:lvlText w:val="%1."/>
      <w:lvlJc w:val="righ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1" w15:restartNumberingAfterBreak="0">
    <w:nsid w:val="2733087C"/>
    <w:multiLevelType w:val="hybridMultilevel"/>
    <w:tmpl w:val="36AA9A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7743DAD"/>
    <w:multiLevelType w:val="hybridMultilevel"/>
    <w:tmpl w:val="7F3CB3E6"/>
    <w:lvl w:ilvl="0" w:tplc="93A24F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C60046"/>
    <w:multiLevelType w:val="hybridMultilevel"/>
    <w:tmpl w:val="47BAFEA6"/>
    <w:lvl w:ilvl="0" w:tplc="B3B6F160">
      <w:start w:val="1"/>
      <w:numFmt w:val="bullet"/>
      <w:lvlText w:val="•"/>
      <w:lvlJc w:val="left"/>
      <w:pPr>
        <w:tabs>
          <w:tab w:val="num" w:pos="720"/>
        </w:tabs>
        <w:ind w:left="720" w:hanging="360"/>
      </w:pPr>
      <w:rPr>
        <w:rFonts w:ascii="Times New Roman" w:hAnsi="Times New Roman" w:hint="default"/>
      </w:rPr>
    </w:lvl>
    <w:lvl w:ilvl="1" w:tplc="A39647BC" w:tentative="1">
      <w:start w:val="1"/>
      <w:numFmt w:val="bullet"/>
      <w:lvlText w:val="•"/>
      <w:lvlJc w:val="left"/>
      <w:pPr>
        <w:tabs>
          <w:tab w:val="num" w:pos="1440"/>
        </w:tabs>
        <w:ind w:left="1440" w:hanging="360"/>
      </w:pPr>
      <w:rPr>
        <w:rFonts w:ascii="Times New Roman" w:hAnsi="Times New Roman" w:hint="default"/>
      </w:rPr>
    </w:lvl>
    <w:lvl w:ilvl="2" w:tplc="5584345C" w:tentative="1">
      <w:start w:val="1"/>
      <w:numFmt w:val="bullet"/>
      <w:lvlText w:val="•"/>
      <w:lvlJc w:val="left"/>
      <w:pPr>
        <w:tabs>
          <w:tab w:val="num" w:pos="2160"/>
        </w:tabs>
        <w:ind w:left="2160" w:hanging="360"/>
      </w:pPr>
      <w:rPr>
        <w:rFonts w:ascii="Times New Roman" w:hAnsi="Times New Roman" w:hint="default"/>
      </w:rPr>
    </w:lvl>
    <w:lvl w:ilvl="3" w:tplc="236C3202" w:tentative="1">
      <w:start w:val="1"/>
      <w:numFmt w:val="bullet"/>
      <w:lvlText w:val="•"/>
      <w:lvlJc w:val="left"/>
      <w:pPr>
        <w:tabs>
          <w:tab w:val="num" w:pos="2880"/>
        </w:tabs>
        <w:ind w:left="2880" w:hanging="360"/>
      </w:pPr>
      <w:rPr>
        <w:rFonts w:ascii="Times New Roman" w:hAnsi="Times New Roman" w:hint="default"/>
      </w:rPr>
    </w:lvl>
    <w:lvl w:ilvl="4" w:tplc="0008A8B0" w:tentative="1">
      <w:start w:val="1"/>
      <w:numFmt w:val="bullet"/>
      <w:lvlText w:val="•"/>
      <w:lvlJc w:val="left"/>
      <w:pPr>
        <w:tabs>
          <w:tab w:val="num" w:pos="3600"/>
        </w:tabs>
        <w:ind w:left="3600" w:hanging="360"/>
      </w:pPr>
      <w:rPr>
        <w:rFonts w:ascii="Times New Roman" w:hAnsi="Times New Roman" w:hint="default"/>
      </w:rPr>
    </w:lvl>
    <w:lvl w:ilvl="5" w:tplc="E7507498" w:tentative="1">
      <w:start w:val="1"/>
      <w:numFmt w:val="bullet"/>
      <w:lvlText w:val="•"/>
      <w:lvlJc w:val="left"/>
      <w:pPr>
        <w:tabs>
          <w:tab w:val="num" w:pos="4320"/>
        </w:tabs>
        <w:ind w:left="4320" w:hanging="360"/>
      </w:pPr>
      <w:rPr>
        <w:rFonts w:ascii="Times New Roman" w:hAnsi="Times New Roman" w:hint="default"/>
      </w:rPr>
    </w:lvl>
    <w:lvl w:ilvl="6" w:tplc="6D1648EA" w:tentative="1">
      <w:start w:val="1"/>
      <w:numFmt w:val="bullet"/>
      <w:lvlText w:val="•"/>
      <w:lvlJc w:val="left"/>
      <w:pPr>
        <w:tabs>
          <w:tab w:val="num" w:pos="5040"/>
        </w:tabs>
        <w:ind w:left="5040" w:hanging="360"/>
      </w:pPr>
      <w:rPr>
        <w:rFonts w:ascii="Times New Roman" w:hAnsi="Times New Roman" w:hint="default"/>
      </w:rPr>
    </w:lvl>
    <w:lvl w:ilvl="7" w:tplc="8C38CC66" w:tentative="1">
      <w:start w:val="1"/>
      <w:numFmt w:val="bullet"/>
      <w:lvlText w:val="•"/>
      <w:lvlJc w:val="left"/>
      <w:pPr>
        <w:tabs>
          <w:tab w:val="num" w:pos="5760"/>
        </w:tabs>
        <w:ind w:left="5760" w:hanging="360"/>
      </w:pPr>
      <w:rPr>
        <w:rFonts w:ascii="Times New Roman" w:hAnsi="Times New Roman" w:hint="default"/>
      </w:rPr>
    </w:lvl>
    <w:lvl w:ilvl="8" w:tplc="DDF23C9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E2E5DD4"/>
    <w:multiLevelType w:val="hybridMultilevel"/>
    <w:tmpl w:val="BE461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F3FAC"/>
    <w:multiLevelType w:val="hybridMultilevel"/>
    <w:tmpl w:val="DC16B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47243B"/>
    <w:multiLevelType w:val="multilevel"/>
    <w:tmpl w:val="28BC2B90"/>
    <w:lvl w:ilvl="0">
      <w:start w:val="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98E2E20"/>
    <w:multiLevelType w:val="hybridMultilevel"/>
    <w:tmpl w:val="4626A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EE0C84"/>
    <w:multiLevelType w:val="hybridMultilevel"/>
    <w:tmpl w:val="ABD6C338"/>
    <w:lvl w:ilvl="0" w:tplc="08090001">
      <w:start w:val="1"/>
      <w:numFmt w:val="bullet"/>
      <w:lvlText w:val=""/>
      <w:lvlJc w:val="left"/>
      <w:pPr>
        <w:ind w:left="1434" w:hanging="360"/>
      </w:pPr>
      <w:rPr>
        <w:rFonts w:ascii="Symbol" w:hAnsi="Symbol" w:hint="default"/>
      </w:r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9" w15:restartNumberingAfterBreak="0">
    <w:nsid w:val="450877DB"/>
    <w:multiLevelType w:val="multilevel"/>
    <w:tmpl w:val="A238DA9E"/>
    <w:lvl w:ilvl="0">
      <w:start w:val="1"/>
      <w:numFmt w:val="decimal"/>
      <w:lvlText w:val="%1."/>
      <w:lvlJc w:val="left"/>
      <w:pPr>
        <w:ind w:left="360" w:hanging="360"/>
      </w:pPr>
      <w:rPr>
        <w:rFonts w:hint="default"/>
      </w:rPr>
    </w:lvl>
    <w:lvl w:ilvl="1">
      <w:start w:val="1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6363E8B"/>
    <w:multiLevelType w:val="hybridMultilevel"/>
    <w:tmpl w:val="1DBC1678"/>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1" w15:restartNumberingAfterBreak="0">
    <w:nsid w:val="484A05D5"/>
    <w:multiLevelType w:val="hybridMultilevel"/>
    <w:tmpl w:val="7E286A1A"/>
    <w:lvl w:ilvl="0" w:tplc="BFC8F8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4926F6"/>
    <w:multiLevelType w:val="hybridMultilevel"/>
    <w:tmpl w:val="BCE4FB9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7308E"/>
    <w:multiLevelType w:val="hybridMultilevel"/>
    <w:tmpl w:val="FFC6E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B60463"/>
    <w:multiLevelType w:val="hybridMultilevel"/>
    <w:tmpl w:val="00C8479A"/>
    <w:lvl w:ilvl="0" w:tplc="0809001B">
      <w:start w:val="1"/>
      <w:numFmt w:val="lowerRoman"/>
      <w:lvlText w:val="%1."/>
      <w:lvlJc w:val="righ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25" w15:restartNumberingAfterBreak="0">
    <w:nsid w:val="4E3B763B"/>
    <w:multiLevelType w:val="hybridMultilevel"/>
    <w:tmpl w:val="4626A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6F47AE"/>
    <w:multiLevelType w:val="hybridMultilevel"/>
    <w:tmpl w:val="59FA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DD59DE"/>
    <w:multiLevelType w:val="hybridMultilevel"/>
    <w:tmpl w:val="EBA83D0E"/>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8" w15:restartNumberingAfterBreak="0">
    <w:nsid w:val="5A983442"/>
    <w:multiLevelType w:val="hybridMultilevel"/>
    <w:tmpl w:val="1D5004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ADD1C78"/>
    <w:multiLevelType w:val="multilevel"/>
    <w:tmpl w:val="DAB847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F578A0"/>
    <w:multiLevelType w:val="hybridMultilevel"/>
    <w:tmpl w:val="416EA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0C3F11"/>
    <w:multiLevelType w:val="hybridMultilevel"/>
    <w:tmpl w:val="2E8E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2B3A4D"/>
    <w:multiLevelType w:val="hybridMultilevel"/>
    <w:tmpl w:val="D0B6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E47FF6"/>
    <w:multiLevelType w:val="hybridMultilevel"/>
    <w:tmpl w:val="C706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087233"/>
    <w:multiLevelType w:val="hybridMultilevel"/>
    <w:tmpl w:val="B48E2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0271CB"/>
    <w:multiLevelType w:val="hybridMultilevel"/>
    <w:tmpl w:val="7F4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1C5A3B"/>
    <w:multiLevelType w:val="hybridMultilevel"/>
    <w:tmpl w:val="9A14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583320"/>
    <w:multiLevelType w:val="hybridMultilevel"/>
    <w:tmpl w:val="FF26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913645"/>
    <w:multiLevelType w:val="hybridMultilevel"/>
    <w:tmpl w:val="27AC7316"/>
    <w:lvl w:ilvl="0" w:tplc="CD8638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DE826BC"/>
    <w:multiLevelType w:val="multilevel"/>
    <w:tmpl w:val="44CA59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56A3481"/>
    <w:multiLevelType w:val="hybridMultilevel"/>
    <w:tmpl w:val="C8EA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F87A82"/>
    <w:multiLevelType w:val="hybridMultilevel"/>
    <w:tmpl w:val="65BA29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A3D5034"/>
    <w:multiLevelType w:val="multilevel"/>
    <w:tmpl w:val="20084F24"/>
    <w:lvl w:ilvl="0">
      <w:start w:val="2"/>
      <w:numFmt w:val="decimal"/>
      <w:lvlText w:val="%1"/>
      <w:lvlJc w:val="left"/>
      <w:pPr>
        <w:ind w:left="590" w:hanging="590"/>
      </w:pPr>
      <w:rPr>
        <w:rFonts w:hint="default"/>
      </w:rPr>
    </w:lvl>
    <w:lvl w:ilvl="1">
      <w:start w:val="1"/>
      <w:numFmt w:val="decimal"/>
      <w:lvlText w:val="%1.%2"/>
      <w:lvlJc w:val="left"/>
      <w:pPr>
        <w:ind w:left="590" w:hanging="59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F00896"/>
    <w:multiLevelType w:val="hybridMultilevel"/>
    <w:tmpl w:val="13F28A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3"/>
  </w:num>
  <w:num w:numId="3">
    <w:abstractNumId w:val="38"/>
  </w:num>
  <w:num w:numId="4">
    <w:abstractNumId w:val="12"/>
  </w:num>
  <w:num w:numId="5">
    <w:abstractNumId w:val="15"/>
  </w:num>
  <w:num w:numId="6">
    <w:abstractNumId w:val="19"/>
  </w:num>
  <w:num w:numId="7">
    <w:abstractNumId w:val="28"/>
  </w:num>
  <w:num w:numId="8">
    <w:abstractNumId w:val="35"/>
  </w:num>
  <w:num w:numId="9">
    <w:abstractNumId w:val="8"/>
  </w:num>
  <w:num w:numId="10">
    <w:abstractNumId w:val="20"/>
  </w:num>
  <w:num w:numId="11">
    <w:abstractNumId w:val="41"/>
  </w:num>
  <w:num w:numId="12">
    <w:abstractNumId w:val="11"/>
  </w:num>
  <w:num w:numId="13">
    <w:abstractNumId w:val="43"/>
  </w:num>
  <w:num w:numId="14">
    <w:abstractNumId w:val="22"/>
  </w:num>
  <w:num w:numId="15">
    <w:abstractNumId w:val="31"/>
  </w:num>
  <w:num w:numId="16">
    <w:abstractNumId w:val="33"/>
  </w:num>
  <w:num w:numId="17">
    <w:abstractNumId w:val="32"/>
  </w:num>
  <w:num w:numId="18">
    <w:abstractNumId w:val="9"/>
  </w:num>
  <w:num w:numId="19">
    <w:abstractNumId w:val="21"/>
  </w:num>
  <w:num w:numId="20">
    <w:abstractNumId w:val="16"/>
  </w:num>
  <w:num w:numId="21">
    <w:abstractNumId w:val="42"/>
  </w:num>
  <w:num w:numId="22">
    <w:abstractNumId w:val="23"/>
  </w:num>
  <w:num w:numId="23">
    <w:abstractNumId w:val="4"/>
  </w:num>
  <w:num w:numId="24">
    <w:abstractNumId w:val="26"/>
  </w:num>
  <w:num w:numId="25">
    <w:abstractNumId w:val="5"/>
  </w:num>
  <w:num w:numId="26">
    <w:abstractNumId w:val="39"/>
  </w:num>
  <w:num w:numId="27">
    <w:abstractNumId w:val="29"/>
  </w:num>
  <w:num w:numId="28">
    <w:abstractNumId w:val="27"/>
  </w:num>
  <w:num w:numId="29">
    <w:abstractNumId w:val="2"/>
  </w:num>
  <w:num w:numId="30">
    <w:abstractNumId w:val="40"/>
  </w:num>
  <w:num w:numId="31">
    <w:abstractNumId w:val="13"/>
  </w:num>
  <w:num w:numId="32">
    <w:abstractNumId w:val="30"/>
  </w:num>
  <w:num w:numId="33">
    <w:abstractNumId w:val="17"/>
  </w:num>
  <w:num w:numId="34">
    <w:abstractNumId w:val="25"/>
  </w:num>
  <w:num w:numId="35">
    <w:abstractNumId w:val="7"/>
  </w:num>
  <w:num w:numId="36">
    <w:abstractNumId w:val="34"/>
  </w:num>
  <w:num w:numId="37">
    <w:abstractNumId w:val="36"/>
  </w:num>
  <w:num w:numId="38">
    <w:abstractNumId w:val="0"/>
  </w:num>
  <w:num w:numId="39">
    <w:abstractNumId w:val="10"/>
  </w:num>
  <w:num w:numId="40">
    <w:abstractNumId w:val="24"/>
  </w:num>
  <w:num w:numId="41">
    <w:abstractNumId w:val="18"/>
  </w:num>
  <w:num w:numId="42">
    <w:abstractNumId w:val="1"/>
  </w:num>
  <w:num w:numId="43">
    <w:abstractNumId w:val="14"/>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694"/>
    <w:rsid w:val="00413A7C"/>
    <w:rsid w:val="00C43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FB3B"/>
  <w15:chartTrackingRefBased/>
  <w15:docId w15:val="{F412A7BB-6F23-4129-9C6F-CEE288A3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94"/>
    <w:pPr>
      <w:suppressAutoHyphens/>
      <w:autoSpaceDN w:val="0"/>
      <w:spacing w:line="249"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C43694"/>
    <w:pPr>
      <w:keepNext/>
      <w:spacing w:before="240" w:after="60"/>
      <w:jc w:val="center"/>
      <w:outlineLvl w:val="0"/>
    </w:pPr>
    <w:rPr>
      <w:rFonts w:ascii="Calibri Light" w:eastAsia="Times New Roman" w:hAnsi="Calibri Light"/>
      <w:sz w:val="32"/>
      <w:szCs w:val="32"/>
      <w:lang w:val="en-US" w:eastAsia="en-GB"/>
    </w:rPr>
  </w:style>
  <w:style w:type="paragraph" w:styleId="Heading2">
    <w:name w:val="heading 2"/>
    <w:aliases w:val="Chapter Title"/>
    <w:basedOn w:val="Normal"/>
    <w:next w:val="Normal"/>
    <w:link w:val="Heading2Char"/>
    <w:uiPriority w:val="9"/>
    <w:unhideWhenUsed/>
    <w:qFormat/>
    <w:rsid w:val="00C43694"/>
    <w:pPr>
      <w:keepNext/>
      <w:spacing w:before="240" w:after="60" w:line="240" w:lineRule="auto"/>
      <w:outlineLvl w:val="1"/>
    </w:pPr>
    <w:rPr>
      <w:rFonts w:ascii="Calibri Light" w:eastAsia="Times New Roman" w:hAnsi="Calibri Light"/>
      <w:b/>
      <w:bCs/>
      <w:iCs/>
      <w:sz w:val="36"/>
      <w:szCs w:val="28"/>
    </w:rPr>
  </w:style>
  <w:style w:type="paragraph" w:styleId="Heading3">
    <w:name w:val="heading 3"/>
    <w:basedOn w:val="Normal"/>
    <w:next w:val="Normal"/>
    <w:link w:val="Heading3Char"/>
    <w:uiPriority w:val="9"/>
    <w:unhideWhenUsed/>
    <w:qFormat/>
    <w:rsid w:val="00C43694"/>
    <w:pPr>
      <w:keepNext/>
      <w:spacing w:before="240" w:after="60"/>
      <w:outlineLvl w:val="2"/>
    </w:pPr>
    <w:rPr>
      <w:rFonts w:ascii="Calibri Light" w:eastAsia="Times New Roman" w:hAnsi="Calibri Light"/>
      <w:b/>
      <w:bCs/>
      <w:sz w:val="28"/>
      <w:szCs w:val="26"/>
    </w:rPr>
  </w:style>
  <w:style w:type="paragraph" w:styleId="Heading4">
    <w:name w:val="heading 4"/>
    <w:basedOn w:val="Normal"/>
    <w:next w:val="Normal"/>
    <w:link w:val="Heading4Char"/>
    <w:uiPriority w:val="9"/>
    <w:unhideWhenUsed/>
    <w:qFormat/>
    <w:rsid w:val="00C43694"/>
    <w:pPr>
      <w:keepNext/>
      <w:spacing w:before="240" w:after="60"/>
      <w:outlineLvl w:val="3"/>
    </w:pPr>
    <w:rPr>
      <w:rFonts w:eastAsia="Times New Roman"/>
      <w:bCs/>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694"/>
    <w:rPr>
      <w:rFonts w:ascii="Calibri Light" w:eastAsia="Times New Roman" w:hAnsi="Calibri Light" w:cs="Times New Roman"/>
      <w:sz w:val="32"/>
      <w:szCs w:val="32"/>
      <w:lang w:val="en-US" w:eastAsia="en-GB"/>
    </w:rPr>
  </w:style>
  <w:style w:type="character" w:customStyle="1" w:styleId="Heading2Char">
    <w:name w:val="Heading 2 Char"/>
    <w:aliases w:val="Chapter Title Char"/>
    <w:basedOn w:val="DefaultParagraphFont"/>
    <w:link w:val="Heading2"/>
    <w:uiPriority w:val="9"/>
    <w:rsid w:val="00C43694"/>
    <w:rPr>
      <w:rFonts w:ascii="Calibri Light" w:eastAsia="Times New Roman" w:hAnsi="Calibri Light" w:cs="Times New Roman"/>
      <w:b/>
      <w:bCs/>
      <w:iCs/>
      <w:sz w:val="36"/>
      <w:szCs w:val="28"/>
    </w:rPr>
  </w:style>
  <w:style w:type="character" w:customStyle="1" w:styleId="Heading3Char">
    <w:name w:val="Heading 3 Char"/>
    <w:basedOn w:val="DefaultParagraphFont"/>
    <w:link w:val="Heading3"/>
    <w:uiPriority w:val="9"/>
    <w:rsid w:val="00C43694"/>
    <w:rPr>
      <w:rFonts w:ascii="Calibri Light" w:eastAsia="Times New Roman" w:hAnsi="Calibri Light" w:cs="Times New Roman"/>
      <w:b/>
      <w:bCs/>
      <w:sz w:val="28"/>
      <w:szCs w:val="26"/>
    </w:rPr>
  </w:style>
  <w:style w:type="character" w:customStyle="1" w:styleId="Heading4Char">
    <w:name w:val="Heading 4 Char"/>
    <w:basedOn w:val="DefaultParagraphFont"/>
    <w:link w:val="Heading4"/>
    <w:uiPriority w:val="9"/>
    <w:rsid w:val="00C43694"/>
    <w:rPr>
      <w:rFonts w:ascii="Calibri" w:eastAsia="Times New Roman" w:hAnsi="Calibri" w:cs="Times New Roman"/>
      <w:bCs/>
      <w:sz w:val="28"/>
      <w:szCs w:val="28"/>
      <w:u w:val="single"/>
    </w:rPr>
  </w:style>
  <w:style w:type="paragraph" w:customStyle="1" w:styleId="Heading11">
    <w:name w:val="Heading 11"/>
    <w:basedOn w:val="Normal"/>
    <w:next w:val="Normal"/>
    <w:rsid w:val="00C43694"/>
    <w:pPr>
      <w:keepNext/>
      <w:keepLines/>
      <w:spacing w:before="240" w:after="0"/>
      <w:outlineLvl w:val="0"/>
    </w:pPr>
    <w:rPr>
      <w:rFonts w:ascii="Calibri Light" w:eastAsia="Times New Roman" w:hAnsi="Calibri Light"/>
      <w:color w:val="2E74B5"/>
      <w:sz w:val="32"/>
      <w:szCs w:val="32"/>
      <w:lang w:val="en-US"/>
    </w:rPr>
  </w:style>
  <w:style w:type="character" w:customStyle="1" w:styleId="Hyperlink1">
    <w:name w:val="Hyperlink1"/>
    <w:rsid w:val="00C43694"/>
    <w:rPr>
      <w:color w:val="0563C1"/>
      <w:u w:val="single"/>
    </w:rPr>
  </w:style>
  <w:style w:type="character" w:customStyle="1" w:styleId="UnresolvedMention1">
    <w:name w:val="Unresolved Mention1"/>
    <w:uiPriority w:val="99"/>
    <w:rsid w:val="00C43694"/>
    <w:rPr>
      <w:color w:val="605E5C"/>
      <w:shd w:val="clear" w:color="auto" w:fill="E1DFDD"/>
    </w:rPr>
  </w:style>
  <w:style w:type="character" w:styleId="PlaceholderText">
    <w:name w:val="Placeholder Text"/>
    <w:uiPriority w:val="99"/>
    <w:rsid w:val="00C43694"/>
    <w:rPr>
      <w:color w:val="808080"/>
    </w:rPr>
  </w:style>
  <w:style w:type="character" w:customStyle="1" w:styleId="UnresolvedMention2">
    <w:name w:val="Unresolved Mention2"/>
    <w:rsid w:val="00C43694"/>
    <w:rPr>
      <w:color w:val="605E5C"/>
      <w:shd w:val="clear" w:color="auto" w:fill="E1DFDD"/>
    </w:rPr>
  </w:style>
  <w:style w:type="character" w:styleId="Hyperlink">
    <w:name w:val="Hyperlink"/>
    <w:uiPriority w:val="99"/>
    <w:rsid w:val="00C43694"/>
    <w:rPr>
      <w:color w:val="0563C1"/>
      <w:u w:val="single"/>
    </w:rPr>
  </w:style>
  <w:style w:type="character" w:customStyle="1" w:styleId="Heading1Char1">
    <w:name w:val="Heading 1 Char1"/>
    <w:rsid w:val="00C43694"/>
    <w:rPr>
      <w:rFonts w:ascii="Calibri Light" w:eastAsia="Times New Roman" w:hAnsi="Calibri Light" w:cs="Times New Roman"/>
      <w:b/>
      <w:bCs/>
      <w:kern w:val="3"/>
      <w:sz w:val="32"/>
      <w:szCs w:val="32"/>
      <w:lang w:eastAsia="en-US"/>
    </w:rPr>
  </w:style>
  <w:style w:type="character" w:styleId="CommentReference">
    <w:name w:val="annotation reference"/>
    <w:uiPriority w:val="99"/>
    <w:semiHidden/>
    <w:unhideWhenUsed/>
    <w:rsid w:val="00C43694"/>
    <w:rPr>
      <w:sz w:val="16"/>
      <w:szCs w:val="16"/>
    </w:rPr>
  </w:style>
  <w:style w:type="paragraph" w:styleId="CommentText">
    <w:name w:val="annotation text"/>
    <w:basedOn w:val="Normal"/>
    <w:link w:val="CommentTextChar"/>
    <w:uiPriority w:val="99"/>
    <w:unhideWhenUsed/>
    <w:rsid w:val="00C43694"/>
    <w:pPr>
      <w:spacing w:line="240" w:lineRule="auto"/>
    </w:pPr>
    <w:rPr>
      <w:sz w:val="20"/>
      <w:szCs w:val="20"/>
    </w:rPr>
  </w:style>
  <w:style w:type="character" w:customStyle="1" w:styleId="CommentTextChar">
    <w:name w:val="Comment Text Char"/>
    <w:basedOn w:val="DefaultParagraphFont"/>
    <w:link w:val="CommentText"/>
    <w:uiPriority w:val="99"/>
    <w:rsid w:val="00C4369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43694"/>
    <w:rPr>
      <w:b/>
      <w:bCs/>
    </w:rPr>
  </w:style>
  <w:style w:type="character" w:customStyle="1" w:styleId="CommentSubjectChar">
    <w:name w:val="Comment Subject Char"/>
    <w:basedOn w:val="CommentTextChar"/>
    <w:link w:val="CommentSubject"/>
    <w:uiPriority w:val="99"/>
    <w:semiHidden/>
    <w:rsid w:val="00C4369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C436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694"/>
    <w:rPr>
      <w:rFonts w:ascii="Segoe UI" w:eastAsia="Calibri" w:hAnsi="Segoe UI" w:cs="Segoe UI"/>
      <w:sz w:val="18"/>
      <w:szCs w:val="18"/>
    </w:rPr>
  </w:style>
  <w:style w:type="numbering" w:customStyle="1" w:styleId="NoList1">
    <w:name w:val="No List1"/>
    <w:next w:val="NoList"/>
    <w:uiPriority w:val="99"/>
    <w:semiHidden/>
    <w:unhideWhenUsed/>
    <w:rsid w:val="00C43694"/>
  </w:style>
  <w:style w:type="character" w:customStyle="1" w:styleId="UnresolvedMention21">
    <w:name w:val="Unresolved Mention21"/>
    <w:uiPriority w:val="99"/>
    <w:semiHidden/>
    <w:unhideWhenUsed/>
    <w:rsid w:val="00C43694"/>
    <w:rPr>
      <w:color w:val="605E5C"/>
      <w:shd w:val="clear" w:color="auto" w:fill="E1DFDD"/>
    </w:rPr>
  </w:style>
  <w:style w:type="paragraph" w:styleId="ListParagraph">
    <w:name w:val="List Paragraph"/>
    <w:basedOn w:val="Normal"/>
    <w:qFormat/>
    <w:rsid w:val="00C43694"/>
    <w:pPr>
      <w:spacing w:line="240" w:lineRule="auto"/>
      <w:ind w:left="720"/>
    </w:pPr>
  </w:style>
  <w:style w:type="table" w:styleId="TableGrid">
    <w:name w:val="Table Grid"/>
    <w:basedOn w:val="TableNormal"/>
    <w:uiPriority w:val="59"/>
    <w:rsid w:val="00C43694"/>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43694"/>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Spacing">
    <w:name w:val="No Spacing"/>
    <w:link w:val="NoSpacingChar"/>
    <w:uiPriority w:val="1"/>
    <w:qFormat/>
    <w:rsid w:val="00C43694"/>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C43694"/>
    <w:rPr>
      <w:rFonts w:ascii="Calibri" w:eastAsia="Times New Roman" w:hAnsi="Calibri" w:cs="Times New Roman"/>
      <w:lang w:val="en-US"/>
    </w:rPr>
  </w:style>
  <w:style w:type="paragraph" w:styleId="Header">
    <w:name w:val="header"/>
    <w:basedOn w:val="Normal"/>
    <w:link w:val="HeaderChar"/>
    <w:uiPriority w:val="99"/>
    <w:unhideWhenUsed/>
    <w:rsid w:val="00C43694"/>
    <w:pPr>
      <w:tabs>
        <w:tab w:val="center" w:pos="4513"/>
        <w:tab w:val="right" w:pos="9026"/>
      </w:tabs>
    </w:pPr>
  </w:style>
  <w:style w:type="character" w:customStyle="1" w:styleId="HeaderChar">
    <w:name w:val="Header Char"/>
    <w:basedOn w:val="DefaultParagraphFont"/>
    <w:link w:val="Header"/>
    <w:uiPriority w:val="99"/>
    <w:rsid w:val="00C43694"/>
    <w:rPr>
      <w:rFonts w:ascii="Calibri" w:eastAsia="Calibri" w:hAnsi="Calibri" w:cs="Times New Roman"/>
    </w:rPr>
  </w:style>
  <w:style w:type="paragraph" w:styleId="Footer">
    <w:name w:val="footer"/>
    <w:basedOn w:val="Normal"/>
    <w:link w:val="FooterChar"/>
    <w:uiPriority w:val="99"/>
    <w:unhideWhenUsed/>
    <w:rsid w:val="00C43694"/>
    <w:pPr>
      <w:tabs>
        <w:tab w:val="center" w:pos="4513"/>
        <w:tab w:val="right" w:pos="9026"/>
      </w:tabs>
    </w:pPr>
  </w:style>
  <w:style w:type="character" w:customStyle="1" w:styleId="FooterChar">
    <w:name w:val="Footer Char"/>
    <w:basedOn w:val="DefaultParagraphFont"/>
    <w:link w:val="Footer"/>
    <w:uiPriority w:val="99"/>
    <w:rsid w:val="00C43694"/>
    <w:rPr>
      <w:rFonts w:ascii="Calibri" w:eastAsia="Calibri" w:hAnsi="Calibri" w:cs="Times New Roman"/>
    </w:rPr>
  </w:style>
  <w:style w:type="paragraph" w:styleId="EndnoteText">
    <w:name w:val="endnote text"/>
    <w:basedOn w:val="Normal"/>
    <w:link w:val="EndnoteTextChar"/>
    <w:uiPriority w:val="99"/>
    <w:semiHidden/>
    <w:unhideWhenUsed/>
    <w:rsid w:val="00C43694"/>
    <w:rPr>
      <w:sz w:val="20"/>
      <w:szCs w:val="20"/>
    </w:rPr>
  </w:style>
  <w:style w:type="character" w:customStyle="1" w:styleId="EndnoteTextChar">
    <w:name w:val="Endnote Text Char"/>
    <w:basedOn w:val="DefaultParagraphFont"/>
    <w:link w:val="EndnoteText"/>
    <w:uiPriority w:val="99"/>
    <w:semiHidden/>
    <w:rsid w:val="00C43694"/>
    <w:rPr>
      <w:rFonts w:ascii="Calibri" w:eastAsia="Calibri" w:hAnsi="Calibri" w:cs="Times New Roman"/>
      <w:sz w:val="20"/>
      <w:szCs w:val="20"/>
    </w:rPr>
  </w:style>
  <w:style w:type="character" w:styleId="EndnoteReference">
    <w:name w:val="endnote reference"/>
    <w:uiPriority w:val="99"/>
    <w:semiHidden/>
    <w:unhideWhenUsed/>
    <w:rsid w:val="00C43694"/>
    <w:rPr>
      <w:vertAlign w:val="superscript"/>
    </w:rPr>
  </w:style>
  <w:style w:type="table" w:styleId="TableGridLight">
    <w:name w:val="Grid Table Light"/>
    <w:basedOn w:val="TableNormal"/>
    <w:uiPriority w:val="40"/>
    <w:rsid w:val="00C43694"/>
    <w:pPr>
      <w:spacing w:after="0" w:line="240" w:lineRule="auto"/>
    </w:pPr>
    <w:rPr>
      <w:rFonts w:ascii="Calibri" w:eastAsia="Calibri" w:hAnsi="Calibri" w:cs="Times New Roman"/>
      <w:sz w:val="20"/>
      <w:szCs w:val="20"/>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2">
    <w:name w:val="Plain Table 2"/>
    <w:basedOn w:val="TableNormal"/>
    <w:uiPriority w:val="42"/>
    <w:rsid w:val="00C43694"/>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next w:val="PlainTable1"/>
    <w:uiPriority w:val="41"/>
    <w:rsid w:val="00C4369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TableNormal"/>
    <w:next w:val="PlainTable1"/>
    <w:uiPriority w:val="41"/>
    <w:rsid w:val="00C4369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2">
    <w:name w:val="No List2"/>
    <w:next w:val="NoList"/>
    <w:uiPriority w:val="99"/>
    <w:semiHidden/>
    <w:unhideWhenUsed/>
    <w:rsid w:val="00C43694"/>
  </w:style>
  <w:style w:type="table" w:customStyle="1" w:styleId="TableGrid1">
    <w:name w:val="Table Grid1"/>
    <w:basedOn w:val="TableNormal"/>
    <w:next w:val="TableGrid"/>
    <w:uiPriority w:val="39"/>
    <w:rsid w:val="00C436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
    <w:name w:val="Plain Table 13"/>
    <w:basedOn w:val="TableNormal"/>
    <w:next w:val="PlainTable1"/>
    <w:uiPriority w:val="41"/>
    <w:rsid w:val="00C4369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Heading">
    <w:name w:val="TOC Heading"/>
    <w:basedOn w:val="Heading1"/>
    <w:next w:val="Normal"/>
    <w:uiPriority w:val="39"/>
    <w:unhideWhenUsed/>
    <w:qFormat/>
    <w:rsid w:val="00C43694"/>
    <w:pPr>
      <w:keepLines/>
      <w:suppressAutoHyphens w:val="0"/>
      <w:autoSpaceDN/>
      <w:spacing w:after="0" w:line="259" w:lineRule="auto"/>
      <w:jc w:val="left"/>
      <w:textAlignment w:val="auto"/>
      <w:outlineLvl w:val="9"/>
    </w:pPr>
    <w:rPr>
      <w:color w:val="2F5496"/>
      <w:lang w:eastAsia="en-US"/>
    </w:rPr>
  </w:style>
  <w:style w:type="paragraph" w:styleId="TOC1">
    <w:name w:val="toc 1"/>
    <w:basedOn w:val="Normal"/>
    <w:next w:val="Normal"/>
    <w:autoRedefine/>
    <w:uiPriority w:val="39"/>
    <w:unhideWhenUsed/>
    <w:rsid w:val="00C43694"/>
    <w:rPr>
      <w:rFonts w:ascii="Calibri Light" w:hAnsi="Calibri Light"/>
      <w:sz w:val="24"/>
    </w:rPr>
  </w:style>
  <w:style w:type="paragraph" w:styleId="TOC2">
    <w:name w:val="toc 2"/>
    <w:basedOn w:val="Normal"/>
    <w:next w:val="Normal"/>
    <w:autoRedefine/>
    <w:uiPriority w:val="39"/>
    <w:unhideWhenUsed/>
    <w:rsid w:val="00C43694"/>
    <w:pPr>
      <w:tabs>
        <w:tab w:val="right" w:leader="dot" w:pos="8449"/>
      </w:tabs>
      <w:ind w:left="220"/>
    </w:pPr>
    <w:rPr>
      <w:noProof/>
      <w:lang w:eastAsia="en-GB"/>
    </w:rPr>
  </w:style>
  <w:style w:type="paragraph" w:styleId="TOC3">
    <w:name w:val="toc 3"/>
    <w:basedOn w:val="Normal"/>
    <w:next w:val="Normal"/>
    <w:autoRedefine/>
    <w:uiPriority w:val="39"/>
    <w:unhideWhenUsed/>
    <w:rsid w:val="00C43694"/>
    <w:pPr>
      <w:tabs>
        <w:tab w:val="left" w:pos="1320"/>
        <w:tab w:val="right" w:leader="dot" w:pos="8449"/>
      </w:tabs>
      <w:ind w:left="440"/>
    </w:pPr>
    <w:rPr>
      <w:rFonts w:ascii="Calibri Light" w:eastAsia="Times New Roman" w:hAnsi="Calibri Light"/>
      <w:noProof/>
    </w:rPr>
  </w:style>
  <w:style w:type="character" w:styleId="Emphasis">
    <w:name w:val="Emphasis"/>
    <w:uiPriority w:val="20"/>
    <w:qFormat/>
    <w:rsid w:val="00C43694"/>
    <w:rPr>
      <w:i/>
      <w:iCs/>
    </w:rPr>
  </w:style>
  <w:style w:type="numbering" w:customStyle="1" w:styleId="NoList3">
    <w:name w:val="No List3"/>
    <w:next w:val="NoList"/>
    <w:uiPriority w:val="99"/>
    <w:semiHidden/>
    <w:unhideWhenUsed/>
    <w:rsid w:val="00C43694"/>
  </w:style>
  <w:style w:type="numbering" w:customStyle="1" w:styleId="NoList11">
    <w:name w:val="No List11"/>
    <w:next w:val="NoList"/>
    <w:uiPriority w:val="99"/>
    <w:semiHidden/>
    <w:unhideWhenUsed/>
    <w:rsid w:val="00C43694"/>
  </w:style>
  <w:style w:type="numbering" w:customStyle="1" w:styleId="NoList111">
    <w:name w:val="No List111"/>
    <w:next w:val="NoList"/>
    <w:uiPriority w:val="99"/>
    <w:semiHidden/>
    <w:unhideWhenUsed/>
    <w:rsid w:val="00C43694"/>
  </w:style>
  <w:style w:type="table" w:customStyle="1" w:styleId="TableGrid2">
    <w:name w:val="Table Grid2"/>
    <w:basedOn w:val="TableNormal"/>
    <w:next w:val="TableGrid"/>
    <w:uiPriority w:val="59"/>
    <w:rsid w:val="00C43694"/>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4">
    <w:name w:val="Plain Table 14"/>
    <w:basedOn w:val="TableNormal"/>
    <w:next w:val="PlainTable1"/>
    <w:uiPriority w:val="41"/>
    <w:rsid w:val="00C43694"/>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next w:val="TableGridLight"/>
    <w:uiPriority w:val="40"/>
    <w:rsid w:val="00C43694"/>
    <w:pPr>
      <w:spacing w:after="0" w:line="240" w:lineRule="auto"/>
    </w:pPr>
    <w:rPr>
      <w:rFonts w:ascii="Calibri" w:eastAsia="Calibri" w:hAnsi="Calibri" w:cs="Times New Roman"/>
      <w:sz w:val="20"/>
      <w:szCs w:val="20"/>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1">
    <w:name w:val="Plain Table 21"/>
    <w:basedOn w:val="TableNormal"/>
    <w:next w:val="PlainTable2"/>
    <w:uiPriority w:val="42"/>
    <w:rsid w:val="00C43694"/>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TableNormal"/>
    <w:next w:val="PlainTable1"/>
    <w:uiPriority w:val="41"/>
    <w:rsid w:val="00C4369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1">
    <w:name w:val="Plain Table 121"/>
    <w:basedOn w:val="TableNormal"/>
    <w:next w:val="PlainTable1"/>
    <w:uiPriority w:val="41"/>
    <w:rsid w:val="00C4369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21">
    <w:name w:val="No List21"/>
    <w:next w:val="NoList"/>
    <w:uiPriority w:val="99"/>
    <w:semiHidden/>
    <w:unhideWhenUsed/>
    <w:rsid w:val="00C43694"/>
  </w:style>
  <w:style w:type="table" w:customStyle="1" w:styleId="TableGrid11">
    <w:name w:val="Table Grid11"/>
    <w:basedOn w:val="TableNormal"/>
    <w:next w:val="TableGrid"/>
    <w:uiPriority w:val="39"/>
    <w:rsid w:val="00C436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1">
    <w:name w:val="Plain Table 131"/>
    <w:basedOn w:val="TableNormal"/>
    <w:next w:val="PlainTable1"/>
    <w:uiPriority w:val="41"/>
    <w:rsid w:val="00C4369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1111">
    <w:name w:val="No List1111"/>
    <w:next w:val="NoList"/>
    <w:uiPriority w:val="99"/>
    <w:semiHidden/>
    <w:unhideWhenUsed/>
    <w:rsid w:val="00C43694"/>
  </w:style>
  <w:style w:type="numbering" w:customStyle="1" w:styleId="NoList4">
    <w:name w:val="No List4"/>
    <w:next w:val="NoList"/>
    <w:uiPriority w:val="99"/>
    <w:semiHidden/>
    <w:unhideWhenUsed/>
    <w:rsid w:val="00C43694"/>
  </w:style>
  <w:style w:type="character" w:styleId="BookTitle">
    <w:name w:val="Book Title"/>
    <w:uiPriority w:val="33"/>
    <w:qFormat/>
    <w:rsid w:val="00C43694"/>
    <w:rPr>
      <w:b/>
      <w:bCs/>
      <w:i/>
      <w:iCs/>
      <w:spacing w:val="5"/>
    </w:rPr>
  </w:style>
  <w:style w:type="paragraph" w:styleId="Revision">
    <w:name w:val="Revision"/>
    <w:hidden/>
    <w:uiPriority w:val="99"/>
    <w:semiHidden/>
    <w:rsid w:val="00C43694"/>
    <w:pPr>
      <w:spacing w:after="0" w:line="240" w:lineRule="auto"/>
    </w:pPr>
    <w:rPr>
      <w:rFonts w:ascii="Calibri" w:eastAsia="Calibri" w:hAnsi="Calibri" w:cs="Times New Roman"/>
    </w:rPr>
  </w:style>
  <w:style w:type="paragraph" w:styleId="TableofFigures">
    <w:name w:val="table of figures"/>
    <w:basedOn w:val="Normal"/>
    <w:next w:val="Normal"/>
    <w:uiPriority w:val="99"/>
    <w:unhideWhenUsed/>
    <w:rsid w:val="00C43694"/>
    <w:rPr>
      <w:rFonts w:ascii="Calibri Light" w:hAnsi="Calibri Light"/>
      <w:sz w:val="24"/>
    </w:rPr>
  </w:style>
  <w:style w:type="paragraph" w:styleId="NormalWeb">
    <w:name w:val="Normal (Web)"/>
    <w:basedOn w:val="Normal"/>
    <w:uiPriority w:val="99"/>
    <w:unhideWhenUsed/>
    <w:rsid w:val="00C4369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ubtleEmphasis">
    <w:name w:val="Subtle Emphasis"/>
    <w:aliases w:val="Tables"/>
    <w:uiPriority w:val="19"/>
    <w:qFormat/>
    <w:rsid w:val="00C43694"/>
    <w:rPr>
      <w:rFonts w:ascii="Calibri" w:hAnsi="Calibri"/>
      <w:b/>
      <w:i/>
      <w:iCs/>
      <w:color w:val="404040"/>
      <w:sz w:val="24"/>
    </w:rPr>
  </w:style>
  <w:style w:type="character" w:customStyle="1" w:styleId="UnresolvedMention3">
    <w:name w:val="Unresolved Mention3"/>
    <w:basedOn w:val="DefaultParagraphFont"/>
    <w:uiPriority w:val="99"/>
    <w:semiHidden/>
    <w:unhideWhenUsed/>
    <w:rsid w:val="00C43694"/>
    <w:rPr>
      <w:color w:val="605E5C"/>
      <w:shd w:val="clear" w:color="auto" w:fill="E1DFDD"/>
    </w:rPr>
  </w:style>
  <w:style w:type="table" w:customStyle="1" w:styleId="TableGrid0">
    <w:name w:val="TableGrid"/>
    <w:rsid w:val="00C43694"/>
    <w:pPr>
      <w:spacing w:after="0" w:line="240" w:lineRule="auto"/>
    </w:pPr>
    <w:rPr>
      <w:rFonts w:eastAsiaTheme="minorEastAsia"/>
      <w:lang w:eastAsia="en-GB"/>
    </w:rPr>
    <w:tblPr>
      <w:tblCellMar>
        <w:top w:w="0" w:type="dxa"/>
        <w:left w:w="0" w:type="dxa"/>
        <w:bottom w:w="0" w:type="dxa"/>
        <w:right w:w="0" w:type="dxa"/>
      </w:tblCellMar>
    </w:tblPr>
  </w:style>
  <w:style w:type="paragraph" w:styleId="Caption">
    <w:name w:val="caption"/>
    <w:basedOn w:val="Normal"/>
    <w:next w:val="Normal"/>
    <w:uiPriority w:val="35"/>
    <w:unhideWhenUsed/>
    <w:qFormat/>
    <w:rsid w:val="00C43694"/>
    <w:pPr>
      <w:spacing w:after="200" w:line="240" w:lineRule="auto"/>
    </w:pPr>
    <w:rPr>
      <w:i/>
      <w:iCs/>
      <w:color w:val="44546A" w:themeColor="text2"/>
      <w:sz w:val="18"/>
      <w:szCs w:val="18"/>
    </w:rPr>
  </w:style>
  <w:style w:type="character" w:customStyle="1" w:styleId="UnresolvedMention4">
    <w:name w:val="Unresolved Mention4"/>
    <w:basedOn w:val="DefaultParagraphFont"/>
    <w:uiPriority w:val="99"/>
    <w:semiHidden/>
    <w:unhideWhenUsed/>
    <w:rsid w:val="00C43694"/>
    <w:rPr>
      <w:color w:val="605E5C"/>
      <w:shd w:val="clear" w:color="auto" w:fill="E1DFDD"/>
    </w:rPr>
  </w:style>
  <w:style w:type="character" w:customStyle="1" w:styleId="cf01">
    <w:name w:val="cf01"/>
    <w:basedOn w:val="DefaultParagraphFont"/>
    <w:rsid w:val="00C436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AD9756-081D-4380-B5F4-24DBF2942424}" type="doc">
      <dgm:prSet loTypeId="urn:microsoft.com/office/officeart/2005/8/layout/process1" loCatId="process" qsTypeId="urn:microsoft.com/office/officeart/2005/8/quickstyle/simple1" qsCatId="simple" csTypeId="urn:microsoft.com/office/officeart/2005/8/colors/accent0_2" csCatId="mainScheme" phldr="1"/>
      <dgm:spPr/>
    </dgm:pt>
    <dgm:pt modelId="{71E96B6F-96BB-4DD5-9AA9-DF392E758CC0}">
      <dgm:prSet phldrT="[Text]"/>
      <dgm:spPr>
        <a:xfrm>
          <a:off x="2360" y="83762"/>
          <a:ext cx="1032066" cy="619239"/>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dirty="0">
              <a:solidFill>
                <a:srgbClr val="44546A">
                  <a:hueOff val="0"/>
                  <a:satOff val="0"/>
                  <a:lumOff val="0"/>
                  <a:alphaOff val="0"/>
                </a:srgbClr>
              </a:solidFill>
              <a:latin typeface="Calibri" panose="020F0502020204030204"/>
              <a:ea typeface="+mn-ea"/>
              <a:cs typeface="+mn-cs"/>
            </a:rPr>
            <a:t>Epistemology</a:t>
          </a:r>
        </a:p>
      </dgm:t>
    </dgm:pt>
    <dgm:pt modelId="{3A229B1A-F0B4-4D80-AA83-9FF469A71311}" type="parTrans" cxnId="{7C720126-FFC7-415A-BD86-49321816C840}">
      <dgm:prSet/>
      <dgm:spPr/>
      <dgm:t>
        <a:bodyPr/>
        <a:lstStyle/>
        <a:p>
          <a:endParaRPr lang="en-GB"/>
        </a:p>
      </dgm:t>
    </dgm:pt>
    <dgm:pt modelId="{307BCEA1-8D97-4028-AC9D-460AD23AF34C}" type="sibTrans" cxnId="{7C720126-FFC7-415A-BD86-49321816C840}">
      <dgm:prSet/>
      <dgm:spPr>
        <a:xfrm>
          <a:off x="1137633" y="265406"/>
          <a:ext cx="218798" cy="255952"/>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buNone/>
          </a:pPr>
          <a:endParaRPr lang="en-GB">
            <a:solidFill>
              <a:srgbClr val="44546A">
                <a:hueOff val="0"/>
                <a:satOff val="0"/>
                <a:lumOff val="0"/>
                <a:alphaOff val="0"/>
              </a:srgbClr>
            </a:solidFill>
            <a:latin typeface="Calibri" panose="020F0502020204030204"/>
            <a:ea typeface="+mn-ea"/>
            <a:cs typeface="+mn-cs"/>
          </a:endParaRPr>
        </a:p>
      </dgm:t>
    </dgm:pt>
    <dgm:pt modelId="{F6BC45CB-1304-4D8D-9641-766907858D65}">
      <dgm:prSet phldrT="[Text]"/>
      <dgm:spPr>
        <a:xfrm>
          <a:off x="1447253" y="83762"/>
          <a:ext cx="1032066" cy="619239"/>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dirty="0">
              <a:solidFill>
                <a:srgbClr val="44546A">
                  <a:hueOff val="0"/>
                  <a:satOff val="0"/>
                  <a:lumOff val="0"/>
                  <a:alphaOff val="0"/>
                </a:srgbClr>
              </a:solidFill>
              <a:latin typeface="Calibri" panose="020F0502020204030204"/>
              <a:ea typeface="+mn-ea"/>
              <a:cs typeface="+mn-cs"/>
            </a:rPr>
            <a:t>Theoretical Perspective</a:t>
          </a:r>
        </a:p>
      </dgm:t>
    </dgm:pt>
    <dgm:pt modelId="{A09DD864-E761-464F-A497-83D1BF559A46}" type="parTrans" cxnId="{DBA09E56-1421-4FAE-9746-605506488C98}">
      <dgm:prSet/>
      <dgm:spPr/>
      <dgm:t>
        <a:bodyPr/>
        <a:lstStyle/>
        <a:p>
          <a:endParaRPr lang="en-GB"/>
        </a:p>
      </dgm:t>
    </dgm:pt>
    <dgm:pt modelId="{D2ED5D6E-250E-4548-A350-C9ABE07FC8BC}" type="sibTrans" cxnId="{DBA09E56-1421-4FAE-9746-605506488C98}">
      <dgm:prSet/>
      <dgm:spPr>
        <a:xfrm>
          <a:off x="2582525" y="265406"/>
          <a:ext cx="218798" cy="255952"/>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buNone/>
          </a:pPr>
          <a:endParaRPr lang="en-GB">
            <a:solidFill>
              <a:srgbClr val="44546A">
                <a:hueOff val="0"/>
                <a:satOff val="0"/>
                <a:lumOff val="0"/>
                <a:alphaOff val="0"/>
              </a:srgbClr>
            </a:solidFill>
            <a:latin typeface="Calibri" panose="020F0502020204030204"/>
            <a:ea typeface="+mn-ea"/>
            <a:cs typeface="+mn-cs"/>
          </a:endParaRPr>
        </a:p>
      </dgm:t>
    </dgm:pt>
    <dgm:pt modelId="{FF452309-5752-47B6-8C58-8A8404FD188B}">
      <dgm:prSet phldrT="[Text]"/>
      <dgm:spPr>
        <a:xfrm>
          <a:off x="2892145" y="83762"/>
          <a:ext cx="1032066" cy="619239"/>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dirty="0">
              <a:solidFill>
                <a:srgbClr val="44546A">
                  <a:hueOff val="0"/>
                  <a:satOff val="0"/>
                  <a:lumOff val="0"/>
                  <a:alphaOff val="0"/>
                </a:srgbClr>
              </a:solidFill>
              <a:latin typeface="Calibri" panose="020F0502020204030204"/>
              <a:ea typeface="+mn-ea"/>
              <a:cs typeface="+mn-cs"/>
            </a:rPr>
            <a:t>Methodology</a:t>
          </a:r>
        </a:p>
      </dgm:t>
    </dgm:pt>
    <dgm:pt modelId="{55380588-E8F5-4C75-AC70-99EE0ED8B2B0}" type="parTrans" cxnId="{5D83DE61-C393-4F53-B875-B96FDB9DDB7F}">
      <dgm:prSet/>
      <dgm:spPr/>
      <dgm:t>
        <a:bodyPr/>
        <a:lstStyle/>
        <a:p>
          <a:endParaRPr lang="en-GB"/>
        </a:p>
      </dgm:t>
    </dgm:pt>
    <dgm:pt modelId="{A536AE5C-2A98-460F-B025-69794BE82E50}" type="sibTrans" cxnId="{5D83DE61-C393-4F53-B875-B96FDB9DDB7F}">
      <dgm:prSet/>
      <dgm:spPr>
        <a:xfrm>
          <a:off x="4027418" y="265406"/>
          <a:ext cx="218798" cy="255952"/>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buNone/>
          </a:pPr>
          <a:endParaRPr lang="en-GB">
            <a:solidFill>
              <a:srgbClr val="44546A">
                <a:hueOff val="0"/>
                <a:satOff val="0"/>
                <a:lumOff val="0"/>
                <a:alphaOff val="0"/>
              </a:srgbClr>
            </a:solidFill>
            <a:latin typeface="Calibri" panose="020F0502020204030204"/>
            <a:ea typeface="+mn-ea"/>
            <a:cs typeface="+mn-cs"/>
          </a:endParaRPr>
        </a:p>
      </dgm:t>
    </dgm:pt>
    <dgm:pt modelId="{366D82D2-BEF8-418E-995A-AB90ACF63A16}">
      <dgm:prSet phldrT="[Text]"/>
      <dgm:spPr>
        <a:xfrm>
          <a:off x="4337038" y="83762"/>
          <a:ext cx="1032066" cy="619239"/>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buNone/>
          </a:pPr>
          <a:r>
            <a:rPr lang="en-GB" dirty="0">
              <a:solidFill>
                <a:srgbClr val="44546A">
                  <a:hueOff val="0"/>
                  <a:satOff val="0"/>
                  <a:lumOff val="0"/>
                  <a:alphaOff val="0"/>
                </a:srgbClr>
              </a:solidFill>
              <a:latin typeface="Calibri" panose="020F0502020204030204"/>
              <a:ea typeface="+mn-ea"/>
              <a:cs typeface="+mn-cs"/>
            </a:rPr>
            <a:t>Methods</a:t>
          </a:r>
        </a:p>
      </dgm:t>
    </dgm:pt>
    <dgm:pt modelId="{7AD5154E-41C2-43B4-A769-E23F75502387}" type="parTrans" cxnId="{B291EC20-638B-479A-AA9A-5B3AD652FF12}">
      <dgm:prSet/>
      <dgm:spPr/>
      <dgm:t>
        <a:bodyPr/>
        <a:lstStyle/>
        <a:p>
          <a:endParaRPr lang="en-GB"/>
        </a:p>
      </dgm:t>
    </dgm:pt>
    <dgm:pt modelId="{1331D372-C2DD-4348-A973-3B708B2DD69E}" type="sibTrans" cxnId="{B291EC20-638B-479A-AA9A-5B3AD652FF12}">
      <dgm:prSet/>
      <dgm:spPr/>
      <dgm:t>
        <a:bodyPr/>
        <a:lstStyle/>
        <a:p>
          <a:endParaRPr lang="en-GB"/>
        </a:p>
      </dgm:t>
    </dgm:pt>
    <dgm:pt modelId="{223E0486-1AEB-4230-BD5F-76687A780C47}" type="pres">
      <dgm:prSet presAssocID="{55AD9756-081D-4380-B5F4-24DBF2942424}" presName="Name0" presStyleCnt="0">
        <dgm:presLayoutVars>
          <dgm:dir/>
          <dgm:resizeHandles val="exact"/>
        </dgm:presLayoutVars>
      </dgm:prSet>
      <dgm:spPr/>
    </dgm:pt>
    <dgm:pt modelId="{F73F76A3-A0B9-447E-80FB-FB4AC4F1BFF0}" type="pres">
      <dgm:prSet presAssocID="{71E96B6F-96BB-4DD5-9AA9-DF392E758CC0}" presName="node" presStyleLbl="node1" presStyleIdx="0" presStyleCnt="4">
        <dgm:presLayoutVars>
          <dgm:bulletEnabled val="1"/>
        </dgm:presLayoutVars>
      </dgm:prSet>
      <dgm:spPr/>
    </dgm:pt>
    <dgm:pt modelId="{A2DE891B-3B94-42CD-9618-56080E0D4C87}" type="pres">
      <dgm:prSet presAssocID="{307BCEA1-8D97-4028-AC9D-460AD23AF34C}" presName="sibTrans" presStyleLbl="sibTrans2D1" presStyleIdx="0" presStyleCnt="3"/>
      <dgm:spPr/>
    </dgm:pt>
    <dgm:pt modelId="{061D2C0E-ACD0-4081-A5D3-FB87A75E73CA}" type="pres">
      <dgm:prSet presAssocID="{307BCEA1-8D97-4028-AC9D-460AD23AF34C}" presName="connectorText" presStyleLbl="sibTrans2D1" presStyleIdx="0" presStyleCnt="3"/>
      <dgm:spPr/>
    </dgm:pt>
    <dgm:pt modelId="{3ECDFAAB-1487-4840-89A6-4715BF97A3A2}" type="pres">
      <dgm:prSet presAssocID="{F6BC45CB-1304-4D8D-9641-766907858D65}" presName="node" presStyleLbl="node1" presStyleIdx="1" presStyleCnt="4">
        <dgm:presLayoutVars>
          <dgm:bulletEnabled val="1"/>
        </dgm:presLayoutVars>
      </dgm:prSet>
      <dgm:spPr/>
    </dgm:pt>
    <dgm:pt modelId="{369425BE-CE80-4906-A635-C3301918F025}" type="pres">
      <dgm:prSet presAssocID="{D2ED5D6E-250E-4548-A350-C9ABE07FC8BC}" presName="sibTrans" presStyleLbl="sibTrans2D1" presStyleIdx="1" presStyleCnt="3"/>
      <dgm:spPr/>
    </dgm:pt>
    <dgm:pt modelId="{58D8BBF5-4501-41C0-9AF8-CC976921703B}" type="pres">
      <dgm:prSet presAssocID="{D2ED5D6E-250E-4548-A350-C9ABE07FC8BC}" presName="connectorText" presStyleLbl="sibTrans2D1" presStyleIdx="1" presStyleCnt="3"/>
      <dgm:spPr/>
    </dgm:pt>
    <dgm:pt modelId="{629AC97F-ECFB-448E-9655-1FD4B6E81E78}" type="pres">
      <dgm:prSet presAssocID="{FF452309-5752-47B6-8C58-8A8404FD188B}" presName="node" presStyleLbl="node1" presStyleIdx="2" presStyleCnt="4">
        <dgm:presLayoutVars>
          <dgm:bulletEnabled val="1"/>
        </dgm:presLayoutVars>
      </dgm:prSet>
      <dgm:spPr/>
    </dgm:pt>
    <dgm:pt modelId="{370CA7D6-AE77-4CA4-9E2C-C3C4BE1D4808}" type="pres">
      <dgm:prSet presAssocID="{A536AE5C-2A98-460F-B025-69794BE82E50}" presName="sibTrans" presStyleLbl="sibTrans2D1" presStyleIdx="2" presStyleCnt="3"/>
      <dgm:spPr/>
    </dgm:pt>
    <dgm:pt modelId="{6527B157-1218-423E-B0BD-6B015EFF720A}" type="pres">
      <dgm:prSet presAssocID="{A536AE5C-2A98-460F-B025-69794BE82E50}" presName="connectorText" presStyleLbl="sibTrans2D1" presStyleIdx="2" presStyleCnt="3"/>
      <dgm:spPr/>
    </dgm:pt>
    <dgm:pt modelId="{3E034274-DD4A-4851-BCCD-96038301C936}" type="pres">
      <dgm:prSet presAssocID="{366D82D2-BEF8-418E-995A-AB90ACF63A16}" presName="node" presStyleLbl="node1" presStyleIdx="3" presStyleCnt="4">
        <dgm:presLayoutVars>
          <dgm:bulletEnabled val="1"/>
        </dgm:presLayoutVars>
      </dgm:prSet>
      <dgm:spPr/>
    </dgm:pt>
  </dgm:ptLst>
  <dgm:cxnLst>
    <dgm:cxn modelId="{27BFDD0B-B56A-4D85-B1EF-AABB38ACF582}" type="presOf" srcId="{307BCEA1-8D97-4028-AC9D-460AD23AF34C}" destId="{061D2C0E-ACD0-4081-A5D3-FB87A75E73CA}" srcOrd="1" destOrd="0" presId="urn:microsoft.com/office/officeart/2005/8/layout/process1"/>
    <dgm:cxn modelId="{B291EC20-638B-479A-AA9A-5B3AD652FF12}" srcId="{55AD9756-081D-4380-B5F4-24DBF2942424}" destId="{366D82D2-BEF8-418E-995A-AB90ACF63A16}" srcOrd="3" destOrd="0" parTransId="{7AD5154E-41C2-43B4-A769-E23F75502387}" sibTransId="{1331D372-C2DD-4348-A973-3B708B2DD69E}"/>
    <dgm:cxn modelId="{7C720126-FFC7-415A-BD86-49321816C840}" srcId="{55AD9756-081D-4380-B5F4-24DBF2942424}" destId="{71E96B6F-96BB-4DD5-9AA9-DF392E758CC0}" srcOrd="0" destOrd="0" parTransId="{3A229B1A-F0B4-4D80-AA83-9FF469A71311}" sibTransId="{307BCEA1-8D97-4028-AC9D-460AD23AF34C}"/>
    <dgm:cxn modelId="{5D83DE61-C393-4F53-B875-B96FDB9DDB7F}" srcId="{55AD9756-081D-4380-B5F4-24DBF2942424}" destId="{FF452309-5752-47B6-8C58-8A8404FD188B}" srcOrd="2" destOrd="0" parTransId="{55380588-E8F5-4C75-AC70-99EE0ED8B2B0}" sibTransId="{A536AE5C-2A98-460F-B025-69794BE82E50}"/>
    <dgm:cxn modelId="{1112D767-6F8F-49F8-AF3D-572ECF4AB8DD}" type="presOf" srcId="{F6BC45CB-1304-4D8D-9641-766907858D65}" destId="{3ECDFAAB-1487-4840-89A6-4715BF97A3A2}" srcOrd="0" destOrd="0" presId="urn:microsoft.com/office/officeart/2005/8/layout/process1"/>
    <dgm:cxn modelId="{DE15AE6E-6049-4ECD-9F3C-9C13F9D25B70}" type="presOf" srcId="{FF452309-5752-47B6-8C58-8A8404FD188B}" destId="{629AC97F-ECFB-448E-9655-1FD4B6E81E78}" srcOrd="0" destOrd="0" presId="urn:microsoft.com/office/officeart/2005/8/layout/process1"/>
    <dgm:cxn modelId="{1A9B5075-36EC-4DC2-9403-65935472798B}" type="presOf" srcId="{A536AE5C-2A98-460F-B025-69794BE82E50}" destId="{370CA7D6-AE77-4CA4-9E2C-C3C4BE1D4808}" srcOrd="0" destOrd="0" presId="urn:microsoft.com/office/officeart/2005/8/layout/process1"/>
    <dgm:cxn modelId="{DBA09E56-1421-4FAE-9746-605506488C98}" srcId="{55AD9756-081D-4380-B5F4-24DBF2942424}" destId="{F6BC45CB-1304-4D8D-9641-766907858D65}" srcOrd="1" destOrd="0" parTransId="{A09DD864-E761-464F-A497-83D1BF559A46}" sibTransId="{D2ED5D6E-250E-4548-A350-C9ABE07FC8BC}"/>
    <dgm:cxn modelId="{A8F3817C-EE6D-44CD-B8A4-A6E8A9C02FC5}" type="presOf" srcId="{366D82D2-BEF8-418E-995A-AB90ACF63A16}" destId="{3E034274-DD4A-4851-BCCD-96038301C936}" srcOrd="0" destOrd="0" presId="urn:microsoft.com/office/officeart/2005/8/layout/process1"/>
    <dgm:cxn modelId="{DF269590-8C13-428E-84EA-083F09DC1D5B}" type="presOf" srcId="{307BCEA1-8D97-4028-AC9D-460AD23AF34C}" destId="{A2DE891B-3B94-42CD-9618-56080E0D4C87}" srcOrd="0" destOrd="0" presId="urn:microsoft.com/office/officeart/2005/8/layout/process1"/>
    <dgm:cxn modelId="{7B25D49D-515C-40A4-B237-DBAB4902E09A}" type="presOf" srcId="{55AD9756-081D-4380-B5F4-24DBF2942424}" destId="{223E0486-1AEB-4230-BD5F-76687A780C47}" srcOrd="0" destOrd="0" presId="urn:microsoft.com/office/officeart/2005/8/layout/process1"/>
    <dgm:cxn modelId="{8C445FA9-7515-44EE-8495-25ECBFF47CCA}" type="presOf" srcId="{D2ED5D6E-250E-4548-A350-C9ABE07FC8BC}" destId="{58D8BBF5-4501-41C0-9AF8-CC976921703B}" srcOrd="1" destOrd="0" presId="urn:microsoft.com/office/officeart/2005/8/layout/process1"/>
    <dgm:cxn modelId="{819372C2-440E-4C3B-B145-9410E68978BE}" type="presOf" srcId="{A536AE5C-2A98-460F-B025-69794BE82E50}" destId="{6527B157-1218-423E-B0BD-6B015EFF720A}" srcOrd="1" destOrd="0" presId="urn:microsoft.com/office/officeart/2005/8/layout/process1"/>
    <dgm:cxn modelId="{791699E0-A45A-4BE8-8948-AE7F63FE2AB8}" type="presOf" srcId="{D2ED5D6E-250E-4548-A350-C9ABE07FC8BC}" destId="{369425BE-CE80-4906-A635-C3301918F025}" srcOrd="0" destOrd="0" presId="urn:microsoft.com/office/officeart/2005/8/layout/process1"/>
    <dgm:cxn modelId="{2E9CDFF7-93FC-479D-AB55-9544E0049160}" type="presOf" srcId="{71E96B6F-96BB-4DD5-9AA9-DF392E758CC0}" destId="{F73F76A3-A0B9-447E-80FB-FB4AC4F1BFF0}" srcOrd="0" destOrd="0" presId="urn:microsoft.com/office/officeart/2005/8/layout/process1"/>
    <dgm:cxn modelId="{A2CB21A3-87C3-44FA-A8EE-F43BF5DD30DF}" type="presParOf" srcId="{223E0486-1AEB-4230-BD5F-76687A780C47}" destId="{F73F76A3-A0B9-447E-80FB-FB4AC4F1BFF0}" srcOrd="0" destOrd="0" presId="urn:microsoft.com/office/officeart/2005/8/layout/process1"/>
    <dgm:cxn modelId="{BF002413-ACF3-4288-B241-6F4D1BEACBB9}" type="presParOf" srcId="{223E0486-1AEB-4230-BD5F-76687A780C47}" destId="{A2DE891B-3B94-42CD-9618-56080E0D4C87}" srcOrd="1" destOrd="0" presId="urn:microsoft.com/office/officeart/2005/8/layout/process1"/>
    <dgm:cxn modelId="{795E7308-115C-4D2F-8BEB-63230326E8EA}" type="presParOf" srcId="{A2DE891B-3B94-42CD-9618-56080E0D4C87}" destId="{061D2C0E-ACD0-4081-A5D3-FB87A75E73CA}" srcOrd="0" destOrd="0" presId="urn:microsoft.com/office/officeart/2005/8/layout/process1"/>
    <dgm:cxn modelId="{7CE54D81-D684-45C5-B87E-0AA1BA574D2F}" type="presParOf" srcId="{223E0486-1AEB-4230-BD5F-76687A780C47}" destId="{3ECDFAAB-1487-4840-89A6-4715BF97A3A2}" srcOrd="2" destOrd="0" presId="urn:microsoft.com/office/officeart/2005/8/layout/process1"/>
    <dgm:cxn modelId="{0E0CDE09-8EC4-4E5B-85EF-AFBDB6386B2D}" type="presParOf" srcId="{223E0486-1AEB-4230-BD5F-76687A780C47}" destId="{369425BE-CE80-4906-A635-C3301918F025}" srcOrd="3" destOrd="0" presId="urn:microsoft.com/office/officeart/2005/8/layout/process1"/>
    <dgm:cxn modelId="{B3F88052-63E7-47D1-866F-B456990E72D4}" type="presParOf" srcId="{369425BE-CE80-4906-A635-C3301918F025}" destId="{58D8BBF5-4501-41C0-9AF8-CC976921703B}" srcOrd="0" destOrd="0" presId="urn:microsoft.com/office/officeart/2005/8/layout/process1"/>
    <dgm:cxn modelId="{E6CCCD74-FBD6-4F84-9D24-4D140752CC04}" type="presParOf" srcId="{223E0486-1AEB-4230-BD5F-76687A780C47}" destId="{629AC97F-ECFB-448E-9655-1FD4B6E81E78}" srcOrd="4" destOrd="0" presId="urn:microsoft.com/office/officeart/2005/8/layout/process1"/>
    <dgm:cxn modelId="{F6A6B50A-BE1F-492A-AD87-99D2D4AA4E16}" type="presParOf" srcId="{223E0486-1AEB-4230-BD5F-76687A780C47}" destId="{370CA7D6-AE77-4CA4-9E2C-C3C4BE1D4808}" srcOrd="5" destOrd="0" presId="urn:microsoft.com/office/officeart/2005/8/layout/process1"/>
    <dgm:cxn modelId="{B9E3027A-8029-4E40-8E78-4DAF540BA651}" type="presParOf" srcId="{370CA7D6-AE77-4CA4-9E2C-C3C4BE1D4808}" destId="{6527B157-1218-423E-B0BD-6B015EFF720A}" srcOrd="0" destOrd="0" presId="urn:microsoft.com/office/officeart/2005/8/layout/process1"/>
    <dgm:cxn modelId="{9953F0F7-114E-491D-AC68-1D54DBD1F115}" type="presParOf" srcId="{223E0486-1AEB-4230-BD5F-76687A780C47}" destId="{3E034274-DD4A-4851-BCCD-96038301C936}" srcOrd="6"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3F76A3-A0B9-447E-80FB-FB4AC4F1BFF0}">
      <dsp:nvSpPr>
        <dsp:cNvPr id="0" name=""/>
        <dsp:cNvSpPr/>
      </dsp:nvSpPr>
      <dsp:spPr>
        <a:xfrm>
          <a:off x="2359" y="83518"/>
          <a:ext cx="1031822" cy="619093"/>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44546A">
                  <a:hueOff val="0"/>
                  <a:satOff val="0"/>
                  <a:lumOff val="0"/>
                  <a:alphaOff val="0"/>
                </a:srgbClr>
              </a:solidFill>
              <a:latin typeface="Calibri" panose="020F0502020204030204"/>
              <a:ea typeface="+mn-ea"/>
              <a:cs typeface="+mn-cs"/>
            </a:rPr>
            <a:t>Epistemology</a:t>
          </a:r>
        </a:p>
      </dsp:txBody>
      <dsp:txXfrm>
        <a:off x="20492" y="101651"/>
        <a:ext cx="995556" cy="582827"/>
      </dsp:txXfrm>
    </dsp:sp>
    <dsp:sp modelId="{A2DE891B-3B94-42CD-9618-56080E0D4C87}">
      <dsp:nvSpPr>
        <dsp:cNvPr id="0" name=""/>
        <dsp:cNvSpPr/>
      </dsp:nvSpPr>
      <dsp:spPr>
        <a:xfrm>
          <a:off x="1137364" y="265119"/>
          <a:ext cx="218746" cy="255891"/>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44546A">
                <a:hueOff val="0"/>
                <a:satOff val="0"/>
                <a:lumOff val="0"/>
                <a:alphaOff val="0"/>
              </a:srgbClr>
            </a:solidFill>
            <a:latin typeface="Calibri" panose="020F0502020204030204"/>
            <a:ea typeface="+mn-ea"/>
            <a:cs typeface="+mn-cs"/>
          </a:endParaRPr>
        </a:p>
      </dsp:txBody>
      <dsp:txXfrm>
        <a:off x="1137364" y="316297"/>
        <a:ext cx="153122" cy="153535"/>
      </dsp:txXfrm>
    </dsp:sp>
    <dsp:sp modelId="{3ECDFAAB-1487-4840-89A6-4715BF97A3A2}">
      <dsp:nvSpPr>
        <dsp:cNvPr id="0" name=""/>
        <dsp:cNvSpPr/>
      </dsp:nvSpPr>
      <dsp:spPr>
        <a:xfrm>
          <a:off x="1446910" y="83518"/>
          <a:ext cx="1031822" cy="619093"/>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44546A">
                  <a:hueOff val="0"/>
                  <a:satOff val="0"/>
                  <a:lumOff val="0"/>
                  <a:alphaOff val="0"/>
                </a:srgbClr>
              </a:solidFill>
              <a:latin typeface="Calibri" panose="020F0502020204030204"/>
              <a:ea typeface="+mn-ea"/>
              <a:cs typeface="+mn-cs"/>
            </a:rPr>
            <a:t>Theoretical Perspective</a:t>
          </a:r>
        </a:p>
      </dsp:txBody>
      <dsp:txXfrm>
        <a:off x="1465043" y="101651"/>
        <a:ext cx="995556" cy="582827"/>
      </dsp:txXfrm>
    </dsp:sp>
    <dsp:sp modelId="{369425BE-CE80-4906-A635-C3301918F025}">
      <dsp:nvSpPr>
        <dsp:cNvPr id="0" name=""/>
        <dsp:cNvSpPr/>
      </dsp:nvSpPr>
      <dsp:spPr>
        <a:xfrm>
          <a:off x="2581915" y="265119"/>
          <a:ext cx="218746" cy="255891"/>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44546A">
                <a:hueOff val="0"/>
                <a:satOff val="0"/>
                <a:lumOff val="0"/>
                <a:alphaOff val="0"/>
              </a:srgbClr>
            </a:solidFill>
            <a:latin typeface="Calibri" panose="020F0502020204030204"/>
            <a:ea typeface="+mn-ea"/>
            <a:cs typeface="+mn-cs"/>
          </a:endParaRPr>
        </a:p>
      </dsp:txBody>
      <dsp:txXfrm>
        <a:off x="2581915" y="316297"/>
        <a:ext cx="153122" cy="153535"/>
      </dsp:txXfrm>
    </dsp:sp>
    <dsp:sp modelId="{629AC97F-ECFB-448E-9655-1FD4B6E81E78}">
      <dsp:nvSpPr>
        <dsp:cNvPr id="0" name=""/>
        <dsp:cNvSpPr/>
      </dsp:nvSpPr>
      <dsp:spPr>
        <a:xfrm>
          <a:off x="2891461" y="83518"/>
          <a:ext cx="1031822" cy="619093"/>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44546A">
                  <a:hueOff val="0"/>
                  <a:satOff val="0"/>
                  <a:lumOff val="0"/>
                  <a:alphaOff val="0"/>
                </a:srgbClr>
              </a:solidFill>
              <a:latin typeface="Calibri" panose="020F0502020204030204"/>
              <a:ea typeface="+mn-ea"/>
              <a:cs typeface="+mn-cs"/>
            </a:rPr>
            <a:t>Methodology</a:t>
          </a:r>
        </a:p>
      </dsp:txBody>
      <dsp:txXfrm>
        <a:off x="2909594" y="101651"/>
        <a:ext cx="995556" cy="582827"/>
      </dsp:txXfrm>
    </dsp:sp>
    <dsp:sp modelId="{370CA7D6-AE77-4CA4-9E2C-C3C4BE1D4808}">
      <dsp:nvSpPr>
        <dsp:cNvPr id="0" name=""/>
        <dsp:cNvSpPr/>
      </dsp:nvSpPr>
      <dsp:spPr>
        <a:xfrm>
          <a:off x="4026466" y="265119"/>
          <a:ext cx="218746" cy="255891"/>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44546A">
                <a:hueOff val="0"/>
                <a:satOff val="0"/>
                <a:lumOff val="0"/>
                <a:alphaOff val="0"/>
              </a:srgbClr>
            </a:solidFill>
            <a:latin typeface="Calibri" panose="020F0502020204030204"/>
            <a:ea typeface="+mn-ea"/>
            <a:cs typeface="+mn-cs"/>
          </a:endParaRPr>
        </a:p>
      </dsp:txBody>
      <dsp:txXfrm>
        <a:off x="4026466" y="316297"/>
        <a:ext cx="153122" cy="153535"/>
      </dsp:txXfrm>
    </dsp:sp>
    <dsp:sp modelId="{3E034274-DD4A-4851-BCCD-96038301C936}">
      <dsp:nvSpPr>
        <dsp:cNvPr id="0" name=""/>
        <dsp:cNvSpPr/>
      </dsp:nvSpPr>
      <dsp:spPr>
        <a:xfrm>
          <a:off x="4336012" y="83518"/>
          <a:ext cx="1031822" cy="619093"/>
        </a:xfrm>
        <a:prstGeom prst="roundRect">
          <a:avLst>
            <a:gd name="adj" fmla="val 1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44546A">
                  <a:hueOff val="0"/>
                  <a:satOff val="0"/>
                  <a:lumOff val="0"/>
                  <a:alphaOff val="0"/>
                </a:srgbClr>
              </a:solidFill>
              <a:latin typeface="Calibri" panose="020F0502020204030204"/>
              <a:ea typeface="+mn-ea"/>
              <a:cs typeface="+mn-cs"/>
            </a:rPr>
            <a:t>Methods</a:t>
          </a:r>
        </a:p>
      </dsp:txBody>
      <dsp:txXfrm>
        <a:off x="4354145" y="101651"/>
        <a:ext cx="995556" cy="58282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7344</Words>
  <Characters>41862</Characters>
  <Application>Microsoft Office Word</Application>
  <DocSecurity>0</DocSecurity>
  <Lines>348</Lines>
  <Paragraphs>98</Paragraphs>
  <ScaleCrop>false</ScaleCrop>
  <Company/>
  <LinksUpToDate>false</LinksUpToDate>
  <CharactersWithSpaces>49108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Kate Smith</dc:creator>
  <cp:keywords/>
  <dc:description/>
  <cp:lastModifiedBy>Ruth Kate Smith</cp:lastModifiedBy>
  <cp:revision>1</cp:revision>
  <dcterms:created xsi:type="dcterms:W3CDTF">2021-05-20T13:37:00Z</dcterms:created>
  <dcterms:modified xsi:type="dcterms:W3CDTF">2021-05-20T13:38:00Z</dcterms:modified>
</cp:coreProperties>
</file>