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370E7" w14:textId="77777777" w:rsidR="00244365" w:rsidRDefault="00244365" w:rsidP="00244365">
      <w:pPr>
        <w:jc w:val="center"/>
        <w:rPr>
          <w:rFonts w:ascii="Times New Roman" w:eastAsia="Times New Roman" w:hAnsi="Times New Roman" w:cs="Times New Roman"/>
          <w:sz w:val="32"/>
          <w:szCs w:val="32"/>
        </w:rPr>
      </w:pPr>
    </w:p>
    <w:p w14:paraId="64FF0B48" w14:textId="77777777" w:rsidR="00244365" w:rsidRDefault="00244365" w:rsidP="00244365">
      <w:pPr>
        <w:jc w:val="center"/>
        <w:rPr>
          <w:rFonts w:ascii="Times New Roman" w:eastAsia="Times New Roman" w:hAnsi="Times New Roman" w:cs="Times New Roman"/>
          <w:sz w:val="32"/>
          <w:szCs w:val="32"/>
        </w:rPr>
      </w:pPr>
    </w:p>
    <w:p w14:paraId="2760C04B" w14:textId="77777777" w:rsidR="00244365" w:rsidRDefault="00244365" w:rsidP="00244365">
      <w:pPr>
        <w:jc w:val="center"/>
        <w:rPr>
          <w:rFonts w:ascii="Times New Roman" w:eastAsia="Times New Roman" w:hAnsi="Times New Roman" w:cs="Times New Roman"/>
          <w:sz w:val="32"/>
          <w:szCs w:val="32"/>
        </w:rPr>
      </w:pPr>
    </w:p>
    <w:p w14:paraId="45BDCFBE" w14:textId="77777777" w:rsidR="00244365" w:rsidRDefault="00244365" w:rsidP="00244365">
      <w:pPr>
        <w:jc w:val="center"/>
        <w:rPr>
          <w:rFonts w:ascii="Times New Roman" w:eastAsia="Times New Roman" w:hAnsi="Times New Roman" w:cs="Times New Roman"/>
          <w:sz w:val="32"/>
          <w:szCs w:val="32"/>
        </w:rPr>
      </w:pPr>
    </w:p>
    <w:p w14:paraId="1DD78557" w14:textId="77777777" w:rsidR="00244365" w:rsidRDefault="00244365" w:rsidP="00244365">
      <w:pPr>
        <w:jc w:val="center"/>
        <w:rPr>
          <w:rFonts w:ascii="Times New Roman" w:eastAsia="Times New Roman" w:hAnsi="Times New Roman" w:cs="Times New Roman"/>
          <w:sz w:val="32"/>
          <w:szCs w:val="32"/>
        </w:rPr>
      </w:pPr>
    </w:p>
    <w:p w14:paraId="702321DC" w14:textId="77777777" w:rsidR="00244365" w:rsidRDefault="00244365" w:rsidP="00244365">
      <w:pPr>
        <w:jc w:val="center"/>
        <w:rPr>
          <w:rFonts w:ascii="Times New Roman" w:eastAsia="Times New Roman" w:hAnsi="Times New Roman" w:cs="Times New Roman"/>
          <w:sz w:val="32"/>
          <w:szCs w:val="32"/>
        </w:rPr>
      </w:pPr>
    </w:p>
    <w:p w14:paraId="0ED6EB29" w14:textId="77777777" w:rsidR="00244365" w:rsidRDefault="00244365" w:rsidP="00244365">
      <w:pPr>
        <w:jc w:val="center"/>
        <w:rPr>
          <w:rFonts w:ascii="Times New Roman" w:eastAsia="Times New Roman" w:hAnsi="Times New Roman" w:cs="Times New Roman"/>
          <w:sz w:val="32"/>
          <w:szCs w:val="32"/>
        </w:rPr>
      </w:pPr>
      <w:r w:rsidRPr="3D7F6221">
        <w:rPr>
          <w:rFonts w:ascii="Times New Roman" w:eastAsia="Times New Roman" w:hAnsi="Times New Roman" w:cs="Times New Roman"/>
          <w:sz w:val="32"/>
          <w:szCs w:val="32"/>
        </w:rPr>
        <w:t>KEY THEORIES OF CRIME PREVENTION WHILE DISCUSSING HOW THEY MIGHT BE APPLIED IN PRACTICE</w:t>
      </w:r>
    </w:p>
    <w:p w14:paraId="66084FA5" w14:textId="77777777" w:rsidR="00244365" w:rsidRDefault="00244365" w:rsidP="00244365">
      <w:pPr>
        <w:jc w:val="center"/>
        <w:rPr>
          <w:rFonts w:ascii="Times New Roman" w:eastAsia="Times New Roman" w:hAnsi="Times New Roman" w:cs="Times New Roman"/>
          <w:sz w:val="32"/>
          <w:szCs w:val="32"/>
        </w:rPr>
      </w:pPr>
    </w:p>
    <w:p w14:paraId="67E45F48" w14:textId="77777777" w:rsidR="00244365" w:rsidRDefault="00244365" w:rsidP="00244365">
      <w:pPr>
        <w:jc w:val="center"/>
        <w:rPr>
          <w:rFonts w:ascii="Times New Roman" w:eastAsia="Times New Roman" w:hAnsi="Times New Roman" w:cs="Times New Roman"/>
          <w:sz w:val="32"/>
          <w:szCs w:val="32"/>
        </w:rPr>
      </w:pPr>
    </w:p>
    <w:p w14:paraId="3F282E0A" w14:textId="77777777" w:rsidR="00244365" w:rsidRDefault="00244365" w:rsidP="00244365">
      <w:pPr>
        <w:jc w:val="center"/>
        <w:rPr>
          <w:rFonts w:ascii="Times New Roman" w:eastAsia="Times New Roman" w:hAnsi="Times New Roman" w:cs="Times New Roman"/>
          <w:sz w:val="32"/>
          <w:szCs w:val="32"/>
        </w:rPr>
      </w:pPr>
    </w:p>
    <w:p w14:paraId="037B0A28" w14:textId="77777777" w:rsidR="00244365" w:rsidRDefault="00244365" w:rsidP="00244365">
      <w:pPr>
        <w:jc w:val="center"/>
        <w:rPr>
          <w:rFonts w:ascii="Times New Roman" w:eastAsia="Times New Roman" w:hAnsi="Times New Roman" w:cs="Times New Roman"/>
          <w:sz w:val="32"/>
          <w:szCs w:val="32"/>
        </w:rPr>
      </w:pPr>
    </w:p>
    <w:p w14:paraId="22414FD0" w14:textId="77777777" w:rsidR="00244365" w:rsidRDefault="00244365" w:rsidP="00244365">
      <w:pPr>
        <w:jc w:val="center"/>
        <w:rPr>
          <w:rFonts w:ascii="Times New Roman" w:eastAsia="Times New Roman" w:hAnsi="Times New Roman" w:cs="Times New Roman"/>
          <w:sz w:val="32"/>
          <w:szCs w:val="32"/>
        </w:rPr>
      </w:pPr>
    </w:p>
    <w:p w14:paraId="3E9FA9A4" w14:textId="77777777" w:rsidR="00244365" w:rsidRDefault="00244365" w:rsidP="00244365">
      <w:pPr>
        <w:jc w:val="center"/>
        <w:rPr>
          <w:rFonts w:ascii="Times New Roman" w:eastAsia="Times New Roman" w:hAnsi="Times New Roman" w:cs="Times New Roman"/>
          <w:sz w:val="32"/>
          <w:szCs w:val="32"/>
        </w:rPr>
      </w:pPr>
    </w:p>
    <w:p w14:paraId="0E3BD292" w14:textId="77777777" w:rsidR="00244365" w:rsidRDefault="00244365" w:rsidP="00244365">
      <w:pPr>
        <w:jc w:val="center"/>
        <w:rPr>
          <w:rFonts w:ascii="Times New Roman" w:eastAsia="Times New Roman" w:hAnsi="Times New Roman" w:cs="Times New Roman"/>
          <w:sz w:val="32"/>
          <w:szCs w:val="32"/>
        </w:rPr>
      </w:pPr>
    </w:p>
    <w:p w14:paraId="2809E449" w14:textId="77777777" w:rsidR="00244365" w:rsidRDefault="00244365" w:rsidP="00244365">
      <w:pPr>
        <w:jc w:val="center"/>
        <w:rPr>
          <w:rFonts w:ascii="Times New Roman" w:eastAsia="Times New Roman" w:hAnsi="Times New Roman" w:cs="Times New Roman"/>
          <w:sz w:val="32"/>
          <w:szCs w:val="32"/>
        </w:rPr>
      </w:pPr>
    </w:p>
    <w:p w14:paraId="1E8795AB" w14:textId="77777777" w:rsidR="00244365" w:rsidRDefault="00244365" w:rsidP="00244365">
      <w:pPr>
        <w:jc w:val="center"/>
        <w:rPr>
          <w:rFonts w:ascii="Times New Roman" w:eastAsia="Times New Roman" w:hAnsi="Times New Roman" w:cs="Times New Roman"/>
          <w:sz w:val="32"/>
          <w:szCs w:val="32"/>
        </w:rPr>
      </w:pPr>
    </w:p>
    <w:p w14:paraId="52859018" w14:textId="77777777" w:rsidR="00244365" w:rsidRDefault="00244365" w:rsidP="00244365">
      <w:pPr>
        <w:jc w:val="center"/>
        <w:rPr>
          <w:rFonts w:ascii="Times New Roman" w:eastAsia="Times New Roman" w:hAnsi="Times New Roman" w:cs="Times New Roman"/>
          <w:sz w:val="32"/>
          <w:szCs w:val="32"/>
        </w:rPr>
      </w:pPr>
    </w:p>
    <w:p w14:paraId="68F5D3CA" w14:textId="77777777" w:rsidR="00244365" w:rsidRDefault="00244365" w:rsidP="00244365">
      <w:pPr>
        <w:jc w:val="center"/>
        <w:rPr>
          <w:rFonts w:ascii="Times New Roman" w:eastAsia="Times New Roman" w:hAnsi="Times New Roman" w:cs="Times New Roman"/>
          <w:sz w:val="32"/>
          <w:szCs w:val="32"/>
        </w:rPr>
      </w:pPr>
    </w:p>
    <w:p w14:paraId="39CADBE0" w14:textId="77777777" w:rsidR="00244365" w:rsidRDefault="00244365" w:rsidP="00244365">
      <w:pPr>
        <w:jc w:val="center"/>
        <w:rPr>
          <w:rFonts w:ascii="Times New Roman" w:eastAsia="Times New Roman" w:hAnsi="Times New Roman" w:cs="Times New Roman"/>
          <w:sz w:val="32"/>
          <w:szCs w:val="32"/>
        </w:rPr>
      </w:pPr>
    </w:p>
    <w:p w14:paraId="36620501" w14:textId="77777777" w:rsidR="00244365" w:rsidRDefault="00244365" w:rsidP="00244365">
      <w:pPr>
        <w:jc w:val="center"/>
        <w:rPr>
          <w:rFonts w:ascii="Times New Roman" w:eastAsia="Times New Roman" w:hAnsi="Times New Roman" w:cs="Times New Roman"/>
          <w:sz w:val="32"/>
          <w:szCs w:val="32"/>
        </w:rPr>
      </w:pPr>
    </w:p>
    <w:p w14:paraId="6966CF07" w14:textId="77777777" w:rsidR="00244365" w:rsidRDefault="00244365" w:rsidP="00244365">
      <w:pPr>
        <w:jc w:val="center"/>
        <w:rPr>
          <w:rFonts w:ascii="Times New Roman" w:eastAsia="Times New Roman" w:hAnsi="Times New Roman" w:cs="Times New Roman"/>
          <w:sz w:val="32"/>
          <w:szCs w:val="32"/>
        </w:rPr>
      </w:pPr>
    </w:p>
    <w:p w14:paraId="28212D51" w14:textId="77777777" w:rsidR="00244365" w:rsidRDefault="00244365" w:rsidP="00244365">
      <w:pPr>
        <w:jc w:val="center"/>
        <w:rPr>
          <w:rFonts w:ascii="Times New Roman" w:eastAsia="Times New Roman" w:hAnsi="Times New Roman" w:cs="Times New Roman"/>
          <w:sz w:val="32"/>
          <w:szCs w:val="32"/>
        </w:rPr>
      </w:pPr>
    </w:p>
    <w:p w14:paraId="1BD433E0" w14:textId="77777777" w:rsidR="00244365" w:rsidRDefault="00244365" w:rsidP="00244365">
      <w:pPr>
        <w:jc w:val="center"/>
        <w:rPr>
          <w:rFonts w:ascii="Times New Roman" w:eastAsia="Times New Roman" w:hAnsi="Times New Roman" w:cs="Times New Roman"/>
          <w:sz w:val="32"/>
          <w:szCs w:val="32"/>
        </w:rPr>
      </w:pPr>
    </w:p>
    <w:p w14:paraId="36D6DBBD" w14:textId="77777777" w:rsidR="00244365" w:rsidRDefault="00244365" w:rsidP="00244365">
      <w:pPr>
        <w:jc w:val="center"/>
        <w:rPr>
          <w:rFonts w:ascii="Times New Roman" w:eastAsia="Times New Roman" w:hAnsi="Times New Roman" w:cs="Times New Roman"/>
          <w:b/>
          <w:bCs/>
          <w:sz w:val="24"/>
          <w:szCs w:val="24"/>
        </w:rPr>
      </w:pPr>
    </w:p>
    <w:p w14:paraId="6BB8A073" w14:textId="77777777" w:rsidR="00244365" w:rsidRDefault="00244365" w:rsidP="00244365">
      <w:pPr>
        <w:rPr>
          <w:rFonts w:ascii="Times New Roman" w:eastAsia="Times New Roman" w:hAnsi="Times New Roman" w:cs="Times New Roman"/>
          <w:sz w:val="32"/>
          <w:szCs w:val="32"/>
        </w:rPr>
      </w:pPr>
      <w:r w:rsidRPr="3D7F6221">
        <w:rPr>
          <w:rFonts w:ascii="Times New Roman" w:eastAsia="Times New Roman" w:hAnsi="Times New Roman" w:cs="Times New Roman"/>
          <w:b/>
          <w:bCs/>
          <w:sz w:val="24"/>
          <w:szCs w:val="24"/>
        </w:rPr>
        <w:t>Introduction</w:t>
      </w:r>
    </w:p>
    <w:p w14:paraId="24F03DDC" w14:textId="07A98ED3" w:rsidR="00244365" w:rsidRDefault="00244365" w:rsidP="00244365">
      <w:pPr>
        <w:rPr>
          <w:rFonts w:ascii="Times New Roman" w:eastAsia="Times New Roman" w:hAnsi="Times New Roman" w:cs="Times New Roman"/>
          <w:sz w:val="24"/>
          <w:szCs w:val="24"/>
        </w:rPr>
      </w:pPr>
      <w:r w:rsidRPr="538CD31E">
        <w:rPr>
          <w:rFonts w:ascii="Times New Roman" w:eastAsia="Times New Roman" w:hAnsi="Times New Roman" w:cs="Times New Roman"/>
          <w:sz w:val="24"/>
          <w:szCs w:val="24"/>
        </w:rPr>
        <w:t xml:space="preserve">According to Newburn (2019), “Crime prevention strategies and measures seek to reduce the likelihood of crimes occurring and their potentially harmful effects on individuals and society, including fear of crime, by intervening to influence their multiple causes.” </w:t>
      </w:r>
      <w:r w:rsidRPr="538CD31E">
        <w:rPr>
          <w:rFonts w:ascii="Times New Roman" w:eastAsia="Times New Roman" w:hAnsi="Times New Roman" w:cs="Times New Roman"/>
          <w:sz w:val="24"/>
          <w:szCs w:val="24"/>
          <w:highlight w:val="yellow"/>
        </w:rPr>
        <w:t>This statement addresses the adverse negative impacts and effects that crime has on society and also the necessity of the laws and regulations that are needed to address these issues impacting the daily lives of people</w:t>
      </w:r>
      <w:r w:rsidRPr="538CD31E">
        <w:rPr>
          <w:rFonts w:ascii="Times New Roman" w:eastAsia="Times New Roman" w:hAnsi="Times New Roman" w:cs="Times New Roman"/>
          <w:sz w:val="24"/>
          <w:szCs w:val="24"/>
        </w:rPr>
        <w:t>. Different principles are prioritized in crime prevention, such as reduction of the means, reducing the payoff, having surveillance and environmental changes, implementing rules, setting, and target removal; collaboration between the local and national authorities, the government, line, Forssmann, system, implementation and enforcement of the laws, and maintaining criminal justice (Cairo et al., 2022). The present assessment explores different theoretical concepts in crime prevention with regard to their application process in practice while alluding to different examples. The primary goal of this assessment is to gain an understanding of how crime prevention can be established using theoretical understanding and effectively implemented in the practical aspects of the profession (Jones and Newburn 2019).</w:t>
      </w:r>
    </w:p>
    <w:p w14:paraId="2F81F1EC" w14:textId="77777777" w:rsidR="00244365" w:rsidRDefault="00244365" w:rsidP="00244365">
      <w:pPr>
        <w:rPr>
          <w:rFonts w:ascii="Times New Roman" w:eastAsia="Times New Roman" w:hAnsi="Times New Roman" w:cs="Times New Roman"/>
          <w:sz w:val="24"/>
          <w:szCs w:val="24"/>
        </w:rPr>
      </w:pPr>
    </w:p>
    <w:p w14:paraId="272AABC6" w14:textId="77777777" w:rsidR="00244365" w:rsidRDefault="00244365" w:rsidP="00244365">
      <w:pPr>
        <w:rPr>
          <w:rFonts w:ascii="Times New Roman" w:eastAsia="Times New Roman" w:hAnsi="Times New Roman" w:cs="Times New Roman"/>
          <w:b/>
          <w:bCs/>
          <w:sz w:val="24"/>
          <w:szCs w:val="24"/>
        </w:rPr>
      </w:pPr>
      <w:r w:rsidRPr="3D7F6221">
        <w:rPr>
          <w:rFonts w:ascii="Times New Roman" w:eastAsia="Times New Roman" w:hAnsi="Times New Roman" w:cs="Times New Roman"/>
          <w:b/>
          <w:bCs/>
          <w:sz w:val="24"/>
          <w:szCs w:val="24"/>
        </w:rPr>
        <w:t>Crime prevention</w:t>
      </w:r>
    </w:p>
    <w:p w14:paraId="2B0C97E2" w14:textId="33A9DC03"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The police department employs the crime prevention triangle as a concept to help eliminate any one of the three aspects to ensure that a crime has not occurred. Dimension, entails, desire, ability, and opportunity are the elements of the crime. It is an interconnected concept to help eliminate any one of the three aspects to ensure that a crime has not occurred. Dimension, entails, desire, ability, and opportunity are the elements of the crime. It is an interconnected, non-linear, and multi-disciplinary endeavor that aims to provide suggestions for crime prevention (Carrington et al., 2019). Encouraging those in positions of authority to employ specialized and cutting-edge instruments. To establish and maintain the institutional framework required for effective crime prevention, government leadership is required.</w:t>
      </w:r>
    </w:p>
    <w:p w14:paraId="1D2B817C" w14:textId="77777777"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Socioeconomic development is being implemented, inclusion is being encouraged, at-risk groups, families, youth, and children are being given priority, and it is being stressed how crucial it is to incorporate crime into social and economic policies. Given the range of causes of crime and the knowledge and responsibilities needed to address them, cooperation and partnerships among government ministries and authorities, civil society organizations, the corporate sector, and the general public are essential (</w:t>
      </w:r>
      <w:proofErr w:type="spellStart"/>
      <w:r w:rsidRPr="3D7F6221">
        <w:rPr>
          <w:rFonts w:ascii="Times New Roman" w:eastAsia="Times New Roman" w:hAnsi="Times New Roman" w:cs="Times New Roman"/>
          <w:sz w:val="24"/>
          <w:szCs w:val="24"/>
        </w:rPr>
        <w:t>Xiong</w:t>
      </w:r>
      <w:proofErr w:type="spellEnd"/>
      <w:r w:rsidRPr="3D7F6221">
        <w:rPr>
          <w:rFonts w:ascii="Times New Roman" w:eastAsia="Times New Roman" w:hAnsi="Times New Roman" w:cs="Times New Roman"/>
          <w:sz w:val="24"/>
          <w:szCs w:val="24"/>
        </w:rPr>
        <w:t>, 2022).</w:t>
      </w:r>
    </w:p>
    <w:p w14:paraId="2913375B" w14:textId="040874C9"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 xml:space="preserve">Only when sufficient funds, resources, and clear accountability are established for the financing, implementation, evaluation, and accomplishment of specific goals can sustainability and accountability be realized (Groff et al., 2019). Data about individual crime problems, their </w:t>
      </w:r>
      <w:r w:rsidRPr="3D7F6221">
        <w:rPr>
          <w:rFonts w:ascii="Times New Roman" w:eastAsia="Times New Roman" w:hAnsi="Times New Roman" w:cs="Times New Roman"/>
          <w:sz w:val="24"/>
          <w:szCs w:val="24"/>
        </w:rPr>
        <w:lastRenderedPageBreak/>
        <w:t xml:space="preserve">causes, and practical solutions, as well as a broad, multidisciplinary body of knowledge, must serve as the foundation for strategies, policies, and </w:t>
      </w:r>
      <w:proofErr w:type="spellStart"/>
      <w:r w:rsidRPr="3D7F6221">
        <w:rPr>
          <w:rFonts w:ascii="Times New Roman" w:eastAsia="Times New Roman" w:hAnsi="Times New Roman" w:cs="Times New Roman"/>
          <w:sz w:val="24"/>
          <w:szCs w:val="24"/>
        </w:rPr>
        <w:t>programmes</w:t>
      </w:r>
      <w:proofErr w:type="spellEnd"/>
      <w:r w:rsidRPr="3D7F6221">
        <w:rPr>
          <w:rFonts w:ascii="Times New Roman" w:eastAsia="Times New Roman" w:hAnsi="Times New Roman" w:cs="Times New Roman"/>
          <w:sz w:val="24"/>
          <w:szCs w:val="24"/>
        </w:rPr>
        <w:t>.</w:t>
      </w:r>
    </w:p>
    <w:p w14:paraId="613F7892" w14:textId="2A5DE7A3"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 xml:space="preserve">All aspects of crime prevention must respect human rights, the rule of law, and a culture of lawfulness, with the latter being actively promoted. International agreements in which member governments are parties </w:t>
      </w:r>
      <w:r w:rsidR="008F5545" w:rsidRPr="3D7F6221">
        <w:rPr>
          <w:rFonts w:ascii="Times New Roman" w:eastAsia="Times New Roman" w:hAnsi="Times New Roman" w:cs="Times New Roman"/>
          <w:sz w:val="24"/>
          <w:szCs w:val="24"/>
        </w:rPr>
        <w:t>recognize</w:t>
      </w:r>
      <w:r w:rsidRPr="3D7F6221">
        <w:rPr>
          <w:rFonts w:ascii="Times New Roman" w:eastAsia="Times New Roman" w:hAnsi="Times New Roman" w:cs="Times New Roman"/>
          <w:sz w:val="24"/>
          <w:szCs w:val="24"/>
        </w:rPr>
        <w:t xml:space="preserve"> these rights (Jeffery, 2021). Because of this interconnection, it is essential that national crime prevention diagnoses and strategies, where appropriate, consider the connections between domestic criminal issues and transnational </w:t>
      </w:r>
      <w:r w:rsidR="008F5545" w:rsidRPr="3D7F6221">
        <w:rPr>
          <w:rFonts w:ascii="Times New Roman" w:eastAsia="Times New Roman" w:hAnsi="Times New Roman" w:cs="Times New Roman"/>
          <w:sz w:val="24"/>
          <w:szCs w:val="24"/>
        </w:rPr>
        <w:t>organized</w:t>
      </w:r>
      <w:r w:rsidRPr="3D7F6221">
        <w:rPr>
          <w:rFonts w:ascii="Times New Roman" w:eastAsia="Times New Roman" w:hAnsi="Times New Roman" w:cs="Times New Roman"/>
          <w:sz w:val="24"/>
          <w:szCs w:val="24"/>
        </w:rPr>
        <w:t xml:space="preserve"> crime. The principle of differentiation states that in order to effectively prevent crime, policies must take into account both the particular needs of men and women as well as those of the most vulnerable people in society (Jonathan-Zamir et al., 2022).</w:t>
      </w:r>
    </w:p>
    <w:p w14:paraId="5B016310" w14:textId="476008A8"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 xml:space="preserve">The act of “predicting, identifying, and appraising a criminal risk and initiating action to remove or diminish it” is referred to as “community policing.” The first step in discouraging crime and keeping individuals from becoming victims if it is </w:t>
      </w:r>
      <w:r w:rsidR="008F5545" w:rsidRPr="3D7F6221">
        <w:rPr>
          <w:rFonts w:ascii="Times New Roman" w:eastAsia="Times New Roman" w:hAnsi="Times New Roman" w:cs="Times New Roman"/>
          <w:sz w:val="24"/>
          <w:szCs w:val="24"/>
        </w:rPr>
        <w:t>realizing</w:t>
      </w:r>
      <w:r w:rsidRPr="3D7F6221">
        <w:rPr>
          <w:rFonts w:ascii="Times New Roman" w:eastAsia="Times New Roman" w:hAnsi="Times New Roman" w:cs="Times New Roman"/>
          <w:sz w:val="24"/>
          <w:szCs w:val="24"/>
        </w:rPr>
        <w:t xml:space="preserve"> that crime prevention is a shared duty (Joyce and </w:t>
      </w:r>
      <w:proofErr w:type="spellStart"/>
      <w:r w:rsidRPr="3D7F6221">
        <w:rPr>
          <w:rFonts w:ascii="Times New Roman" w:eastAsia="Times New Roman" w:hAnsi="Times New Roman" w:cs="Times New Roman"/>
          <w:sz w:val="24"/>
          <w:szCs w:val="24"/>
        </w:rPr>
        <w:t>Laverick</w:t>
      </w:r>
      <w:proofErr w:type="spellEnd"/>
      <w:r w:rsidRPr="3D7F6221">
        <w:rPr>
          <w:rFonts w:ascii="Times New Roman" w:eastAsia="Times New Roman" w:hAnsi="Times New Roman" w:cs="Times New Roman"/>
          <w:sz w:val="24"/>
          <w:szCs w:val="24"/>
        </w:rPr>
        <w:t xml:space="preserve">, 2021). It is not a problem with the university or the police. It’s a societal problem that can only be successfully resolved by the entire collegiate population. With students, teachers, staff, visitors, and neighbors on a university campus. Because of this, ensuring campus security is a shared duty. Opportunity, ability, and desire must all be present for a crime to occur (Kaufmann et al., 2019). </w:t>
      </w:r>
    </w:p>
    <w:p w14:paraId="5F423779" w14:textId="77777777"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 xml:space="preserve">Another name for this is the crime triangle. Someone may have the “desire” and “ability” to commit a crime, but if we deny them the “opportunity”, they won’t be able to. Catching criminals has historically been the primary goal of crime prevention (Joyce and </w:t>
      </w:r>
      <w:proofErr w:type="spellStart"/>
      <w:r w:rsidRPr="3D7F6221">
        <w:rPr>
          <w:rFonts w:ascii="Times New Roman" w:eastAsia="Times New Roman" w:hAnsi="Times New Roman" w:cs="Times New Roman"/>
          <w:sz w:val="24"/>
          <w:szCs w:val="24"/>
        </w:rPr>
        <w:t>Laverick</w:t>
      </w:r>
      <w:proofErr w:type="spellEnd"/>
      <w:r w:rsidRPr="3D7F6221">
        <w:rPr>
          <w:rFonts w:ascii="Times New Roman" w:eastAsia="Times New Roman" w:hAnsi="Times New Roman" w:cs="Times New Roman"/>
          <w:sz w:val="24"/>
          <w:szCs w:val="24"/>
        </w:rPr>
        <w:t xml:space="preserve">, 2021). Even though they are still important, the goals of preventing crime and lowering crime costs have gained prominence. The intention is to help people avoid crime by teaching them everyday habits that will make it less likely for crime to happen, whether or not it happens (Lum et al., 2022). The main aspects of the crime triangle that are present include desire, ability, and opportunity. </w:t>
      </w:r>
    </w:p>
    <w:p w14:paraId="0A5714EC" w14:textId="77777777" w:rsidR="00244365" w:rsidRDefault="00244365" w:rsidP="00244365">
      <w:pPr>
        <w:rPr>
          <w:rFonts w:ascii="Times New Roman" w:eastAsia="Times New Roman" w:hAnsi="Times New Roman" w:cs="Times New Roman"/>
          <w:b/>
          <w:bCs/>
          <w:sz w:val="24"/>
          <w:szCs w:val="24"/>
        </w:rPr>
      </w:pPr>
      <w:r w:rsidRPr="3D7F6221">
        <w:rPr>
          <w:rFonts w:ascii="Times New Roman" w:eastAsia="Times New Roman" w:hAnsi="Times New Roman" w:cs="Times New Roman"/>
          <w:b/>
          <w:bCs/>
          <w:sz w:val="24"/>
          <w:szCs w:val="24"/>
        </w:rPr>
        <w:t>Key theories of crime prevention</w:t>
      </w:r>
    </w:p>
    <w:p w14:paraId="49CA4DCB" w14:textId="77777777" w:rsidR="00244365" w:rsidRDefault="00244365" w:rsidP="00244365">
      <w:pPr>
        <w:rPr>
          <w:rFonts w:ascii="Times New Roman" w:eastAsia="Times New Roman" w:hAnsi="Times New Roman" w:cs="Times New Roman"/>
          <w:b/>
          <w:bCs/>
          <w:sz w:val="24"/>
          <w:szCs w:val="24"/>
        </w:rPr>
      </w:pPr>
      <w:r w:rsidRPr="3D7F6221">
        <w:rPr>
          <w:rFonts w:ascii="Times New Roman" w:eastAsia="Times New Roman" w:hAnsi="Times New Roman" w:cs="Times New Roman"/>
          <w:i/>
          <w:iCs/>
          <w:sz w:val="24"/>
          <w:szCs w:val="24"/>
        </w:rPr>
        <w:t>Theories of situational crime prevention</w:t>
      </w:r>
    </w:p>
    <w:p w14:paraId="71173717" w14:textId="0E2117D5"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Situational prevention aims to reduce opportunities for specific types of crime by increasing the associated risks and difficulties while decreasing the rewards. It consists of three major components: An articulated theoretical framework, a standard methodology for addressing specific crime problems, and a set of opportunity-reducing techniques (</w:t>
      </w:r>
      <w:proofErr w:type="spellStart"/>
      <w:r w:rsidRPr="3D7F6221">
        <w:rPr>
          <w:rFonts w:ascii="Times New Roman" w:eastAsia="Times New Roman" w:hAnsi="Times New Roman" w:cs="Times New Roman"/>
          <w:sz w:val="24"/>
          <w:szCs w:val="24"/>
        </w:rPr>
        <w:t>Harfield</w:t>
      </w:r>
      <w:proofErr w:type="spellEnd"/>
      <w:r w:rsidRPr="3D7F6221">
        <w:rPr>
          <w:rFonts w:ascii="Times New Roman" w:eastAsia="Times New Roman" w:hAnsi="Times New Roman" w:cs="Times New Roman"/>
          <w:sz w:val="24"/>
          <w:szCs w:val="24"/>
        </w:rPr>
        <w:t xml:space="preserve">, 2009). The theoretical framework is informed by a number of “opportunity” theories, including routine activity and rational choice perspectives. The standard methodology is a variation on the action research paradigm in which researchers collaborate with practitioners to </w:t>
      </w:r>
      <w:r w:rsidR="008F5545" w:rsidRPr="3D7F6221">
        <w:rPr>
          <w:rFonts w:ascii="Times New Roman" w:eastAsia="Times New Roman" w:hAnsi="Times New Roman" w:cs="Times New Roman"/>
          <w:sz w:val="24"/>
          <w:szCs w:val="24"/>
        </w:rPr>
        <w:t>analyze</w:t>
      </w:r>
      <w:r w:rsidRPr="3D7F6221">
        <w:rPr>
          <w:rFonts w:ascii="Times New Roman" w:eastAsia="Times New Roman" w:hAnsi="Times New Roman" w:cs="Times New Roman"/>
          <w:sz w:val="24"/>
          <w:szCs w:val="24"/>
        </w:rPr>
        <w:t xml:space="preserve"> and define the problem, identify and test potential solutions, and evaluate and disseminate the results. (Clarke, 1995). The techniques for reducing opportunities range from simple target hardening inducements. Crime displacement has not proven to be the serious problem once thought, and there is now growing recognition that situational measures may result in some “diffusion of benefits” to crimes not directly targeted. The theory of situational crime prevention (SCP), which </w:t>
      </w:r>
      <w:r w:rsidR="008F5545" w:rsidRPr="3D7F6221">
        <w:rPr>
          <w:rFonts w:ascii="Times New Roman" w:eastAsia="Times New Roman" w:hAnsi="Times New Roman" w:cs="Times New Roman"/>
          <w:sz w:val="24"/>
          <w:szCs w:val="24"/>
        </w:rPr>
        <w:lastRenderedPageBreak/>
        <w:t>emphasizes</w:t>
      </w:r>
      <w:r w:rsidRPr="3D7F6221">
        <w:rPr>
          <w:rFonts w:ascii="Times New Roman" w:eastAsia="Times New Roman" w:hAnsi="Times New Roman" w:cs="Times New Roman"/>
          <w:sz w:val="24"/>
          <w:szCs w:val="24"/>
        </w:rPr>
        <w:t xml:space="preserve"> methods to reduce the likelihood of crime, adopts a preventive stance. The first description of it appeared in British Home Office research that was released in 1976. </w:t>
      </w:r>
      <w:r w:rsidRPr="3D7F6221">
        <w:rPr>
          <w:rFonts w:ascii="Times New Roman" w:eastAsia="Times New Roman" w:hAnsi="Times New Roman" w:cs="Times New Roman"/>
          <w:sz w:val="24"/>
          <w:szCs w:val="24"/>
          <w:highlight w:val="yellow"/>
        </w:rPr>
        <w:t>This concept of crime reduction principles is necessary to address the impact on society which was initially discussed in the earlier section of this paper.</w:t>
      </w:r>
      <w:r w:rsidRPr="3D7F6221">
        <w:rPr>
          <w:rFonts w:ascii="Times New Roman" w:eastAsia="Times New Roman" w:hAnsi="Times New Roman" w:cs="Times New Roman"/>
          <w:sz w:val="24"/>
          <w:szCs w:val="24"/>
        </w:rPr>
        <w:t xml:space="preserve"> In contrast to traditional criminology, SCP focuses on the criminal context and begins by examining the circumstances that lead to particular types of crime (Lumsden and Goode, 2018). Understanding these elements enables the implementation of systems that change the relevant environments in an effort to reduce the possibility that particular crimes will occur.</w:t>
      </w:r>
    </w:p>
    <w:p w14:paraId="22A95F19" w14:textId="63682FA0"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 xml:space="preserve">SCP places more of emphasis on crime prevention than punishment or detection of offenders in order to discourage offenders from engaging in criminal activities (Nagin and </w:t>
      </w:r>
      <w:proofErr w:type="spellStart"/>
      <w:r w:rsidRPr="3D7F6221">
        <w:rPr>
          <w:rFonts w:ascii="Times New Roman" w:eastAsia="Times New Roman" w:hAnsi="Times New Roman" w:cs="Times New Roman"/>
          <w:sz w:val="24"/>
          <w:szCs w:val="24"/>
        </w:rPr>
        <w:t>Telep</w:t>
      </w:r>
      <w:proofErr w:type="spellEnd"/>
      <w:r w:rsidRPr="3D7F6221">
        <w:rPr>
          <w:rFonts w:ascii="Times New Roman" w:eastAsia="Times New Roman" w:hAnsi="Times New Roman" w:cs="Times New Roman"/>
          <w:sz w:val="24"/>
          <w:szCs w:val="24"/>
        </w:rPr>
        <w:t xml:space="preserve">, 2020). By </w:t>
      </w:r>
      <w:r w:rsidR="008F5545" w:rsidRPr="3D7F6221">
        <w:rPr>
          <w:rFonts w:ascii="Times New Roman" w:eastAsia="Times New Roman" w:hAnsi="Times New Roman" w:cs="Times New Roman"/>
          <w:sz w:val="24"/>
          <w:szCs w:val="24"/>
        </w:rPr>
        <w:t>emphasizing</w:t>
      </w:r>
      <w:r w:rsidRPr="3D7F6221">
        <w:rPr>
          <w:rFonts w:ascii="Times New Roman" w:eastAsia="Times New Roman" w:hAnsi="Times New Roman" w:cs="Times New Roman"/>
          <w:sz w:val="24"/>
          <w:szCs w:val="24"/>
        </w:rPr>
        <w:t xml:space="preserve"> an opportunity-reduced approach, it places a heavy emphasis on targeting particular forms of crime. It is also necessary to manage, produce, or manipulate the immediate environment in a way that is </w:t>
      </w:r>
      <w:r w:rsidR="008F5545" w:rsidRPr="3D7F6221">
        <w:rPr>
          <w:rFonts w:ascii="Times New Roman" w:eastAsia="Times New Roman" w:hAnsi="Times New Roman" w:cs="Times New Roman"/>
          <w:sz w:val="24"/>
          <w:szCs w:val="24"/>
        </w:rPr>
        <w:t>organized</w:t>
      </w:r>
      <w:r w:rsidRPr="3D7F6221">
        <w:rPr>
          <w:rFonts w:ascii="Times New Roman" w:eastAsia="Times New Roman" w:hAnsi="Times New Roman" w:cs="Times New Roman"/>
          <w:sz w:val="24"/>
          <w:szCs w:val="24"/>
        </w:rPr>
        <w:t xml:space="preserve"> and durable (O’Connor et al., 2022). This either makes crime more challenging, riskier, or less profitable and defensible.</w:t>
      </w:r>
    </w:p>
    <w:p w14:paraId="56B211BB" w14:textId="77777777"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The theory behind SCP focuses on developing safety mechanisms that protect people by giving criminals the impression that they might be stopped from committing crimes or would be in a situation where they might be caught or detected, which will make them less likely to do so in justification for this is based on the concept of rational choice, which contends that very criminal will weigh the pros and drawbacks of committing a crime, as well as the likelihood of success, before taking action (Pearce and Simpson, 2022).</w:t>
      </w:r>
    </w:p>
    <w:p w14:paraId="085F1000" w14:textId="77777777"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Situational crime prevention is far more successful when it focuses on the environments in which crimes occur rather than the individuals who commit particular crimes. It becomes more situation-dependent as a result of the focus on managerial and environmental change that may be able to decrease the likelihood of crime occurring (</w:t>
      </w:r>
      <w:proofErr w:type="spellStart"/>
      <w:r w:rsidRPr="3D7F6221">
        <w:rPr>
          <w:rFonts w:ascii="Times New Roman" w:eastAsia="Times New Roman" w:hAnsi="Times New Roman" w:cs="Times New Roman"/>
          <w:sz w:val="24"/>
          <w:szCs w:val="24"/>
        </w:rPr>
        <w:t>Piza</w:t>
      </w:r>
      <w:proofErr w:type="spellEnd"/>
      <w:r w:rsidRPr="3D7F6221">
        <w:rPr>
          <w:rFonts w:ascii="Times New Roman" w:eastAsia="Times New Roman" w:hAnsi="Times New Roman" w:cs="Times New Roman"/>
          <w:sz w:val="24"/>
          <w:szCs w:val="24"/>
        </w:rPr>
        <w:t xml:space="preserve"> and Welsh, 2022). One of the theoretical pillars upon which SCP is primarily based is the rational choice hypothesis, which claims that potential criminals logically choose to commit crime and the means by which to do so.</w:t>
      </w:r>
    </w:p>
    <w:p w14:paraId="41F5740A" w14:textId="482457E1"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 xml:space="preserve">This choice is influenced by the offender’s goal to </w:t>
      </w:r>
      <w:r w:rsidR="008F5545" w:rsidRPr="3D7F6221">
        <w:rPr>
          <w:rFonts w:ascii="Times New Roman" w:eastAsia="Times New Roman" w:hAnsi="Times New Roman" w:cs="Times New Roman"/>
          <w:sz w:val="24"/>
          <w:szCs w:val="24"/>
        </w:rPr>
        <w:t>maximize</w:t>
      </w:r>
      <w:r w:rsidRPr="3D7F6221">
        <w:rPr>
          <w:rFonts w:ascii="Times New Roman" w:eastAsia="Times New Roman" w:hAnsi="Times New Roman" w:cs="Times New Roman"/>
          <w:sz w:val="24"/>
          <w:szCs w:val="24"/>
        </w:rPr>
        <w:t xml:space="preserve"> gain while </w:t>
      </w:r>
      <w:r w:rsidR="008F5545" w:rsidRPr="3D7F6221">
        <w:rPr>
          <w:rFonts w:ascii="Times New Roman" w:eastAsia="Times New Roman" w:hAnsi="Times New Roman" w:cs="Times New Roman"/>
          <w:sz w:val="24"/>
          <w:szCs w:val="24"/>
        </w:rPr>
        <w:t>minimizing</w:t>
      </w:r>
      <w:r w:rsidRPr="3D7F6221">
        <w:rPr>
          <w:rFonts w:ascii="Times New Roman" w:eastAsia="Times New Roman" w:hAnsi="Times New Roman" w:cs="Times New Roman"/>
          <w:sz w:val="24"/>
          <w:szCs w:val="24"/>
        </w:rPr>
        <w:t xml:space="preserve"> </w:t>
      </w:r>
      <w:r w:rsidR="008F5545" w:rsidRPr="3D7F6221">
        <w:rPr>
          <w:rFonts w:ascii="Times New Roman" w:eastAsia="Times New Roman" w:hAnsi="Times New Roman" w:cs="Times New Roman"/>
          <w:sz w:val="24"/>
          <w:szCs w:val="24"/>
        </w:rPr>
        <w:t>hazards (</w:t>
      </w:r>
      <w:proofErr w:type="spellStart"/>
      <w:r w:rsidRPr="3D7F6221">
        <w:rPr>
          <w:rFonts w:ascii="Times New Roman" w:eastAsia="Times New Roman" w:hAnsi="Times New Roman" w:cs="Times New Roman"/>
          <w:sz w:val="24"/>
          <w:szCs w:val="24"/>
        </w:rPr>
        <w:t>Sandwick</w:t>
      </w:r>
      <w:proofErr w:type="spellEnd"/>
      <w:r w:rsidRPr="3D7F6221">
        <w:rPr>
          <w:rFonts w:ascii="Times New Roman" w:eastAsia="Times New Roman" w:hAnsi="Times New Roman" w:cs="Times New Roman"/>
          <w:sz w:val="24"/>
          <w:szCs w:val="24"/>
        </w:rPr>
        <w:t xml:space="preserve"> et al., 2018). The theory of routine activities is yet another </w:t>
      </w:r>
      <w:r w:rsidR="00191C35" w:rsidRPr="3D7F6221">
        <w:rPr>
          <w:rFonts w:ascii="Times New Roman" w:eastAsia="Times New Roman" w:hAnsi="Times New Roman" w:cs="Times New Roman"/>
          <w:sz w:val="24"/>
          <w:szCs w:val="24"/>
        </w:rPr>
        <w:t>concept</w:t>
      </w:r>
      <w:r w:rsidRPr="3D7F6221">
        <w:rPr>
          <w:rFonts w:ascii="Times New Roman" w:eastAsia="Times New Roman" w:hAnsi="Times New Roman" w:cs="Times New Roman"/>
          <w:sz w:val="24"/>
          <w:szCs w:val="24"/>
        </w:rPr>
        <w:t xml:space="preserve"> that lends weight to the SCP. A crime must have three interrelated elements in order to happen, according to the theory: motivated perpetrators, suitable targets, and the </w:t>
      </w:r>
      <w:r w:rsidR="008F5545" w:rsidRPr="3D7F6221">
        <w:rPr>
          <w:rFonts w:ascii="Times New Roman" w:eastAsia="Times New Roman" w:hAnsi="Times New Roman" w:cs="Times New Roman"/>
          <w:sz w:val="24"/>
          <w:szCs w:val="24"/>
        </w:rPr>
        <w:t>absence</w:t>
      </w:r>
      <w:r w:rsidRPr="3D7F6221">
        <w:rPr>
          <w:rFonts w:ascii="Times New Roman" w:eastAsia="Times New Roman" w:hAnsi="Times New Roman" w:cs="Times New Roman"/>
          <w:sz w:val="24"/>
          <w:szCs w:val="24"/>
        </w:rPr>
        <w:t xml:space="preserve"> of qualified guardians. </w:t>
      </w:r>
      <w:r w:rsidR="008F5545" w:rsidRPr="3D7F6221">
        <w:rPr>
          <w:rFonts w:ascii="Times New Roman" w:eastAsia="Times New Roman" w:hAnsi="Times New Roman" w:cs="Times New Roman"/>
          <w:sz w:val="24"/>
          <w:szCs w:val="24"/>
        </w:rPr>
        <w:t>Environmental</w:t>
      </w:r>
      <w:r w:rsidRPr="3D7F6221">
        <w:rPr>
          <w:rFonts w:ascii="Times New Roman" w:eastAsia="Times New Roman" w:hAnsi="Times New Roman" w:cs="Times New Roman"/>
          <w:sz w:val="24"/>
          <w:szCs w:val="24"/>
        </w:rPr>
        <w:t xml:space="preserve"> components like locks or other security measures as well as well as people, such as security personnel or the police, can act as capable guardians (Stenson, 2019).</w:t>
      </w:r>
    </w:p>
    <w:p w14:paraId="00718BA3" w14:textId="77777777"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i/>
          <w:iCs/>
          <w:sz w:val="24"/>
          <w:szCs w:val="24"/>
        </w:rPr>
        <w:t>Social crime prevention theory</w:t>
      </w:r>
    </w:p>
    <w:p w14:paraId="1F06A430" w14:textId="1C666386"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This theory aims at preventing crime instead of avenging it. According to the theoretical understanding, keeping the offender away from society is the most effective to prevent crimes from occurring. Criminals under the theory are punished with death or life imprisonment (</w:t>
      </w:r>
      <w:proofErr w:type="spellStart"/>
      <w:r w:rsidRPr="3D7F6221">
        <w:rPr>
          <w:rFonts w:ascii="Times New Roman" w:eastAsia="Times New Roman" w:hAnsi="Times New Roman" w:cs="Times New Roman"/>
          <w:sz w:val="24"/>
          <w:szCs w:val="24"/>
        </w:rPr>
        <w:t>Todak</w:t>
      </w:r>
      <w:proofErr w:type="spellEnd"/>
      <w:r w:rsidRPr="3D7F6221">
        <w:rPr>
          <w:rFonts w:ascii="Times New Roman" w:eastAsia="Times New Roman" w:hAnsi="Times New Roman" w:cs="Times New Roman"/>
          <w:sz w:val="24"/>
          <w:szCs w:val="24"/>
        </w:rPr>
        <w:t xml:space="preserve"> and Huey, 2022). The social crime prevention theory </w:t>
      </w:r>
      <w:r w:rsidR="008F5545" w:rsidRPr="3D7F6221">
        <w:rPr>
          <w:rFonts w:ascii="Times New Roman" w:eastAsia="Times New Roman" w:hAnsi="Times New Roman" w:cs="Times New Roman"/>
          <w:sz w:val="24"/>
          <w:szCs w:val="24"/>
        </w:rPr>
        <w:t>prioritizes</w:t>
      </w:r>
      <w:r w:rsidRPr="3D7F6221">
        <w:rPr>
          <w:rFonts w:ascii="Times New Roman" w:eastAsia="Times New Roman" w:hAnsi="Times New Roman" w:cs="Times New Roman"/>
          <w:sz w:val="24"/>
          <w:szCs w:val="24"/>
        </w:rPr>
        <w:t xml:space="preserve"> and addresses the root causes of crime, such as a lack of community, a lack of cohesion, ignorance, a lack of education, deteriorated family and societal values, and environmental conditions (Joyce </w:t>
      </w:r>
      <w:proofErr w:type="spellStart"/>
      <w:r w:rsidRPr="3D7F6221">
        <w:rPr>
          <w:rFonts w:ascii="Times New Roman" w:eastAsia="Times New Roman" w:hAnsi="Times New Roman" w:cs="Times New Roman"/>
          <w:sz w:val="24"/>
          <w:szCs w:val="24"/>
        </w:rPr>
        <w:t>Laverick</w:t>
      </w:r>
      <w:proofErr w:type="spellEnd"/>
      <w:r w:rsidRPr="3D7F6221">
        <w:rPr>
          <w:rFonts w:ascii="Times New Roman" w:eastAsia="Times New Roman" w:hAnsi="Times New Roman" w:cs="Times New Roman"/>
          <w:sz w:val="24"/>
          <w:szCs w:val="24"/>
        </w:rPr>
        <w:t xml:space="preserve">, 2021). The social crime prevention hypothesis holds that preventing social crimes requires an awareness </w:t>
      </w:r>
      <w:r w:rsidRPr="3D7F6221">
        <w:rPr>
          <w:rFonts w:ascii="Times New Roman" w:eastAsia="Times New Roman" w:hAnsi="Times New Roman" w:cs="Times New Roman"/>
          <w:sz w:val="24"/>
          <w:szCs w:val="24"/>
        </w:rPr>
        <w:lastRenderedPageBreak/>
        <w:t xml:space="preserve">of the societal issues that are prevalent in the neighborhood (Weisburd and Braga, 2019). It is also vital to assess the results of recent work in this area and offer suggestions in order to prevent social crime (Wood, 2021). Other strategies for preventing social crime include encouraging communities to engage as social change agents in their local neighborhoods and altering attitudes through public education. Communities are asked to participate in </w:t>
      </w:r>
      <w:proofErr w:type="spellStart"/>
      <w:r w:rsidRPr="3D7F6221">
        <w:rPr>
          <w:rFonts w:ascii="Times New Roman" w:eastAsia="Times New Roman" w:hAnsi="Times New Roman" w:cs="Times New Roman"/>
          <w:sz w:val="24"/>
          <w:szCs w:val="24"/>
        </w:rPr>
        <w:t>programmes</w:t>
      </w:r>
      <w:proofErr w:type="spellEnd"/>
      <w:r w:rsidRPr="3D7F6221">
        <w:rPr>
          <w:rFonts w:ascii="Times New Roman" w:eastAsia="Times New Roman" w:hAnsi="Times New Roman" w:cs="Times New Roman"/>
          <w:sz w:val="24"/>
          <w:szCs w:val="24"/>
        </w:rPr>
        <w:t xml:space="preserve"> that reduce social crime and promote moral growth (Nagin and </w:t>
      </w:r>
      <w:proofErr w:type="spellStart"/>
      <w:r w:rsidRPr="3D7F6221">
        <w:rPr>
          <w:rFonts w:ascii="Times New Roman" w:eastAsia="Times New Roman" w:hAnsi="Times New Roman" w:cs="Times New Roman"/>
          <w:sz w:val="24"/>
          <w:szCs w:val="24"/>
        </w:rPr>
        <w:t>Telep</w:t>
      </w:r>
      <w:proofErr w:type="spellEnd"/>
      <w:r w:rsidRPr="3D7F6221">
        <w:rPr>
          <w:rFonts w:ascii="Times New Roman" w:eastAsia="Times New Roman" w:hAnsi="Times New Roman" w:cs="Times New Roman"/>
          <w:sz w:val="24"/>
          <w:szCs w:val="24"/>
        </w:rPr>
        <w:t>, 2020).</w:t>
      </w:r>
    </w:p>
    <w:p w14:paraId="5CD59336" w14:textId="77777777"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 xml:space="preserve">According to the theory of social crime prevention, the authority develops and implements </w:t>
      </w:r>
      <w:proofErr w:type="spellStart"/>
      <w:r w:rsidRPr="3D7F6221">
        <w:rPr>
          <w:rFonts w:ascii="Times New Roman" w:eastAsia="Times New Roman" w:hAnsi="Times New Roman" w:cs="Times New Roman"/>
          <w:sz w:val="24"/>
          <w:szCs w:val="24"/>
        </w:rPr>
        <w:t>programmes</w:t>
      </w:r>
      <w:proofErr w:type="spellEnd"/>
      <w:r w:rsidRPr="3D7F6221">
        <w:rPr>
          <w:rFonts w:ascii="Times New Roman" w:eastAsia="Times New Roman" w:hAnsi="Times New Roman" w:cs="Times New Roman"/>
          <w:sz w:val="24"/>
          <w:szCs w:val="24"/>
        </w:rPr>
        <w:t xml:space="preserve"> for social crime prevention, including training for traditional leaders in social crime prevention and human rights, school safety, integrating safety plans into local government, drug awareness campaigns, and training for young people to prevent crime (Weisburd and Braga, 2019). Determine the focal groups that are involved as victims or offenders of social crime and that can help with prevention. Develop, assemble, rank, and link social crime prevention </w:t>
      </w:r>
      <w:proofErr w:type="spellStart"/>
      <w:r w:rsidRPr="3D7F6221">
        <w:rPr>
          <w:rFonts w:ascii="Times New Roman" w:eastAsia="Times New Roman" w:hAnsi="Times New Roman" w:cs="Times New Roman"/>
          <w:sz w:val="24"/>
          <w:szCs w:val="24"/>
        </w:rPr>
        <w:t>programmes</w:t>
      </w:r>
      <w:proofErr w:type="spellEnd"/>
      <w:r w:rsidRPr="3D7F6221">
        <w:rPr>
          <w:rFonts w:ascii="Times New Roman" w:eastAsia="Times New Roman" w:hAnsi="Times New Roman" w:cs="Times New Roman"/>
          <w:sz w:val="24"/>
          <w:szCs w:val="24"/>
        </w:rPr>
        <w:t xml:space="preserve"> and efforts with national goals and strategies (Nagin and </w:t>
      </w:r>
      <w:proofErr w:type="spellStart"/>
      <w:r w:rsidRPr="3D7F6221">
        <w:rPr>
          <w:rFonts w:ascii="Times New Roman" w:eastAsia="Times New Roman" w:hAnsi="Times New Roman" w:cs="Times New Roman"/>
          <w:sz w:val="24"/>
          <w:szCs w:val="24"/>
        </w:rPr>
        <w:t>Telep</w:t>
      </w:r>
      <w:proofErr w:type="spellEnd"/>
      <w:r w:rsidRPr="3D7F6221">
        <w:rPr>
          <w:rFonts w:ascii="Times New Roman" w:eastAsia="Times New Roman" w:hAnsi="Times New Roman" w:cs="Times New Roman"/>
          <w:sz w:val="24"/>
          <w:szCs w:val="24"/>
        </w:rPr>
        <w:t xml:space="preserve">, 2020). </w:t>
      </w:r>
    </w:p>
    <w:p w14:paraId="087D78CB" w14:textId="77777777" w:rsidR="00244365" w:rsidRDefault="00244365" w:rsidP="00244365">
      <w:pPr>
        <w:rPr>
          <w:rFonts w:ascii="Times New Roman" w:eastAsia="Times New Roman" w:hAnsi="Times New Roman" w:cs="Times New Roman"/>
          <w:b/>
          <w:bCs/>
          <w:sz w:val="24"/>
          <w:szCs w:val="24"/>
        </w:rPr>
      </w:pPr>
      <w:r w:rsidRPr="3D7F6221">
        <w:rPr>
          <w:rFonts w:ascii="Times New Roman" w:eastAsia="Times New Roman" w:hAnsi="Times New Roman" w:cs="Times New Roman"/>
          <w:b/>
          <w:bCs/>
          <w:sz w:val="24"/>
          <w:szCs w:val="24"/>
        </w:rPr>
        <w:t>Applying them in practice using examples</w:t>
      </w:r>
    </w:p>
    <w:p w14:paraId="508FAA69" w14:textId="283BA509"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 xml:space="preserve">Applying the theories aforementioned in </w:t>
      </w:r>
      <w:r w:rsidR="008F5545" w:rsidRPr="3D7F6221">
        <w:rPr>
          <w:rFonts w:ascii="Times New Roman" w:eastAsia="Times New Roman" w:hAnsi="Times New Roman" w:cs="Times New Roman"/>
          <w:sz w:val="24"/>
          <w:szCs w:val="24"/>
        </w:rPr>
        <w:t>practice</w:t>
      </w:r>
      <w:r w:rsidRPr="3D7F6221">
        <w:rPr>
          <w:rFonts w:ascii="Times New Roman" w:eastAsia="Times New Roman" w:hAnsi="Times New Roman" w:cs="Times New Roman"/>
          <w:sz w:val="24"/>
          <w:szCs w:val="24"/>
        </w:rPr>
        <w:t xml:space="preserve"> as a professional in the crime prevention process is important. The first situation I’m going to mention is that it can be applied with the use of different opportunity reduction techniques amongst established or potential criminals. For example, increasing the effort to target hardening and controlling access to facilities, among other things, can help reduce crime rates (Weisburd and Braga, 2019). Extending guardianship or assisting natural </w:t>
      </w:r>
      <w:r w:rsidR="008F5545" w:rsidRPr="3D7F6221">
        <w:rPr>
          <w:rFonts w:ascii="Times New Roman" w:eastAsia="Times New Roman" w:hAnsi="Times New Roman" w:cs="Times New Roman"/>
          <w:sz w:val="24"/>
          <w:szCs w:val="24"/>
        </w:rPr>
        <w:t>surveillance</w:t>
      </w:r>
      <w:r w:rsidRPr="3D7F6221">
        <w:rPr>
          <w:rFonts w:ascii="Times New Roman" w:eastAsia="Times New Roman" w:hAnsi="Times New Roman" w:cs="Times New Roman"/>
          <w:sz w:val="24"/>
          <w:szCs w:val="24"/>
        </w:rPr>
        <w:t xml:space="preserve"> while reducing anonymity can be credible ways to reduce risk factors associated with criminal activity. Provocation can be reduced by reducing frustration and stress, avoiding conflicts, and reducing emotional arousal (Nagin and </w:t>
      </w:r>
      <w:proofErr w:type="spellStart"/>
      <w:r w:rsidRPr="3D7F6221">
        <w:rPr>
          <w:rFonts w:ascii="Times New Roman" w:eastAsia="Times New Roman" w:hAnsi="Times New Roman" w:cs="Times New Roman"/>
          <w:sz w:val="24"/>
          <w:szCs w:val="24"/>
        </w:rPr>
        <w:t>Telep</w:t>
      </w:r>
      <w:proofErr w:type="spellEnd"/>
      <w:r w:rsidRPr="3D7F6221">
        <w:rPr>
          <w:rFonts w:ascii="Times New Roman" w:eastAsia="Times New Roman" w:hAnsi="Times New Roman" w:cs="Times New Roman"/>
          <w:sz w:val="24"/>
          <w:szCs w:val="24"/>
        </w:rPr>
        <w:t>, 2020).</w:t>
      </w:r>
    </w:p>
    <w:p w14:paraId="32894D7F" w14:textId="77777777" w:rsidR="00244365" w:rsidRDefault="00244365" w:rsidP="00244365">
      <w:pPr>
        <w:rPr>
          <w:rFonts w:ascii="Times New Roman" w:eastAsia="Times New Roman" w:hAnsi="Times New Roman" w:cs="Times New Roman"/>
          <w:sz w:val="24"/>
          <w:szCs w:val="24"/>
        </w:rPr>
      </w:pPr>
      <w:r w:rsidRPr="3D7F6221">
        <w:rPr>
          <w:rFonts w:ascii="Times New Roman" w:eastAsia="Times New Roman" w:hAnsi="Times New Roman" w:cs="Times New Roman"/>
          <w:sz w:val="24"/>
          <w:szCs w:val="24"/>
        </w:rPr>
        <w:t xml:space="preserve">Automated traffic enforcement is an illustration of SCP in use. Automated traffic enforcement systems (ATES) employ automated cameras on the roadways to detain speeding and red-light-running motorists. All across the world, these systems are in operation (Joyce and </w:t>
      </w:r>
      <w:proofErr w:type="spellStart"/>
      <w:r w:rsidRPr="3D7F6221">
        <w:rPr>
          <w:rFonts w:ascii="Times New Roman" w:eastAsia="Times New Roman" w:hAnsi="Times New Roman" w:cs="Times New Roman"/>
          <w:sz w:val="24"/>
          <w:szCs w:val="24"/>
        </w:rPr>
        <w:t>Laverick</w:t>
      </w:r>
      <w:proofErr w:type="spellEnd"/>
      <w:r w:rsidRPr="3D7F6221">
        <w:rPr>
          <w:rFonts w:ascii="Times New Roman" w:eastAsia="Times New Roman" w:hAnsi="Times New Roman" w:cs="Times New Roman"/>
          <w:sz w:val="24"/>
          <w:szCs w:val="24"/>
        </w:rPr>
        <w:t xml:space="preserve">, 2021). These devices have been implemented and are being promoted as a means of reducing instances of illegal driving. Anyone planning to speed or run a red light is aware that their chance of being caught is almost 100% with these devices (Weisburd and Braga, 2019). As a result, the person is actively discouraged from speeding or running red lights in places where ATES are installed. There is evidence that these kinds of systems operate, albeit it is not conclusive (Joyce and </w:t>
      </w:r>
      <w:proofErr w:type="spellStart"/>
      <w:r w:rsidRPr="3D7F6221">
        <w:rPr>
          <w:rFonts w:ascii="Times New Roman" w:eastAsia="Times New Roman" w:hAnsi="Times New Roman" w:cs="Times New Roman"/>
          <w:sz w:val="24"/>
          <w:szCs w:val="24"/>
        </w:rPr>
        <w:t>Laverick</w:t>
      </w:r>
      <w:proofErr w:type="spellEnd"/>
      <w:r w:rsidRPr="3D7F6221">
        <w:rPr>
          <w:rFonts w:ascii="Times New Roman" w:eastAsia="Times New Roman" w:hAnsi="Times New Roman" w:cs="Times New Roman"/>
          <w:sz w:val="24"/>
          <w:szCs w:val="24"/>
        </w:rPr>
        <w:t xml:space="preserve">, 2021). In a study conducted in Philadelphia, the installation and promotion of an ATES system resulted in a 96% decrease in red light violations at some of the city’s most hazardous intersections (Nagin and </w:t>
      </w:r>
      <w:proofErr w:type="spellStart"/>
      <w:r w:rsidRPr="3D7F6221">
        <w:rPr>
          <w:rFonts w:ascii="Times New Roman" w:eastAsia="Times New Roman" w:hAnsi="Times New Roman" w:cs="Times New Roman"/>
          <w:sz w:val="24"/>
          <w:szCs w:val="24"/>
        </w:rPr>
        <w:t>Telep</w:t>
      </w:r>
      <w:proofErr w:type="spellEnd"/>
      <w:r w:rsidRPr="3D7F6221">
        <w:rPr>
          <w:rFonts w:ascii="Times New Roman" w:eastAsia="Times New Roman" w:hAnsi="Times New Roman" w:cs="Times New Roman"/>
          <w:sz w:val="24"/>
          <w:szCs w:val="24"/>
        </w:rPr>
        <w:t>, 2020).</w:t>
      </w:r>
    </w:p>
    <w:p w14:paraId="586EC253" w14:textId="019066EF" w:rsidR="00244365" w:rsidRDefault="00244365" w:rsidP="00244365">
      <w:pPr>
        <w:rPr>
          <w:rFonts w:ascii="Times New Roman" w:eastAsia="Times New Roman" w:hAnsi="Times New Roman" w:cs="Times New Roman"/>
          <w:sz w:val="24"/>
          <w:szCs w:val="24"/>
        </w:rPr>
      </w:pPr>
      <w:r w:rsidRPr="538CD31E">
        <w:rPr>
          <w:rFonts w:ascii="Times New Roman" w:eastAsia="Times New Roman" w:hAnsi="Times New Roman" w:cs="Times New Roman"/>
          <w:sz w:val="24"/>
          <w:szCs w:val="24"/>
        </w:rPr>
        <w:t xml:space="preserve">In terms of applying social crime prevention theory and practice, this involves focusing on community </w:t>
      </w:r>
      <w:r w:rsidR="008F5545" w:rsidRPr="538CD31E">
        <w:rPr>
          <w:rFonts w:ascii="Times New Roman" w:eastAsia="Times New Roman" w:hAnsi="Times New Roman" w:cs="Times New Roman"/>
          <w:sz w:val="24"/>
          <w:szCs w:val="24"/>
        </w:rPr>
        <w:t>practices</w:t>
      </w:r>
      <w:r w:rsidRPr="538CD31E">
        <w:rPr>
          <w:rFonts w:ascii="Times New Roman" w:eastAsia="Times New Roman" w:hAnsi="Times New Roman" w:cs="Times New Roman"/>
          <w:sz w:val="24"/>
          <w:szCs w:val="24"/>
        </w:rPr>
        <w:t xml:space="preserve"> that can help prevent crime. It seeks to prevent crime from reaching the police, causing corrections (Weisburd and Braga, 2019). The connection process involves the identification of the social or root cause in society behind a criminal act that is committed. Encourage people to obey the law by focusing on their connections, commitments, values, norms, and beliefs. People who </w:t>
      </w:r>
      <w:r w:rsidR="008F5545" w:rsidRPr="538CD31E">
        <w:rPr>
          <w:rFonts w:ascii="Times New Roman" w:eastAsia="Times New Roman" w:hAnsi="Times New Roman" w:cs="Times New Roman"/>
          <w:sz w:val="24"/>
          <w:szCs w:val="24"/>
        </w:rPr>
        <w:t>internalize</w:t>
      </w:r>
      <w:r w:rsidRPr="538CD31E">
        <w:rPr>
          <w:rFonts w:ascii="Times New Roman" w:eastAsia="Times New Roman" w:hAnsi="Times New Roman" w:cs="Times New Roman"/>
          <w:sz w:val="24"/>
          <w:szCs w:val="24"/>
        </w:rPr>
        <w:t xml:space="preserve"> moral principles and experience a sense of </w:t>
      </w:r>
      <w:r w:rsidR="008F5545" w:rsidRPr="538CD31E">
        <w:rPr>
          <w:rFonts w:ascii="Times New Roman" w:eastAsia="Times New Roman" w:hAnsi="Times New Roman" w:cs="Times New Roman"/>
          <w:sz w:val="24"/>
          <w:szCs w:val="24"/>
        </w:rPr>
        <w:t>community</w:t>
      </w:r>
      <w:r w:rsidRPr="538CD31E">
        <w:rPr>
          <w:rFonts w:ascii="Times New Roman" w:eastAsia="Times New Roman" w:hAnsi="Times New Roman" w:cs="Times New Roman"/>
          <w:sz w:val="24"/>
          <w:szCs w:val="24"/>
        </w:rPr>
        <w:t xml:space="preserve"> and investments in it will </w:t>
      </w:r>
      <w:r w:rsidR="008F5545" w:rsidRPr="538CD31E">
        <w:rPr>
          <w:rFonts w:ascii="Times New Roman" w:eastAsia="Times New Roman" w:hAnsi="Times New Roman" w:cs="Times New Roman"/>
          <w:sz w:val="24"/>
          <w:szCs w:val="24"/>
        </w:rPr>
        <w:t>voluntarily</w:t>
      </w:r>
      <w:r w:rsidRPr="538CD31E">
        <w:rPr>
          <w:rFonts w:ascii="Times New Roman" w:eastAsia="Times New Roman" w:hAnsi="Times New Roman" w:cs="Times New Roman"/>
          <w:sz w:val="24"/>
          <w:szCs w:val="24"/>
        </w:rPr>
        <w:t xml:space="preserve"> reduce their propensity to act unethically </w:t>
      </w:r>
      <w:r w:rsidRPr="538CD31E">
        <w:rPr>
          <w:rFonts w:ascii="Times New Roman" w:eastAsia="Times New Roman" w:hAnsi="Times New Roman" w:cs="Times New Roman"/>
          <w:sz w:val="24"/>
          <w:szCs w:val="24"/>
        </w:rPr>
        <w:lastRenderedPageBreak/>
        <w:t xml:space="preserve">(Joyce and </w:t>
      </w:r>
      <w:proofErr w:type="spellStart"/>
      <w:r w:rsidRPr="538CD31E">
        <w:rPr>
          <w:rFonts w:ascii="Times New Roman" w:eastAsia="Times New Roman" w:hAnsi="Times New Roman" w:cs="Times New Roman"/>
          <w:sz w:val="24"/>
          <w:szCs w:val="24"/>
        </w:rPr>
        <w:t>Laverick</w:t>
      </w:r>
      <w:proofErr w:type="spellEnd"/>
      <w:r w:rsidRPr="538CD31E">
        <w:rPr>
          <w:rFonts w:ascii="Times New Roman" w:eastAsia="Times New Roman" w:hAnsi="Times New Roman" w:cs="Times New Roman"/>
          <w:sz w:val="24"/>
          <w:szCs w:val="24"/>
        </w:rPr>
        <w:t xml:space="preserve">, 2021). Understanding ways to reduce the likelihood that someone may develop criminal behavior is the idea’s main objective. Without mentioning motivating factors, it merely asserts that people have a wide selection of activities at their disposal, with the exception of those that are constrained by </w:t>
      </w:r>
      <w:r w:rsidR="008F5545" w:rsidRPr="538CD31E">
        <w:rPr>
          <w:rFonts w:ascii="Times New Roman" w:eastAsia="Times New Roman" w:hAnsi="Times New Roman" w:cs="Times New Roman"/>
          <w:sz w:val="24"/>
          <w:szCs w:val="24"/>
        </w:rPr>
        <w:t>socialization</w:t>
      </w:r>
      <w:r w:rsidRPr="538CD31E">
        <w:rPr>
          <w:rFonts w:ascii="Times New Roman" w:eastAsia="Times New Roman" w:hAnsi="Times New Roman" w:cs="Times New Roman"/>
          <w:sz w:val="24"/>
          <w:szCs w:val="24"/>
        </w:rPr>
        <w:t xml:space="preserve"> and social learning processes (Nagin and </w:t>
      </w:r>
      <w:proofErr w:type="spellStart"/>
      <w:r w:rsidRPr="538CD31E">
        <w:rPr>
          <w:rFonts w:ascii="Times New Roman" w:eastAsia="Times New Roman" w:hAnsi="Times New Roman" w:cs="Times New Roman"/>
          <w:sz w:val="24"/>
          <w:szCs w:val="24"/>
        </w:rPr>
        <w:t>Telep</w:t>
      </w:r>
      <w:proofErr w:type="spellEnd"/>
      <w:r w:rsidRPr="538CD31E">
        <w:rPr>
          <w:rFonts w:ascii="Times New Roman" w:eastAsia="Times New Roman" w:hAnsi="Times New Roman" w:cs="Times New Roman"/>
          <w:sz w:val="24"/>
          <w:szCs w:val="24"/>
        </w:rPr>
        <w:t>, 2020).</w:t>
      </w:r>
    </w:p>
    <w:p w14:paraId="2C21C50B" w14:textId="77777777" w:rsidR="00244365" w:rsidRDefault="00244365" w:rsidP="00244365">
      <w:pPr>
        <w:rPr>
          <w:rFonts w:ascii="Times New Roman" w:eastAsia="Times New Roman" w:hAnsi="Times New Roman" w:cs="Times New Roman"/>
          <w:b/>
          <w:bCs/>
          <w:sz w:val="24"/>
          <w:szCs w:val="24"/>
        </w:rPr>
      </w:pPr>
      <w:r w:rsidRPr="538CD31E">
        <w:rPr>
          <w:rFonts w:ascii="Times New Roman" w:eastAsia="Times New Roman" w:hAnsi="Times New Roman" w:cs="Times New Roman"/>
          <w:b/>
          <w:bCs/>
          <w:sz w:val="24"/>
          <w:szCs w:val="24"/>
        </w:rPr>
        <w:t>Conclusion</w:t>
      </w:r>
    </w:p>
    <w:p w14:paraId="625158A5" w14:textId="3A49C0C4" w:rsidR="00B52313" w:rsidRDefault="00244365" w:rsidP="00B52313">
      <w:pPr>
        <w:rPr>
          <w:rFonts w:ascii="Times New Roman" w:eastAsia="Times New Roman" w:hAnsi="Times New Roman" w:cs="Times New Roman"/>
          <w:sz w:val="24"/>
          <w:szCs w:val="24"/>
        </w:rPr>
      </w:pPr>
      <w:r w:rsidRPr="538CD31E">
        <w:rPr>
          <w:rFonts w:ascii="Times New Roman" w:eastAsia="Times New Roman" w:hAnsi="Times New Roman" w:cs="Times New Roman"/>
          <w:sz w:val="24"/>
          <w:szCs w:val="24"/>
        </w:rPr>
        <w:t xml:space="preserve">The key findings from the present assessment have suggested that theoretical understandings such as situational crime, prevention theory, social crime, prevention, and diaries can be effective. For example, effective understanding of accumulation and implementation in professional </w:t>
      </w:r>
      <w:r w:rsidR="008F5545" w:rsidRPr="538CD31E">
        <w:rPr>
          <w:rFonts w:ascii="Times New Roman" w:eastAsia="Times New Roman" w:hAnsi="Times New Roman" w:cs="Times New Roman"/>
          <w:sz w:val="24"/>
          <w:szCs w:val="24"/>
        </w:rPr>
        <w:t>practice</w:t>
      </w:r>
      <w:r w:rsidRPr="538CD31E">
        <w:rPr>
          <w:rFonts w:ascii="Times New Roman" w:eastAsia="Times New Roman" w:hAnsi="Times New Roman" w:cs="Times New Roman"/>
          <w:sz w:val="24"/>
          <w:szCs w:val="24"/>
        </w:rPr>
        <w:t xml:space="preserve"> can assist experts in the criminal department in effectively strategizing and incorporating methods and different approaches to create preventive environments for criminals to prevent them from committing any acts. Constant collaboration, implementation, and enforcement of laws, as well as the maintenance of criminal justice, can assist states and the federal government in achieving desired societal outcomes and establishing effective crime prevention while incorporating them into the practical aspects of the profession.</w:t>
      </w:r>
    </w:p>
    <w:p w14:paraId="44A82CDA" w14:textId="77777777" w:rsidR="00B52313" w:rsidRDefault="00B52313" w:rsidP="00B52313">
      <w:pPr>
        <w:rPr>
          <w:rFonts w:ascii="Times New Roman" w:eastAsia="Times New Roman" w:hAnsi="Times New Roman" w:cs="Times New Roman"/>
          <w:sz w:val="24"/>
          <w:szCs w:val="24"/>
        </w:rPr>
      </w:pPr>
    </w:p>
    <w:p w14:paraId="15ECCA30" w14:textId="3A74DF7E" w:rsidR="008F5545" w:rsidRPr="00B52313" w:rsidRDefault="00B52313" w:rsidP="00B52313">
      <w:pPr>
        <w:rPr>
          <w:rFonts w:ascii="Times New Roman" w:eastAsia="Times New Roman" w:hAnsi="Times New Roman" w:cs="Times New Roman"/>
          <w:b/>
          <w:bCs/>
          <w:sz w:val="24"/>
          <w:szCs w:val="24"/>
        </w:rPr>
      </w:pPr>
      <w:r w:rsidRPr="00B52313">
        <w:rPr>
          <w:rFonts w:ascii="Times New Roman" w:eastAsia="Times New Roman" w:hAnsi="Times New Roman" w:cs="Times New Roman"/>
          <w:b/>
          <w:bCs/>
          <w:sz w:val="24"/>
          <w:szCs w:val="24"/>
        </w:rPr>
        <w:t>References List</w:t>
      </w:r>
    </w:p>
    <w:p w14:paraId="1295DF2E" w14:textId="77777777" w:rsidR="008F5545" w:rsidRDefault="008F5545" w:rsidP="00244365">
      <w:pPr>
        <w:rPr>
          <w:rFonts w:asciiTheme="majorBidi" w:hAnsiTheme="majorBidi" w:cstheme="majorBidi"/>
        </w:rPr>
      </w:pPr>
      <w:r w:rsidRPr="008F5545">
        <w:rPr>
          <w:rFonts w:asciiTheme="majorBidi" w:hAnsiTheme="majorBidi" w:cstheme="majorBidi"/>
        </w:rPr>
        <w:t xml:space="preserve">Cairo, G., D., </w:t>
      </w:r>
      <w:proofErr w:type="spellStart"/>
      <w:r w:rsidRPr="008F5545">
        <w:rPr>
          <w:rFonts w:asciiTheme="majorBidi" w:hAnsiTheme="majorBidi" w:cstheme="majorBidi"/>
        </w:rPr>
        <w:t>Gurule</w:t>
      </w:r>
      <w:proofErr w:type="spellEnd"/>
      <w:r w:rsidRPr="008F5545">
        <w:rPr>
          <w:rFonts w:asciiTheme="majorBidi" w:hAnsiTheme="majorBidi" w:cstheme="majorBidi"/>
        </w:rPr>
        <w:t>, A. and Shane, N., 2022. Policy Brief: Evidence-Based Initiatives to Reduce Street Violence: A Review of Promising Approaches.</w:t>
      </w:r>
    </w:p>
    <w:p w14:paraId="7A5BB7B9" w14:textId="77777777" w:rsidR="008F5545" w:rsidRDefault="008F5545" w:rsidP="00244365">
      <w:pPr>
        <w:rPr>
          <w:rFonts w:asciiTheme="majorBidi" w:hAnsiTheme="majorBidi" w:cstheme="majorBidi"/>
        </w:rPr>
      </w:pPr>
      <w:r w:rsidRPr="008F5545">
        <w:rPr>
          <w:rFonts w:asciiTheme="majorBidi" w:hAnsiTheme="majorBidi" w:cstheme="majorBidi"/>
        </w:rPr>
        <w:t xml:space="preserve"> Carrington, K., Dixon, B., Fonseca, D., </w:t>
      </w:r>
      <w:proofErr w:type="spellStart"/>
      <w:r w:rsidRPr="008F5545">
        <w:rPr>
          <w:rFonts w:asciiTheme="majorBidi" w:hAnsiTheme="majorBidi" w:cstheme="majorBidi"/>
        </w:rPr>
        <w:t>Goyes</w:t>
      </w:r>
      <w:proofErr w:type="spellEnd"/>
      <w:r w:rsidRPr="008F5545">
        <w:rPr>
          <w:rFonts w:asciiTheme="majorBidi" w:hAnsiTheme="majorBidi" w:cstheme="majorBidi"/>
        </w:rPr>
        <w:t xml:space="preserve">, D.R., Liu, J. and </w:t>
      </w:r>
      <w:proofErr w:type="spellStart"/>
      <w:r w:rsidRPr="008F5545">
        <w:rPr>
          <w:rFonts w:asciiTheme="majorBidi" w:hAnsiTheme="majorBidi" w:cstheme="majorBidi"/>
        </w:rPr>
        <w:t>Zysman</w:t>
      </w:r>
      <w:proofErr w:type="spellEnd"/>
      <w:r w:rsidRPr="008F5545">
        <w:rPr>
          <w:rFonts w:asciiTheme="majorBidi" w:hAnsiTheme="majorBidi" w:cstheme="majorBidi"/>
        </w:rPr>
        <w:t xml:space="preserve">, D., 2019. </w:t>
      </w:r>
      <w:proofErr w:type="spellStart"/>
      <w:r w:rsidRPr="008F5545">
        <w:rPr>
          <w:rFonts w:asciiTheme="majorBidi" w:hAnsiTheme="majorBidi" w:cstheme="majorBidi"/>
        </w:rPr>
        <w:t>Criminologies</w:t>
      </w:r>
      <w:proofErr w:type="spellEnd"/>
      <w:r w:rsidRPr="008F5545">
        <w:rPr>
          <w:rFonts w:asciiTheme="majorBidi" w:hAnsiTheme="majorBidi" w:cstheme="majorBidi"/>
        </w:rPr>
        <w:t xml:space="preserve"> of the global south: Critical reflection. Critical Criminology, 27(1), pp. 163-189.</w:t>
      </w:r>
    </w:p>
    <w:p w14:paraId="55E8ACFA" w14:textId="77777777" w:rsidR="008F5545" w:rsidRDefault="008F5545" w:rsidP="00244365">
      <w:pPr>
        <w:rPr>
          <w:rFonts w:asciiTheme="majorBidi" w:hAnsiTheme="majorBidi" w:cstheme="majorBidi"/>
        </w:rPr>
      </w:pPr>
      <w:r w:rsidRPr="008F5545">
        <w:rPr>
          <w:rFonts w:asciiTheme="majorBidi" w:hAnsiTheme="majorBidi" w:cstheme="majorBidi"/>
        </w:rPr>
        <w:t xml:space="preserve"> Clarke, R.V., 1995. Situational crime prevention. Crime and justice, 19, pp.91-150.</w:t>
      </w:r>
    </w:p>
    <w:p w14:paraId="03799B40" w14:textId="77777777" w:rsidR="008F5545" w:rsidRDefault="008F5545" w:rsidP="00244365">
      <w:pPr>
        <w:rPr>
          <w:rFonts w:asciiTheme="majorBidi" w:hAnsiTheme="majorBidi" w:cstheme="majorBidi"/>
        </w:rPr>
      </w:pPr>
      <w:r w:rsidRPr="008F5545">
        <w:rPr>
          <w:rFonts w:asciiTheme="majorBidi" w:hAnsiTheme="majorBidi" w:cstheme="majorBidi"/>
        </w:rPr>
        <w:t xml:space="preserve"> </w:t>
      </w:r>
      <w:proofErr w:type="spellStart"/>
      <w:r w:rsidRPr="008F5545">
        <w:rPr>
          <w:rFonts w:asciiTheme="majorBidi" w:hAnsiTheme="majorBidi" w:cstheme="majorBidi"/>
        </w:rPr>
        <w:t>Cunneen</w:t>
      </w:r>
      <w:proofErr w:type="spellEnd"/>
      <w:r w:rsidRPr="008F5545">
        <w:rPr>
          <w:rFonts w:asciiTheme="majorBidi" w:hAnsiTheme="majorBidi" w:cstheme="majorBidi"/>
        </w:rPr>
        <w:t xml:space="preserve">, C. and Tauri, J.M., 2019. Indigenous peoples, criminology, and criminal justice. </w:t>
      </w:r>
    </w:p>
    <w:p w14:paraId="690A5C06" w14:textId="77777777" w:rsidR="008F5545" w:rsidRDefault="008F5545" w:rsidP="00244365">
      <w:pPr>
        <w:rPr>
          <w:rFonts w:asciiTheme="majorBidi" w:hAnsiTheme="majorBidi" w:cstheme="majorBidi"/>
        </w:rPr>
      </w:pPr>
      <w:r w:rsidRPr="008F5545">
        <w:rPr>
          <w:rFonts w:asciiTheme="majorBidi" w:hAnsiTheme="majorBidi" w:cstheme="majorBidi"/>
        </w:rPr>
        <w:t xml:space="preserve">Annual Review of Criminology, 2(1), pp.359-381. </w:t>
      </w:r>
    </w:p>
    <w:p w14:paraId="3F802C1F" w14:textId="77777777" w:rsidR="008F5545" w:rsidRDefault="008F5545" w:rsidP="00244365">
      <w:pPr>
        <w:rPr>
          <w:rFonts w:asciiTheme="majorBidi" w:hAnsiTheme="majorBidi" w:cstheme="majorBidi"/>
        </w:rPr>
      </w:pPr>
      <w:r w:rsidRPr="008F5545">
        <w:rPr>
          <w:rFonts w:asciiTheme="majorBidi" w:hAnsiTheme="majorBidi" w:cstheme="majorBidi"/>
        </w:rPr>
        <w:t xml:space="preserve">Duncan, E., 2022. Critical Reflections on Evidence-Based Policing: A Critical Review Fielding, N., Bullock, K., and </w:t>
      </w:r>
      <w:proofErr w:type="spellStart"/>
      <w:r w:rsidRPr="008F5545">
        <w:rPr>
          <w:rFonts w:asciiTheme="majorBidi" w:hAnsiTheme="majorBidi" w:cstheme="majorBidi"/>
        </w:rPr>
        <w:t>Holdaway</w:t>
      </w:r>
      <w:proofErr w:type="spellEnd"/>
      <w:r w:rsidRPr="008F5545">
        <w:rPr>
          <w:rFonts w:asciiTheme="majorBidi" w:hAnsiTheme="majorBidi" w:cstheme="majorBidi"/>
        </w:rPr>
        <w:t>, S (eds.). Policing: A Journal of Policy and Practice.</w:t>
      </w:r>
    </w:p>
    <w:p w14:paraId="4A304EFB" w14:textId="77777777" w:rsidR="008F5545" w:rsidRDefault="008F5545" w:rsidP="00244365">
      <w:pPr>
        <w:rPr>
          <w:rFonts w:asciiTheme="majorBidi" w:hAnsiTheme="majorBidi" w:cstheme="majorBidi"/>
        </w:rPr>
      </w:pPr>
      <w:r w:rsidRPr="008F5545">
        <w:rPr>
          <w:rFonts w:asciiTheme="majorBidi" w:hAnsiTheme="majorBidi" w:cstheme="majorBidi"/>
        </w:rPr>
        <w:t>Groff, E.R., Johnson, S.D. and Thornton, A., 2019. State of the art in agent-based modeling of urban crime: An overview. Journal of Quantitative Criminology, 35(1), pp.155-193.</w:t>
      </w:r>
    </w:p>
    <w:p w14:paraId="15EF0C96" w14:textId="77777777" w:rsidR="008F5545" w:rsidRDefault="008F5545" w:rsidP="00244365">
      <w:pPr>
        <w:rPr>
          <w:rFonts w:asciiTheme="majorBidi" w:hAnsiTheme="majorBidi" w:cstheme="majorBidi"/>
        </w:rPr>
      </w:pPr>
      <w:r w:rsidRPr="008F5545">
        <w:rPr>
          <w:rFonts w:asciiTheme="majorBidi" w:hAnsiTheme="majorBidi" w:cstheme="majorBidi"/>
        </w:rPr>
        <w:t xml:space="preserve"> </w:t>
      </w:r>
      <w:proofErr w:type="spellStart"/>
      <w:r w:rsidRPr="008F5545">
        <w:rPr>
          <w:rFonts w:asciiTheme="majorBidi" w:hAnsiTheme="majorBidi" w:cstheme="majorBidi"/>
        </w:rPr>
        <w:t>Harfield</w:t>
      </w:r>
      <w:proofErr w:type="spellEnd"/>
      <w:r w:rsidRPr="008F5545">
        <w:rPr>
          <w:rFonts w:asciiTheme="majorBidi" w:hAnsiTheme="majorBidi" w:cstheme="majorBidi"/>
        </w:rPr>
        <w:t xml:space="preserve">, C. ed., 2009. Blackstone’s Police Operational Handbook: Practice and Procedure. OUP Oxford. </w:t>
      </w:r>
    </w:p>
    <w:p w14:paraId="1C7C87D8" w14:textId="77777777" w:rsidR="008F5545" w:rsidRDefault="008F5545" w:rsidP="008F5545">
      <w:pPr>
        <w:rPr>
          <w:rFonts w:asciiTheme="majorBidi" w:hAnsiTheme="majorBidi" w:cstheme="majorBidi"/>
        </w:rPr>
      </w:pPr>
      <w:r w:rsidRPr="008F5545">
        <w:rPr>
          <w:rFonts w:asciiTheme="majorBidi" w:hAnsiTheme="majorBidi" w:cstheme="majorBidi"/>
        </w:rPr>
        <w:t xml:space="preserve">Haworth, K., 2020. Police interviews in the judicial process: Police interviews as evidence. In The Routledge handbook of forensic linguistics (pp. 144-158). </w:t>
      </w:r>
    </w:p>
    <w:p w14:paraId="4E48B2EE" w14:textId="07B3C6AD" w:rsidR="008F5545" w:rsidRDefault="008F5545" w:rsidP="008F5545">
      <w:pPr>
        <w:rPr>
          <w:rFonts w:asciiTheme="majorBidi" w:hAnsiTheme="majorBidi" w:cstheme="majorBidi"/>
        </w:rPr>
      </w:pPr>
      <w:r w:rsidRPr="008F5545">
        <w:rPr>
          <w:rFonts w:asciiTheme="majorBidi" w:hAnsiTheme="majorBidi" w:cstheme="majorBidi"/>
        </w:rPr>
        <w:t>Routledge. Jeffery, C.R., 2021. Crime Prevention. Through Environmental Design (Beverly Hills: Sage, 1971).</w:t>
      </w:r>
    </w:p>
    <w:p w14:paraId="509542B0" w14:textId="77777777" w:rsidR="008F5545" w:rsidRDefault="008F5545" w:rsidP="008F5545">
      <w:pPr>
        <w:rPr>
          <w:rFonts w:asciiTheme="majorBidi" w:hAnsiTheme="majorBidi" w:cstheme="majorBidi"/>
        </w:rPr>
      </w:pPr>
      <w:r w:rsidRPr="008F5545">
        <w:rPr>
          <w:rFonts w:asciiTheme="majorBidi" w:hAnsiTheme="majorBidi" w:cstheme="majorBidi"/>
        </w:rPr>
        <w:t xml:space="preserve"> Jonathan-Zamir, T., Weisburd, D., Dayan, M. and </w:t>
      </w:r>
      <w:proofErr w:type="spellStart"/>
      <w:r w:rsidRPr="008F5545">
        <w:rPr>
          <w:rFonts w:asciiTheme="majorBidi" w:hAnsiTheme="majorBidi" w:cstheme="majorBidi"/>
        </w:rPr>
        <w:t>Zisso</w:t>
      </w:r>
      <w:proofErr w:type="spellEnd"/>
      <w:r w:rsidRPr="008F5545">
        <w:rPr>
          <w:rFonts w:asciiTheme="majorBidi" w:hAnsiTheme="majorBidi" w:cstheme="majorBidi"/>
        </w:rPr>
        <w:t xml:space="preserve">, M., 2022. The Proclivity to Rely on Professional Experience and Evidence-Based Policing: Findings from a Survey of High-Ranking Officers in the Israel Police. In Translation Criminology in Policing (pp. 181-198). </w:t>
      </w:r>
    </w:p>
    <w:p w14:paraId="3463AA3F" w14:textId="77777777" w:rsidR="008F5545" w:rsidRDefault="008F5545" w:rsidP="008F5545">
      <w:pPr>
        <w:rPr>
          <w:rFonts w:asciiTheme="majorBidi" w:hAnsiTheme="majorBidi" w:cstheme="majorBidi"/>
        </w:rPr>
      </w:pPr>
      <w:r w:rsidRPr="008F5545">
        <w:rPr>
          <w:rFonts w:asciiTheme="majorBidi" w:hAnsiTheme="majorBidi" w:cstheme="majorBidi"/>
        </w:rPr>
        <w:lastRenderedPageBreak/>
        <w:t xml:space="preserve">Routledge. Jones, T. and Newburn, T., 2019. Understanding transnational policy flows in security and justice. Journal of Law and Society, 46, </w:t>
      </w:r>
      <w:proofErr w:type="gramStart"/>
      <w:r w:rsidRPr="008F5545">
        <w:rPr>
          <w:rFonts w:asciiTheme="majorBidi" w:hAnsiTheme="majorBidi" w:cstheme="majorBidi"/>
        </w:rPr>
        <w:t>pp.S</w:t>
      </w:r>
      <w:proofErr w:type="gramEnd"/>
      <w:r w:rsidRPr="008F5545">
        <w:rPr>
          <w:rFonts w:asciiTheme="majorBidi" w:hAnsiTheme="majorBidi" w:cstheme="majorBidi"/>
        </w:rPr>
        <w:t>12-S30.</w:t>
      </w:r>
    </w:p>
    <w:p w14:paraId="4C53C083" w14:textId="77777777" w:rsidR="008F5545" w:rsidRDefault="008F5545" w:rsidP="008F5545">
      <w:pPr>
        <w:rPr>
          <w:rFonts w:asciiTheme="majorBidi" w:hAnsiTheme="majorBidi" w:cstheme="majorBidi"/>
        </w:rPr>
      </w:pPr>
      <w:r w:rsidRPr="008F5545">
        <w:rPr>
          <w:rFonts w:asciiTheme="majorBidi" w:hAnsiTheme="majorBidi" w:cstheme="majorBidi"/>
        </w:rPr>
        <w:t xml:space="preserve"> Joyce, P. and </w:t>
      </w:r>
      <w:proofErr w:type="spellStart"/>
      <w:r w:rsidRPr="008F5545">
        <w:rPr>
          <w:rFonts w:asciiTheme="majorBidi" w:hAnsiTheme="majorBidi" w:cstheme="majorBidi"/>
        </w:rPr>
        <w:t>laverick</w:t>
      </w:r>
      <w:proofErr w:type="spellEnd"/>
      <w:r w:rsidRPr="008F5545">
        <w:rPr>
          <w:rFonts w:asciiTheme="majorBidi" w:hAnsiTheme="majorBidi" w:cstheme="majorBidi"/>
        </w:rPr>
        <w:t xml:space="preserve">, W., 2021. Policing: Development and contemporary practice. </w:t>
      </w:r>
    </w:p>
    <w:p w14:paraId="4AA7FCE4" w14:textId="77777777" w:rsidR="008F5545" w:rsidRDefault="008F5545" w:rsidP="008F5545">
      <w:pPr>
        <w:rPr>
          <w:rFonts w:asciiTheme="majorBidi" w:hAnsiTheme="majorBidi" w:cstheme="majorBidi"/>
        </w:rPr>
      </w:pPr>
      <w:r w:rsidRPr="008F5545">
        <w:rPr>
          <w:rFonts w:asciiTheme="majorBidi" w:hAnsiTheme="majorBidi" w:cstheme="majorBidi"/>
        </w:rPr>
        <w:t xml:space="preserve">Sage. Kaufmann, M., Egbert, S. and Leese, M., 2019. Predictive policing and the politics of patterns. The British Journal of Criminology, 59(3), pp.674-692. </w:t>
      </w:r>
    </w:p>
    <w:p w14:paraId="1DEEB458" w14:textId="77777777" w:rsidR="008F5545" w:rsidRDefault="008F5545" w:rsidP="008F5545">
      <w:pPr>
        <w:rPr>
          <w:rFonts w:asciiTheme="majorBidi" w:hAnsiTheme="majorBidi" w:cstheme="majorBidi"/>
        </w:rPr>
      </w:pPr>
      <w:r w:rsidRPr="008F5545">
        <w:rPr>
          <w:rFonts w:asciiTheme="majorBidi" w:hAnsiTheme="majorBidi" w:cstheme="majorBidi"/>
        </w:rPr>
        <w:t>Lum, C., Koper, C.S. and Wu, X., 2022. Can we really defund the police? A nine-agency study of police response to calls for service. Police Quarterly, 25(3), pp.255-280.</w:t>
      </w:r>
    </w:p>
    <w:p w14:paraId="57383C07" w14:textId="77777777" w:rsidR="008F5545" w:rsidRDefault="008F5545" w:rsidP="008F5545">
      <w:pPr>
        <w:rPr>
          <w:rFonts w:asciiTheme="majorBidi" w:hAnsiTheme="majorBidi" w:cstheme="majorBidi"/>
        </w:rPr>
      </w:pPr>
      <w:r w:rsidRPr="008F5545">
        <w:rPr>
          <w:rFonts w:asciiTheme="majorBidi" w:hAnsiTheme="majorBidi" w:cstheme="majorBidi"/>
        </w:rPr>
        <w:t xml:space="preserve"> Lumsden, K. and Goode, J., 2018. Policing research and the rise of the ‘evidence-base’: Police officer and staff understanding of research, its implementation and ‘what works’. Sociology, 52(4), pp.813-829. </w:t>
      </w:r>
    </w:p>
    <w:p w14:paraId="433DA595" w14:textId="77777777" w:rsidR="008F5545" w:rsidRDefault="008F5545" w:rsidP="008F5545">
      <w:pPr>
        <w:rPr>
          <w:rFonts w:asciiTheme="majorBidi" w:hAnsiTheme="majorBidi" w:cstheme="majorBidi"/>
        </w:rPr>
      </w:pPr>
      <w:r w:rsidRPr="008F5545">
        <w:rPr>
          <w:rFonts w:asciiTheme="majorBidi" w:hAnsiTheme="majorBidi" w:cstheme="majorBidi"/>
        </w:rPr>
        <w:t xml:space="preserve">Nagin, D.S. and </w:t>
      </w:r>
      <w:proofErr w:type="spellStart"/>
      <w:r w:rsidRPr="008F5545">
        <w:rPr>
          <w:rFonts w:asciiTheme="majorBidi" w:hAnsiTheme="majorBidi" w:cstheme="majorBidi"/>
        </w:rPr>
        <w:t>Telep</w:t>
      </w:r>
      <w:proofErr w:type="spellEnd"/>
      <w:r w:rsidRPr="008F5545">
        <w:rPr>
          <w:rFonts w:asciiTheme="majorBidi" w:hAnsiTheme="majorBidi" w:cstheme="majorBidi"/>
        </w:rPr>
        <w:t>, C.W., 2020. Procedural justice and legal compliance: A revisionist perspective. Criminology &amp; Public Policy, 19(3), pp.761-786.</w:t>
      </w:r>
    </w:p>
    <w:p w14:paraId="1A601070" w14:textId="77777777" w:rsidR="008F5545" w:rsidRDefault="008F5545" w:rsidP="008F5545">
      <w:pPr>
        <w:rPr>
          <w:rFonts w:asciiTheme="majorBidi" w:hAnsiTheme="majorBidi" w:cstheme="majorBidi"/>
        </w:rPr>
      </w:pPr>
      <w:r w:rsidRPr="008F5545">
        <w:rPr>
          <w:rFonts w:asciiTheme="majorBidi" w:hAnsiTheme="majorBidi" w:cstheme="majorBidi"/>
        </w:rPr>
        <w:t xml:space="preserve"> Neath, T., 2019. Report unauthorized Gypsy and </w:t>
      </w:r>
      <w:proofErr w:type="spellStart"/>
      <w:r w:rsidRPr="008F5545">
        <w:rPr>
          <w:rFonts w:asciiTheme="majorBidi" w:hAnsiTheme="majorBidi" w:cstheme="majorBidi"/>
        </w:rPr>
        <w:t>Traveller</w:t>
      </w:r>
      <w:proofErr w:type="spellEnd"/>
      <w:r w:rsidRPr="008F5545">
        <w:rPr>
          <w:rFonts w:asciiTheme="majorBidi" w:hAnsiTheme="majorBidi" w:cstheme="majorBidi"/>
        </w:rPr>
        <w:t xml:space="preserve"> encampments.</w:t>
      </w:r>
    </w:p>
    <w:p w14:paraId="69D7919D" w14:textId="77777777" w:rsidR="008F5545" w:rsidRDefault="008F5545" w:rsidP="008F5545">
      <w:pPr>
        <w:rPr>
          <w:rFonts w:asciiTheme="majorBidi" w:hAnsiTheme="majorBidi" w:cstheme="majorBidi"/>
        </w:rPr>
      </w:pPr>
      <w:r w:rsidRPr="008F5545">
        <w:rPr>
          <w:rFonts w:asciiTheme="majorBidi" w:hAnsiTheme="majorBidi" w:cstheme="majorBidi"/>
        </w:rPr>
        <w:t xml:space="preserve"> Newburn, T. and Sparks, R., 2014. Criminal justice and political cultures. Criminal justice and Political Cultures. National and international dimensions of crime control, Cullompton: Willan Publishing, pp.1-15.</w:t>
      </w:r>
    </w:p>
    <w:p w14:paraId="4EE185CD" w14:textId="77777777" w:rsidR="008F5545" w:rsidRDefault="008F5545" w:rsidP="008F5545">
      <w:pPr>
        <w:rPr>
          <w:rFonts w:asciiTheme="majorBidi" w:hAnsiTheme="majorBidi" w:cstheme="majorBidi"/>
        </w:rPr>
      </w:pPr>
      <w:r w:rsidRPr="008F5545">
        <w:rPr>
          <w:rFonts w:asciiTheme="majorBidi" w:hAnsiTheme="majorBidi" w:cstheme="majorBidi"/>
        </w:rPr>
        <w:t xml:space="preserve"> O’Connor, C.D., Ng, J., Hill, D. and Frederick, T., 2022. Police analysts on the job in Canada: work experiences, data work, and the move towards evidence-based policing. Police Practice and Research, 23(4), pp.458-472. </w:t>
      </w:r>
    </w:p>
    <w:p w14:paraId="1DCC63DA" w14:textId="77777777" w:rsidR="008F5545" w:rsidRDefault="008F5545" w:rsidP="008F5545">
      <w:pPr>
        <w:rPr>
          <w:rFonts w:asciiTheme="majorBidi" w:hAnsiTheme="majorBidi" w:cstheme="majorBidi"/>
        </w:rPr>
      </w:pPr>
      <w:r w:rsidRPr="008F5545">
        <w:rPr>
          <w:rFonts w:asciiTheme="majorBidi" w:hAnsiTheme="majorBidi" w:cstheme="majorBidi"/>
        </w:rPr>
        <w:t xml:space="preserve">Pearce, J. and Simpson, R., 2022. The role of police in conducting wellness checks: Insight from a study of police data. Police Practice and Research, 23(4), pp.400-413. </w:t>
      </w:r>
    </w:p>
    <w:p w14:paraId="63004149" w14:textId="77777777" w:rsidR="008F5545" w:rsidRDefault="008F5545" w:rsidP="008F5545">
      <w:pPr>
        <w:rPr>
          <w:rFonts w:asciiTheme="majorBidi" w:hAnsiTheme="majorBidi" w:cstheme="majorBidi"/>
        </w:rPr>
      </w:pPr>
      <w:proofErr w:type="spellStart"/>
      <w:r w:rsidRPr="008F5545">
        <w:rPr>
          <w:rFonts w:asciiTheme="majorBidi" w:hAnsiTheme="majorBidi" w:cstheme="majorBidi"/>
        </w:rPr>
        <w:t>Piza</w:t>
      </w:r>
      <w:proofErr w:type="spellEnd"/>
      <w:r w:rsidRPr="008F5545">
        <w:rPr>
          <w:rFonts w:asciiTheme="majorBidi" w:hAnsiTheme="majorBidi" w:cstheme="majorBidi"/>
        </w:rPr>
        <w:t xml:space="preserve">, E.L. and Welsh, B.C., 2022. Evidence-Based Policing is Here to Stay: Innovative Research, Meaningful Practice, and Global Reach. Cambridge Journal of Evidence-Based Policing, pp.1-12. </w:t>
      </w:r>
    </w:p>
    <w:p w14:paraId="68439F8D" w14:textId="77777777" w:rsidR="008F5545" w:rsidRDefault="008F5545" w:rsidP="008F5545">
      <w:pPr>
        <w:rPr>
          <w:rFonts w:asciiTheme="majorBidi" w:hAnsiTheme="majorBidi" w:cstheme="majorBidi"/>
        </w:rPr>
      </w:pPr>
      <w:r w:rsidRPr="008F5545">
        <w:rPr>
          <w:rFonts w:asciiTheme="majorBidi" w:hAnsiTheme="majorBidi" w:cstheme="majorBidi"/>
        </w:rPr>
        <w:t xml:space="preserve">Sampson, R., Eck, J.E. and Dunham, J., 2010. Super controllers and crime prevention: A routine activity explanation of crime prevention success and failure. Security Journal, 23(1), pp.37-51. </w:t>
      </w:r>
    </w:p>
    <w:p w14:paraId="71C17CD2" w14:textId="77777777" w:rsidR="008F5545" w:rsidRDefault="008F5545" w:rsidP="008F5545">
      <w:pPr>
        <w:rPr>
          <w:rFonts w:asciiTheme="majorBidi" w:hAnsiTheme="majorBidi" w:cstheme="majorBidi"/>
        </w:rPr>
      </w:pPr>
      <w:proofErr w:type="spellStart"/>
      <w:r w:rsidRPr="008F5545">
        <w:rPr>
          <w:rFonts w:asciiTheme="majorBidi" w:hAnsiTheme="majorBidi" w:cstheme="majorBidi"/>
        </w:rPr>
        <w:t>Sandwick</w:t>
      </w:r>
      <w:proofErr w:type="spellEnd"/>
      <w:r w:rsidRPr="008F5545">
        <w:rPr>
          <w:rFonts w:asciiTheme="majorBidi" w:hAnsiTheme="majorBidi" w:cstheme="majorBidi"/>
        </w:rPr>
        <w:t xml:space="preserve">, T., Fine, M., Greene, A.C., Stoudt, B.G., Torre, M.E. and Patel, L., 2018. Promise and provocation: Humble reflection on critical participatory action research for social policy. Urban Education, 53(4), pp.473-502. </w:t>
      </w:r>
    </w:p>
    <w:p w14:paraId="3D66175F" w14:textId="77777777" w:rsidR="008F5545" w:rsidRDefault="008F5545" w:rsidP="008F5545">
      <w:pPr>
        <w:rPr>
          <w:rFonts w:asciiTheme="majorBidi" w:hAnsiTheme="majorBidi" w:cstheme="majorBidi"/>
        </w:rPr>
      </w:pPr>
      <w:r w:rsidRPr="008F5545">
        <w:rPr>
          <w:rFonts w:asciiTheme="majorBidi" w:hAnsiTheme="majorBidi" w:cstheme="majorBidi"/>
        </w:rPr>
        <w:t xml:space="preserve">Stenson, K., 2019. Crime control, governmentality and sovereignty. Governable Places, pp.45-73. </w:t>
      </w:r>
    </w:p>
    <w:p w14:paraId="35DCC0EE" w14:textId="77777777" w:rsidR="008F5545" w:rsidRDefault="008F5545" w:rsidP="008F5545">
      <w:pPr>
        <w:rPr>
          <w:rFonts w:asciiTheme="majorBidi" w:hAnsiTheme="majorBidi" w:cstheme="majorBidi"/>
        </w:rPr>
      </w:pPr>
      <w:proofErr w:type="spellStart"/>
      <w:r w:rsidRPr="008F5545">
        <w:rPr>
          <w:rFonts w:asciiTheme="majorBidi" w:hAnsiTheme="majorBidi" w:cstheme="majorBidi"/>
        </w:rPr>
        <w:t>Todak</w:t>
      </w:r>
      <w:proofErr w:type="spellEnd"/>
      <w:r w:rsidRPr="008F5545">
        <w:rPr>
          <w:rFonts w:asciiTheme="majorBidi" w:hAnsiTheme="majorBidi" w:cstheme="majorBidi"/>
        </w:rPr>
        <w:t xml:space="preserve">, N. and Huey, L., 2022. Busting Myths About Evidence-Based Policing: Editorial Introduction to the Special Issue. Police Quarterly, 25(1), pp.3-6. </w:t>
      </w:r>
    </w:p>
    <w:p w14:paraId="312149A4" w14:textId="77777777" w:rsidR="008F5545" w:rsidRDefault="008F5545" w:rsidP="008F5545">
      <w:pPr>
        <w:rPr>
          <w:rFonts w:asciiTheme="majorBidi" w:hAnsiTheme="majorBidi" w:cstheme="majorBidi"/>
        </w:rPr>
      </w:pPr>
      <w:r w:rsidRPr="008F5545">
        <w:rPr>
          <w:rFonts w:asciiTheme="majorBidi" w:hAnsiTheme="majorBidi" w:cstheme="majorBidi"/>
        </w:rPr>
        <w:t xml:space="preserve">Weisburd, D. and Braga, A.A. eds., 2019. Police innovation: Contrasting perspectives. Cambridge University Press. </w:t>
      </w:r>
    </w:p>
    <w:p w14:paraId="2083A039" w14:textId="77777777" w:rsidR="008F5545" w:rsidRDefault="008F5545" w:rsidP="008F5545">
      <w:pPr>
        <w:rPr>
          <w:rFonts w:asciiTheme="majorBidi" w:hAnsiTheme="majorBidi" w:cstheme="majorBidi"/>
        </w:rPr>
      </w:pPr>
      <w:r w:rsidRPr="008F5545">
        <w:rPr>
          <w:rFonts w:asciiTheme="majorBidi" w:hAnsiTheme="majorBidi" w:cstheme="majorBidi"/>
        </w:rPr>
        <w:t xml:space="preserve">Wood, D. ed., 2021. Blackstone’s Handbook for Policing Students 2022. Oxford University Press. </w:t>
      </w:r>
    </w:p>
    <w:p w14:paraId="2484C2B7" w14:textId="6512E261" w:rsidR="008F5545" w:rsidRPr="008F5545" w:rsidRDefault="008F5545" w:rsidP="008F5545">
      <w:pPr>
        <w:rPr>
          <w:rFonts w:asciiTheme="majorBidi" w:hAnsiTheme="majorBidi" w:cstheme="majorBidi"/>
        </w:rPr>
      </w:pPr>
      <w:proofErr w:type="spellStart"/>
      <w:r w:rsidRPr="008F5545">
        <w:rPr>
          <w:rFonts w:asciiTheme="majorBidi" w:hAnsiTheme="majorBidi" w:cstheme="majorBidi"/>
        </w:rPr>
        <w:t>Xiong</w:t>
      </w:r>
      <w:proofErr w:type="spellEnd"/>
      <w:r w:rsidRPr="008F5545">
        <w:rPr>
          <w:rFonts w:asciiTheme="majorBidi" w:hAnsiTheme="majorBidi" w:cstheme="majorBidi"/>
        </w:rPr>
        <w:t>, M., 2022. Rethinking the Blackstone Ratio with Global Public Opinion: Crime Control and Due Process. The Chinese Journal of Comparative Law.</w:t>
      </w:r>
    </w:p>
    <w:p w14:paraId="2265BFC6" w14:textId="77777777" w:rsidR="00244365" w:rsidRDefault="00244365" w:rsidP="00244365">
      <w:pPr>
        <w:rPr>
          <w:rFonts w:ascii="Times New Roman" w:eastAsia="Times New Roman" w:hAnsi="Times New Roman" w:cs="Times New Roman"/>
          <w:sz w:val="24"/>
          <w:szCs w:val="24"/>
        </w:rPr>
      </w:pPr>
    </w:p>
    <w:p w14:paraId="347AE267" w14:textId="77777777" w:rsidR="00244365" w:rsidRDefault="00244365" w:rsidP="00244365">
      <w:pPr>
        <w:rPr>
          <w:rFonts w:ascii="Times New Roman" w:eastAsia="Times New Roman" w:hAnsi="Times New Roman" w:cs="Times New Roman"/>
          <w:sz w:val="24"/>
          <w:szCs w:val="24"/>
        </w:rPr>
      </w:pPr>
    </w:p>
    <w:p w14:paraId="694C4A3B" w14:textId="77777777" w:rsidR="00244365" w:rsidRDefault="00244365" w:rsidP="00244365">
      <w:pPr>
        <w:jc w:val="center"/>
        <w:rPr>
          <w:rFonts w:ascii="Times New Roman" w:eastAsia="Times New Roman" w:hAnsi="Times New Roman" w:cs="Times New Roman"/>
          <w:sz w:val="32"/>
          <w:szCs w:val="32"/>
        </w:rPr>
      </w:pPr>
    </w:p>
    <w:p w14:paraId="2EC897D8" w14:textId="77777777" w:rsidR="00244365" w:rsidRDefault="00244365" w:rsidP="00244365">
      <w:pPr>
        <w:jc w:val="center"/>
        <w:rPr>
          <w:rFonts w:ascii="Times New Roman" w:eastAsia="Times New Roman" w:hAnsi="Times New Roman" w:cs="Times New Roman"/>
          <w:sz w:val="32"/>
          <w:szCs w:val="32"/>
        </w:rPr>
      </w:pPr>
    </w:p>
    <w:p w14:paraId="60760E36" w14:textId="77777777" w:rsidR="00244365" w:rsidRDefault="00244365" w:rsidP="00244365">
      <w:pPr>
        <w:jc w:val="center"/>
        <w:rPr>
          <w:rFonts w:ascii="Times New Roman" w:eastAsia="Times New Roman" w:hAnsi="Times New Roman" w:cs="Times New Roman"/>
          <w:sz w:val="32"/>
          <w:szCs w:val="32"/>
        </w:rPr>
      </w:pPr>
    </w:p>
    <w:p w14:paraId="7232F4B0" w14:textId="064B1E05" w:rsidR="3D7F6221" w:rsidRPr="00244365" w:rsidRDefault="3D7F6221" w:rsidP="00244365"/>
    <w:sectPr w:rsidR="3D7F6221" w:rsidRPr="002443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99EA76"/>
    <w:rsid w:val="0016CD73"/>
    <w:rsid w:val="00191C35"/>
    <w:rsid w:val="00244365"/>
    <w:rsid w:val="004FC582"/>
    <w:rsid w:val="005FE29C"/>
    <w:rsid w:val="008F5545"/>
    <w:rsid w:val="009E379B"/>
    <w:rsid w:val="00B52313"/>
    <w:rsid w:val="00D5432B"/>
    <w:rsid w:val="00DC767F"/>
    <w:rsid w:val="00FA2BAA"/>
    <w:rsid w:val="012300F5"/>
    <w:rsid w:val="0136D7BC"/>
    <w:rsid w:val="0145BD04"/>
    <w:rsid w:val="028171FB"/>
    <w:rsid w:val="02820556"/>
    <w:rsid w:val="0305FB1F"/>
    <w:rsid w:val="0342FC18"/>
    <w:rsid w:val="03634359"/>
    <w:rsid w:val="03688886"/>
    <w:rsid w:val="0397835E"/>
    <w:rsid w:val="03C0587B"/>
    <w:rsid w:val="04370136"/>
    <w:rsid w:val="05D2D197"/>
    <w:rsid w:val="060210EE"/>
    <w:rsid w:val="069BC186"/>
    <w:rsid w:val="06CF2420"/>
    <w:rsid w:val="06D4DFCC"/>
    <w:rsid w:val="06E6DB0C"/>
    <w:rsid w:val="0754E31E"/>
    <w:rsid w:val="07959044"/>
    <w:rsid w:val="07C00046"/>
    <w:rsid w:val="0852ACCF"/>
    <w:rsid w:val="088A98F3"/>
    <w:rsid w:val="08F0B37F"/>
    <w:rsid w:val="08F23D31"/>
    <w:rsid w:val="09C1FD64"/>
    <w:rsid w:val="09D7CA0A"/>
    <w:rsid w:val="0AD12375"/>
    <w:rsid w:val="0B1FB477"/>
    <w:rsid w:val="0BA29543"/>
    <w:rsid w:val="0C285441"/>
    <w:rsid w:val="0C42131B"/>
    <w:rsid w:val="0C5905D1"/>
    <w:rsid w:val="0C937169"/>
    <w:rsid w:val="0CBB84D8"/>
    <w:rsid w:val="0CF99411"/>
    <w:rsid w:val="0D0F6ACC"/>
    <w:rsid w:val="0D3E65A4"/>
    <w:rsid w:val="0D46FBC6"/>
    <w:rsid w:val="0D4B881A"/>
    <w:rsid w:val="0D4D184C"/>
    <w:rsid w:val="0D4EFE6B"/>
    <w:rsid w:val="0D5E0A16"/>
    <w:rsid w:val="0DDBADD5"/>
    <w:rsid w:val="0DFC26A8"/>
    <w:rsid w:val="0E2F41CA"/>
    <w:rsid w:val="0E30B726"/>
    <w:rsid w:val="0E372F50"/>
    <w:rsid w:val="0E8C1D6F"/>
    <w:rsid w:val="0EB94333"/>
    <w:rsid w:val="0ECD98B7"/>
    <w:rsid w:val="0ED8FCBD"/>
    <w:rsid w:val="0F5E345D"/>
    <w:rsid w:val="0F753C40"/>
    <w:rsid w:val="0FCB122B"/>
    <w:rsid w:val="10754DA6"/>
    <w:rsid w:val="108DB6D7"/>
    <w:rsid w:val="1095AAD8"/>
    <w:rsid w:val="10C2BB8A"/>
    <w:rsid w:val="11134E97"/>
    <w:rsid w:val="111D71C4"/>
    <w:rsid w:val="118EF5FB"/>
    <w:rsid w:val="12710B62"/>
    <w:rsid w:val="129795C5"/>
    <w:rsid w:val="12B94225"/>
    <w:rsid w:val="12FB22E4"/>
    <w:rsid w:val="132AC65C"/>
    <w:rsid w:val="136EA513"/>
    <w:rsid w:val="1399377B"/>
    <w:rsid w:val="13A4BD83"/>
    <w:rsid w:val="13B21E7E"/>
    <w:rsid w:val="13DD2C39"/>
    <w:rsid w:val="14177553"/>
    <w:rsid w:val="14336626"/>
    <w:rsid w:val="14A57EE7"/>
    <w:rsid w:val="14C696BD"/>
    <w:rsid w:val="15408DE4"/>
    <w:rsid w:val="15520DAB"/>
    <w:rsid w:val="15691BFB"/>
    <w:rsid w:val="15C4CAC1"/>
    <w:rsid w:val="15E6BFBA"/>
    <w:rsid w:val="15F0E2E7"/>
    <w:rsid w:val="15F7F958"/>
    <w:rsid w:val="163BC90B"/>
    <w:rsid w:val="16424135"/>
    <w:rsid w:val="16A9D11D"/>
    <w:rsid w:val="16EDDE0C"/>
    <w:rsid w:val="176B06E8"/>
    <w:rsid w:val="17C4E939"/>
    <w:rsid w:val="17EA64B8"/>
    <w:rsid w:val="184153E2"/>
    <w:rsid w:val="18602D7D"/>
    <w:rsid w:val="18782EA6"/>
    <w:rsid w:val="1889AE6D"/>
    <w:rsid w:val="19616163"/>
    <w:rsid w:val="197B5753"/>
    <w:rsid w:val="19CF2846"/>
    <w:rsid w:val="1A06291D"/>
    <w:rsid w:val="1A13FF07"/>
    <w:rsid w:val="1AB5406B"/>
    <w:rsid w:val="1B15B258"/>
    <w:rsid w:val="1B1E4C86"/>
    <w:rsid w:val="1B3BBD12"/>
    <w:rsid w:val="1C141B52"/>
    <w:rsid w:val="1C60246B"/>
    <w:rsid w:val="1D650D16"/>
    <w:rsid w:val="1D766F20"/>
    <w:rsid w:val="1D8CC9F7"/>
    <w:rsid w:val="1E3A1056"/>
    <w:rsid w:val="1EEBA691"/>
    <w:rsid w:val="1EF9E53E"/>
    <w:rsid w:val="1F00DD77"/>
    <w:rsid w:val="1F4BBC14"/>
    <w:rsid w:val="1FFB2075"/>
    <w:rsid w:val="200327BF"/>
    <w:rsid w:val="207CD7E7"/>
    <w:rsid w:val="2083408B"/>
    <w:rsid w:val="209CADD8"/>
    <w:rsid w:val="20D4F8E8"/>
    <w:rsid w:val="215E3530"/>
    <w:rsid w:val="21E83628"/>
    <w:rsid w:val="21FA5327"/>
    <w:rsid w:val="2203F051"/>
    <w:rsid w:val="22234753"/>
    <w:rsid w:val="22B15612"/>
    <w:rsid w:val="22B95D5C"/>
    <w:rsid w:val="22BBF331"/>
    <w:rsid w:val="22BE2949"/>
    <w:rsid w:val="231A4598"/>
    <w:rsid w:val="232F5664"/>
    <w:rsid w:val="236FBF23"/>
    <w:rsid w:val="23885425"/>
    <w:rsid w:val="23AF54DE"/>
    <w:rsid w:val="23D44E9A"/>
    <w:rsid w:val="23F279E4"/>
    <w:rsid w:val="24332F1B"/>
    <w:rsid w:val="24CF282B"/>
    <w:rsid w:val="25A3534D"/>
    <w:rsid w:val="25BF800C"/>
    <w:rsid w:val="264A0499"/>
    <w:rsid w:val="269C2CFE"/>
    <w:rsid w:val="26F2820F"/>
    <w:rsid w:val="27494EED"/>
    <w:rsid w:val="27826D33"/>
    <w:rsid w:val="27CBC5F2"/>
    <w:rsid w:val="2806C8ED"/>
    <w:rsid w:val="28433046"/>
    <w:rsid w:val="285BC548"/>
    <w:rsid w:val="2887E9CC"/>
    <w:rsid w:val="288E5270"/>
    <w:rsid w:val="2917EC76"/>
    <w:rsid w:val="293ABA66"/>
    <w:rsid w:val="29A2994E"/>
    <w:rsid w:val="29F795A9"/>
    <w:rsid w:val="2A15935D"/>
    <w:rsid w:val="2BCC0FB8"/>
    <w:rsid w:val="2BCDE0B8"/>
    <w:rsid w:val="2BCE2213"/>
    <w:rsid w:val="2C308475"/>
    <w:rsid w:val="2CCC20DF"/>
    <w:rsid w:val="2D0D5580"/>
    <w:rsid w:val="2D202EE9"/>
    <w:rsid w:val="2D67E019"/>
    <w:rsid w:val="2DC57900"/>
    <w:rsid w:val="2E085C79"/>
    <w:rsid w:val="2E2581ED"/>
    <w:rsid w:val="2E441A4C"/>
    <w:rsid w:val="2E6CA570"/>
    <w:rsid w:val="2ED2F452"/>
    <w:rsid w:val="2EF72B50"/>
    <w:rsid w:val="2F7B261E"/>
    <w:rsid w:val="2FFC832C"/>
    <w:rsid w:val="3011DAD2"/>
    <w:rsid w:val="3088838D"/>
    <w:rsid w:val="30AF4B1E"/>
    <w:rsid w:val="30D9E1DB"/>
    <w:rsid w:val="30F27AAE"/>
    <w:rsid w:val="31612CE5"/>
    <w:rsid w:val="319C8D02"/>
    <w:rsid w:val="31A97648"/>
    <w:rsid w:val="31E53195"/>
    <w:rsid w:val="31EA128C"/>
    <w:rsid w:val="322ECC12"/>
    <w:rsid w:val="32315BBB"/>
    <w:rsid w:val="323534B6"/>
    <w:rsid w:val="3275B23C"/>
    <w:rsid w:val="328845C9"/>
    <w:rsid w:val="32D13CAF"/>
    <w:rsid w:val="32F1AB9F"/>
    <w:rsid w:val="32F525F8"/>
    <w:rsid w:val="33497B94"/>
    <w:rsid w:val="3385E2ED"/>
    <w:rsid w:val="33A66575"/>
    <w:rsid w:val="33CA9C73"/>
    <w:rsid w:val="34267E8E"/>
    <w:rsid w:val="3460A3A4"/>
    <w:rsid w:val="3521B34E"/>
    <w:rsid w:val="3529A0D4"/>
    <w:rsid w:val="35CAD1BC"/>
    <w:rsid w:val="35D57A21"/>
    <w:rsid w:val="35E504C5"/>
    <w:rsid w:val="3614E2E6"/>
    <w:rsid w:val="3647700E"/>
    <w:rsid w:val="36B8A2B8"/>
    <w:rsid w:val="36BD83AF"/>
    <w:rsid w:val="36C2A086"/>
    <w:rsid w:val="36C57135"/>
    <w:rsid w:val="3733F48B"/>
    <w:rsid w:val="375BB6EC"/>
    <w:rsid w:val="37694948"/>
    <w:rsid w:val="37C68010"/>
    <w:rsid w:val="37FD80E7"/>
    <w:rsid w:val="38369F2D"/>
    <w:rsid w:val="38547319"/>
    <w:rsid w:val="3897F21F"/>
    <w:rsid w:val="38EB30AF"/>
    <w:rsid w:val="3950ECE0"/>
    <w:rsid w:val="3960ED23"/>
    <w:rsid w:val="3995658C"/>
    <w:rsid w:val="39A7986C"/>
    <w:rsid w:val="39FD11F7"/>
    <w:rsid w:val="3A2D302C"/>
    <w:rsid w:val="3A3A1F82"/>
    <w:rsid w:val="3A661526"/>
    <w:rsid w:val="3AF8E837"/>
    <w:rsid w:val="3B4E27BC"/>
    <w:rsid w:val="3BB1775A"/>
    <w:rsid w:val="3C11F1F9"/>
    <w:rsid w:val="3C4B9B29"/>
    <w:rsid w:val="3CB048EE"/>
    <w:rsid w:val="3CDF392E"/>
    <w:rsid w:val="3D7F6221"/>
    <w:rsid w:val="3DD774FF"/>
    <w:rsid w:val="3DF63347"/>
    <w:rsid w:val="3E045D59"/>
    <w:rsid w:val="3E11FDC8"/>
    <w:rsid w:val="3E99EA76"/>
    <w:rsid w:val="3ED0831A"/>
    <w:rsid w:val="3EE79DBD"/>
    <w:rsid w:val="3EF77FC7"/>
    <w:rsid w:val="3F1BA544"/>
    <w:rsid w:val="3FEA4A50"/>
    <w:rsid w:val="3FF63FDA"/>
    <w:rsid w:val="406C537B"/>
    <w:rsid w:val="40A8ADDC"/>
    <w:rsid w:val="40BA92F6"/>
    <w:rsid w:val="41298342"/>
    <w:rsid w:val="41A39002"/>
    <w:rsid w:val="41A6ACA8"/>
    <w:rsid w:val="420823DC"/>
    <w:rsid w:val="42759476"/>
    <w:rsid w:val="427DE5A8"/>
    <w:rsid w:val="428BD606"/>
    <w:rsid w:val="42B791F0"/>
    <w:rsid w:val="43BC893F"/>
    <w:rsid w:val="43BCAED4"/>
    <w:rsid w:val="43DFB8DF"/>
    <w:rsid w:val="43E26EF1"/>
    <w:rsid w:val="453FC49E"/>
    <w:rsid w:val="458AE6C8"/>
    <w:rsid w:val="45C31DBC"/>
    <w:rsid w:val="45C5518D"/>
    <w:rsid w:val="45EF32B2"/>
    <w:rsid w:val="46151916"/>
    <w:rsid w:val="461D0FAD"/>
    <w:rsid w:val="4632F436"/>
    <w:rsid w:val="47725667"/>
    <w:rsid w:val="47A96118"/>
    <w:rsid w:val="47F6DC54"/>
    <w:rsid w:val="47F96439"/>
    <w:rsid w:val="480D430C"/>
    <w:rsid w:val="4812D186"/>
    <w:rsid w:val="48490A3A"/>
    <w:rsid w:val="487B872A"/>
    <w:rsid w:val="48C2878A"/>
    <w:rsid w:val="49071651"/>
    <w:rsid w:val="49453179"/>
    <w:rsid w:val="4A677DFE"/>
    <w:rsid w:val="4A88F78D"/>
    <w:rsid w:val="4AB168FE"/>
    <w:rsid w:val="4AE63037"/>
    <w:rsid w:val="4B04AD4A"/>
    <w:rsid w:val="4B3289DD"/>
    <w:rsid w:val="4B78E22A"/>
    <w:rsid w:val="4B801288"/>
    <w:rsid w:val="4B9E7942"/>
    <w:rsid w:val="4C0259B6"/>
    <w:rsid w:val="4C63FD3A"/>
    <w:rsid w:val="4CCE5A3E"/>
    <w:rsid w:val="4CD4C2E2"/>
    <w:rsid w:val="4D3E6BA1"/>
    <w:rsid w:val="4D4A5615"/>
    <w:rsid w:val="4DC0DD3F"/>
    <w:rsid w:val="4DE909C0"/>
    <w:rsid w:val="4EA6A2E8"/>
    <w:rsid w:val="4EDA3C02"/>
    <w:rsid w:val="4F3AEF21"/>
    <w:rsid w:val="4F84DA21"/>
    <w:rsid w:val="4FBC6083"/>
    <w:rsid w:val="4FE7CE0B"/>
    <w:rsid w:val="4FF39556"/>
    <w:rsid w:val="5005FB00"/>
    <w:rsid w:val="50A5DCEB"/>
    <w:rsid w:val="510AE47C"/>
    <w:rsid w:val="511B8BB4"/>
    <w:rsid w:val="5137E3DA"/>
    <w:rsid w:val="515CD885"/>
    <w:rsid w:val="5199DDDB"/>
    <w:rsid w:val="520D7713"/>
    <w:rsid w:val="526F528A"/>
    <w:rsid w:val="52BADAFA"/>
    <w:rsid w:val="533D9BC2"/>
    <w:rsid w:val="53440466"/>
    <w:rsid w:val="538CD31E"/>
    <w:rsid w:val="53DC5C8F"/>
    <w:rsid w:val="53DF656C"/>
    <w:rsid w:val="540E6044"/>
    <w:rsid w:val="542E04B6"/>
    <w:rsid w:val="543946F2"/>
    <w:rsid w:val="543F3912"/>
    <w:rsid w:val="549CDE89"/>
    <w:rsid w:val="54D96C23"/>
    <w:rsid w:val="55384707"/>
    <w:rsid w:val="554F8B59"/>
    <w:rsid w:val="55833254"/>
    <w:rsid w:val="55C9D517"/>
    <w:rsid w:val="55F1860A"/>
    <w:rsid w:val="562BA207"/>
    <w:rsid w:val="5660A133"/>
    <w:rsid w:val="5666B332"/>
    <w:rsid w:val="56798387"/>
    <w:rsid w:val="570512AE"/>
    <w:rsid w:val="57460106"/>
    <w:rsid w:val="5767BF85"/>
    <w:rsid w:val="5768FF77"/>
    <w:rsid w:val="58110CE5"/>
    <w:rsid w:val="58500589"/>
    <w:rsid w:val="586BA60A"/>
    <w:rsid w:val="588206CC"/>
    <w:rsid w:val="58B2D68F"/>
    <w:rsid w:val="590175D9"/>
    <w:rsid w:val="592BBC67"/>
    <w:rsid w:val="593D3B18"/>
    <w:rsid w:val="596342C9"/>
    <w:rsid w:val="59ACDD46"/>
    <w:rsid w:val="59B345EA"/>
    <w:rsid w:val="5A5B5358"/>
    <w:rsid w:val="5A7DA1C8"/>
    <w:rsid w:val="5AC78CC8"/>
    <w:rsid w:val="5B4F164B"/>
    <w:rsid w:val="5B6143EB"/>
    <w:rsid w:val="5B90E7BD"/>
    <w:rsid w:val="5BFB4844"/>
    <w:rsid w:val="5C635D29"/>
    <w:rsid w:val="5C9FC482"/>
    <w:rsid w:val="5CB6BA5A"/>
    <w:rsid w:val="5D7D0F91"/>
    <w:rsid w:val="5DAB7170"/>
    <w:rsid w:val="5DD05375"/>
    <w:rsid w:val="5E804E69"/>
    <w:rsid w:val="5E8D7290"/>
    <w:rsid w:val="5EA80CF0"/>
    <w:rsid w:val="5EAE6CEA"/>
    <w:rsid w:val="5FAF5E2D"/>
    <w:rsid w:val="600A14BF"/>
    <w:rsid w:val="606A0280"/>
    <w:rsid w:val="60A004D7"/>
    <w:rsid w:val="60D201D0"/>
    <w:rsid w:val="60ECE34C"/>
    <w:rsid w:val="616E54AE"/>
    <w:rsid w:val="621168E2"/>
    <w:rsid w:val="623DD357"/>
    <w:rsid w:val="63007BA8"/>
    <w:rsid w:val="634E6539"/>
    <w:rsid w:val="6353BF8C"/>
    <w:rsid w:val="640C70E0"/>
    <w:rsid w:val="646E6F0E"/>
    <w:rsid w:val="64C1CC3F"/>
    <w:rsid w:val="65511083"/>
    <w:rsid w:val="65678ED6"/>
    <w:rsid w:val="65C5049C"/>
    <w:rsid w:val="65EE341E"/>
    <w:rsid w:val="66049AD6"/>
    <w:rsid w:val="665D9CA0"/>
    <w:rsid w:val="6672DEF4"/>
    <w:rsid w:val="6740A6CF"/>
    <w:rsid w:val="67AEF6D9"/>
    <w:rsid w:val="67CC4C00"/>
    <w:rsid w:val="68751465"/>
    <w:rsid w:val="690833E9"/>
    <w:rsid w:val="691799A3"/>
    <w:rsid w:val="691AF3A2"/>
    <w:rsid w:val="6940C3E9"/>
    <w:rsid w:val="699F0D99"/>
    <w:rsid w:val="69B888EC"/>
    <w:rsid w:val="6A10E4C6"/>
    <w:rsid w:val="6A1A87BA"/>
    <w:rsid w:val="6A5B5504"/>
    <w:rsid w:val="6ABD7BBD"/>
    <w:rsid w:val="6B310DC3"/>
    <w:rsid w:val="6BEFD18A"/>
    <w:rsid w:val="6C470A1C"/>
    <w:rsid w:val="6C4C06A9"/>
    <w:rsid w:val="6C4F3A65"/>
    <w:rsid w:val="6D118AA1"/>
    <w:rsid w:val="6D3C28FE"/>
    <w:rsid w:val="6D488588"/>
    <w:rsid w:val="6DC6B316"/>
    <w:rsid w:val="6DF51259"/>
    <w:rsid w:val="6E3F057B"/>
    <w:rsid w:val="6E4635FB"/>
    <w:rsid w:val="6EBFEC43"/>
    <w:rsid w:val="6EDE4BED"/>
    <w:rsid w:val="6EE455E9"/>
    <w:rsid w:val="6F210EF2"/>
    <w:rsid w:val="6FD818DC"/>
    <w:rsid w:val="6FDF727E"/>
    <w:rsid w:val="6FE206B0"/>
    <w:rsid w:val="705AF9A8"/>
    <w:rsid w:val="706175BD"/>
    <w:rsid w:val="70B79B76"/>
    <w:rsid w:val="70C342AD"/>
    <w:rsid w:val="70D9892F"/>
    <w:rsid w:val="719DB729"/>
    <w:rsid w:val="720E7A7A"/>
    <w:rsid w:val="729A2439"/>
    <w:rsid w:val="73806374"/>
    <w:rsid w:val="74143FAA"/>
    <w:rsid w:val="7470DB51"/>
    <w:rsid w:val="747C23A1"/>
    <w:rsid w:val="74FC6A78"/>
    <w:rsid w:val="7515426E"/>
    <w:rsid w:val="7568D2AA"/>
    <w:rsid w:val="75D1C4FB"/>
    <w:rsid w:val="762E56A2"/>
    <w:rsid w:val="76A26618"/>
    <w:rsid w:val="76BFC577"/>
    <w:rsid w:val="76D0B741"/>
    <w:rsid w:val="77401F93"/>
    <w:rsid w:val="7800A18D"/>
    <w:rsid w:val="78044D8D"/>
    <w:rsid w:val="78B52C35"/>
    <w:rsid w:val="78C4AB2B"/>
    <w:rsid w:val="796DFDB4"/>
    <w:rsid w:val="7991B9FB"/>
    <w:rsid w:val="79F0A117"/>
    <w:rsid w:val="7A085803"/>
    <w:rsid w:val="7A607B8C"/>
    <w:rsid w:val="7A68D5B2"/>
    <w:rsid w:val="7A8838DF"/>
    <w:rsid w:val="7ADF269F"/>
    <w:rsid w:val="7AE17D3D"/>
    <w:rsid w:val="7B7B06B7"/>
    <w:rsid w:val="7B8C88C2"/>
    <w:rsid w:val="7C0ED152"/>
    <w:rsid w:val="7C123076"/>
    <w:rsid w:val="7C33C0D6"/>
    <w:rsid w:val="7C7D4D9E"/>
    <w:rsid w:val="7D126F5E"/>
    <w:rsid w:val="7D45663E"/>
    <w:rsid w:val="7D63D058"/>
    <w:rsid w:val="7D6D0CC7"/>
    <w:rsid w:val="7D6F40FE"/>
    <w:rsid w:val="7E191DFF"/>
    <w:rsid w:val="7E34095A"/>
    <w:rsid w:val="7EC4123A"/>
    <w:rsid w:val="7EDBC926"/>
    <w:rsid w:val="7F639012"/>
    <w:rsid w:val="7FB4EE60"/>
    <w:rsid w:val="7FCE6873"/>
    <w:rsid w:val="7FD5712F"/>
    <w:rsid w:val="7FDE5575"/>
    <w:rsid w:val="7FDF021D"/>
    <w:rsid w:val="7FFF2F7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9EA76"/>
  <w15:chartTrackingRefBased/>
  <w15:docId w15:val="{6A5FB7C8-920F-4907-97F4-7D868ACB6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8</Pages>
  <Words>2881</Words>
  <Characters>16423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Nada Hussein</dc:creator>
  <cp:keywords/>
  <dc:description/>
  <cp:lastModifiedBy>Abbasa abbasa</cp:lastModifiedBy>
  <cp:revision>4</cp:revision>
  <dcterms:created xsi:type="dcterms:W3CDTF">2023-03-28T13:30:00Z</dcterms:created>
  <dcterms:modified xsi:type="dcterms:W3CDTF">2023-03-28T13:54:00Z</dcterms:modified>
</cp:coreProperties>
</file>