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6256A" w14:textId="77777777" w:rsidR="00232A1F" w:rsidRDefault="00232A1F" w:rsidP="00232A1F">
      <w:pPr>
        <w:rPr>
          <w:rFonts w:ascii="Arial" w:hAnsi="Arial" w:cs="Arial"/>
        </w:rPr>
      </w:pPr>
    </w:p>
    <w:p w14:paraId="37AAAC12" w14:textId="77777777" w:rsidR="008948F7" w:rsidRDefault="008948F7" w:rsidP="00232A1F">
      <w:pPr>
        <w:rPr>
          <w:rFonts w:ascii="Arial" w:hAnsi="Arial" w:cs="Arial"/>
        </w:rPr>
      </w:pPr>
    </w:p>
    <w:p w14:paraId="49581978" w14:textId="77777777" w:rsidR="008948F7" w:rsidRDefault="008948F7" w:rsidP="00232A1F">
      <w:pPr>
        <w:rPr>
          <w:rFonts w:ascii="Arial" w:hAnsi="Arial" w:cs="Arial"/>
        </w:rPr>
      </w:pPr>
    </w:p>
    <w:p w14:paraId="51670C4C" w14:textId="77777777" w:rsidR="008948F7" w:rsidRDefault="008948F7" w:rsidP="00232A1F">
      <w:pPr>
        <w:rPr>
          <w:rFonts w:ascii="Arial" w:hAnsi="Arial" w:cs="Arial"/>
        </w:rPr>
      </w:pPr>
    </w:p>
    <w:p w14:paraId="7D5A06F9" w14:textId="77777777" w:rsidR="008948F7" w:rsidRDefault="008948F7" w:rsidP="00232A1F">
      <w:pPr>
        <w:rPr>
          <w:rFonts w:ascii="Arial" w:hAnsi="Arial" w:cs="Arial"/>
        </w:rPr>
      </w:pPr>
    </w:p>
    <w:p w14:paraId="4F7AE06A" w14:textId="77777777" w:rsidR="00232A1F" w:rsidRPr="00232A1F" w:rsidRDefault="00232A1F" w:rsidP="00232A1F">
      <w:pPr>
        <w:rPr>
          <w:rFonts w:ascii="Arial" w:hAnsi="Arial" w:cs="Arial"/>
          <w:sz w:val="32"/>
          <w:szCs w:val="32"/>
        </w:rPr>
      </w:pPr>
    </w:p>
    <w:p w14:paraId="76D3996F" w14:textId="7EAAC83B" w:rsidR="00232A1F" w:rsidRPr="00FE3B43" w:rsidRDefault="00232A1F" w:rsidP="00232A1F">
      <w:pPr>
        <w:jc w:val="center"/>
        <w:rPr>
          <w:rFonts w:ascii="Arial" w:hAnsi="Arial" w:cs="Arial"/>
          <w:sz w:val="48"/>
          <w:szCs w:val="48"/>
        </w:rPr>
      </w:pPr>
      <w:r w:rsidRPr="00FE3B43">
        <w:rPr>
          <w:rFonts w:ascii="Arial" w:hAnsi="Arial" w:cs="Arial"/>
          <w:sz w:val="48"/>
          <w:szCs w:val="48"/>
        </w:rPr>
        <w:t xml:space="preserve">Cross-cultural communication in </w:t>
      </w:r>
      <w:r w:rsidR="00FE3B43" w:rsidRPr="00FE3B43">
        <w:rPr>
          <w:rFonts w:ascii="Arial" w:hAnsi="Arial" w:cs="Arial"/>
          <w:sz w:val="48"/>
          <w:szCs w:val="48"/>
        </w:rPr>
        <w:t>the Ocado Group – AEON Partnership</w:t>
      </w:r>
    </w:p>
    <w:p w14:paraId="032928E7" w14:textId="77777777" w:rsidR="00232A1F" w:rsidRDefault="00232A1F" w:rsidP="00232A1F">
      <w:pPr>
        <w:rPr>
          <w:rFonts w:ascii="Arial" w:hAnsi="Arial" w:cs="Arial"/>
        </w:rPr>
      </w:pPr>
    </w:p>
    <w:p w14:paraId="3544FF39" w14:textId="77777777" w:rsidR="00232A1F" w:rsidRDefault="00232A1F" w:rsidP="00232A1F">
      <w:pPr>
        <w:rPr>
          <w:rFonts w:ascii="Arial" w:hAnsi="Arial" w:cs="Arial"/>
        </w:rPr>
      </w:pPr>
    </w:p>
    <w:p w14:paraId="21B2E89B" w14:textId="77777777" w:rsidR="00232A1F" w:rsidRDefault="00232A1F" w:rsidP="00232A1F">
      <w:pPr>
        <w:jc w:val="center"/>
        <w:rPr>
          <w:rFonts w:ascii="Arial" w:hAnsi="Arial" w:cs="Arial"/>
        </w:rPr>
      </w:pPr>
    </w:p>
    <w:p w14:paraId="701D6691" w14:textId="77777777" w:rsidR="00232A1F" w:rsidRDefault="00232A1F" w:rsidP="00232A1F">
      <w:pPr>
        <w:rPr>
          <w:rFonts w:ascii="Arial" w:hAnsi="Arial" w:cs="Arial"/>
        </w:rPr>
      </w:pPr>
    </w:p>
    <w:p w14:paraId="725B4209" w14:textId="77777777" w:rsidR="00232A1F" w:rsidRDefault="00232A1F" w:rsidP="00232A1F">
      <w:pPr>
        <w:rPr>
          <w:rFonts w:ascii="Arial" w:hAnsi="Arial" w:cs="Arial"/>
        </w:rPr>
      </w:pPr>
    </w:p>
    <w:p w14:paraId="77764014" w14:textId="77777777" w:rsidR="00232A1F" w:rsidRDefault="00232A1F" w:rsidP="00232A1F">
      <w:pPr>
        <w:rPr>
          <w:rFonts w:ascii="Arial" w:hAnsi="Arial" w:cs="Arial"/>
        </w:rPr>
      </w:pPr>
    </w:p>
    <w:p w14:paraId="27796095" w14:textId="77777777" w:rsidR="00232A1F" w:rsidRDefault="00232A1F" w:rsidP="00232A1F">
      <w:pPr>
        <w:rPr>
          <w:rFonts w:ascii="Arial" w:hAnsi="Arial" w:cs="Arial"/>
        </w:rPr>
      </w:pPr>
    </w:p>
    <w:p w14:paraId="688EE361" w14:textId="77777777" w:rsidR="00232A1F" w:rsidRDefault="00232A1F" w:rsidP="00232A1F">
      <w:pPr>
        <w:rPr>
          <w:rFonts w:ascii="Arial" w:hAnsi="Arial" w:cs="Arial"/>
        </w:rPr>
      </w:pPr>
    </w:p>
    <w:p w14:paraId="7839BA66" w14:textId="77777777" w:rsidR="00232A1F" w:rsidRDefault="00232A1F" w:rsidP="00232A1F">
      <w:pPr>
        <w:rPr>
          <w:rFonts w:ascii="Arial" w:hAnsi="Arial" w:cs="Arial"/>
        </w:rPr>
      </w:pPr>
    </w:p>
    <w:p w14:paraId="7042CB72" w14:textId="77777777" w:rsidR="00232A1F" w:rsidRDefault="00232A1F" w:rsidP="00232A1F">
      <w:pPr>
        <w:rPr>
          <w:rFonts w:ascii="Arial" w:hAnsi="Arial" w:cs="Arial"/>
        </w:rPr>
      </w:pPr>
    </w:p>
    <w:p w14:paraId="78640C07" w14:textId="77777777" w:rsidR="00232A1F" w:rsidRDefault="00232A1F" w:rsidP="00232A1F">
      <w:pPr>
        <w:rPr>
          <w:rFonts w:ascii="Arial" w:hAnsi="Arial" w:cs="Arial"/>
        </w:rPr>
      </w:pPr>
    </w:p>
    <w:p w14:paraId="5A7B4FE5" w14:textId="77777777" w:rsidR="00232A1F" w:rsidRDefault="00232A1F" w:rsidP="00232A1F">
      <w:pPr>
        <w:rPr>
          <w:rFonts w:ascii="Arial" w:hAnsi="Arial" w:cs="Arial"/>
        </w:rPr>
      </w:pPr>
    </w:p>
    <w:p w14:paraId="751AB242" w14:textId="312E5B8F" w:rsidR="00232A1F" w:rsidRPr="00232A1F" w:rsidRDefault="00232A1F" w:rsidP="00232A1F">
      <w:pPr>
        <w:jc w:val="both"/>
        <w:rPr>
          <w:rFonts w:ascii="Arial" w:hAnsi="Arial" w:cs="Arial"/>
        </w:rPr>
      </w:pPr>
      <w:r w:rsidRPr="00232A1F">
        <w:rPr>
          <w:rFonts w:ascii="Arial" w:hAnsi="Arial" w:cs="Arial"/>
        </w:rPr>
        <w:t>Student name: Gabriel Catalin Manole</w:t>
      </w:r>
    </w:p>
    <w:p w14:paraId="1C35880A" w14:textId="77777777" w:rsidR="00232A1F" w:rsidRPr="00232A1F" w:rsidRDefault="00232A1F" w:rsidP="00232A1F">
      <w:pPr>
        <w:rPr>
          <w:rFonts w:ascii="Arial" w:hAnsi="Arial" w:cs="Arial"/>
        </w:rPr>
      </w:pPr>
      <w:r w:rsidRPr="00232A1F">
        <w:rPr>
          <w:rFonts w:ascii="Arial" w:hAnsi="Arial" w:cs="Arial"/>
        </w:rPr>
        <w:t>Student ID: 2223641</w:t>
      </w:r>
    </w:p>
    <w:p w14:paraId="4CB09710" w14:textId="77777777" w:rsidR="00232A1F" w:rsidRPr="00232A1F" w:rsidRDefault="00232A1F" w:rsidP="00232A1F">
      <w:pPr>
        <w:rPr>
          <w:rFonts w:ascii="Arial" w:hAnsi="Arial" w:cs="Arial"/>
        </w:rPr>
      </w:pPr>
      <w:r w:rsidRPr="00232A1F">
        <w:rPr>
          <w:rFonts w:ascii="Arial" w:hAnsi="Arial" w:cs="Arial"/>
        </w:rPr>
        <w:t xml:space="preserve">Module name: International Business Communication  </w:t>
      </w:r>
    </w:p>
    <w:p w14:paraId="522C3CC3" w14:textId="2DA019D4" w:rsidR="00E900A5" w:rsidRDefault="00232A1F" w:rsidP="00232A1F">
      <w:pPr>
        <w:rPr>
          <w:rFonts w:ascii="Arial" w:hAnsi="Arial" w:cs="Arial"/>
        </w:rPr>
      </w:pPr>
      <w:r w:rsidRPr="00232A1F">
        <w:rPr>
          <w:rFonts w:ascii="Arial" w:hAnsi="Arial" w:cs="Arial"/>
        </w:rPr>
        <w:t>Module code: LCBB6023</w:t>
      </w:r>
    </w:p>
    <w:p w14:paraId="040DC580" w14:textId="77777777" w:rsidR="00232A1F" w:rsidRDefault="00232A1F" w:rsidP="00232A1F">
      <w:pPr>
        <w:rPr>
          <w:rFonts w:ascii="Arial" w:hAnsi="Arial" w:cs="Arial"/>
        </w:rPr>
      </w:pPr>
    </w:p>
    <w:p w14:paraId="02B8F1AA" w14:textId="77777777" w:rsidR="00232A1F" w:rsidRDefault="00232A1F" w:rsidP="00232A1F">
      <w:pPr>
        <w:rPr>
          <w:rFonts w:ascii="Arial" w:hAnsi="Arial" w:cs="Arial"/>
        </w:rPr>
      </w:pPr>
    </w:p>
    <w:p w14:paraId="2F8D2472" w14:textId="77777777" w:rsidR="008948F7" w:rsidRDefault="008948F7" w:rsidP="00232A1F">
      <w:pPr>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781467728"/>
        <w:docPartObj>
          <w:docPartGallery w:val="Table of Contents"/>
          <w:docPartUnique/>
        </w:docPartObj>
      </w:sdtPr>
      <w:sdtEndPr>
        <w:rPr>
          <w:b/>
          <w:bCs/>
        </w:rPr>
      </w:sdtEndPr>
      <w:sdtContent>
        <w:p w14:paraId="552D4814" w14:textId="7A1A4066" w:rsidR="00232A1F" w:rsidRDefault="00232A1F">
          <w:pPr>
            <w:pStyle w:val="TOCHeading"/>
          </w:pPr>
          <w:r>
            <w:t>Contents</w:t>
          </w:r>
        </w:p>
        <w:p w14:paraId="71859915" w14:textId="10E57F26" w:rsidR="00545800" w:rsidRDefault="00232A1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710736" w:history="1">
            <w:r w:rsidR="00545800" w:rsidRPr="009F6622">
              <w:rPr>
                <w:rStyle w:val="Hyperlink"/>
                <w:rFonts w:ascii="Arial" w:hAnsi="Arial" w:cs="Arial"/>
                <w:noProof/>
              </w:rPr>
              <w:t>Introduction</w:t>
            </w:r>
            <w:r w:rsidR="00545800">
              <w:rPr>
                <w:noProof/>
                <w:webHidden/>
              </w:rPr>
              <w:tab/>
            </w:r>
            <w:r w:rsidR="00545800">
              <w:rPr>
                <w:noProof/>
                <w:webHidden/>
              </w:rPr>
              <w:fldChar w:fldCharType="begin"/>
            </w:r>
            <w:r w:rsidR="00545800">
              <w:rPr>
                <w:noProof/>
                <w:webHidden/>
              </w:rPr>
              <w:instrText xml:space="preserve"> PAGEREF _Toc235710736 \h </w:instrText>
            </w:r>
            <w:r w:rsidR="00545800">
              <w:rPr>
                <w:noProof/>
                <w:webHidden/>
              </w:rPr>
            </w:r>
            <w:r w:rsidR="00545800">
              <w:rPr>
                <w:noProof/>
                <w:webHidden/>
              </w:rPr>
              <w:fldChar w:fldCharType="separate"/>
            </w:r>
            <w:r w:rsidR="00545800">
              <w:rPr>
                <w:noProof/>
                <w:webHidden/>
              </w:rPr>
              <w:t>3</w:t>
            </w:r>
            <w:r w:rsidR="00545800">
              <w:rPr>
                <w:noProof/>
                <w:webHidden/>
              </w:rPr>
              <w:fldChar w:fldCharType="end"/>
            </w:r>
          </w:hyperlink>
        </w:p>
        <w:p w14:paraId="2D4EBC8E" w14:textId="213C125F" w:rsidR="00545800" w:rsidRDefault="00545800" w:rsidP="00545800">
          <w:pPr>
            <w:pStyle w:val="TOC2"/>
            <w:tabs>
              <w:tab w:val="right" w:leader="dot" w:pos="9016"/>
            </w:tabs>
            <w:ind w:left="0"/>
            <w:rPr>
              <w:rFonts w:eastAsiaTheme="minorEastAsia"/>
              <w:noProof/>
              <w:lang w:eastAsia="en-GB"/>
            </w:rPr>
          </w:pPr>
          <w:hyperlink w:anchor="_Toc235710737" w:history="1">
            <w:r w:rsidRPr="009F6622">
              <w:rPr>
                <w:rStyle w:val="Hyperlink"/>
                <w:rFonts w:ascii="Arial" w:hAnsi="Arial" w:cs="Arial"/>
                <w:noProof/>
              </w:rPr>
              <w:t>Business and market context</w:t>
            </w:r>
            <w:r>
              <w:rPr>
                <w:noProof/>
                <w:webHidden/>
              </w:rPr>
              <w:tab/>
            </w:r>
            <w:r>
              <w:rPr>
                <w:noProof/>
                <w:webHidden/>
              </w:rPr>
              <w:fldChar w:fldCharType="begin"/>
            </w:r>
            <w:r>
              <w:rPr>
                <w:noProof/>
                <w:webHidden/>
              </w:rPr>
              <w:instrText xml:space="preserve"> PAGEREF _Toc235710737 \h </w:instrText>
            </w:r>
            <w:r>
              <w:rPr>
                <w:noProof/>
                <w:webHidden/>
              </w:rPr>
            </w:r>
            <w:r>
              <w:rPr>
                <w:noProof/>
                <w:webHidden/>
              </w:rPr>
              <w:fldChar w:fldCharType="separate"/>
            </w:r>
            <w:r>
              <w:rPr>
                <w:noProof/>
                <w:webHidden/>
              </w:rPr>
              <w:t>4</w:t>
            </w:r>
            <w:r>
              <w:rPr>
                <w:noProof/>
                <w:webHidden/>
              </w:rPr>
              <w:fldChar w:fldCharType="end"/>
            </w:r>
          </w:hyperlink>
        </w:p>
        <w:p w14:paraId="40A46C3A" w14:textId="55B57061" w:rsidR="00545800" w:rsidRDefault="00545800" w:rsidP="00545800">
          <w:pPr>
            <w:pStyle w:val="TOC2"/>
            <w:tabs>
              <w:tab w:val="right" w:leader="dot" w:pos="9016"/>
            </w:tabs>
            <w:ind w:left="0"/>
            <w:rPr>
              <w:rFonts w:eastAsiaTheme="minorEastAsia"/>
              <w:noProof/>
              <w:lang w:eastAsia="en-GB"/>
            </w:rPr>
          </w:pPr>
          <w:hyperlink w:anchor="_Toc235710738" w:history="1">
            <w:r w:rsidRPr="009F6622">
              <w:rPr>
                <w:rStyle w:val="Hyperlink"/>
                <w:rFonts w:ascii="Arial" w:hAnsi="Arial" w:cs="Arial"/>
                <w:noProof/>
              </w:rPr>
              <w:t>Theoretical framework</w:t>
            </w:r>
            <w:r>
              <w:rPr>
                <w:noProof/>
                <w:webHidden/>
              </w:rPr>
              <w:tab/>
            </w:r>
            <w:r>
              <w:rPr>
                <w:noProof/>
                <w:webHidden/>
              </w:rPr>
              <w:fldChar w:fldCharType="begin"/>
            </w:r>
            <w:r>
              <w:rPr>
                <w:noProof/>
                <w:webHidden/>
              </w:rPr>
              <w:instrText xml:space="preserve"> PAGEREF _Toc235710738 \h </w:instrText>
            </w:r>
            <w:r>
              <w:rPr>
                <w:noProof/>
                <w:webHidden/>
              </w:rPr>
            </w:r>
            <w:r>
              <w:rPr>
                <w:noProof/>
                <w:webHidden/>
              </w:rPr>
              <w:fldChar w:fldCharType="separate"/>
            </w:r>
            <w:r>
              <w:rPr>
                <w:noProof/>
                <w:webHidden/>
              </w:rPr>
              <w:t>5</w:t>
            </w:r>
            <w:r>
              <w:rPr>
                <w:noProof/>
                <w:webHidden/>
              </w:rPr>
              <w:fldChar w:fldCharType="end"/>
            </w:r>
          </w:hyperlink>
        </w:p>
        <w:p w14:paraId="7ED8C256" w14:textId="553B4808" w:rsidR="00545800" w:rsidRDefault="00545800" w:rsidP="00545800">
          <w:pPr>
            <w:pStyle w:val="TOC2"/>
            <w:tabs>
              <w:tab w:val="right" w:leader="dot" w:pos="9016"/>
            </w:tabs>
            <w:ind w:left="0"/>
            <w:rPr>
              <w:rFonts w:eastAsiaTheme="minorEastAsia"/>
              <w:noProof/>
              <w:lang w:eastAsia="en-GB"/>
            </w:rPr>
          </w:pPr>
          <w:hyperlink w:anchor="_Toc235710739" w:history="1">
            <w:r w:rsidRPr="009F6622">
              <w:rPr>
                <w:rStyle w:val="Hyperlink"/>
                <w:rFonts w:ascii="Arial" w:hAnsi="Arial" w:cs="Arial"/>
                <w:noProof/>
              </w:rPr>
              <w:t>Communication differences and risks</w:t>
            </w:r>
            <w:r>
              <w:rPr>
                <w:noProof/>
                <w:webHidden/>
              </w:rPr>
              <w:tab/>
            </w:r>
            <w:r>
              <w:rPr>
                <w:noProof/>
                <w:webHidden/>
              </w:rPr>
              <w:fldChar w:fldCharType="begin"/>
            </w:r>
            <w:r>
              <w:rPr>
                <w:noProof/>
                <w:webHidden/>
              </w:rPr>
              <w:instrText xml:space="preserve"> PAGEREF _Toc235710739 \h </w:instrText>
            </w:r>
            <w:r>
              <w:rPr>
                <w:noProof/>
                <w:webHidden/>
              </w:rPr>
            </w:r>
            <w:r>
              <w:rPr>
                <w:noProof/>
                <w:webHidden/>
              </w:rPr>
              <w:fldChar w:fldCharType="separate"/>
            </w:r>
            <w:r>
              <w:rPr>
                <w:noProof/>
                <w:webHidden/>
              </w:rPr>
              <w:t>6</w:t>
            </w:r>
            <w:r>
              <w:rPr>
                <w:noProof/>
                <w:webHidden/>
              </w:rPr>
              <w:fldChar w:fldCharType="end"/>
            </w:r>
          </w:hyperlink>
        </w:p>
        <w:p w14:paraId="5CA45234" w14:textId="6B74C3EE" w:rsidR="00545800" w:rsidRDefault="00545800">
          <w:pPr>
            <w:pStyle w:val="TOC2"/>
            <w:tabs>
              <w:tab w:val="right" w:leader="dot" w:pos="9016"/>
            </w:tabs>
            <w:rPr>
              <w:rFonts w:eastAsiaTheme="minorEastAsia"/>
              <w:noProof/>
              <w:lang w:eastAsia="en-GB"/>
            </w:rPr>
          </w:pPr>
          <w:hyperlink w:anchor="_Toc235710740" w:history="1">
            <w:r w:rsidRPr="009F6622">
              <w:rPr>
                <w:rStyle w:val="Hyperlink"/>
                <w:rFonts w:ascii="Arial" w:hAnsi="Arial" w:cs="Arial"/>
                <w:noProof/>
              </w:rPr>
              <w:t>Context, directness and disagreement</w:t>
            </w:r>
            <w:r>
              <w:rPr>
                <w:noProof/>
                <w:webHidden/>
              </w:rPr>
              <w:tab/>
            </w:r>
            <w:r>
              <w:rPr>
                <w:noProof/>
                <w:webHidden/>
              </w:rPr>
              <w:fldChar w:fldCharType="begin"/>
            </w:r>
            <w:r>
              <w:rPr>
                <w:noProof/>
                <w:webHidden/>
              </w:rPr>
              <w:instrText xml:space="preserve"> PAGEREF _Toc235710740 \h </w:instrText>
            </w:r>
            <w:r>
              <w:rPr>
                <w:noProof/>
                <w:webHidden/>
              </w:rPr>
            </w:r>
            <w:r>
              <w:rPr>
                <w:noProof/>
                <w:webHidden/>
              </w:rPr>
              <w:fldChar w:fldCharType="separate"/>
            </w:r>
            <w:r>
              <w:rPr>
                <w:noProof/>
                <w:webHidden/>
              </w:rPr>
              <w:t>6</w:t>
            </w:r>
            <w:r>
              <w:rPr>
                <w:noProof/>
                <w:webHidden/>
              </w:rPr>
              <w:fldChar w:fldCharType="end"/>
            </w:r>
          </w:hyperlink>
        </w:p>
        <w:p w14:paraId="26F28390" w14:textId="40EB742A" w:rsidR="00545800" w:rsidRDefault="00545800">
          <w:pPr>
            <w:pStyle w:val="TOC2"/>
            <w:tabs>
              <w:tab w:val="right" w:leader="dot" w:pos="9016"/>
            </w:tabs>
            <w:rPr>
              <w:rFonts w:eastAsiaTheme="minorEastAsia"/>
              <w:noProof/>
              <w:lang w:eastAsia="en-GB"/>
            </w:rPr>
          </w:pPr>
          <w:hyperlink w:anchor="_Toc235710741" w:history="1">
            <w:r w:rsidRPr="009F6622">
              <w:rPr>
                <w:rStyle w:val="Hyperlink"/>
                <w:rFonts w:ascii="Arial" w:hAnsi="Arial" w:cs="Arial"/>
                <w:noProof/>
              </w:rPr>
              <w:t>Hierarchy, participation and feedback</w:t>
            </w:r>
            <w:r>
              <w:rPr>
                <w:noProof/>
                <w:webHidden/>
              </w:rPr>
              <w:tab/>
            </w:r>
            <w:r>
              <w:rPr>
                <w:noProof/>
                <w:webHidden/>
              </w:rPr>
              <w:fldChar w:fldCharType="begin"/>
            </w:r>
            <w:r>
              <w:rPr>
                <w:noProof/>
                <w:webHidden/>
              </w:rPr>
              <w:instrText xml:space="preserve"> PAGEREF _Toc235710741 \h </w:instrText>
            </w:r>
            <w:r>
              <w:rPr>
                <w:noProof/>
                <w:webHidden/>
              </w:rPr>
            </w:r>
            <w:r>
              <w:rPr>
                <w:noProof/>
                <w:webHidden/>
              </w:rPr>
              <w:fldChar w:fldCharType="separate"/>
            </w:r>
            <w:r>
              <w:rPr>
                <w:noProof/>
                <w:webHidden/>
              </w:rPr>
              <w:t>7</w:t>
            </w:r>
            <w:r>
              <w:rPr>
                <w:noProof/>
                <w:webHidden/>
              </w:rPr>
              <w:fldChar w:fldCharType="end"/>
            </w:r>
          </w:hyperlink>
        </w:p>
        <w:p w14:paraId="40ADE9A7" w14:textId="1F75B33E" w:rsidR="00545800" w:rsidRDefault="00545800">
          <w:pPr>
            <w:pStyle w:val="TOC2"/>
            <w:tabs>
              <w:tab w:val="right" w:leader="dot" w:pos="9016"/>
            </w:tabs>
            <w:rPr>
              <w:rFonts w:eastAsiaTheme="minorEastAsia"/>
              <w:noProof/>
              <w:lang w:eastAsia="en-GB"/>
            </w:rPr>
          </w:pPr>
          <w:hyperlink w:anchor="_Toc235710742" w:history="1">
            <w:r w:rsidRPr="009F6622">
              <w:rPr>
                <w:rStyle w:val="Hyperlink"/>
                <w:rFonts w:ascii="Arial" w:hAnsi="Arial" w:cs="Arial"/>
                <w:noProof/>
              </w:rPr>
              <w:t>Individualism, consensus and uncertainty</w:t>
            </w:r>
            <w:r>
              <w:rPr>
                <w:noProof/>
                <w:webHidden/>
              </w:rPr>
              <w:tab/>
            </w:r>
            <w:r>
              <w:rPr>
                <w:noProof/>
                <w:webHidden/>
              </w:rPr>
              <w:fldChar w:fldCharType="begin"/>
            </w:r>
            <w:r>
              <w:rPr>
                <w:noProof/>
                <w:webHidden/>
              </w:rPr>
              <w:instrText xml:space="preserve"> PAGEREF _Toc235710742 \h </w:instrText>
            </w:r>
            <w:r>
              <w:rPr>
                <w:noProof/>
                <w:webHidden/>
              </w:rPr>
            </w:r>
            <w:r>
              <w:rPr>
                <w:noProof/>
                <w:webHidden/>
              </w:rPr>
              <w:fldChar w:fldCharType="separate"/>
            </w:r>
            <w:r>
              <w:rPr>
                <w:noProof/>
                <w:webHidden/>
              </w:rPr>
              <w:t>7</w:t>
            </w:r>
            <w:r>
              <w:rPr>
                <w:noProof/>
                <w:webHidden/>
              </w:rPr>
              <w:fldChar w:fldCharType="end"/>
            </w:r>
          </w:hyperlink>
        </w:p>
        <w:p w14:paraId="6AE98A4D" w14:textId="5E11C2DB" w:rsidR="00545800" w:rsidRDefault="00545800">
          <w:pPr>
            <w:pStyle w:val="TOC2"/>
            <w:tabs>
              <w:tab w:val="right" w:leader="dot" w:pos="9016"/>
            </w:tabs>
            <w:rPr>
              <w:rFonts w:eastAsiaTheme="minorEastAsia"/>
              <w:noProof/>
              <w:lang w:eastAsia="en-GB"/>
            </w:rPr>
          </w:pPr>
          <w:hyperlink w:anchor="_Toc235710743" w:history="1">
            <w:r w:rsidRPr="009F6622">
              <w:rPr>
                <w:rStyle w:val="Hyperlink"/>
                <w:rFonts w:ascii="Arial" w:hAnsi="Arial" w:cs="Arial"/>
                <w:noProof/>
              </w:rPr>
              <w:t>Language and technology-mediated collaboration</w:t>
            </w:r>
            <w:r>
              <w:rPr>
                <w:noProof/>
                <w:webHidden/>
              </w:rPr>
              <w:tab/>
            </w:r>
            <w:r>
              <w:rPr>
                <w:noProof/>
                <w:webHidden/>
              </w:rPr>
              <w:fldChar w:fldCharType="begin"/>
            </w:r>
            <w:r>
              <w:rPr>
                <w:noProof/>
                <w:webHidden/>
              </w:rPr>
              <w:instrText xml:space="preserve"> PAGEREF _Toc235710743 \h </w:instrText>
            </w:r>
            <w:r>
              <w:rPr>
                <w:noProof/>
                <w:webHidden/>
              </w:rPr>
            </w:r>
            <w:r>
              <w:rPr>
                <w:noProof/>
                <w:webHidden/>
              </w:rPr>
              <w:fldChar w:fldCharType="separate"/>
            </w:r>
            <w:r>
              <w:rPr>
                <w:noProof/>
                <w:webHidden/>
              </w:rPr>
              <w:t>8</w:t>
            </w:r>
            <w:r>
              <w:rPr>
                <w:noProof/>
                <w:webHidden/>
              </w:rPr>
              <w:fldChar w:fldCharType="end"/>
            </w:r>
          </w:hyperlink>
        </w:p>
        <w:p w14:paraId="1C6B95A0" w14:textId="7B7C71F1" w:rsidR="00545800" w:rsidRDefault="00545800" w:rsidP="00545800">
          <w:pPr>
            <w:pStyle w:val="TOC2"/>
            <w:tabs>
              <w:tab w:val="right" w:leader="dot" w:pos="9016"/>
            </w:tabs>
            <w:ind w:left="0"/>
            <w:rPr>
              <w:rFonts w:eastAsiaTheme="minorEastAsia"/>
              <w:noProof/>
              <w:lang w:eastAsia="en-GB"/>
            </w:rPr>
          </w:pPr>
          <w:hyperlink w:anchor="_Toc235710744" w:history="1">
            <w:r w:rsidRPr="009F6622">
              <w:rPr>
                <w:rStyle w:val="Hyperlink"/>
                <w:rFonts w:ascii="Arial" w:hAnsi="Arial" w:cs="Arial"/>
                <w:noProof/>
              </w:rPr>
              <w:t>Managerial recommendations</w:t>
            </w:r>
            <w:r>
              <w:rPr>
                <w:noProof/>
                <w:webHidden/>
              </w:rPr>
              <w:tab/>
            </w:r>
            <w:r>
              <w:rPr>
                <w:noProof/>
                <w:webHidden/>
              </w:rPr>
              <w:fldChar w:fldCharType="begin"/>
            </w:r>
            <w:r>
              <w:rPr>
                <w:noProof/>
                <w:webHidden/>
              </w:rPr>
              <w:instrText xml:space="preserve"> PAGEREF _Toc235710744 \h </w:instrText>
            </w:r>
            <w:r>
              <w:rPr>
                <w:noProof/>
                <w:webHidden/>
              </w:rPr>
            </w:r>
            <w:r>
              <w:rPr>
                <w:noProof/>
                <w:webHidden/>
              </w:rPr>
              <w:fldChar w:fldCharType="separate"/>
            </w:r>
            <w:r>
              <w:rPr>
                <w:noProof/>
                <w:webHidden/>
              </w:rPr>
              <w:t>9</w:t>
            </w:r>
            <w:r>
              <w:rPr>
                <w:noProof/>
                <w:webHidden/>
              </w:rPr>
              <w:fldChar w:fldCharType="end"/>
            </w:r>
          </w:hyperlink>
        </w:p>
        <w:p w14:paraId="6657D318" w14:textId="68882A69" w:rsidR="00545800" w:rsidRDefault="00545800" w:rsidP="00545800">
          <w:pPr>
            <w:pStyle w:val="TOC3"/>
            <w:tabs>
              <w:tab w:val="right" w:leader="dot" w:pos="9016"/>
            </w:tabs>
            <w:ind w:left="0"/>
            <w:rPr>
              <w:noProof/>
            </w:rPr>
          </w:pPr>
          <w:hyperlink w:anchor="_Toc235710745" w:history="1">
            <w:r w:rsidRPr="009F662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_Toc235710745 \h </w:instrText>
            </w:r>
            <w:r>
              <w:rPr>
                <w:noProof/>
                <w:webHidden/>
              </w:rPr>
            </w:r>
            <w:r>
              <w:rPr>
                <w:noProof/>
                <w:webHidden/>
              </w:rPr>
              <w:fldChar w:fldCharType="separate"/>
            </w:r>
            <w:r>
              <w:rPr>
                <w:noProof/>
                <w:webHidden/>
              </w:rPr>
              <w:t>10</w:t>
            </w:r>
            <w:r>
              <w:rPr>
                <w:noProof/>
                <w:webHidden/>
              </w:rPr>
              <w:fldChar w:fldCharType="end"/>
            </w:r>
          </w:hyperlink>
        </w:p>
        <w:p w14:paraId="524A33DB" w14:textId="22EE2C9A" w:rsidR="00545800" w:rsidRDefault="00545800" w:rsidP="00545800">
          <w:pPr>
            <w:pStyle w:val="TOC3"/>
            <w:tabs>
              <w:tab w:val="right" w:leader="dot" w:pos="9016"/>
            </w:tabs>
            <w:ind w:left="0"/>
            <w:rPr>
              <w:noProof/>
            </w:rPr>
          </w:pPr>
          <w:hyperlink w:anchor="_Toc235710746" w:history="1">
            <w:r w:rsidRPr="009F662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_Toc235710746 \h </w:instrText>
            </w:r>
            <w:r>
              <w:rPr>
                <w:noProof/>
                <w:webHidden/>
              </w:rPr>
            </w:r>
            <w:r>
              <w:rPr>
                <w:noProof/>
                <w:webHidden/>
              </w:rPr>
              <w:fldChar w:fldCharType="separate"/>
            </w:r>
            <w:r>
              <w:rPr>
                <w:noProof/>
                <w:webHidden/>
              </w:rPr>
              <w:t>11</w:t>
            </w:r>
            <w:r>
              <w:rPr>
                <w:noProof/>
                <w:webHidden/>
              </w:rPr>
              <w:fldChar w:fldCharType="end"/>
            </w:r>
          </w:hyperlink>
        </w:p>
        <w:p w14:paraId="4532FCE9" w14:textId="03B4473B" w:rsidR="00232A1F" w:rsidRDefault="00232A1F">
          <w:r>
            <w:rPr>
              <w:b/>
              <w:bCs/>
            </w:rPr>
            <w:fldChar w:fldCharType="end"/>
          </w:r>
        </w:p>
      </w:sdtContent>
    </w:sdt>
    <w:p w14:paraId="1E0F499F" w14:textId="77777777" w:rsidR="00232A1F" w:rsidRDefault="00232A1F" w:rsidP="00232A1F">
      <w:pPr>
        <w:rPr>
          <w:rFonts w:ascii="Arial" w:hAnsi="Arial" w:cs="Arial"/>
        </w:rPr>
      </w:pPr>
    </w:p>
    <w:p w14:paraId="470DD382" w14:textId="77777777" w:rsidR="00944294" w:rsidRDefault="00944294" w:rsidP="00232A1F">
      <w:pPr>
        <w:rPr>
          <w:rFonts w:ascii="Arial" w:hAnsi="Arial" w:cs="Arial"/>
        </w:rPr>
      </w:pPr>
    </w:p>
    <w:p w14:paraId="2E97E3A4" w14:textId="77777777" w:rsidR="00944294" w:rsidRDefault="00944294" w:rsidP="00232A1F">
      <w:pPr>
        <w:rPr>
          <w:rFonts w:ascii="Arial" w:hAnsi="Arial" w:cs="Arial"/>
        </w:rPr>
      </w:pPr>
    </w:p>
    <w:p w14:paraId="19CA3969" w14:textId="77777777" w:rsidR="00944294" w:rsidRDefault="00944294" w:rsidP="00232A1F">
      <w:pPr>
        <w:rPr>
          <w:rFonts w:ascii="Arial" w:hAnsi="Arial" w:cs="Arial"/>
        </w:rPr>
      </w:pPr>
    </w:p>
    <w:p w14:paraId="3FDFF8A8" w14:textId="77777777" w:rsidR="00944294" w:rsidRDefault="00944294" w:rsidP="00232A1F">
      <w:pPr>
        <w:rPr>
          <w:rFonts w:ascii="Arial" w:hAnsi="Arial" w:cs="Arial"/>
        </w:rPr>
      </w:pPr>
    </w:p>
    <w:p w14:paraId="27CE0BED" w14:textId="77777777" w:rsidR="00944294" w:rsidRDefault="00944294" w:rsidP="00232A1F">
      <w:pPr>
        <w:rPr>
          <w:rFonts w:ascii="Arial" w:hAnsi="Arial" w:cs="Arial"/>
        </w:rPr>
      </w:pPr>
    </w:p>
    <w:p w14:paraId="382F31A5" w14:textId="77777777" w:rsidR="00944294" w:rsidRDefault="00944294" w:rsidP="00232A1F">
      <w:pPr>
        <w:rPr>
          <w:rFonts w:ascii="Arial" w:hAnsi="Arial" w:cs="Arial"/>
        </w:rPr>
      </w:pPr>
    </w:p>
    <w:p w14:paraId="0BDB4CFE" w14:textId="77777777" w:rsidR="00944294" w:rsidRDefault="00944294" w:rsidP="00232A1F">
      <w:pPr>
        <w:rPr>
          <w:rFonts w:ascii="Arial" w:hAnsi="Arial" w:cs="Arial"/>
        </w:rPr>
      </w:pPr>
    </w:p>
    <w:p w14:paraId="6E8F692A" w14:textId="77777777" w:rsidR="00944294" w:rsidRDefault="00944294" w:rsidP="00232A1F">
      <w:pPr>
        <w:rPr>
          <w:rFonts w:ascii="Arial" w:hAnsi="Arial" w:cs="Arial"/>
        </w:rPr>
      </w:pPr>
    </w:p>
    <w:p w14:paraId="4FFA634F" w14:textId="77777777" w:rsidR="00944294" w:rsidRDefault="00944294" w:rsidP="00232A1F">
      <w:pPr>
        <w:rPr>
          <w:rFonts w:ascii="Arial" w:hAnsi="Arial" w:cs="Arial"/>
        </w:rPr>
      </w:pPr>
    </w:p>
    <w:p w14:paraId="22833850" w14:textId="77777777" w:rsidR="00944294" w:rsidRDefault="00944294" w:rsidP="00232A1F">
      <w:pPr>
        <w:rPr>
          <w:rFonts w:ascii="Arial" w:hAnsi="Arial" w:cs="Arial"/>
        </w:rPr>
      </w:pPr>
    </w:p>
    <w:p w14:paraId="62331E4A" w14:textId="77777777" w:rsidR="00944294" w:rsidRDefault="00944294" w:rsidP="00232A1F">
      <w:pPr>
        <w:rPr>
          <w:rFonts w:ascii="Arial" w:hAnsi="Arial" w:cs="Arial"/>
        </w:rPr>
      </w:pPr>
    </w:p>
    <w:p w14:paraId="3CABC762" w14:textId="77777777" w:rsidR="00944294" w:rsidRDefault="00944294" w:rsidP="00232A1F">
      <w:pPr>
        <w:rPr>
          <w:rFonts w:ascii="Arial" w:hAnsi="Arial" w:cs="Arial"/>
        </w:rPr>
      </w:pPr>
    </w:p>
    <w:p w14:paraId="793319BA" w14:textId="77777777" w:rsidR="00944294" w:rsidRDefault="00944294" w:rsidP="00232A1F">
      <w:pPr>
        <w:rPr>
          <w:rFonts w:ascii="Arial" w:hAnsi="Arial" w:cs="Arial"/>
        </w:rPr>
      </w:pPr>
    </w:p>
    <w:p w14:paraId="12DF4B32" w14:textId="77777777" w:rsidR="00944294" w:rsidRDefault="00944294" w:rsidP="00232A1F">
      <w:pPr>
        <w:rPr>
          <w:rFonts w:ascii="Arial" w:hAnsi="Arial" w:cs="Arial"/>
        </w:rPr>
      </w:pPr>
    </w:p>
    <w:p w14:paraId="6A0E68D5" w14:textId="77777777" w:rsidR="00944294" w:rsidRDefault="00944294" w:rsidP="00232A1F">
      <w:pPr>
        <w:rPr>
          <w:rFonts w:ascii="Arial" w:hAnsi="Arial" w:cs="Arial"/>
        </w:rPr>
      </w:pPr>
    </w:p>
    <w:p w14:paraId="23602478" w14:textId="0F339C00" w:rsidR="00944294" w:rsidRDefault="00944294" w:rsidP="00FE3B43">
      <w:pPr>
        <w:pStyle w:val="Heading1"/>
        <w:rPr>
          <w:rFonts w:ascii="Arial" w:hAnsi="Arial" w:cs="Arial"/>
          <w:sz w:val="28"/>
          <w:szCs w:val="28"/>
        </w:rPr>
      </w:pPr>
      <w:bookmarkStart w:id="0" w:name="_Toc235710736"/>
      <w:r w:rsidRPr="00944294">
        <w:rPr>
          <w:rFonts w:ascii="Arial" w:hAnsi="Arial" w:cs="Arial"/>
          <w:sz w:val="28"/>
          <w:szCs w:val="28"/>
        </w:rPr>
        <w:lastRenderedPageBreak/>
        <w:t>Introduction</w:t>
      </w:r>
      <w:bookmarkEnd w:id="0"/>
      <w:r w:rsidRPr="00944294">
        <w:rPr>
          <w:rFonts w:ascii="Arial" w:hAnsi="Arial" w:cs="Arial"/>
          <w:sz w:val="28"/>
          <w:szCs w:val="28"/>
        </w:rPr>
        <w:t xml:space="preserve"> </w:t>
      </w:r>
    </w:p>
    <w:p w14:paraId="10AFC72B" w14:textId="7A21E13A" w:rsidR="00FE3B43" w:rsidRDefault="00FE3B43" w:rsidP="00FE3B43">
      <w:pPr>
        <w:spacing w:line="360" w:lineRule="auto"/>
        <w:jc w:val="both"/>
        <w:rPr>
          <w:rFonts w:ascii="Arial" w:hAnsi="Arial" w:cs="Arial"/>
        </w:rPr>
      </w:pPr>
      <w:r>
        <w:rPr>
          <w:rFonts w:ascii="Arial" w:hAnsi="Arial" w:cs="Arial"/>
        </w:rPr>
        <w:t xml:space="preserve">International partnerships can combine complementary knowledge, but they also bring together different assumptions about how meaning, authority and commitment should be communicated. This issue is strategically important in the partnership between Ocado Group, a UK technology company, and AEON, a major Japanese retailer. </w:t>
      </w:r>
      <w:r w:rsidR="00DB36F4">
        <w:rPr>
          <w:rFonts w:ascii="Arial" w:hAnsi="Arial" w:cs="Arial"/>
        </w:rPr>
        <w:t>The partners are developing AEON NEXT’s online grocery service, which requires sustained collaboration between British software and engineering specialists and Japanese retail, logistics and customer-service teams.</w:t>
      </w:r>
    </w:p>
    <w:p w14:paraId="6666E57A" w14:textId="190323D7" w:rsidR="00FE3B43" w:rsidRDefault="00FE3B43" w:rsidP="00FE3B43">
      <w:pPr>
        <w:spacing w:line="360" w:lineRule="auto"/>
        <w:jc w:val="both"/>
        <w:rPr>
          <w:rFonts w:ascii="Arial" w:hAnsi="Arial" w:cs="Arial"/>
        </w:rPr>
      </w:pPr>
      <w:r>
        <w:rPr>
          <w:rFonts w:ascii="Arial" w:hAnsi="Arial" w:cs="Arial"/>
        </w:rPr>
        <w:t xml:space="preserve">This essay evaluates how differences between relatively low-context British communication and relatively high-context Japanese communication could generate misunderstanding. </w:t>
      </w:r>
      <w:r w:rsidR="004E4B6E">
        <w:rPr>
          <w:rFonts w:ascii="Arial" w:hAnsi="Arial" w:cs="Arial"/>
        </w:rPr>
        <w:t>Hall’s context theory and Hofstede’s cultural dimensions – particularly individualism, power distance, uncertainty avoidance and long-term orientation – provide the theoretical framework for analysing the communication differences between the two organisations. These perspectives are complemented by research on multilingual and multicultural teams</w:t>
      </w:r>
      <w:r>
        <w:rPr>
          <w:rFonts w:ascii="Arial" w:hAnsi="Arial" w:cs="Arial"/>
        </w:rPr>
        <w:t>. It argues that cultural distance need not cause failure: the main risk arises when culturally specific behaviours are interpreted through the other team’s assumptions. Effective leadership should therefore create a bilingual, psychologically safe and explicit ’’hybrid’’ communication system while preserving Japanese relationship-building and consensus practices.</w:t>
      </w:r>
    </w:p>
    <w:p w14:paraId="576B948E" w14:textId="77777777" w:rsidR="00FE3B43" w:rsidRDefault="00FE3B43" w:rsidP="00FE3B43">
      <w:pPr>
        <w:spacing w:line="360" w:lineRule="auto"/>
        <w:jc w:val="both"/>
        <w:rPr>
          <w:rFonts w:ascii="Arial" w:hAnsi="Arial" w:cs="Arial"/>
        </w:rPr>
      </w:pPr>
    </w:p>
    <w:p w14:paraId="050182CE" w14:textId="77777777" w:rsidR="00FE3B43" w:rsidRDefault="00FE3B43" w:rsidP="00FE3B43">
      <w:pPr>
        <w:spacing w:line="360" w:lineRule="auto"/>
        <w:jc w:val="both"/>
        <w:rPr>
          <w:rFonts w:ascii="Arial" w:hAnsi="Arial" w:cs="Arial"/>
        </w:rPr>
      </w:pPr>
    </w:p>
    <w:p w14:paraId="7BA7E063" w14:textId="77777777" w:rsidR="00FE3B43" w:rsidRDefault="00FE3B43" w:rsidP="00FE3B43">
      <w:pPr>
        <w:spacing w:line="360" w:lineRule="auto"/>
        <w:jc w:val="both"/>
        <w:rPr>
          <w:rFonts w:ascii="Arial" w:hAnsi="Arial" w:cs="Arial"/>
        </w:rPr>
      </w:pPr>
    </w:p>
    <w:p w14:paraId="39A7C976" w14:textId="77777777" w:rsidR="00FE3B43" w:rsidRDefault="00FE3B43" w:rsidP="00FE3B43">
      <w:pPr>
        <w:spacing w:line="360" w:lineRule="auto"/>
        <w:jc w:val="both"/>
        <w:rPr>
          <w:rFonts w:ascii="Arial" w:hAnsi="Arial" w:cs="Arial"/>
        </w:rPr>
      </w:pPr>
    </w:p>
    <w:p w14:paraId="15890D59" w14:textId="77777777" w:rsidR="00FE3B43" w:rsidRDefault="00FE3B43" w:rsidP="00FE3B43">
      <w:pPr>
        <w:spacing w:line="360" w:lineRule="auto"/>
        <w:jc w:val="both"/>
        <w:rPr>
          <w:rFonts w:ascii="Arial" w:hAnsi="Arial" w:cs="Arial"/>
        </w:rPr>
      </w:pPr>
    </w:p>
    <w:p w14:paraId="1B1FD164" w14:textId="77777777" w:rsidR="00FE3B43" w:rsidRDefault="00FE3B43" w:rsidP="00FE3B43">
      <w:pPr>
        <w:spacing w:line="360" w:lineRule="auto"/>
        <w:jc w:val="both"/>
        <w:rPr>
          <w:rFonts w:ascii="Arial" w:hAnsi="Arial" w:cs="Arial"/>
        </w:rPr>
      </w:pPr>
    </w:p>
    <w:p w14:paraId="4AE380D5" w14:textId="77777777" w:rsidR="00FE3B43" w:rsidRDefault="00FE3B43" w:rsidP="00FE3B43">
      <w:pPr>
        <w:spacing w:line="360" w:lineRule="auto"/>
        <w:jc w:val="both"/>
        <w:rPr>
          <w:rFonts w:ascii="Arial" w:hAnsi="Arial" w:cs="Arial"/>
        </w:rPr>
      </w:pPr>
    </w:p>
    <w:p w14:paraId="61B64704" w14:textId="77777777" w:rsidR="00FE3B43" w:rsidRDefault="00FE3B43" w:rsidP="00FE3B43">
      <w:pPr>
        <w:spacing w:line="360" w:lineRule="auto"/>
        <w:jc w:val="both"/>
        <w:rPr>
          <w:rFonts w:ascii="Arial" w:hAnsi="Arial" w:cs="Arial"/>
        </w:rPr>
      </w:pPr>
    </w:p>
    <w:p w14:paraId="318455B2" w14:textId="77777777" w:rsidR="00FE3B43" w:rsidRDefault="00FE3B43" w:rsidP="00FE3B43">
      <w:pPr>
        <w:spacing w:line="360" w:lineRule="auto"/>
        <w:jc w:val="both"/>
        <w:rPr>
          <w:rFonts w:ascii="Arial" w:hAnsi="Arial" w:cs="Arial"/>
        </w:rPr>
      </w:pPr>
    </w:p>
    <w:p w14:paraId="52EB29D9" w14:textId="77777777" w:rsidR="00FE3B43" w:rsidRDefault="00FE3B43" w:rsidP="00FE3B43">
      <w:pPr>
        <w:spacing w:line="360" w:lineRule="auto"/>
        <w:jc w:val="both"/>
        <w:rPr>
          <w:rFonts w:ascii="Arial" w:hAnsi="Arial" w:cs="Arial"/>
        </w:rPr>
      </w:pPr>
    </w:p>
    <w:p w14:paraId="068C2301" w14:textId="77777777" w:rsidR="00FE3B43" w:rsidRDefault="00FE3B43" w:rsidP="00FE3B43">
      <w:pPr>
        <w:spacing w:line="360" w:lineRule="auto"/>
        <w:jc w:val="both"/>
        <w:rPr>
          <w:rFonts w:ascii="Arial" w:hAnsi="Arial" w:cs="Arial"/>
        </w:rPr>
      </w:pPr>
    </w:p>
    <w:p w14:paraId="0D4B6106" w14:textId="5C295FB9" w:rsidR="00FE3B43" w:rsidRDefault="00093C8A" w:rsidP="00093C8A">
      <w:pPr>
        <w:pStyle w:val="Heading2"/>
        <w:rPr>
          <w:rFonts w:ascii="Arial" w:hAnsi="Arial" w:cs="Arial"/>
          <w:sz w:val="28"/>
          <w:szCs w:val="28"/>
        </w:rPr>
      </w:pPr>
      <w:bookmarkStart w:id="1" w:name="_Toc235710737"/>
      <w:r w:rsidRPr="00093C8A">
        <w:rPr>
          <w:rFonts w:ascii="Arial" w:hAnsi="Arial" w:cs="Arial"/>
          <w:sz w:val="28"/>
          <w:szCs w:val="28"/>
        </w:rPr>
        <w:t>Business and market context</w:t>
      </w:r>
      <w:bookmarkEnd w:id="1"/>
    </w:p>
    <w:p w14:paraId="620DEEEF" w14:textId="14E947A0" w:rsidR="00093C8A" w:rsidRDefault="00093C8A" w:rsidP="00093C8A">
      <w:pPr>
        <w:spacing w:line="360" w:lineRule="auto"/>
        <w:jc w:val="both"/>
        <w:rPr>
          <w:rFonts w:ascii="Arial" w:hAnsi="Arial" w:cs="Arial"/>
        </w:rPr>
      </w:pPr>
      <w:r>
        <w:rPr>
          <w:rFonts w:ascii="Arial" w:hAnsi="Arial" w:cs="Arial"/>
        </w:rPr>
        <w:t xml:space="preserve">Ocado is a UK-based technology and logistics multinational whose OSP integrates e-commerce software, artificial intelligence, robotics and automated customer fulfilment centres (CFC). AEON, headquartered in Chiba, contributes extensive knowledge of Japanese customers, grocery products, regulation and distribution. Their exclusive Japanese partnership was announced in November 2019. It aimed to establish a next-generation online supermarket, build the first Japanese CFC by 2023 and work towards online sales of </w:t>
      </w:r>
      <w:r w:rsidRPr="00093C8A">
        <w:rPr>
          <w:rFonts w:ascii="Arial" w:hAnsi="Arial" w:cs="Arial"/>
        </w:rPr>
        <w:t xml:space="preserve"> ¥</w:t>
      </w:r>
      <w:r>
        <w:rPr>
          <w:rFonts w:ascii="Arial" w:hAnsi="Arial" w:cs="Arial"/>
        </w:rPr>
        <w:t xml:space="preserve">600 billion by 2030 (AEON Co., Ltd., 2019). Thus, this is not simply a technology sale: it involves jointly translating a British-developed operating model into a service that fits Japanese language and consumer expectations. </w:t>
      </w:r>
    </w:p>
    <w:p w14:paraId="05FDA607" w14:textId="6916E222" w:rsidR="00093C8A" w:rsidRDefault="004E4B6E" w:rsidP="00093C8A">
      <w:pPr>
        <w:spacing w:line="360" w:lineRule="auto"/>
        <w:jc w:val="both"/>
        <w:rPr>
          <w:rFonts w:ascii="Arial" w:hAnsi="Arial" w:cs="Arial"/>
        </w:rPr>
      </w:pPr>
      <w:r>
        <w:rPr>
          <w:rFonts w:ascii="Arial" w:hAnsi="Arial" w:cs="Arial"/>
        </w:rPr>
        <w:t>The first Customer Fulfilment Centre (CFC) became operational in Honda-cho, Chiba, in July 2023, enabling AEON NEXT to launch its Green Beans online grocery service across the Knato area. The facility initially offered around 50,000 products, together with Smart Cart technology and one-hour delivery slots</w:t>
      </w:r>
      <w:r w:rsidR="00093C8A">
        <w:rPr>
          <w:rFonts w:ascii="Arial" w:hAnsi="Arial" w:cs="Arial"/>
        </w:rPr>
        <w:t xml:space="preserve"> (Ocado Group, 2023). Expansion continued in 2024, when the partners announced a third CFC in Kuki-Miyashiro, scheduled to open in 2027 and equipped with newer robotic-picking technology (Ocado Group, 2024. AEON NEXT (2024) expects its first three CFCs to reach up to approximately 15 million households across Tokyo, Chiba, Saitama and Kanagawa. These milestones create repeated cross-border decisions about software localisation, product data, fulfilment accuracy, service quality and implementation deadlines. Communication is consequently an operational capability: an ambiguous requirement or unvoiced objection can become a software defect, construction delay or poor customer experience.</w:t>
      </w:r>
    </w:p>
    <w:p w14:paraId="06BB4C4B" w14:textId="21CAABEA" w:rsidR="00093C8A" w:rsidRDefault="00C006D6" w:rsidP="00093C8A">
      <w:pPr>
        <w:spacing w:line="360" w:lineRule="auto"/>
        <w:jc w:val="both"/>
        <w:rPr>
          <w:rFonts w:ascii="Arial" w:hAnsi="Arial" w:cs="Arial"/>
        </w:rPr>
      </w:pPr>
      <w:r>
        <w:rPr>
          <w:rFonts w:ascii="Arial" w:hAnsi="Arial" w:cs="Arial"/>
        </w:rPr>
        <w:t xml:space="preserve">Japan is therefore both an attractive and demanding localisation environment. Dense metropolitan demand supports automated fulfilment, while labour availability makes productivity-enhancing robotics commercially relevant (Ocado Group, 2024). At the same time, the service must accommodate Japanese scripts, locally meaningful product information and AEON’s promise of convenience and reliability. Neither partner possesses the complete solution independently: Ocado controls the platform architecture, whereas AEON understands how Japanese customers interpret </w:t>
      </w:r>
      <w:r>
        <w:rPr>
          <w:rFonts w:ascii="Arial" w:hAnsi="Arial" w:cs="Arial"/>
        </w:rPr>
        <w:lastRenderedPageBreak/>
        <w:t>assortments, freshness and service quality. Knowledge must move in both directions rather than through a simple UK-to-Japan technology transfer.</w:t>
      </w:r>
    </w:p>
    <w:p w14:paraId="52B3FDE7" w14:textId="77777777" w:rsidR="00C006D6" w:rsidRDefault="00C006D6" w:rsidP="00093C8A">
      <w:pPr>
        <w:spacing w:line="360" w:lineRule="auto"/>
        <w:jc w:val="both"/>
        <w:rPr>
          <w:rFonts w:ascii="Arial" w:hAnsi="Arial" w:cs="Arial"/>
        </w:rPr>
      </w:pPr>
    </w:p>
    <w:p w14:paraId="1E689EE8" w14:textId="22CD7C8D" w:rsidR="00C006D6" w:rsidRDefault="00C006D6" w:rsidP="00C006D6">
      <w:pPr>
        <w:pStyle w:val="Heading2"/>
        <w:rPr>
          <w:rFonts w:ascii="Arial" w:hAnsi="Arial" w:cs="Arial"/>
          <w:sz w:val="28"/>
          <w:szCs w:val="28"/>
        </w:rPr>
      </w:pPr>
      <w:bookmarkStart w:id="2" w:name="_Toc235710738"/>
      <w:r w:rsidRPr="00C006D6">
        <w:rPr>
          <w:rFonts w:ascii="Arial" w:hAnsi="Arial" w:cs="Arial"/>
          <w:sz w:val="28"/>
          <w:szCs w:val="28"/>
        </w:rPr>
        <w:t>Theoretical framework</w:t>
      </w:r>
      <w:bookmarkEnd w:id="2"/>
    </w:p>
    <w:p w14:paraId="1022DF40" w14:textId="5CDF8B0F" w:rsidR="00C006D6" w:rsidRDefault="004E4B6E" w:rsidP="00C006D6">
      <w:pPr>
        <w:spacing w:line="360" w:lineRule="auto"/>
        <w:jc w:val="both"/>
        <w:rPr>
          <w:rFonts w:ascii="Arial" w:hAnsi="Arial" w:cs="Arial"/>
        </w:rPr>
      </w:pPr>
      <w:r>
        <w:rPr>
          <w:rFonts w:ascii="Arial" w:hAnsi="Arial" w:cs="Arial"/>
        </w:rPr>
        <w:t>According to Hofstede, Hofstede and Minkov (2010), culture represents a shared way of thinking and behaving that differentiates members of one group from those of other groups</w:t>
      </w:r>
      <w:r w:rsidR="00C006D6">
        <w:rPr>
          <w:rFonts w:ascii="Arial" w:hAnsi="Arial" w:cs="Arial"/>
        </w:rPr>
        <w:t>. Their national indices provide a useful starting hypothesis. The UK scores much higher on individualism than Japan (89 compared with 46), while Japan scores higher on power distance (54 compared with 35), uncertainty avoidance (92 compared with 35) and long-term orientation (88 compared with 51) (Hofstede, Hofstede and Minkov, 2010). These contrasts suggest different expectations regarding personal autonomy, hierarchy, risk and the time required to build durable agreement.</w:t>
      </w:r>
    </w:p>
    <w:p w14:paraId="7114E3D3" w14:textId="253BD9C2" w:rsidR="00DB36F4" w:rsidRDefault="00DB36F4" w:rsidP="00C006D6">
      <w:pPr>
        <w:spacing w:line="360" w:lineRule="auto"/>
        <w:jc w:val="both"/>
        <w:rPr>
          <w:rFonts w:ascii="Arial" w:hAnsi="Arial" w:cs="Arial"/>
        </w:rPr>
      </w:pPr>
      <w:r>
        <w:rPr>
          <w:rFonts w:ascii="Arial" w:hAnsi="Arial" w:cs="Arial"/>
        </w:rPr>
        <w:t>Although Hofstede’s scores suggest different national tendencies, organisational culture, professional role, age and international experience may produce substantial variation within both teams.</w:t>
      </w:r>
    </w:p>
    <w:p w14:paraId="00032275" w14:textId="0E2E2A6A" w:rsidR="00C006D6" w:rsidRDefault="00C006D6" w:rsidP="00C006D6">
      <w:pPr>
        <w:spacing w:line="360" w:lineRule="auto"/>
        <w:jc w:val="both"/>
        <w:rPr>
          <w:rFonts w:ascii="Arial" w:hAnsi="Arial" w:cs="Arial"/>
        </w:rPr>
      </w:pPr>
      <w:r>
        <w:rPr>
          <w:rFonts w:ascii="Arial" w:hAnsi="Arial" w:cs="Arial"/>
        </w:rPr>
        <w:t xml:space="preserve">Hall’s (1976) </w:t>
      </w:r>
      <w:r w:rsidR="004E4B6E">
        <w:rPr>
          <w:rFonts w:ascii="Arial" w:hAnsi="Arial" w:cs="Arial"/>
        </w:rPr>
        <w:t>argues that in high-context communication, much of the intended meaning is conveyed through shared relationships, previous experience, social status and non-verbal signals rather than through explicit spoken or written langauge</w:t>
      </w:r>
      <w:r>
        <w:rPr>
          <w:rFonts w:ascii="Arial" w:hAnsi="Arial" w:cs="Arial"/>
        </w:rPr>
        <w:t xml:space="preserve">. low-context communication puts comparatively more meaning into explicit words and records. Japan is commonly treated as relatively high-context and the UK as relatively low-context, although British understatement means that UK communication is not uniformly direct. The categories are a continuum, not fixed national personalities. Kittler, Rygl and Mackinnon (2011) warn that Hall’s country classifications have often been used inconsistently, while McSweeney (2002) criticises the assumption that national averages explain individual behaviour. </w:t>
      </w:r>
      <w:r w:rsidR="00886729">
        <w:rPr>
          <w:rFonts w:ascii="Arial" w:hAnsi="Arial" w:cs="Arial"/>
        </w:rPr>
        <w:t>Accordingly, the models below identify possible friction, not how every British or Japanese employee will act. Professional expertise, organisational culture, age, language proficiency and prior international experience may be equally influential.</w:t>
      </w:r>
    </w:p>
    <w:p w14:paraId="0CB5AB93" w14:textId="0F19FA30" w:rsidR="00886729" w:rsidRDefault="00886729" w:rsidP="00C006D6">
      <w:pPr>
        <w:spacing w:line="360" w:lineRule="auto"/>
        <w:jc w:val="both"/>
        <w:rPr>
          <w:rFonts w:ascii="Arial" w:hAnsi="Arial" w:cs="Arial"/>
        </w:rPr>
      </w:pPr>
      <w:r>
        <w:rPr>
          <w:rFonts w:ascii="Arial" w:hAnsi="Arial" w:cs="Arial"/>
        </w:rPr>
        <w:t xml:space="preserve">Meyer’s (2014) comparative framework likewise places Japan further towards high-context communication than the UK but emphasises that behaviour should be judged relationally. A British style can appear indirect to some cultures and unusually explicit </w:t>
      </w:r>
      <w:r>
        <w:rPr>
          <w:rFonts w:ascii="Arial" w:hAnsi="Arial" w:cs="Arial"/>
        </w:rPr>
        <w:lastRenderedPageBreak/>
        <w:t>to Japanese colleagues. This relative approach is particularly appropriate for a two-country project.</w:t>
      </w:r>
    </w:p>
    <w:p w14:paraId="76276A6F" w14:textId="77777777" w:rsidR="00886729" w:rsidRDefault="00886729" w:rsidP="00C006D6">
      <w:pPr>
        <w:spacing w:line="360" w:lineRule="auto"/>
        <w:jc w:val="both"/>
        <w:rPr>
          <w:rFonts w:ascii="Arial" w:hAnsi="Arial" w:cs="Arial"/>
        </w:rPr>
      </w:pPr>
    </w:p>
    <w:p w14:paraId="4C5C40DD" w14:textId="18AC9C77" w:rsidR="00886729" w:rsidRDefault="00886729" w:rsidP="00886729">
      <w:pPr>
        <w:pStyle w:val="Heading2"/>
        <w:rPr>
          <w:rFonts w:ascii="Arial" w:hAnsi="Arial" w:cs="Arial"/>
          <w:sz w:val="28"/>
          <w:szCs w:val="28"/>
        </w:rPr>
      </w:pPr>
      <w:bookmarkStart w:id="3" w:name="_Toc235710739"/>
      <w:r w:rsidRPr="00886729">
        <w:rPr>
          <w:rFonts w:ascii="Arial" w:hAnsi="Arial" w:cs="Arial"/>
          <w:sz w:val="28"/>
          <w:szCs w:val="28"/>
        </w:rPr>
        <w:t>Communication differences and risks</w:t>
      </w:r>
      <w:bookmarkEnd w:id="3"/>
    </w:p>
    <w:p w14:paraId="2F13A195" w14:textId="2BD14DE6" w:rsidR="00886729" w:rsidRPr="001D2BDE" w:rsidRDefault="001D2BDE" w:rsidP="001D2BDE">
      <w:pPr>
        <w:pStyle w:val="Heading2"/>
        <w:rPr>
          <w:rFonts w:ascii="Arial" w:hAnsi="Arial" w:cs="Arial"/>
          <w:sz w:val="24"/>
          <w:szCs w:val="24"/>
        </w:rPr>
      </w:pPr>
      <w:bookmarkStart w:id="4" w:name="_Toc235710740"/>
      <w:r w:rsidRPr="001D2BDE">
        <w:rPr>
          <w:rFonts w:ascii="Arial" w:hAnsi="Arial" w:cs="Arial"/>
          <w:sz w:val="24"/>
          <w:szCs w:val="24"/>
        </w:rPr>
        <w:t>Co</w:t>
      </w:r>
      <w:r w:rsidR="00886729" w:rsidRPr="001D2BDE">
        <w:rPr>
          <w:rFonts w:ascii="Arial" w:hAnsi="Arial" w:cs="Arial"/>
          <w:sz w:val="24"/>
          <w:szCs w:val="24"/>
        </w:rPr>
        <w:t>ntext, directness and disagreement</w:t>
      </w:r>
      <w:bookmarkEnd w:id="4"/>
      <w:r w:rsidR="00886729" w:rsidRPr="001D2BDE">
        <w:rPr>
          <w:rFonts w:ascii="Arial" w:hAnsi="Arial" w:cs="Arial"/>
          <w:sz w:val="24"/>
          <w:szCs w:val="24"/>
        </w:rPr>
        <w:t xml:space="preserve"> </w:t>
      </w:r>
    </w:p>
    <w:p w14:paraId="32493128" w14:textId="2A86A4A6" w:rsidR="00886729" w:rsidRDefault="00886729" w:rsidP="001D2BDE">
      <w:pPr>
        <w:spacing w:line="360" w:lineRule="auto"/>
        <w:jc w:val="both"/>
        <w:rPr>
          <w:rFonts w:ascii="Arial" w:hAnsi="Arial" w:cs="Arial"/>
        </w:rPr>
      </w:pPr>
      <w:r>
        <w:rPr>
          <w:rFonts w:ascii="Arial" w:hAnsi="Arial" w:cs="Arial"/>
        </w:rPr>
        <w:t>British Ocado specialists may expect requirements, objections and action owners to be stated in a meeting or follow-up email. Japanese AEON colleagues may rely more on shared context, tone, pauses and what is left unsaid, particularly when disagreeing with a senior person or external partner. A response such as ’’that may be difficult’’ can function as a serious rejection rather than an invitation to solve a minor obstacle. If a British project lead records the proposal as accepted because nobody explicitly said ’’no’’, implementation may proceed without genuine alignment. Conversely, direct British questioning of a specification can be intended as efficient problem-solving yet be received as public criticism that threatens face or group harmony.</w:t>
      </w:r>
    </w:p>
    <w:p w14:paraId="365C0811" w14:textId="45259C9A" w:rsidR="00886729" w:rsidRDefault="00886729" w:rsidP="001D2BDE">
      <w:pPr>
        <w:spacing w:line="360" w:lineRule="auto"/>
        <w:jc w:val="both"/>
        <w:rPr>
          <w:rFonts w:ascii="Arial" w:hAnsi="Arial" w:cs="Arial"/>
        </w:rPr>
      </w:pPr>
      <w:r>
        <w:rPr>
          <w:rFonts w:ascii="Arial" w:hAnsi="Arial" w:cs="Arial"/>
        </w:rPr>
        <w:t>The risk is amplified because both cultures use indirectness differently. British speakers often soften criticism through humour, understatement or p</w:t>
      </w:r>
      <w:r w:rsidR="00DB36F4">
        <w:rPr>
          <w:rFonts w:ascii="Arial" w:hAnsi="Arial" w:cs="Arial"/>
        </w:rPr>
        <w:t>r</w:t>
      </w:r>
      <w:r>
        <w:rPr>
          <w:rFonts w:ascii="Arial" w:hAnsi="Arial" w:cs="Arial"/>
        </w:rPr>
        <w:t>hases such as ’’perhaps we should revisit this’’. Japanese listeners operating in English may process the literal wording and underestimate the urgency. British listeners, meanwhile, may miss Japanese hesitation because they lack the relationship and contextual knowledge required to decode it. Hall’s theory therefore predicts not merely a direct-indirect contrast but a mismatch in the assumed location of meaning. Managers should avoid treating fluency in English as proof of shared pragmatic meaning.</w:t>
      </w:r>
    </w:p>
    <w:p w14:paraId="53912ABB" w14:textId="03211C15" w:rsidR="001D2BDE" w:rsidRDefault="00886729" w:rsidP="001D2BDE">
      <w:pPr>
        <w:spacing w:line="360" w:lineRule="auto"/>
        <w:jc w:val="both"/>
        <w:rPr>
          <w:rFonts w:ascii="Arial" w:hAnsi="Arial" w:cs="Arial"/>
        </w:rPr>
      </w:pPr>
      <w:r>
        <w:rPr>
          <w:rFonts w:ascii="Arial" w:hAnsi="Arial" w:cs="Arial"/>
        </w:rPr>
        <w:t>This matters in OSP localisation.</w:t>
      </w:r>
      <w:r w:rsidR="001D2BDE">
        <w:rPr>
          <w:rFonts w:ascii="Arial" w:hAnsi="Arial" w:cs="Arial"/>
        </w:rPr>
        <w:t xml:space="preserve"> Product search must accommodate kanji, hiragana, katakana and romaji, including alternative written forms. Ocado’s engineer concluded that ’’having a person with knowledge of the language, even if limited, has proven to be a huge advantage’’(Puig, 2023). Linguistic expertise is valuable not only for translation but for identifying unstated customer assumptions before they become technical requirements. AEON should therefore participate in requirements discovery rather than merely approve a British specification. </w:t>
      </w:r>
    </w:p>
    <w:p w14:paraId="285A8F05" w14:textId="0DD4AB86" w:rsidR="001D2BDE" w:rsidRDefault="001D2BDE" w:rsidP="001D2BDE">
      <w:pPr>
        <w:pStyle w:val="Heading2"/>
        <w:rPr>
          <w:rFonts w:ascii="Arial" w:hAnsi="Arial" w:cs="Arial"/>
          <w:sz w:val="24"/>
          <w:szCs w:val="24"/>
        </w:rPr>
      </w:pPr>
      <w:bookmarkStart w:id="5" w:name="_Toc235710741"/>
      <w:r w:rsidRPr="001D2BDE">
        <w:rPr>
          <w:rFonts w:ascii="Arial" w:hAnsi="Arial" w:cs="Arial"/>
          <w:sz w:val="24"/>
          <w:szCs w:val="24"/>
        </w:rPr>
        <w:lastRenderedPageBreak/>
        <w:t>Hierarchy, participation and feedback</w:t>
      </w:r>
      <w:bookmarkEnd w:id="5"/>
    </w:p>
    <w:p w14:paraId="2035C48E" w14:textId="41136EEE" w:rsidR="001D2BDE" w:rsidRDefault="00DB36F4" w:rsidP="001D2BDE">
      <w:pPr>
        <w:spacing w:line="360" w:lineRule="auto"/>
        <w:jc w:val="both"/>
        <w:rPr>
          <w:rFonts w:ascii="Arial" w:hAnsi="Arial" w:cs="Arial"/>
        </w:rPr>
      </w:pPr>
      <w:r>
        <w:rPr>
          <w:rFonts w:ascii="Arial" w:hAnsi="Arial" w:cs="Arial"/>
        </w:rPr>
        <w:t>T</w:t>
      </w:r>
      <w:r w:rsidR="001D2BDE">
        <w:rPr>
          <w:rFonts w:ascii="Arial" w:hAnsi="Arial" w:cs="Arial"/>
        </w:rPr>
        <w:t>he Hofstede power-distance gap is moderate but operationally relevant. A British manager may invite open debate and assume that silence demonstrates consent or lack of ideas. A Japanese junior employee may wait for a senior colleague, avoid contradicting the group publicly or raise concern later through an appropriate internal channel. The British side may then wrongly attribute low participation to weak expertise, while Japanese members may regard an unstructured invitation to challenge leaders as socially unsafe.</w:t>
      </w:r>
    </w:p>
    <w:p w14:paraId="03AEAD44" w14:textId="7F2CEA2A" w:rsidR="001D2BDE" w:rsidRDefault="001D2BDE" w:rsidP="001D2BDE">
      <w:pPr>
        <w:spacing w:line="360" w:lineRule="auto"/>
        <w:jc w:val="both"/>
        <w:rPr>
          <w:rFonts w:ascii="Arial" w:hAnsi="Arial" w:cs="Arial"/>
        </w:rPr>
      </w:pPr>
      <w:r>
        <w:rPr>
          <w:rFonts w:ascii="Arial" w:hAnsi="Arial" w:cs="Arial"/>
        </w:rPr>
        <w:t xml:space="preserve">Feedback creates a related problem. Ocado’s iterative software culture may </w:t>
      </w:r>
      <w:r w:rsidR="00DE04D0">
        <w:rPr>
          <w:rFonts w:ascii="Arial" w:hAnsi="Arial" w:cs="Arial"/>
        </w:rPr>
        <w:t>normalise</w:t>
      </w:r>
      <w:r>
        <w:rPr>
          <w:rFonts w:ascii="Arial" w:hAnsi="Arial" w:cs="Arial"/>
        </w:rPr>
        <w:t xml:space="preserve"> rapid critique of prototypes. If criticism is delivered directly in a mixed-status meeting, AEON participants may focus on the relational damage rather than the technical content. Yet excessive politeness can also hide quality risks. The leader must separate evaluation </w:t>
      </w:r>
      <w:r w:rsidR="00DE04D0">
        <w:rPr>
          <w:rFonts w:ascii="Arial" w:hAnsi="Arial" w:cs="Arial"/>
        </w:rPr>
        <w:t>for</w:t>
      </w:r>
      <w:r>
        <w:rPr>
          <w:rFonts w:ascii="Arial" w:hAnsi="Arial" w:cs="Arial"/>
        </w:rPr>
        <w:t xml:space="preserve"> the work from evaluation of the person and provide several channels for voice: pre-meeting comments, private follow-ups and anonymous risk logs as well as live discussion. This approach does not exclude Japanese colleagues from debate; it changes the conditions under which candid contributions become safe.</w:t>
      </w:r>
    </w:p>
    <w:p w14:paraId="19EBD319" w14:textId="6CABF9D4" w:rsidR="001D2BDE" w:rsidRDefault="00DE04D0" w:rsidP="00DE04D0">
      <w:pPr>
        <w:pStyle w:val="Heading2"/>
        <w:rPr>
          <w:rFonts w:ascii="Arial" w:hAnsi="Arial" w:cs="Arial"/>
          <w:sz w:val="24"/>
          <w:szCs w:val="24"/>
        </w:rPr>
      </w:pPr>
      <w:bookmarkStart w:id="6" w:name="_Toc235710742"/>
      <w:r w:rsidRPr="00DE04D0">
        <w:rPr>
          <w:rFonts w:ascii="Arial" w:hAnsi="Arial" w:cs="Arial"/>
          <w:sz w:val="24"/>
          <w:szCs w:val="24"/>
        </w:rPr>
        <w:t>Individualism, consensus and uncertainty</w:t>
      </w:r>
      <w:bookmarkEnd w:id="6"/>
    </w:p>
    <w:p w14:paraId="30A29778" w14:textId="658759DA" w:rsidR="00DE04D0" w:rsidRDefault="00DE04D0" w:rsidP="00DE04D0">
      <w:pPr>
        <w:spacing w:line="360" w:lineRule="auto"/>
        <w:jc w:val="both"/>
        <w:rPr>
          <w:rFonts w:ascii="Arial" w:hAnsi="Arial" w:cs="Arial"/>
        </w:rPr>
      </w:pPr>
      <w:r>
        <w:rPr>
          <w:rFonts w:ascii="Arial" w:hAnsi="Arial" w:cs="Arial"/>
        </w:rPr>
        <w:t xml:space="preserve">The UK’s high individualism supports named accountability and delegated discretion. An Ocado manager may allocate a decision to one product owner and expect a rapid answer. AEON colleagues may seek broader consultation because implementation affects interconnected retail, merchandising, logistics and customer-service groups. Informal pre-consultation, often described as nemawashi, can create support before a formal meeting. British participants may instead expect the meeting to ratify agreement already built through internal conversations. Presenting a surprise proposal and demanding an immediate decision can therefore produce polite silence followed by delay. </w:t>
      </w:r>
    </w:p>
    <w:p w14:paraId="4B5D0E41" w14:textId="711EBBB4" w:rsidR="00DE04D0" w:rsidRDefault="00DE04D0" w:rsidP="00DE04D0">
      <w:pPr>
        <w:spacing w:line="360" w:lineRule="auto"/>
        <w:jc w:val="both"/>
        <w:rPr>
          <w:rFonts w:ascii="Arial" w:hAnsi="Arial" w:cs="Arial"/>
        </w:rPr>
      </w:pPr>
      <w:r>
        <w:rPr>
          <w:rFonts w:ascii="Arial" w:hAnsi="Arial" w:cs="Arial"/>
        </w:rPr>
        <w:t xml:space="preserve">Uncertainty avoidance sharpens this difference. Japan’s score of 92, compared with 35 for the UK, suggests a stronger preference for detailed preparation, risk reduction and dependable procedures (Hofstede, Hofstede and Minkov, 2010). AEON may request extensive evidence on fulfilment accuracy, exceptions and customer impact before approving a release. Ocado engineers accustomed to agile experimentation may prefer a minimum viable change followed by learning from data. Each side can </w:t>
      </w:r>
      <w:r>
        <w:rPr>
          <w:rFonts w:ascii="Arial" w:hAnsi="Arial" w:cs="Arial"/>
        </w:rPr>
        <w:lastRenderedPageBreak/>
        <w:t>misjudge the other: British flexibility may appear underprepared, whereas Japanese assurance work may appear resistant to innovation. Both are legitimate responses to a high-consequence grocery system. The partnership should combine staged experimentation with explicit quality gates rather than force one approach to dominate.</w:t>
      </w:r>
    </w:p>
    <w:p w14:paraId="5A814D0B" w14:textId="60E5C3AA" w:rsidR="00DE04D0" w:rsidRDefault="00DE04D0" w:rsidP="00DE04D0">
      <w:pPr>
        <w:spacing w:line="360" w:lineRule="auto"/>
        <w:jc w:val="both"/>
        <w:rPr>
          <w:rFonts w:ascii="Arial" w:hAnsi="Arial" w:cs="Arial"/>
        </w:rPr>
      </w:pPr>
      <w:r>
        <w:rPr>
          <w:rFonts w:ascii="Arial" w:hAnsi="Arial" w:cs="Arial"/>
        </w:rPr>
        <w:t>Long-term orientation also offers complementarity. AEON’s emphasis on durable customer trust and the partnership’s multi-CFC horizon can encourage careful capability building, while Ocado contributes technological experimentation. Research shows that cultural diversity may increase creativity but also task conflict and reduce social integration (Stahl et al., 2010). Difference is therefore a resource only when team processes convert contrasting perspectives into examined choices.</w:t>
      </w:r>
    </w:p>
    <w:p w14:paraId="5E4598A5" w14:textId="0595F541" w:rsidR="00DE04D0" w:rsidRDefault="00DE04D0" w:rsidP="00DE04D0">
      <w:pPr>
        <w:pStyle w:val="Heading2"/>
        <w:rPr>
          <w:rFonts w:ascii="Arial" w:hAnsi="Arial" w:cs="Arial"/>
          <w:sz w:val="24"/>
          <w:szCs w:val="24"/>
        </w:rPr>
      </w:pPr>
      <w:bookmarkStart w:id="7" w:name="_Toc235710743"/>
      <w:r w:rsidRPr="00DE04D0">
        <w:rPr>
          <w:rFonts w:ascii="Arial" w:hAnsi="Arial" w:cs="Arial"/>
          <w:sz w:val="24"/>
          <w:szCs w:val="24"/>
        </w:rPr>
        <w:t>Language and technology-mediated collaboration</w:t>
      </w:r>
      <w:bookmarkEnd w:id="7"/>
    </w:p>
    <w:p w14:paraId="7F477F27" w14:textId="3A586B28" w:rsidR="00DE04D0" w:rsidRDefault="00DE04D0" w:rsidP="00DE04D0">
      <w:pPr>
        <w:spacing w:line="360" w:lineRule="auto"/>
        <w:jc w:val="both"/>
        <w:rPr>
          <w:rFonts w:ascii="Arial" w:hAnsi="Arial" w:cs="Arial"/>
        </w:rPr>
      </w:pPr>
      <w:r>
        <w:rPr>
          <w:rFonts w:ascii="Arial" w:hAnsi="Arial" w:cs="Arial"/>
        </w:rPr>
        <w:t>English is likely to dominate cross-border exchanges, giving many British employees an unearned communication advantage. Japanese specialists may possess essential knowledge yet speak less, take longer to formulate disagreement or appear less persuasive in real-time discussion. Tenzer, Pudelko and Harzing (2014) show that language barriers can influence perceived competence and trust in multinational teams. Brannen, Piekkari and Tietze (2014) similarly argue that language is central to international business decision-making</w:t>
      </w:r>
      <w:r w:rsidR="00E311F0">
        <w:rPr>
          <w:rFonts w:ascii="Arial" w:hAnsi="Arial" w:cs="Arial"/>
        </w:rPr>
        <w:t xml:space="preserve"> and knowledge transfer. Leaders must therefore distinguish communication speed from expertise. </w:t>
      </w:r>
    </w:p>
    <w:p w14:paraId="25272EF3" w14:textId="6BEACBBD" w:rsidR="00E311F0" w:rsidRDefault="00E311F0" w:rsidP="00DE04D0">
      <w:pPr>
        <w:spacing w:line="360" w:lineRule="auto"/>
        <w:jc w:val="both"/>
        <w:rPr>
          <w:rFonts w:ascii="Arial" w:hAnsi="Arial" w:cs="Arial"/>
        </w:rPr>
      </w:pPr>
      <w:r>
        <w:rPr>
          <w:rFonts w:ascii="Arial" w:hAnsi="Arial" w:cs="Arial"/>
        </w:rPr>
        <w:t xml:space="preserve">Distance compounds the problem. UK-Japan time differences encourage email, tickets and virtual meetings, reducing access to contextual cues while increasing fatigue for whichever side attends outside normal hours. Technical shorthand, idioms and humour can further obscure meaning. However, digital records can also help if designed well: bilingual glossaries, annotated prototypes and concise decision logs make assumptions visible. The aim is not maximum documentation, but </w:t>
      </w:r>
      <w:r w:rsidR="00DB36F4">
        <w:rPr>
          <w:rFonts w:ascii="Arial" w:hAnsi="Arial" w:cs="Arial"/>
        </w:rPr>
        <w:t xml:space="preserve">a </w:t>
      </w:r>
      <w:r>
        <w:rPr>
          <w:rFonts w:ascii="Arial" w:hAnsi="Arial" w:cs="Arial"/>
        </w:rPr>
        <w:t>shared record that states the decision, rationale, owner, deadline, unresolved risks and what trigger reconsideration.</w:t>
      </w:r>
    </w:p>
    <w:p w14:paraId="7A856CC2" w14:textId="77777777" w:rsidR="00E311F0" w:rsidRDefault="00E311F0" w:rsidP="00DE04D0">
      <w:pPr>
        <w:spacing w:line="360" w:lineRule="auto"/>
        <w:jc w:val="both"/>
        <w:rPr>
          <w:rFonts w:ascii="Arial" w:hAnsi="Arial" w:cs="Arial"/>
        </w:rPr>
      </w:pPr>
    </w:p>
    <w:p w14:paraId="5F74133A" w14:textId="209A6379" w:rsidR="00E311F0" w:rsidRDefault="00E311F0" w:rsidP="00E311F0">
      <w:pPr>
        <w:pStyle w:val="Heading2"/>
        <w:rPr>
          <w:rFonts w:ascii="Arial" w:hAnsi="Arial" w:cs="Arial"/>
          <w:sz w:val="28"/>
          <w:szCs w:val="28"/>
        </w:rPr>
      </w:pPr>
      <w:bookmarkStart w:id="8" w:name="_Toc235710744"/>
      <w:r w:rsidRPr="00E311F0">
        <w:rPr>
          <w:rFonts w:ascii="Arial" w:hAnsi="Arial" w:cs="Arial"/>
          <w:sz w:val="28"/>
          <w:szCs w:val="28"/>
        </w:rPr>
        <w:t>Managerial recommendations</w:t>
      </w:r>
      <w:bookmarkEnd w:id="8"/>
    </w:p>
    <w:p w14:paraId="43C39E43" w14:textId="77777777" w:rsidR="002A1394" w:rsidRDefault="00E311F0" w:rsidP="00E311F0">
      <w:pPr>
        <w:spacing w:line="360" w:lineRule="auto"/>
        <w:jc w:val="both"/>
        <w:rPr>
          <w:rFonts w:ascii="Arial" w:hAnsi="Arial" w:cs="Arial"/>
        </w:rPr>
      </w:pPr>
      <w:r>
        <w:rPr>
          <w:rFonts w:ascii="Arial" w:hAnsi="Arial" w:cs="Arial"/>
        </w:rPr>
        <w:t xml:space="preserve">The country director should establish a hybrid communication charter jointly with Ocado and AEON rather than impose British practices. Earley and Mosakowski (2000) </w:t>
      </w:r>
      <w:r>
        <w:rPr>
          <w:rFonts w:ascii="Arial" w:hAnsi="Arial" w:cs="Arial"/>
        </w:rPr>
        <w:lastRenderedPageBreak/>
        <w:t xml:space="preserve">found that successful transnational teams develop shared hybrid cultures over time. Five connected practices are appropriate. </w:t>
      </w:r>
    </w:p>
    <w:p w14:paraId="59712448" w14:textId="21937D73" w:rsidR="002A1394" w:rsidRDefault="00E311F0" w:rsidP="00E311F0">
      <w:pPr>
        <w:spacing w:line="360" w:lineRule="auto"/>
        <w:jc w:val="both"/>
        <w:rPr>
          <w:rFonts w:ascii="Arial" w:hAnsi="Arial" w:cs="Arial"/>
        </w:rPr>
      </w:pPr>
      <w:r>
        <w:rPr>
          <w:rFonts w:ascii="Arial" w:hAnsi="Arial" w:cs="Arial"/>
        </w:rPr>
        <w:t>First, circulate short bilingual agendas and decision papers early enough for AEON’s internal consultation. Mark item</w:t>
      </w:r>
      <w:r w:rsidR="00DB36F4">
        <w:rPr>
          <w:rFonts w:ascii="Arial" w:hAnsi="Arial" w:cs="Arial"/>
        </w:rPr>
        <w:t>s</w:t>
      </w:r>
      <w:r>
        <w:rPr>
          <w:rFonts w:ascii="Arial" w:hAnsi="Arial" w:cs="Arial"/>
        </w:rPr>
        <w:t xml:space="preserve"> as ’’information’’, ’’discussion’’ or ’’decision’’ so that a workshop is not mistaken for final approval. </w:t>
      </w:r>
    </w:p>
    <w:p w14:paraId="5F9313A7" w14:textId="429B4349" w:rsidR="00E311F0" w:rsidRDefault="00E311F0" w:rsidP="00E311F0">
      <w:pPr>
        <w:spacing w:line="360" w:lineRule="auto"/>
        <w:jc w:val="both"/>
        <w:rPr>
          <w:rFonts w:ascii="Arial" w:hAnsi="Arial" w:cs="Arial"/>
        </w:rPr>
      </w:pPr>
      <w:r>
        <w:rPr>
          <w:rFonts w:ascii="Arial" w:hAnsi="Arial" w:cs="Arial"/>
        </w:rPr>
        <w:t xml:space="preserve">Second, use a two-stage decision process: exploratory discussion and private stakeholder consultation, followed by a formal decision with written confirmation. This respects nemawashi while preserving deadlines. </w:t>
      </w:r>
    </w:p>
    <w:p w14:paraId="11A6CBD9" w14:textId="77777777" w:rsidR="002A1394" w:rsidRDefault="00E311F0" w:rsidP="00E311F0">
      <w:pPr>
        <w:spacing w:line="360" w:lineRule="auto"/>
        <w:jc w:val="both"/>
        <w:rPr>
          <w:rFonts w:ascii="Arial" w:hAnsi="Arial" w:cs="Arial"/>
        </w:rPr>
      </w:pPr>
      <w:r>
        <w:rPr>
          <w:rFonts w:ascii="Arial" w:hAnsi="Arial" w:cs="Arial"/>
        </w:rPr>
        <w:t xml:space="preserve">Third, apply closed-loop communication. The receiver should paraphrase the requirement and its operational consequence rather than merely say ’’understood’’. Decision logs should record dissent and assumptions without attributing blame. </w:t>
      </w:r>
    </w:p>
    <w:p w14:paraId="261D5E33" w14:textId="77777777" w:rsidR="002A1394" w:rsidRDefault="00E311F0" w:rsidP="00E311F0">
      <w:pPr>
        <w:spacing w:line="360" w:lineRule="auto"/>
        <w:jc w:val="both"/>
        <w:rPr>
          <w:rFonts w:ascii="Arial" w:hAnsi="Arial" w:cs="Arial"/>
        </w:rPr>
      </w:pPr>
      <w:r>
        <w:rPr>
          <w:rFonts w:ascii="Arial" w:hAnsi="Arial" w:cs="Arial"/>
        </w:rPr>
        <w:t xml:space="preserve">Fourth, equalise voice through smaller mixed-nationality groups, written input before meetings, private escalation routes and rotating meeting times. Critical questions should be directed by role and expertise rather than seniority, while leaders explicitly thank employees who identify risks. </w:t>
      </w:r>
    </w:p>
    <w:p w14:paraId="6C9E3982" w14:textId="46E6FA4E" w:rsidR="00E311F0" w:rsidRDefault="00E311F0" w:rsidP="00E311F0">
      <w:pPr>
        <w:spacing w:line="360" w:lineRule="auto"/>
        <w:jc w:val="both"/>
        <w:rPr>
          <w:rFonts w:ascii="Arial" w:hAnsi="Arial" w:cs="Arial"/>
        </w:rPr>
      </w:pPr>
      <w:r>
        <w:rPr>
          <w:rFonts w:ascii="Arial" w:hAnsi="Arial" w:cs="Arial"/>
        </w:rPr>
        <w:t>Fifth, invest in language capability: professional translation for high-risk material, bilingual product specialists, plain English, a controlled technical glossary and avoidance of idioms. Language-sensitive facilitation should allow pauses and written follow-up instead of rewarding only fast speakers.</w:t>
      </w:r>
    </w:p>
    <w:p w14:paraId="5F73D4A5" w14:textId="2A9B3F65" w:rsidR="00E311F0" w:rsidRDefault="00E311F0" w:rsidP="00E311F0">
      <w:pPr>
        <w:spacing w:line="360" w:lineRule="auto"/>
        <w:jc w:val="both"/>
        <w:rPr>
          <w:rFonts w:ascii="Arial" w:hAnsi="Arial" w:cs="Arial"/>
        </w:rPr>
      </w:pPr>
      <w:r>
        <w:rPr>
          <w:rFonts w:ascii="Arial" w:hAnsi="Arial" w:cs="Arial"/>
        </w:rPr>
        <w:t>Finally, the partnership should measure communication quality. Useful indicators include reopened decisions, defects traced to misunderstood requirements, unresolved</w:t>
      </w:r>
      <w:r w:rsidR="00916146">
        <w:rPr>
          <w:rFonts w:ascii="Arial" w:hAnsi="Arial" w:cs="Arial"/>
        </w:rPr>
        <w:t xml:space="preserve"> actions, participation across locations and the time between raising and resolving a risk. Short retrospectives should ask what each side believed had been agreed and why interpretations diverged. These practices turn cultural awareness into project governance rather than a one-off etiquette course. </w:t>
      </w:r>
    </w:p>
    <w:p w14:paraId="2CE4C40C" w14:textId="77777777" w:rsidR="00916146" w:rsidRDefault="00916146" w:rsidP="00E311F0">
      <w:pPr>
        <w:spacing w:line="360" w:lineRule="auto"/>
        <w:jc w:val="both"/>
        <w:rPr>
          <w:rFonts w:ascii="Arial" w:hAnsi="Arial" w:cs="Arial"/>
        </w:rPr>
      </w:pPr>
    </w:p>
    <w:p w14:paraId="7A01035B" w14:textId="77777777" w:rsidR="00916146" w:rsidRDefault="00916146" w:rsidP="00E311F0">
      <w:pPr>
        <w:spacing w:line="360" w:lineRule="auto"/>
        <w:jc w:val="both"/>
        <w:rPr>
          <w:rFonts w:ascii="Arial" w:hAnsi="Arial" w:cs="Arial"/>
        </w:rPr>
      </w:pPr>
    </w:p>
    <w:p w14:paraId="2C5D8C17" w14:textId="77777777" w:rsidR="00916146" w:rsidRDefault="00916146" w:rsidP="00E311F0">
      <w:pPr>
        <w:spacing w:line="360" w:lineRule="auto"/>
        <w:jc w:val="both"/>
        <w:rPr>
          <w:rFonts w:ascii="Arial" w:hAnsi="Arial" w:cs="Arial"/>
        </w:rPr>
      </w:pPr>
    </w:p>
    <w:p w14:paraId="359DF1C2" w14:textId="77777777" w:rsidR="00916146" w:rsidRDefault="00916146" w:rsidP="00E311F0">
      <w:pPr>
        <w:spacing w:line="360" w:lineRule="auto"/>
        <w:jc w:val="both"/>
        <w:rPr>
          <w:rFonts w:ascii="Arial" w:hAnsi="Arial" w:cs="Arial"/>
        </w:rPr>
      </w:pPr>
    </w:p>
    <w:p w14:paraId="34F1CE1C" w14:textId="77777777" w:rsidR="00916146" w:rsidRDefault="00916146" w:rsidP="00E311F0">
      <w:pPr>
        <w:spacing w:line="360" w:lineRule="auto"/>
        <w:jc w:val="both"/>
        <w:rPr>
          <w:rFonts w:ascii="Arial" w:hAnsi="Arial" w:cs="Arial"/>
        </w:rPr>
      </w:pPr>
    </w:p>
    <w:p w14:paraId="3D0C2BE6" w14:textId="77777777" w:rsidR="00916146" w:rsidRDefault="00916146" w:rsidP="00E311F0">
      <w:pPr>
        <w:spacing w:line="360" w:lineRule="auto"/>
        <w:jc w:val="both"/>
        <w:rPr>
          <w:rFonts w:ascii="Arial" w:hAnsi="Arial" w:cs="Arial"/>
        </w:rPr>
      </w:pPr>
    </w:p>
    <w:p w14:paraId="7D9FA6E4" w14:textId="77777777" w:rsidR="00916146" w:rsidRDefault="00916146" w:rsidP="00E311F0">
      <w:pPr>
        <w:spacing w:line="360" w:lineRule="auto"/>
        <w:jc w:val="both"/>
        <w:rPr>
          <w:rFonts w:ascii="Arial" w:hAnsi="Arial" w:cs="Arial"/>
        </w:rPr>
      </w:pPr>
    </w:p>
    <w:p w14:paraId="53942F95" w14:textId="77777777" w:rsidR="00916146" w:rsidRDefault="00916146" w:rsidP="00E311F0">
      <w:pPr>
        <w:spacing w:line="360" w:lineRule="auto"/>
        <w:jc w:val="both"/>
        <w:rPr>
          <w:rFonts w:ascii="Arial" w:hAnsi="Arial" w:cs="Arial"/>
        </w:rPr>
      </w:pPr>
    </w:p>
    <w:p w14:paraId="7ABE3206" w14:textId="77777777" w:rsidR="00545800" w:rsidRDefault="00545800" w:rsidP="00E311F0">
      <w:pPr>
        <w:spacing w:line="360" w:lineRule="auto"/>
        <w:jc w:val="both"/>
        <w:rPr>
          <w:rFonts w:ascii="Arial" w:hAnsi="Arial" w:cs="Arial"/>
        </w:rPr>
      </w:pPr>
    </w:p>
    <w:p w14:paraId="499E9A24" w14:textId="138F02FC" w:rsidR="00916146" w:rsidRDefault="00916146" w:rsidP="00916146">
      <w:pPr>
        <w:pStyle w:val="Heading3"/>
        <w:rPr>
          <w:rFonts w:ascii="Arial" w:hAnsi="Arial" w:cs="Arial"/>
        </w:rPr>
      </w:pPr>
      <w:bookmarkStart w:id="9" w:name="_Toc235710745"/>
      <w:r>
        <w:rPr>
          <w:rFonts w:ascii="Arial" w:hAnsi="Arial" w:cs="Arial"/>
        </w:rPr>
        <w:t>Conclusion</w:t>
      </w:r>
      <w:bookmarkEnd w:id="9"/>
      <w:r>
        <w:rPr>
          <w:rFonts w:ascii="Arial" w:hAnsi="Arial" w:cs="Arial"/>
        </w:rPr>
        <w:t xml:space="preserve"> </w:t>
      </w:r>
    </w:p>
    <w:p w14:paraId="7FDE08EA" w14:textId="39D86183" w:rsidR="00916146" w:rsidRDefault="00916146" w:rsidP="00916146">
      <w:pPr>
        <w:spacing w:line="360" w:lineRule="auto"/>
        <w:jc w:val="both"/>
        <w:rPr>
          <w:rFonts w:ascii="Arial" w:hAnsi="Arial" w:cs="Arial"/>
        </w:rPr>
      </w:pPr>
      <w:r>
        <w:rPr>
          <w:rFonts w:ascii="Arial" w:hAnsi="Arial" w:cs="Arial"/>
        </w:rPr>
        <w:t>The Ocado-AEON partnership combines Ocado’s automated grocery technology with AEON’s Japanese market knowledge, as demonstrated by the Green Beans launch and continuing CFC expansion. Its principal communication risks concern implicit versus explicit meaning, public disagreement, hierarchy, consensus, uncertainty and unequal confidence in English. Hall and Hofstede help anticipate these differences, but their national categories must not become stereotypes. The decisive managerial task is to make consequential meaning explicit without dismissing the relational and consultative processes through which Japanese colleagues build trust. Bilingual preparation, staged decisions, closed-loop confirmation, multiple channels for voice and jointly designed hybrid team culture can convert cultural difference from a source of delay into a source of learning, quality and innovation.</w:t>
      </w:r>
    </w:p>
    <w:p w14:paraId="4F6E3F7F" w14:textId="77777777" w:rsidR="00916146" w:rsidRDefault="00916146" w:rsidP="00916146">
      <w:pPr>
        <w:spacing w:line="360" w:lineRule="auto"/>
        <w:jc w:val="both"/>
        <w:rPr>
          <w:rFonts w:ascii="Arial" w:hAnsi="Arial" w:cs="Arial"/>
        </w:rPr>
      </w:pPr>
    </w:p>
    <w:p w14:paraId="76F71D31" w14:textId="77777777" w:rsidR="00916146" w:rsidRDefault="00916146" w:rsidP="00916146">
      <w:pPr>
        <w:spacing w:line="360" w:lineRule="auto"/>
        <w:jc w:val="both"/>
        <w:rPr>
          <w:rFonts w:ascii="Arial" w:hAnsi="Arial" w:cs="Arial"/>
        </w:rPr>
      </w:pPr>
    </w:p>
    <w:p w14:paraId="71E435A0" w14:textId="77777777" w:rsidR="00916146" w:rsidRDefault="00916146" w:rsidP="00916146">
      <w:pPr>
        <w:spacing w:line="360" w:lineRule="auto"/>
        <w:jc w:val="both"/>
        <w:rPr>
          <w:rFonts w:ascii="Arial" w:hAnsi="Arial" w:cs="Arial"/>
        </w:rPr>
      </w:pPr>
    </w:p>
    <w:p w14:paraId="64A59D3C" w14:textId="77777777" w:rsidR="00916146" w:rsidRDefault="00916146" w:rsidP="00916146">
      <w:pPr>
        <w:spacing w:line="360" w:lineRule="auto"/>
        <w:jc w:val="both"/>
        <w:rPr>
          <w:rFonts w:ascii="Arial" w:hAnsi="Arial" w:cs="Arial"/>
        </w:rPr>
      </w:pPr>
    </w:p>
    <w:p w14:paraId="23957DD6" w14:textId="77777777" w:rsidR="00916146" w:rsidRDefault="00916146" w:rsidP="00916146">
      <w:pPr>
        <w:spacing w:line="360" w:lineRule="auto"/>
        <w:jc w:val="both"/>
        <w:rPr>
          <w:rFonts w:ascii="Arial" w:hAnsi="Arial" w:cs="Arial"/>
        </w:rPr>
      </w:pPr>
    </w:p>
    <w:p w14:paraId="35BC8CC7" w14:textId="77777777" w:rsidR="00916146" w:rsidRDefault="00916146" w:rsidP="00916146">
      <w:pPr>
        <w:spacing w:line="360" w:lineRule="auto"/>
        <w:jc w:val="both"/>
        <w:rPr>
          <w:rFonts w:ascii="Arial" w:hAnsi="Arial" w:cs="Arial"/>
        </w:rPr>
      </w:pPr>
    </w:p>
    <w:p w14:paraId="246415D9" w14:textId="77777777" w:rsidR="00916146" w:rsidRDefault="00916146" w:rsidP="00916146">
      <w:pPr>
        <w:spacing w:line="360" w:lineRule="auto"/>
        <w:jc w:val="both"/>
        <w:rPr>
          <w:rFonts w:ascii="Arial" w:hAnsi="Arial" w:cs="Arial"/>
        </w:rPr>
      </w:pPr>
    </w:p>
    <w:p w14:paraId="5632AC19" w14:textId="77777777" w:rsidR="00916146" w:rsidRDefault="00916146" w:rsidP="00916146">
      <w:pPr>
        <w:spacing w:line="360" w:lineRule="auto"/>
        <w:jc w:val="both"/>
        <w:rPr>
          <w:rFonts w:ascii="Arial" w:hAnsi="Arial" w:cs="Arial"/>
        </w:rPr>
      </w:pPr>
    </w:p>
    <w:p w14:paraId="51E58F65" w14:textId="77777777" w:rsidR="00916146" w:rsidRDefault="00916146" w:rsidP="00916146">
      <w:pPr>
        <w:spacing w:line="360" w:lineRule="auto"/>
        <w:jc w:val="both"/>
        <w:rPr>
          <w:rFonts w:ascii="Arial" w:hAnsi="Arial" w:cs="Arial"/>
        </w:rPr>
      </w:pPr>
    </w:p>
    <w:p w14:paraId="184F9A5E" w14:textId="77777777" w:rsidR="00916146" w:rsidRDefault="00916146" w:rsidP="00916146">
      <w:pPr>
        <w:spacing w:line="360" w:lineRule="auto"/>
        <w:jc w:val="both"/>
        <w:rPr>
          <w:rFonts w:ascii="Arial" w:hAnsi="Arial" w:cs="Arial"/>
        </w:rPr>
      </w:pPr>
    </w:p>
    <w:p w14:paraId="32D00DCB" w14:textId="77777777" w:rsidR="00916146" w:rsidRDefault="00916146" w:rsidP="00916146">
      <w:pPr>
        <w:spacing w:line="360" w:lineRule="auto"/>
        <w:jc w:val="both"/>
        <w:rPr>
          <w:rFonts w:ascii="Arial" w:hAnsi="Arial" w:cs="Arial"/>
        </w:rPr>
      </w:pPr>
    </w:p>
    <w:p w14:paraId="15C7EC4A" w14:textId="77777777" w:rsidR="00916146" w:rsidRDefault="00916146" w:rsidP="00916146">
      <w:pPr>
        <w:spacing w:line="360" w:lineRule="auto"/>
        <w:jc w:val="both"/>
        <w:rPr>
          <w:rFonts w:ascii="Arial" w:hAnsi="Arial" w:cs="Arial"/>
        </w:rPr>
      </w:pPr>
    </w:p>
    <w:p w14:paraId="45E31B92" w14:textId="77777777" w:rsidR="00916146" w:rsidRDefault="00916146" w:rsidP="00916146">
      <w:pPr>
        <w:spacing w:line="360" w:lineRule="auto"/>
        <w:jc w:val="both"/>
        <w:rPr>
          <w:rFonts w:ascii="Arial" w:hAnsi="Arial" w:cs="Arial"/>
        </w:rPr>
      </w:pPr>
    </w:p>
    <w:p w14:paraId="4EAA02C5" w14:textId="77777777" w:rsidR="00916146" w:rsidRDefault="00916146" w:rsidP="00916146">
      <w:pPr>
        <w:spacing w:line="360" w:lineRule="auto"/>
        <w:jc w:val="both"/>
        <w:rPr>
          <w:rFonts w:ascii="Arial" w:hAnsi="Arial" w:cs="Arial"/>
        </w:rPr>
      </w:pPr>
    </w:p>
    <w:p w14:paraId="0A67E73F" w14:textId="77777777" w:rsidR="00916146" w:rsidRDefault="00916146" w:rsidP="00916146">
      <w:pPr>
        <w:spacing w:line="360" w:lineRule="auto"/>
        <w:jc w:val="both"/>
        <w:rPr>
          <w:rFonts w:ascii="Arial" w:hAnsi="Arial" w:cs="Arial"/>
        </w:rPr>
      </w:pPr>
    </w:p>
    <w:p w14:paraId="77C51BA0" w14:textId="0DC6CBC6" w:rsidR="00916146" w:rsidRDefault="00916146" w:rsidP="00916146">
      <w:pPr>
        <w:pStyle w:val="Heading3"/>
        <w:rPr>
          <w:rFonts w:ascii="Arial" w:hAnsi="Arial" w:cs="Arial"/>
        </w:rPr>
      </w:pPr>
      <w:bookmarkStart w:id="10" w:name="_Toc235710746"/>
      <w:r>
        <w:rPr>
          <w:rFonts w:ascii="Arial" w:hAnsi="Arial" w:cs="Arial"/>
        </w:rPr>
        <w:t>References</w:t>
      </w:r>
      <w:bookmarkEnd w:id="10"/>
      <w:r>
        <w:rPr>
          <w:rFonts w:ascii="Arial" w:hAnsi="Arial" w:cs="Arial"/>
        </w:rPr>
        <w:t xml:space="preserve"> </w:t>
      </w:r>
    </w:p>
    <w:p w14:paraId="65E00243" w14:textId="31D752EB"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AEON Co., Ltd. (2019) </w:t>
      </w:r>
      <w:r w:rsidRPr="00916146">
        <w:rPr>
          <w:rFonts w:ascii="Arial" w:hAnsi="Arial" w:cs="Arial"/>
          <w:i/>
          <w:iCs/>
        </w:rPr>
        <w:t>Aeon's next generation online supermarket to be born: Strategic partnership with UK company Ocado</w:t>
      </w:r>
      <w:r w:rsidRPr="00916146">
        <w:rPr>
          <w:rFonts w:ascii="Arial" w:hAnsi="Arial" w:cs="Arial"/>
        </w:rPr>
        <w:t xml:space="preserve">. 29 November. Available at: </w:t>
      </w:r>
      <w:hyperlink r:id="rId8" w:history="1">
        <w:r w:rsidRPr="006511F1">
          <w:rPr>
            <w:rStyle w:val="Hyperlink"/>
            <w:rFonts w:ascii="Arial" w:hAnsi="Arial" w:cs="Arial"/>
          </w:rPr>
          <w:t>https://www.aeon.info/common/images/en/pressroom/imgsrc/191129R_1_E.pdf</w:t>
        </w:r>
      </w:hyperlink>
      <w:r>
        <w:rPr>
          <w:rFonts w:ascii="Arial" w:hAnsi="Arial" w:cs="Arial"/>
        </w:rPr>
        <w:t xml:space="preserve"> </w:t>
      </w:r>
      <w:r w:rsidRPr="00916146">
        <w:rPr>
          <w:rFonts w:ascii="Arial" w:hAnsi="Arial" w:cs="Arial"/>
        </w:rPr>
        <w:t>(Accessed: 23 July 2026).</w:t>
      </w:r>
    </w:p>
    <w:p w14:paraId="5DC3B09C" w14:textId="3BF9A253"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AEON NEXT Co., Ltd. (2024) </w:t>
      </w:r>
      <w:r w:rsidRPr="00916146">
        <w:rPr>
          <w:rFonts w:ascii="Arial" w:hAnsi="Arial" w:cs="Arial"/>
          <w:i/>
          <w:iCs/>
        </w:rPr>
        <w:t>Construction begins on Kuki Miyashiro CFC, scheduled to go live in 2027</w:t>
      </w:r>
      <w:r w:rsidRPr="00916146">
        <w:rPr>
          <w:rFonts w:ascii="Arial" w:hAnsi="Arial" w:cs="Arial"/>
        </w:rPr>
        <w:t xml:space="preserve">. 30 August. Available at: </w:t>
      </w:r>
      <w:hyperlink r:id="rId9" w:history="1">
        <w:r w:rsidRPr="006511F1">
          <w:rPr>
            <w:rStyle w:val="Hyperlink"/>
            <w:rFonts w:ascii="Arial" w:hAnsi="Arial" w:cs="Arial"/>
          </w:rPr>
          <w:t>https://www.aeon.info/wp-content/uploads/news/pdf/2024/08/240830R_1_EN.pdf</w:t>
        </w:r>
      </w:hyperlink>
      <w:r>
        <w:rPr>
          <w:rFonts w:ascii="Arial" w:hAnsi="Arial" w:cs="Arial"/>
        </w:rPr>
        <w:t xml:space="preserve"> </w:t>
      </w:r>
      <w:r w:rsidRPr="00916146">
        <w:rPr>
          <w:rFonts w:ascii="Arial" w:hAnsi="Arial" w:cs="Arial"/>
        </w:rPr>
        <w:t>(Accessed: 23 July 2026).</w:t>
      </w:r>
    </w:p>
    <w:p w14:paraId="375B3C92" w14:textId="77777777"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Brannen, M.Y., Piekkari, R. and Tietze, S. (2014) </w:t>
      </w:r>
      <w:r w:rsidRPr="00CD6E43">
        <w:rPr>
          <w:rFonts w:ascii="Arial" w:hAnsi="Arial" w:cs="Arial"/>
          <w:i/>
          <w:iCs/>
        </w:rPr>
        <w:t>'The multifaceted role of language in international business: Unpacking the forms, functions and features of a critical challenge to MNC theory and performance', Journal of International Business Studies</w:t>
      </w:r>
      <w:r w:rsidRPr="00916146">
        <w:rPr>
          <w:rFonts w:ascii="Arial" w:hAnsi="Arial" w:cs="Arial"/>
        </w:rPr>
        <w:t>, 45(5), pp. 495-507. doi: 10.1057/jibs.2014.24.</w:t>
      </w:r>
    </w:p>
    <w:p w14:paraId="422F7618" w14:textId="77777777"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Earley, P.C. and Mosakowski, E. (2000) </w:t>
      </w:r>
      <w:r w:rsidRPr="00CD6E43">
        <w:rPr>
          <w:rFonts w:ascii="Arial" w:hAnsi="Arial" w:cs="Arial"/>
          <w:i/>
          <w:iCs/>
        </w:rPr>
        <w:t>'Creating hybrid team cultures: An empirical test of transnational team functioning'</w:t>
      </w:r>
      <w:r w:rsidRPr="00916146">
        <w:rPr>
          <w:rFonts w:ascii="Arial" w:hAnsi="Arial" w:cs="Arial"/>
        </w:rPr>
        <w:t xml:space="preserve">, </w:t>
      </w:r>
      <w:r w:rsidRPr="00916146">
        <w:rPr>
          <w:rFonts w:ascii="Arial" w:hAnsi="Arial" w:cs="Arial"/>
          <w:i/>
          <w:iCs/>
        </w:rPr>
        <w:t>Academy of Management Journal</w:t>
      </w:r>
      <w:r w:rsidRPr="00916146">
        <w:rPr>
          <w:rFonts w:ascii="Arial" w:hAnsi="Arial" w:cs="Arial"/>
        </w:rPr>
        <w:t>, 43(1), pp. 26-49. doi: 10.5465/1556384.</w:t>
      </w:r>
    </w:p>
    <w:p w14:paraId="31D25461" w14:textId="77777777"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Hall, E.T. (1976) </w:t>
      </w:r>
      <w:r w:rsidRPr="00916146">
        <w:rPr>
          <w:rFonts w:ascii="Arial" w:hAnsi="Arial" w:cs="Arial"/>
          <w:i/>
          <w:iCs/>
        </w:rPr>
        <w:t>Beyond culture</w:t>
      </w:r>
      <w:r w:rsidRPr="00916146">
        <w:rPr>
          <w:rFonts w:ascii="Arial" w:hAnsi="Arial" w:cs="Arial"/>
        </w:rPr>
        <w:t>. Garden City, NY: Anchor Press/Doubleday.</w:t>
      </w:r>
    </w:p>
    <w:p w14:paraId="6CFBE906" w14:textId="77777777"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Hofstede, G., Hofstede, G.J. and Minkov, M. (2010) </w:t>
      </w:r>
      <w:r w:rsidRPr="00916146">
        <w:rPr>
          <w:rFonts w:ascii="Arial" w:hAnsi="Arial" w:cs="Arial"/>
          <w:i/>
          <w:iCs/>
        </w:rPr>
        <w:t>Cultures and organizations: Software of the mind</w:t>
      </w:r>
      <w:r w:rsidRPr="00916146">
        <w:rPr>
          <w:rFonts w:ascii="Arial" w:hAnsi="Arial" w:cs="Arial"/>
        </w:rPr>
        <w:t>. 3rd edn. New York: McGraw-Hill.</w:t>
      </w:r>
    </w:p>
    <w:p w14:paraId="17277894" w14:textId="77777777"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Kittler, M.G., Rygl, D. and Mackinnon, A. (2011) </w:t>
      </w:r>
      <w:r w:rsidRPr="00CD6E43">
        <w:rPr>
          <w:rFonts w:ascii="Arial" w:hAnsi="Arial" w:cs="Arial"/>
          <w:i/>
          <w:iCs/>
        </w:rPr>
        <w:t>'Beyond culture or beyond control? Reviewing the use of Hall's high-/low-context concept', International Journal of Cross Cultural Management</w:t>
      </w:r>
      <w:r w:rsidRPr="00916146">
        <w:rPr>
          <w:rFonts w:ascii="Arial" w:hAnsi="Arial" w:cs="Arial"/>
        </w:rPr>
        <w:t>, 11(1), pp. 63-82. doi: 10.1177/1470595811398797.</w:t>
      </w:r>
    </w:p>
    <w:p w14:paraId="604980BC" w14:textId="77777777"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McSweeney, B. (2002) </w:t>
      </w:r>
      <w:r w:rsidRPr="00CD6E43">
        <w:rPr>
          <w:rFonts w:ascii="Arial" w:hAnsi="Arial" w:cs="Arial"/>
          <w:i/>
          <w:iCs/>
        </w:rPr>
        <w:t>'Hofstede's model of national cultural differences and their consequences: A triumph of faith - a failure of analysis'</w:t>
      </w:r>
      <w:r w:rsidRPr="00916146">
        <w:rPr>
          <w:rFonts w:ascii="Arial" w:hAnsi="Arial" w:cs="Arial"/>
        </w:rPr>
        <w:t xml:space="preserve">, </w:t>
      </w:r>
      <w:r w:rsidRPr="00916146">
        <w:rPr>
          <w:rFonts w:ascii="Arial" w:hAnsi="Arial" w:cs="Arial"/>
          <w:i/>
          <w:iCs/>
        </w:rPr>
        <w:t>Human Relations</w:t>
      </w:r>
      <w:r w:rsidRPr="00916146">
        <w:rPr>
          <w:rFonts w:ascii="Arial" w:hAnsi="Arial" w:cs="Arial"/>
        </w:rPr>
        <w:t>, 55(1), pp. 89-118. doi: 10.1177/0018726702551004.</w:t>
      </w:r>
    </w:p>
    <w:p w14:paraId="7EDC8442" w14:textId="77777777"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lastRenderedPageBreak/>
        <w:t xml:space="preserve">Meyer, E. (2014) </w:t>
      </w:r>
      <w:r w:rsidRPr="00916146">
        <w:rPr>
          <w:rFonts w:ascii="Arial" w:hAnsi="Arial" w:cs="Arial"/>
          <w:i/>
          <w:iCs/>
        </w:rPr>
        <w:t>The culture map: Breaking through the invisible boundaries of global business</w:t>
      </w:r>
      <w:r w:rsidRPr="00916146">
        <w:rPr>
          <w:rFonts w:ascii="Arial" w:hAnsi="Arial" w:cs="Arial"/>
        </w:rPr>
        <w:t>. New York: PublicAffairs.</w:t>
      </w:r>
    </w:p>
    <w:p w14:paraId="6CCAE19E" w14:textId="4C9252D3"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Ocado Group (2023) </w:t>
      </w:r>
      <w:r w:rsidRPr="00CD6E43">
        <w:rPr>
          <w:rFonts w:ascii="Arial" w:hAnsi="Arial" w:cs="Arial"/>
          <w:i/>
          <w:iCs/>
        </w:rPr>
        <w:t>'Ocado launches first CFC in Asia with AEON'</w:t>
      </w:r>
      <w:r w:rsidRPr="00916146">
        <w:rPr>
          <w:rFonts w:ascii="Arial" w:hAnsi="Arial" w:cs="Arial"/>
        </w:rPr>
        <w:t xml:space="preserve">, 10 July. Available at: </w:t>
      </w:r>
      <w:hyperlink r:id="rId10" w:history="1">
        <w:r w:rsidRPr="006511F1">
          <w:rPr>
            <w:rStyle w:val="Hyperlink"/>
            <w:rFonts w:ascii="Arial" w:hAnsi="Arial" w:cs="Arial"/>
          </w:rPr>
          <w:t>https://www.ocadogroup.com/newsroom/news/ocado-launches-first-cfc-in-asia-with-aeon</w:t>
        </w:r>
      </w:hyperlink>
      <w:r>
        <w:rPr>
          <w:rFonts w:ascii="Arial" w:hAnsi="Arial" w:cs="Arial"/>
        </w:rPr>
        <w:t xml:space="preserve"> </w:t>
      </w:r>
      <w:r w:rsidRPr="00916146">
        <w:rPr>
          <w:rFonts w:ascii="Arial" w:hAnsi="Arial" w:cs="Arial"/>
        </w:rPr>
        <w:t>(Accessed: 23 July 2026).</w:t>
      </w:r>
    </w:p>
    <w:p w14:paraId="3E3E5E2A" w14:textId="41D7237F"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Ocado Group (2024) </w:t>
      </w:r>
      <w:r w:rsidRPr="00CD6E43">
        <w:rPr>
          <w:rFonts w:ascii="Arial" w:hAnsi="Arial" w:cs="Arial"/>
          <w:i/>
          <w:iCs/>
        </w:rPr>
        <w:t>'Ocado and AEON announce a third Customer Fulfilment Centre in Japan'</w:t>
      </w:r>
      <w:r w:rsidRPr="00916146">
        <w:rPr>
          <w:rFonts w:ascii="Arial" w:hAnsi="Arial" w:cs="Arial"/>
        </w:rPr>
        <w:t xml:space="preserve">, 8 July. Available at: </w:t>
      </w:r>
      <w:hyperlink r:id="rId11" w:history="1">
        <w:r w:rsidRPr="006511F1">
          <w:rPr>
            <w:rStyle w:val="Hyperlink"/>
            <w:rFonts w:ascii="Arial" w:hAnsi="Arial" w:cs="Arial"/>
          </w:rPr>
          <w:t>https://www.ocadogroup.com/newsroom/news/ocado-and-aeon-announce-third-customer-fulfilment-centre-in-japan</w:t>
        </w:r>
      </w:hyperlink>
      <w:r>
        <w:rPr>
          <w:rFonts w:ascii="Arial" w:hAnsi="Arial" w:cs="Arial"/>
        </w:rPr>
        <w:t xml:space="preserve"> </w:t>
      </w:r>
      <w:r w:rsidRPr="00916146">
        <w:rPr>
          <w:rFonts w:ascii="Arial" w:hAnsi="Arial" w:cs="Arial"/>
        </w:rPr>
        <w:t>(Accessed: 23 July 2026).</w:t>
      </w:r>
    </w:p>
    <w:p w14:paraId="79AF3D28" w14:textId="6E3F958C"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Puig, M. (2023) </w:t>
      </w:r>
      <w:r w:rsidRPr="00CD6E43">
        <w:rPr>
          <w:rFonts w:ascii="Arial" w:hAnsi="Arial" w:cs="Arial"/>
          <w:i/>
          <w:iCs/>
        </w:rPr>
        <w:t>'A search engine for Japanese retail'</w:t>
      </w:r>
      <w:r w:rsidRPr="00916146">
        <w:rPr>
          <w:rFonts w:ascii="Arial" w:hAnsi="Arial" w:cs="Arial"/>
        </w:rPr>
        <w:t xml:space="preserve">, </w:t>
      </w:r>
      <w:r w:rsidRPr="00916146">
        <w:rPr>
          <w:rFonts w:ascii="Arial" w:hAnsi="Arial" w:cs="Arial"/>
          <w:i/>
          <w:iCs/>
        </w:rPr>
        <w:t>Ocado Group</w:t>
      </w:r>
      <w:r w:rsidRPr="00916146">
        <w:rPr>
          <w:rFonts w:ascii="Arial" w:hAnsi="Arial" w:cs="Arial"/>
        </w:rPr>
        <w:t xml:space="preserve">, 6 June. Available at: </w:t>
      </w:r>
      <w:hyperlink r:id="rId12" w:history="1">
        <w:r w:rsidRPr="006511F1">
          <w:rPr>
            <w:rStyle w:val="Hyperlink"/>
            <w:rFonts w:ascii="Arial" w:hAnsi="Arial" w:cs="Arial"/>
          </w:rPr>
          <w:t>https://careers.ocadogroup.com/blogs/a-search-engine-for-japanese-retail</w:t>
        </w:r>
      </w:hyperlink>
      <w:r>
        <w:rPr>
          <w:rFonts w:ascii="Arial" w:hAnsi="Arial" w:cs="Arial"/>
        </w:rPr>
        <w:t xml:space="preserve"> </w:t>
      </w:r>
      <w:r w:rsidRPr="00916146">
        <w:rPr>
          <w:rFonts w:ascii="Arial" w:hAnsi="Arial" w:cs="Arial"/>
        </w:rPr>
        <w:t>(Accessed: 23 July 2026).</w:t>
      </w:r>
    </w:p>
    <w:p w14:paraId="52CA27CF" w14:textId="77777777"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Stahl, G.K., Maznevski, M.L., Voigt, A. and Jonsen, K. (2010) </w:t>
      </w:r>
      <w:r w:rsidRPr="00CD6E43">
        <w:rPr>
          <w:rFonts w:ascii="Arial" w:hAnsi="Arial" w:cs="Arial"/>
          <w:i/>
          <w:iCs/>
        </w:rPr>
        <w:t>'Unraveling the effects of cultural diversity in teams: A meta-analysis of research on multicultural work groups', Journal of International Business Studies</w:t>
      </w:r>
      <w:r w:rsidRPr="00916146">
        <w:rPr>
          <w:rFonts w:ascii="Arial" w:hAnsi="Arial" w:cs="Arial"/>
        </w:rPr>
        <w:t>, 41(4), pp. 690-709. doi: 10.1057/jibs.2009.85.</w:t>
      </w:r>
    </w:p>
    <w:p w14:paraId="306608D7" w14:textId="77777777" w:rsidR="00916146" w:rsidRPr="00916146" w:rsidRDefault="00916146" w:rsidP="00916146">
      <w:pPr>
        <w:pStyle w:val="ListParagraph"/>
        <w:numPr>
          <w:ilvl w:val="0"/>
          <w:numId w:val="2"/>
        </w:numPr>
        <w:spacing w:line="360" w:lineRule="auto"/>
        <w:jc w:val="both"/>
        <w:rPr>
          <w:rFonts w:ascii="Arial" w:hAnsi="Arial" w:cs="Arial"/>
        </w:rPr>
      </w:pPr>
      <w:r w:rsidRPr="00916146">
        <w:rPr>
          <w:rFonts w:ascii="Arial" w:hAnsi="Arial" w:cs="Arial"/>
        </w:rPr>
        <w:t xml:space="preserve">Tenzer, H., Pudelko, M. and Harzing, A.-W. (2014) </w:t>
      </w:r>
      <w:r w:rsidRPr="00CD6E43">
        <w:rPr>
          <w:rFonts w:ascii="Arial" w:hAnsi="Arial" w:cs="Arial"/>
          <w:i/>
          <w:iCs/>
        </w:rPr>
        <w:t>'The impact of language barriers on trust formation in multinational teams',</w:t>
      </w:r>
      <w:r w:rsidRPr="00916146">
        <w:rPr>
          <w:rFonts w:ascii="Arial" w:hAnsi="Arial" w:cs="Arial"/>
        </w:rPr>
        <w:t xml:space="preserve"> </w:t>
      </w:r>
      <w:r w:rsidRPr="00916146">
        <w:rPr>
          <w:rFonts w:ascii="Arial" w:hAnsi="Arial" w:cs="Arial"/>
          <w:i/>
          <w:iCs/>
        </w:rPr>
        <w:t>Journal of International Business Studies</w:t>
      </w:r>
      <w:r w:rsidRPr="00916146">
        <w:rPr>
          <w:rFonts w:ascii="Arial" w:hAnsi="Arial" w:cs="Arial"/>
        </w:rPr>
        <w:t>, 45(5), pp. 508-535. doi: 10.1057/jibs.2013.64.</w:t>
      </w:r>
    </w:p>
    <w:p w14:paraId="3658CA25" w14:textId="77777777" w:rsidR="00916146" w:rsidRPr="00916146" w:rsidRDefault="00916146" w:rsidP="00916146">
      <w:pPr>
        <w:pStyle w:val="ListParagraph"/>
      </w:pPr>
    </w:p>
    <w:sectPr w:rsidR="00916146" w:rsidRPr="0091614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787CC8" w14:textId="77777777" w:rsidR="00874672" w:rsidRDefault="00874672" w:rsidP="00916146">
      <w:pPr>
        <w:spacing w:after="0" w:line="240" w:lineRule="auto"/>
      </w:pPr>
      <w:r>
        <w:separator/>
      </w:r>
    </w:p>
  </w:endnote>
  <w:endnote w:type="continuationSeparator" w:id="0">
    <w:p w14:paraId="2408A1F4" w14:textId="77777777" w:rsidR="00874672" w:rsidRDefault="00874672" w:rsidP="00916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095397"/>
      <w:docPartObj>
        <w:docPartGallery w:val="Page Numbers (Bottom of Page)"/>
        <w:docPartUnique/>
      </w:docPartObj>
    </w:sdtPr>
    <w:sdtContent>
      <w:p w14:paraId="625A637E" w14:textId="63C448BE" w:rsidR="00545800" w:rsidRDefault="00545800">
        <w:pPr>
          <w:pStyle w:val="Footer"/>
          <w:jc w:val="center"/>
        </w:pPr>
        <w:r>
          <w:fldChar w:fldCharType="begin"/>
        </w:r>
        <w:r>
          <w:instrText>PAGE   \* MERGEFORMAT</w:instrText>
        </w:r>
        <w:r>
          <w:fldChar w:fldCharType="separate"/>
        </w:r>
        <w:r>
          <w:t>2</w:t>
        </w:r>
        <w:r>
          <w:fldChar w:fldCharType="end"/>
        </w:r>
      </w:p>
    </w:sdtContent>
  </w:sdt>
  <w:p w14:paraId="063CFF08" w14:textId="77777777" w:rsidR="00545800" w:rsidRDefault="005458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B4E688" w14:textId="77777777" w:rsidR="00874672" w:rsidRDefault="00874672" w:rsidP="00916146">
      <w:pPr>
        <w:spacing w:after="0" w:line="240" w:lineRule="auto"/>
      </w:pPr>
      <w:r>
        <w:separator/>
      </w:r>
    </w:p>
  </w:footnote>
  <w:footnote w:type="continuationSeparator" w:id="0">
    <w:p w14:paraId="57D30950" w14:textId="77777777" w:rsidR="00874672" w:rsidRDefault="00874672" w:rsidP="009161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248DD"/>
    <w:multiLevelType w:val="hybridMultilevel"/>
    <w:tmpl w:val="1DE43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916BBB"/>
    <w:multiLevelType w:val="hybridMultilevel"/>
    <w:tmpl w:val="4B1E20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474589">
    <w:abstractNumId w:val="1"/>
  </w:num>
  <w:num w:numId="2" w16cid:durableId="1868446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0A5"/>
    <w:rsid w:val="00093C8A"/>
    <w:rsid w:val="001D2BDE"/>
    <w:rsid w:val="00232A1F"/>
    <w:rsid w:val="002A1394"/>
    <w:rsid w:val="004C1E22"/>
    <w:rsid w:val="004E4B6E"/>
    <w:rsid w:val="00545800"/>
    <w:rsid w:val="005500B2"/>
    <w:rsid w:val="00874672"/>
    <w:rsid w:val="00886729"/>
    <w:rsid w:val="008948F7"/>
    <w:rsid w:val="008A3F90"/>
    <w:rsid w:val="00916146"/>
    <w:rsid w:val="00944294"/>
    <w:rsid w:val="00A97013"/>
    <w:rsid w:val="00B95464"/>
    <w:rsid w:val="00C006D6"/>
    <w:rsid w:val="00CD6E43"/>
    <w:rsid w:val="00DB36F4"/>
    <w:rsid w:val="00DE04D0"/>
    <w:rsid w:val="00E311F0"/>
    <w:rsid w:val="00E900A5"/>
    <w:rsid w:val="00FE3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7936A"/>
  <w15:chartTrackingRefBased/>
  <w15:docId w15:val="{23DC2BB3-E7A6-4667-9666-A25571BE0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0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0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0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0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0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0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0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0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0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0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0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0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0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0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0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0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0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0A5"/>
    <w:rPr>
      <w:rFonts w:eastAsiaTheme="majorEastAsia" w:cstheme="majorBidi"/>
      <w:color w:val="272727" w:themeColor="text1" w:themeTint="D8"/>
    </w:rPr>
  </w:style>
  <w:style w:type="paragraph" w:styleId="Title">
    <w:name w:val="Title"/>
    <w:basedOn w:val="Normal"/>
    <w:next w:val="Normal"/>
    <w:link w:val="TitleChar"/>
    <w:uiPriority w:val="10"/>
    <w:qFormat/>
    <w:rsid w:val="00E900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0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0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0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0A5"/>
    <w:pPr>
      <w:spacing w:before="160"/>
      <w:jc w:val="center"/>
    </w:pPr>
    <w:rPr>
      <w:i/>
      <w:iCs/>
      <w:color w:val="404040" w:themeColor="text1" w:themeTint="BF"/>
    </w:rPr>
  </w:style>
  <w:style w:type="character" w:customStyle="1" w:styleId="QuoteChar">
    <w:name w:val="Quote Char"/>
    <w:basedOn w:val="DefaultParagraphFont"/>
    <w:link w:val="Quote"/>
    <w:uiPriority w:val="29"/>
    <w:rsid w:val="00E900A5"/>
    <w:rPr>
      <w:i/>
      <w:iCs/>
      <w:color w:val="404040" w:themeColor="text1" w:themeTint="BF"/>
    </w:rPr>
  </w:style>
  <w:style w:type="paragraph" w:styleId="ListParagraph">
    <w:name w:val="List Paragraph"/>
    <w:basedOn w:val="Normal"/>
    <w:uiPriority w:val="34"/>
    <w:qFormat/>
    <w:rsid w:val="00E900A5"/>
    <w:pPr>
      <w:ind w:left="720"/>
      <w:contextualSpacing/>
    </w:pPr>
  </w:style>
  <w:style w:type="character" w:styleId="IntenseEmphasis">
    <w:name w:val="Intense Emphasis"/>
    <w:basedOn w:val="DefaultParagraphFont"/>
    <w:uiPriority w:val="21"/>
    <w:qFormat/>
    <w:rsid w:val="00E900A5"/>
    <w:rPr>
      <w:i/>
      <w:iCs/>
      <w:color w:val="0F4761" w:themeColor="accent1" w:themeShade="BF"/>
    </w:rPr>
  </w:style>
  <w:style w:type="paragraph" w:styleId="IntenseQuote">
    <w:name w:val="Intense Quote"/>
    <w:basedOn w:val="Normal"/>
    <w:next w:val="Normal"/>
    <w:link w:val="IntenseQuoteChar"/>
    <w:uiPriority w:val="30"/>
    <w:qFormat/>
    <w:rsid w:val="00E900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0A5"/>
    <w:rPr>
      <w:i/>
      <w:iCs/>
      <w:color w:val="0F4761" w:themeColor="accent1" w:themeShade="BF"/>
    </w:rPr>
  </w:style>
  <w:style w:type="character" w:styleId="IntenseReference">
    <w:name w:val="Intense Reference"/>
    <w:basedOn w:val="DefaultParagraphFont"/>
    <w:uiPriority w:val="32"/>
    <w:qFormat/>
    <w:rsid w:val="00E900A5"/>
    <w:rPr>
      <w:b/>
      <w:bCs/>
      <w:smallCaps/>
      <w:color w:val="0F4761" w:themeColor="accent1" w:themeShade="BF"/>
      <w:spacing w:val="5"/>
    </w:rPr>
  </w:style>
  <w:style w:type="paragraph" w:styleId="TOCHeading">
    <w:name w:val="TOC Heading"/>
    <w:basedOn w:val="Heading1"/>
    <w:next w:val="Normal"/>
    <w:uiPriority w:val="39"/>
    <w:unhideWhenUsed/>
    <w:qFormat/>
    <w:rsid w:val="00232A1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86729"/>
    <w:pPr>
      <w:spacing w:after="100"/>
    </w:pPr>
  </w:style>
  <w:style w:type="paragraph" w:styleId="TOC2">
    <w:name w:val="toc 2"/>
    <w:basedOn w:val="Normal"/>
    <w:next w:val="Normal"/>
    <w:autoRedefine/>
    <w:uiPriority w:val="39"/>
    <w:unhideWhenUsed/>
    <w:rsid w:val="00886729"/>
    <w:pPr>
      <w:spacing w:after="100"/>
      <w:ind w:left="240"/>
    </w:pPr>
  </w:style>
  <w:style w:type="character" w:styleId="Hyperlink">
    <w:name w:val="Hyperlink"/>
    <w:basedOn w:val="DefaultParagraphFont"/>
    <w:uiPriority w:val="99"/>
    <w:unhideWhenUsed/>
    <w:rsid w:val="00886729"/>
    <w:rPr>
      <w:color w:val="467886" w:themeColor="hyperlink"/>
      <w:u w:val="single"/>
    </w:rPr>
  </w:style>
  <w:style w:type="paragraph" w:styleId="Header">
    <w:name w:val="header"/>
    <w:basedOn w:val="Normal"/>
    <w:link w:val="HeaderChar"/>
    <w:uiPriority w:val="99"/>
    <w:unhideWhenUsed/>
    <w:rsid w:val="00916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146"/>
  </w:style>
  <w:style w:type="paragraph" w:styleId="Footer">
    <w:name w:val="footer"/>
    <w:basedOn w:val="Normal"/>
    <w:link w:val="FooterChar"/>
    <w:uiPriority w:val="99"/>
    <w:unhideWhenUsed/>
    <w:rsid w:val="00916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146"/>
  </w:style>
  <w:style w:type="character" w:styleId="UnresolvedMention">
    <w:name w:val="Unresolved Mention"/>
    <w:basedOn w:val="DefaultParagraphFont"/>
    <w:uiPriority w:val="99"/>
    <w:semiHidden/>
    <w:unhideWhenUsed/>
    <w:rsid w:val="00916146"/>
    <w:rPr>
      <w:color w:val="605E5C"/>
      <w:shd w:val="clear" w:color="auto" w:fill="E1DFDD"/>
    </w:rPr>
  </w:style>
  <w:style w:type="paragraph" w:styleId="TOC3">
    <w:name w:val="toc 3"/>
    <w:basedOn w:val="Normal"/>
    <w:next w:val="Normal"/>
    <w:autoRedefine/>
    <w:uiPriority w:val="39"/>
    <w:unhideWhenUsed/>
    <w:rsid w:val="0054580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eon.info/common/images/en/pressroom/imgsrc/191129R_1_E.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areers.ocadogroup.com/blogs/a-search-engine-for-japanese-retai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cadogroup.com/newsroom/news/ocado-and-aeon-announce-third-customer-fulfilment-centre-in-japa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ocadogroup.com/newsroom/news/ocado-launches-first-cfc-in-asia-with-aeon" TargetMode="External"/><Relationship Id="rId4" Type="http://schemas.openxmlformats.org/officeDocument/2006/relationships/settings" Target="settings.xml"/><Relationship Id="rId9" Type="http://schemas.openxmlformats.org/officeDocument/2006/relationships/hyperlink" Target="https://www.aeon.info/wp-content/uploads/news/pdf/2024/08/240830R_1_E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9C18BF-3D46-4970-B172-D937609AE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12</Pages>
  <Words>3041</Words>
  <Characters>17339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8</cp:revision>
  <dcterms:created xsi:type="dcterms:W3CDTF">2026-07-23T11:48:00Z</dcterms:created>
  <dcterms:modified xsi:type="dcterms:W3CDTF">2026-07-23T14:20:00Z</dcterms:modified>
</cp:coreProperties>
</file>