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B5418" w14:textId="30769198" w:rsidR="00203E62" w:rsidRDefault="00C80822" w:rsidP="008B18F5">
      <w:pPr>
        <w:rPr>
          <w:rFonts w:cstheme="minorHAnsi"/>
          <w:b/>
          <w:bCs/>
          <w:sz w:val="28"/>
          <w:szCs w:val="28"/>
          <w:shd w:val="clear" w:color="auto" w:fill="FFFFFF"/>
        </w:rPr>
      </w:pPr>
      <w:r w:rsidRPr="008B18F5">
        <w:rPr>
          <w:rFonts w:cstheme="minorHAnsi"/>
          <w:b/>
          <w:bCs/>
          <w:sz w:val="28"/>
          <w:szCs w:val="28"/>
          <w:shd w:val="clear" w:color="auto" w:fill="FFFFFF"/>
        </w:rPr>
        <w:t>A detailed account, including variants, of Alexander’s encounter with Talestris in the</w:t>
      </w:r>
      <w:r w:rsidRPr="008B18F5">
        <w:rPr>
          <w:rFonts w:cstheme="minorHAnsi"/>
          <w:b/>
          <w:bCs/>
          <w:sz w:val="28"/>
          <w:szCs w:val="28"/>
        </w:rPr>
        <w:t xml:space="preserve"> </w:t>
      </w:r>
      <w:r w:rsidRPr="008B18F5">
        <w:rPr>
          <w:rFonts w:cstheme="minorHAnsi"/>
          <w:b/>
          <w:bCs/>
          <w:sz w:val="28"/>
          <w:szCs w:val="28"/>
          <w:shd w:val="clear" w:color="auto" w:fill="FFFFFF"/>
        </w:rPr>
        <w:t xml:space="preserve">sources. </w:t>
      </w:r>
    </w:p>
    <w:p w14:paraId="4FBC35C8" w14:textId="77777777" w:rsidR="009D3D50" w:rsidRPr="008B18F5" w:rsidRDefault="009D3D50" w:rsidP="008B18F5">
      <w:pPr>
        <w:rPr>
          <w:rFonts w:cstheme="minorHAnsi"/>
          <w:b/>
          <w:bCs/>
          <w:sz w:val="28"/>
          <w:szCs w:val="28"/>
          <w:u w:val="single"/>
        </w:rPr>
      </w:pPr>
    </w:p>
    <w:p w14:paraId="27F61056" w14:textId="44378533" w:rsidR="00203E62" w:rsidRPr="009429C1" w:rsidRDefault="00C80822" w:rsidP="00203E62">
      <w:pPr>
        <w:rPr>
          <w:sz w:val="24"/>
          <w:szCs w:val="24"/>
        </w:rPr>
      </w:pPr>
      <w:r w:rsidRPr="009429C1">
        <w:rPr>
          <w:sz w:val="24"/>
          <w:szCs w:val="24"/>
        </w:rPr>
        <w:t xml:space="preserve"> “For all those who accompanied Alexander preferred the marvellous to the true</w:t>
      </w:r>
      <w:r w:rsidR="00AB7D0D">
        <w:rPr>
          <w:sz w:val="24"/>
          <w:szCs w:val="24"/>
        </w:rPr>
        <w:t>.</w:t>
      </w:r>
      <w:r w:rsidRPr="009429C1">
        <w:rPr>
          <w:sz w:val="24"/>
          <w:szCs w:val="24"/>
        </w:rPr>
        <w:t>”</w:t>
      </w:r>
      <w:r>
        <w:rPr>
          <w:rStyle w:val="FootnoteReference"/>
          <w:sz w:val="24"/>
          <w:szCs w:val="24"/>
        </w:rPr>
        <w:footnoteReference w:id="1"/>
      </w:r>
      <w:r w:rsidRPr="009429C1">
        <w:rPr>
          <w:sz w:val="24"/>
          <w:szCs w:val="24"/>
        </w:rPr>
        <w:t xml:space="preserve"> </w:t>
      </w:r>
      <w:r w:rsidR="009D3D50">
        <w:rPr>
          <w:sz w:val="24"/>
          <w:szCs w:val="24"/>
        </w:rPr>
        <w:t xml:space="preserve"> </w:t>
      </w:r>
      <w:r w:rsidRPr="009429C1">
        <w:rPr>
          <w:sz w:val="24"/>
          <w:szCs w:val="24"/>
        </w:rPr>
        <w:t>Strabo's comment is particularly relevant to this tale.  Quintus Curtius Rufus’ Historiae Alexandri Magni, arguably written in the first century AD</w:t>
      </w:r>
      <w:r w:rsidR="00DC0C8D">
        <w:rPr>
          <w:rStyle w:val="FootnoteReference"/>
          <w:sz w:val="24"/>
          <w:szCs w:val="24"/>
        </w:rPr>
        <w:footnoteReference w:id="2"/>
      </w:r>
      <w:r w:rsidRPr="009429C1">
        <w:rPr>
          <w:sz w:val="24"/>
          <w:szCs w:val="24"/>
        </w:rPr>
        <w:t xml:space="preserve">, provides a vivid account.  Purportedly, when in Hyrcania,  Alexander was visited by Talestris, Queen of the Amazons, populace of the Themiscyran plains surrounding the Thermodon River and with dominion from the Caucasus mountains to the Phasis River.  The visit was voluntary and impromptu.  However, messengers were sent to Alexander when nearby, successfully requesting an audience.  Halting her escort Talestris approached on horseback with a retinue of 300 women.  Seeing Alexander, she dismounted, holding two lances in her right hand and wearing a knee-length robe, which, gathered in a knot, left the left breast naked.  The right nipple is described as seared to assist bow draw and spear throwing, the other, un-mutilated, remains available for breastfeeding.  Visibly devoid of fear, Talestris assessed  Alexander's appearance, which was modest compared to his reputation.  Although Barbarians consider physical perfection a prerequisite for high achievement, Talestris readily revealed that she wished to bear Alexander's children.  Males would be returned whilst females would be retained.  Alexander asked whether Talestris would consider a military alliance.  Alleging that her kingdom had been left undefended, she reiterated her request with a fervour not shared by Alexander but sufficient to persuade him to spend thirteen days attempting to realise it.  Subsequently, Talestris returned home, and Alexander went to Parthiene. </w:t>
      </w:r>
      <w:r>
        <w:rPr>
          <w:rStyle w:val="FootnoteReference"/>
          <w:sz w:val="24"/>
          <w:szCs w:val="24"/>
        </w:rPr>
        <w:footnoteReference w:id="3"/>
      </w:r>
    </w:p>
    <w:p w14:paraId="25DD7136" w14:textId="350A34FF" w:rsidR="00203E62" w:rsidRPr="009429C1" w:rsidRDefault="00C80822" w:rsidP="00203E62">
      <w:pPr>
        <w:rPr>
          <w:sz w:val="24"/>
          <w:szCs w:val="24"/>
        </w:rPr>
      </w:pPr>
      <w:r w:rsidRPr="009429C1">
        <w:rPr>
          <w:sz w:val="24"/>
          <w:szCs w:val="24"/>
        </w:rPr>
        <w:t>Walter of Chatillon’s Andreiis, composed between 1171 and 1181, uses Rufus as his main source</w:t>
      </w:r>
      <w:r w:rsidR="00AB7D0D">
        <w:rPr>
          <w:sz w:val="24"/>
          <w:szCs w:val="24"/>
        </w:rPr>
        <w:t>.</w:t>
      </w:r>
      <w:r>
        <w:rPr>
          <w:rStyle w:val="FootnoteReference"/>
          <w:sz w:val="24"/>
          <w:szCs w:val="24"/>
        </w:rPr>
        <w:footnoteReference w:id="4"/>
      </w:r>
      <w:r w:rsidRPr="009429C1">
        <w:rPr>
          <w:sz w:val="24"/>
          <w:szCs w:val="24"/>
        </w:rPr>
        <w:t xml:space="preserve">  Much is identical, but the first five lines mark a digression revealing the true nature of the work.  "Memmnon’s death”(Walter) is not a reference to a recent bereavement but instead an allusory supplication designed to evoke recollective comparison with Aurora in the Aeneid</w:t>
      </w:r>
      <w:r w:rsidR="00AB7D0D">
        <w:rPr>
          <w:sz w:val="24"/>
          <w:szCs w:val="24"/>
        </w:rPr>
        <w:t>.</w:t>
      </w:r>
      <w:r>
        <w:rPr>
          <w:rStyle w:val="FootnoteReference"/>
          <w:sz w:val="24"/>
          <w:szCs w:val="24"/>
        </w:rPr>
        <w:footnoteReference w:id="5"/>
      </w:r>
      <w:r w:rsidRPr="009429C1">
        <w:rPr>
          <w:sz w:val="24"/>
          <w:szCs w:val="24"/>
        </w:rPr>
        <w:t xml:space="preserve">  Walter employs poetic device to contrast the subtle dissemination of female tears with Alexander’s masculine imperialism</w:t>
      </w:r>
      <w:r w:rsidR="00AB7D0D">
        <w:rPr>
          <w:sz w:val="24"/>
          <w:szCs w:val="24"/>
        </w:rPr>
        <w:t>.</w:t>
      </w:r>
      <w:r>
        <w:rPr>
          <w:rStyle w:val="FootnoteReference"/>
          <w:sz w:val="24"/>
          <w:szCs w:val="24"/>
        </w:rPr>
        <w:footnoteReference w:id="6"/>
      </w:r>
      <w:r w:rsidRPr="009429C1">
        <w:rPr>
          <w:sz w:val="24"/>
          <w:szCs w:val="24"/>
        </w:rPr>
        <w:t xml:space="preserve">  Both Rufus and Walter have Bagoas’ pleas for Nabarzane’s life as a precursor to Talestris' visit.  Walter is more derisory, endowing Bagoas with a speech impediment not mentioned by Rufus and omitting his sexual relationship with Alexander.  Tailoring his work to a Christian medieval audience, Walter is more concerned with poetic aesthetics than historical detail.</w:t>
      </w:r>
    </w:p>
    <w:p w14:paraId="3B4CE069" w14:textId="4AAF82F9" w:rsidR="00203E62" w:rsidRPr="009429C1" w:rsidRDefault="00C80822" w:rsidP="00203E62">
      <w:pPr>
        <w:rPr>
          <w:sz w:val="24"/>
          <w:szCs w:val="24"/>
        </w:rPr>
      </w:pPr>
      <w:r w:rsidRPr="009429C1">
        <w:rPr>
          <w:sz w:val="24"/>
          <w:szCs w:val="24"/>
        </w:rPr>
        <w:lastRenderedPageBreak/>
        <w:t>The Historia de preliis are a series of Latin translations of the “Greek Romance of Pseudo-Callisthenes” by Archbishop Leo made between 951-968</w:t>
      </w:r>
      <w:r w:rsidR="009D3D50">
        <w:rPr>
          <w:sz w:val="24"/>
          <w:szCs w:val="24"/>
        </w:rPr>
        <w:t xml:space="preserve">. </w:t>
      </w:r>
      <w:r>
        <w:rPr>
          <w:rStyle w:val="FootnoteReference"/>
          <w:sz w:val="24"/>
          <w:szCs w:val="24"/>
        </w:rPr>
        <w:footnoteReference w:id="7"/>
      </w:r>
      <w:r w:rsidRPr="009429C1">
        <w:rPr>
          <w:sz w:val="24"/>
          <w:szCs w:val="24"/>
        </w:rPr>
        <w:t xml:space="preserve">  The Greek original dates to the 3</w:t>
      </w:r>
      <w:r w:rsidRPr="009429C1">
        <w:rPr>
          <w:sz w:val="24"/>
          <w:szCs w:val="24"/>
          <w:vertAlign w:val="superscript"/>
        </w:rPr>
        <w:t>rd</w:t>
      </w:r>
      <w:r w:rsidRPr="009429C1">
        <w:rPr>
          <w:sz w:val="24"/>
          <w:szCs w:val="24"/>
        </w:rPr>
        <w:t xml:space="preserve"> Century BC</w:t>
      </w:r>
      <w:r w:rsidR="009D3D50">
        <w:rPr>
          <w:sz w:val="24"/>
          <w:szCs w:val="24"/>
        </w:rPr>
        <w:t>.</w:t>
      </w:r>
      <w:r>
        <w:rPr>
          <w:rStyle w:val="FootnoteReference"/>
          <w:sz w:val="24"/>
          <w:szCs w:val="24"/>
        </w:rPr>
        <w:footnoteReference w:id="8"/>
      </w:r>
      <w:r w:rsidRPr="009429C1">
        <w:rPr>
          <w:sz w:val="24"/>
          <w:szCs w:val="24"/>
        </w:rPr>
        <w:t xml:space="preserve"> </w:t>
      </w:r>
      <w:r w:rsidR="009D3D50">
        <w:rPr>
          <w:sz w:val="24"/>
          <w:szCs w:val="24"/>
        </w:rPr>
        <w:t xml:space="preserve"> </w:t>
      </w:r>
      <w:r w:rsidRPr="009429C1">
        <w:rPr>
          <w:sz w:val="24"/>
          <w:szCs w:val="24"/>
        </w:rPr>
        <w:t xml:space="preserve"> Unlike Rufus, who is supposed to have used them as a source, the description is primarily confined to correspondence initiated by Alexander and occurring later after Porus' defeat.  Alexander provides a choice of tribute or military action.  Talestris’ counter-threat incongruously contains Amazonian military and cultural details.  Alexander replies with a choice of war or peace talks.  The Amazons accept the latter and provide some tribute which satisfies Alexander. </w:t>
      </w:r>
    </w:p>
    <w:p w14:paraId="0F49F40A" w14:textId="4B88BB13" w:rsidR="00203E62" w:rsidRPr="009429C1" w:rsidRDefault="00C80822" w:rsidP="00203E62">
      <w:pPr>
        <w:rPr>
          <w:sz w:val="24"/>
          <w:szCs w:val="24"/>
        </w:rPr>
      </w:pPr>
      <w:r w:rsidRPr="009429C1">
        <w:rPr>
          <w:sz w:val="24"/>
          <w:szCs w:val="24"/>
        </w:rPr>
        <w:t>To provide a detailed account of this encounter is like trying to untie the Gordian knot.  No doubt, the kernel of truth lies in the encounters with female Scythian warrior groups.</w:t>
      </w:r>
      <w:r>
        <w:rPr>
          <w:rStyle w:val="FootnoteReference"/>
          <w:sz w:val="24"/>
          <w:szCs w:val="24"/>
        </w:rPr>
        <w:footnoteReference w:id="9"/>
      </w:r>
      <w:r w:rsidR="009D3D50">
        <w:rPr>
          <w:sz w:val="24"/>
          <w:szCs w:val="24"/>
        </w:rPr>
        <w:t xml:space="preserve"> </w:t>
      </w:r>
      <w:r w:rsidRPr="009429C1">
        <w:rPr>
          <w:sz w:val="24"/>
          <w:szCs w:val="24"/>
        </w:rPr>
        <w:t xml:space="preserve"> In the absence of extant descriptions, the tale has been embellished to the limits of credibility to provide an interesting read by Rufus, heavily stylised for poetic effect by Walter and given a touch of Realpolitik by the Historia.</w:t>
      </w:r>
    </w:p>
    <w:p w14:paraId="2323D995" w14:textId="5B5AD603" w:rsidR="00203E62" w:rsidRPr="009D3D50" w:rsidRDefault="00C80822" w:rsidP="00203E62">
      <w:pPr>
        <w:rPr>
          <w:i/>
          <w:iCs/>
          <w:sz w:val="24"/>
          <w:szCs w:val="24"/>
        </w:rPr>
      </w:pPr>
      <w:r w:rsidRPr="009D3D50">
        <w:rPr>
          <w:i/>
          <w:iCs/>
          <w:sz w:val="24"/>
          <w:szCs w:val="24"/>
        </w:rPr>
        <w:t>(54</w:t>
      </w:r>
      <w:r>
        <w:rPr>
          <w:i/>
          <w:iCs/>
          <w:sz w:val="24"/>
          <w:szCs w:val="24"/>
        </w:rPr>
        <w:t>4</w:t>
      </w:r>
      <w:r w:rsidRPr="009D3D50">
        <w:rPr>
          <w:i/>
          <w:iCs/>
          <w:sz w:val="24"/>
          <w:szCs w:val="24"/>
        </w:rPr>
        <w:t xml:space="preserve"> Word Count</w:t>
      </w:r>
      <w:r>
        <w:rPr>
          <w:i/>
          <w:iCs/>
          <w:sz w:val="24"/>
          <w:szCs w:val="24"/>
        </w:rPr>
        <w:t>, excluding title and citations</w:t>
      </w:r>
      <w:r w:rsidRPr="009D3D50">
        <w:rPr>
          <w:i/>
          <w:iCs/>
          <w:sz w:val="24"/>
          <w:szCs w:val="24"/>
        </w:rPr>
        <w:t>)</w:t>
      </w:r>
    </w:p>
    <w:p w14:paraId="13E1DBCE" w14:textId="3285920C" w:rsidR="009E0B62" w:rsidRPr="00784BC7" w:rsidRDefault="00C80822" w:rsidP="00784BC7">
      <w:pPr>
        <w:rPr>
          <w:b/>
          <w:sz w:val="24"/>
          <w:szCs w:val="24"/>
          <w:u w:val="single"/>
        </w:rPr>
      </w:pPr>
      <w:r>
        <w:rPr>
          <w:sz w:val="24"/>
          <w:szCs w:val="24"/>
        </w:rPr>
        <w:br w:type="page"/>
      </w:r>
      <w:r w:rsidR="009429C1">
        <w:rPr>
          <w:b/>
          <w:sz w:val="24"/>
          <w:szCs w:val="24"/>
          <w:u w:val="single"/>
        </w:rPr>
        <w:lastRenderedPageBreak/>
        <w:t>Bibliography</w:t>
      </w:r>
    </w:p>
    <w:p w14:paraId="4B7D9E67" w14:textId="7CA8C220" w:rsidR="00676FAE" w:rsidRPr="00C11EE9" w:rsidRDefault="005242B5" w:rsidP="00676FAE">
      <w:pPr>
        <w:shd w:val="clear" w:color="auto" w:fill="FFFFFF"/>
        <w:spacing w:after="0" w:line="240" w:lineRule="auto"/>
        <w:textAlignment w:val="top"/>
        <w:rPr>
          <w:rFonts w:eastAsia="Times New Roman" w:cstheme="minorHAnsi"/>
          <w:sz w:val="24"/>
          <w:szCs w:val="24"/>
          <w:lang w:eastAsia="en-GB"/>
        </w:rPr>
      </w:pPr>
      <w:hyperlink r:id="rId8" w:history="1">
        <w:r w:rsidR="00C80822" w:rsidRPr="00C80822">
          <w:rPr>
            <w:rFonts w:eastAsia="Times New Roman" w:cstheme="minorHAnsi"/>
            <w:sz w:val="24"/>
            <w:szCs w:val="24"/>
            <w:lang w:eastAsia="en-GB"/>
          </w:rPr>
          <w:t>Archipresbyter,</w:t>
        </w:r>
      </w:hyperlink>
      <w:r w:rsidR="00C80822" w:rsidRPr="00C80822">
        <w:rPr>
          <w:rFonts w:eastAsia="Times New Roman" w:cstheme="minorHAnsi"/>
          <w:sz w:val="24"/>
          <w:szCs w:val="24"/>
          <w:lang w:eastAsia="en-GB"/>
        </w:rPr>
        <w:t xml:space="preserve"> </w:t>
      </w:r>
      <w:r w:rsidR="00C80822" w:rsidRPr="00C11EE9">
        <w:rPr>
          <w:rFonts w:eastAsia="Times New Roman" w:cstheme="minorHAnsi"/>
          <w:sz w:val="24"/>
          <w:szCs w:val="24"/>
          <w:lang w:eastAsia="en-GB"/>
        </w:rPr>
        <w:t xml:space="preserve">L. </w:t>
      </w:r>
      <w:r w:rsidR="00255146">
        <w:rPr>
          <w:rFonts w:eastAsia="Times New Roman" w:cstheme="minorHAnsi"/>
          <w:sz w:val="24"/>
          <w:szCs w:val="24"/>
          <w:lang w:eastAsia="en-GB"/>
        </w:rPr>
        <w:t>and</w:t>
      </w:r>
      <w:r w:rsidR="00C80822" w:rsidRPr="00C11EE9">
        <w:rPr>
          <w:rFonts w:eastAsia="Times New Roman" w:cstheme="minorHAnsi"/>
          <w:sz w:val="24"/>
          <w:szCs w:val="24"/>
          <w:lang w:eastAsia="en-GB"/>
        </w:rPr>
        <w:t xml:space="preserve"> </w:t>
      </w:r>
      <w:r w:rsidR="00C80822" w:rsidRPr="00C11EE9">
        <w:rPr>
          <w:rFonts w:cstheme="minorHAnsi"/>
          <w:sz w:val="24"/>
          <w:szCs w:val="24"/>
          <w:shd w:val="clear" w:color="auto" w:fill="FFFFFF"/>
        </w:rPr>
        <w:t>Pritchard, R. T. (1992). </w:t>
      </w:r>
      <w:r w:rsidR="00C80822" w:rsidRPr="00C11EE9">
        <w:rPr>
          <w:rFonts w:cstheme="minorHAnsi"/>
          <w:i/>
          <w:iCs/>
          <w:sz w:val="24"/>
          <w:szCs w:val="24"/>
          <w:shd w:val="clear" w:color="auto" w:fill="FFFFFF"/>
        </w:rPr>
        <w:t xml:space="preserve"> The </w:t>
      </w:r>
      <w:r w:rsidR="00D22324">
        <w:rPr>
          <w:rFonts w:cstheme="minorHAnsi"/>
          <w:i/>
          <w:iCs/>
          <w:sz w:val="24"/>
          <w:szCs w:val="24"/>
          <w:shd w:val="clear" w:color="auto" w:fill="FFFFFF"/>
        </w:rPr>
        <w:t>h</w:t>
      </w:r>
      <w:r w:rsidR="00C80822" w:rsidRPr="00C11EE9">
        <w:rPr>
          <w:rFonts w:cstheme="minorHAnsi"/>
          <w:i/>
          <w:iCs/>
          <w:sz w:val="24"/>
          <w:szCs w:val="24"/>
          <w:shd w:val="clear" w:color="auto" w:fill="FFFFFF"/>
        </w:rPr>
        <w:t xml:space="preserve">istory </w:t>
      </w:r>
      <w:r w:rsidR="00C80822" w:rsidRPr="00C11EE9">
        <w:rPr>
          <w:rFonts w:cstheme="minorHAnsi"/>
          <w:i/>
          <w:iCs/>
          <w:color w:val="000000"/>
          <w:sz w:val="24"/>
          <w:szCs w:val="24"/>
          <w:shd w:val="clear" w:color="auto" w:fill="FFFFFF"/>
        </w:rPr>
        <w:t xml:space="preserve">of Alexander's </w:t>
      </w:r>
      <w:r w:rsidR="00D22324">
        <w:rPr>
          <w:rFonts w:cstheme="minorHAnsi"/>
          <w:i/>
          <w:iCs/>
          <w:color w:val="000000"/>
          <w:sz w:val="24"/>
          <w:szCs w:val="24"/>
          <w:shd w:val="clear" w:color="auto" w:fill="FFFFFF"/>
        </w:rPr>
        <w:t>b</w:t>
      </w:r>
      <w:r w:rsidR="00C80822" w:rsidRPr="00C11EE9">
        <w:rPr>
          <w:rFonts w:cstheme="minorHAnsi"/>
          <w:i/>
          <w:iCs/>
          <w:color w:val="000000"/>
          <w:sz w:val="24"/>
          <w:szCs w:val="24"/>
          <w:shd w:val="clear" w:color="auto" w:fill="FFFFFF"/>
        </w:rPr>
        <w:t>attles: Historia de preliis, the J1 version</w:t>
      </w:r>
      <w:r w:rsidR="00C80822" w:rsidRPr="00C11EE9">
        <w:rPr>
          <w:rFonts w:cstheme="minorHAnsi"/>
          <w:color w:val="000000"/>
          <w:sz w:val="24"/>
          <w:szCs w:val="24"/>
          <w:shd w:val="clear" w:color="auto" w:fill="FFFFFF"/>
        </w:rPr>
        <w:t>.  Toronto, Ont</w:t>
      </w:r>
      <w:r w:rsidR="00255146">
        <w:rPr>
          <w:rFonts w:cstheme="minorHAnsi"/>
          <w:color w:val="000000"/>
          <w:sz w:val="24"/>
          <w:szCs w:val="24"/>
          <w:shd w:val="clear" w:color="auto" w:fill="FFFFFF"/>
        </w:rPr>
        <w:t>ario</w:t>
      </w:r>
      <w:r w:rsidR="00C80822" w:rsidRPr="00C11EE9">
        <w:rPr>
          <w:rFonts w:cstheme="minorHAnsi"/>
          <w:color w:val="000000"/>
          <w:sz w:val="24"/>
          <w:szCs w:val="24"/>
          <w:shd w:val="clear" w:color="auto" w:fill="FFFFFF"/>
        </w:rPr>
        <w:t>: Pontifical Institute of Mediaeval Studies.</w:t>
      </w:r>
    </w:p>
    <w:p w14:paraId="2D32B9C0" w14:textId="77777777" w:rsidR="00676FAE" w:rsidRPr="00683BE2" w:rsidRDefault="00676FAE" w:rsidP="00676FAE">
      <w:pPr>
        <w:spacing w:after="0" w:line="240" w:lineRule="auto"/>
        <w:rPr>
          <w:rFonts w:cstheme="minorHAnsi"/>
          <w:sz w:val="24"/>
          <w:szCs w:val="24"/>
        </w:rPr>
      </w:pPr>
    </w:p>
    <w:p w14:paraId="30385BC6" w14:textId="4203AC97" w:rsidR="009E0B62" w:rsidRPr="00255146" w:rsidRDefault="00C80822" w:rsidP="007A1B2B">
      <w:pPr>
        <w:spacing w:after="0" w:line="240" w:lineRule="auto"/>
        <w:rPr>
          <w:rFonts w:cstheme="minorHAnsi"/>
          <w:color w:val="181817"/>
          <w:sz w:val="24"/>
          <w:szCs w:val="24"/>
          <w:shd w:val="clear" w:color="auto" w:fill="FFFFFF"/>
        </w:rPr>
      </w:pPr>
      <w:r w:rsidRPr="009E0B62">
        <w:rPr>
          <w:rFonts w:cstheme="minorHAnsi"/>
          <w:color w:val="181817"/>
          <w:sz w:val="24"/>
          <w:szCs w:val="24"/>
          <w:shd w:val="clear" w:color="auto" w:fill="FFFFFF"/>
        </w:rPr>
        <w:t>Baynham, E. (2001)</w:t>
      </w:r>
      <w:r w:rsidR="00700521">
        <w:rPr>
          <w:rFonts w:cstheme="minorHAnsi"/>
          <w:color w:val="181817"/>
          <w:sz w:val="24"/>
          <w:szCs w:val="24"/>
          <w:shd w:val="clear" w:color="auto" w:fill="FFFFFF"/>
        </w:rPr>
        <w:t xml:space="preserve">. </w:t>
      </w:r>
      <w:r w:rsidR="00255146">
        <w:rPr>
          <w:rFonts w:cstheme="minorHAnsi"/>
          <w:color w:val="181817"/>
          <w:sz w:val="24"/>
          <w:szCs w:val="24"/>
          <w:shd w:val="clear" w:color="auto" w:fill="FFFFFF"/>
        </w:rPr>
        <w:t xml:space="preserve"> '</w:t>
      </w:r>
      <w:r w:rsidRPr="009E0B62">
        <w:rPr>
          <w:rFonts w:cstheme="minorHAnsi"/>
          <w:color w:val="181817"/>
          <w:sz w:val="24"/>
          <w:szCs w:val="24"/>
          <w:shd w:val="clear" w:color="auto" w:fill="FFFFFF"/>
        </w:rPr>
        <w:t>Alexander and the Amazons</w:t>
      </w:r>
      <w:r w:rsidR="00255146">
        <w:rPr>
          <w:rFonts w:cstheme="minorHAnsi"/>
          <w:color w:val="181817"/>
          <w:sz w:val="24"/>
          <w:szCs w:val="24"/>
          <w:shd w:val="clear" w:color="auto" w:fill="FFFFFF"/>
        </w:rPr>
        <w:t>’</w:t>
      </w:r>
      <w:r w:rsidR="00700521">
        <w:rPr>
          <w:rFonts w:cstheme="minorHAnsi"/>
          <w:color w:val="181817"/>
          <w:sz w:val="24"/>
          <w:szCs w:val="24"/>
          <w:shd w:val="clear" w:color="auto" w:fill="FFFFFF"/>
        </w:rPr>
        <w:t>.</w:t>
      </w:r>
      <w:r w:rsidRPr="009E0B62">
        <w:rPr>
          <w:rFonts w:cstheme="minorHAnsi"/>
          <w:color w:val="181817"/>
          <w:sz w:val="24"/>
          <w:szCs w:val="24"/>
          <w:shd w:val="clear" w:color="auto" w:fill="FFFFFF"/>
        </w:rPr>
        <w:t xml:space="preserve">  </w:t>
      </w:r>
      <w:r w:rsidRPr="009E0B62">
        <w:rPr>
          <w:rFonts w:cstheme="minorHAnsi"/>
          <w:i/>
          <w:iCs/>
          <w:color w:val="181817"/>
          <w:sz w:val="24"/>
          <w:szCs w:val="24"/>
          <w:bdr w:val="none" w:sz="0" w:space="0" w:color="auto" w:frame="1"/>
          <w:shd w:val="clear" w:color="auto" w:fill="FFFFFF"/>
        </w:rPr>
        <w:t>The Classical Quarterly</w:t>
      </w:r>
      <w:r w:rsidR="007A1B2B" w:rsidRPr="009E0B62">
        <w:rPr>
          <w:rFonts w:cstheme="minorHAnsi"/>
          <w:color w:val="181817"/>
          <w:sz w:val="24"/>
          <w:szCs w:val="24"/>
          <w:shd w:val="clear" w:color="auto" w:fill="FFFFFF"/>
        </w:rPr>
        <w:t xml:space="preserve">, </w:t>
      </w:r>
      <w:r w:rsidR="007A1B2B" w:rsidRPr="00255146">
        <w:rPr>
          <w:rFonts w:cstheme="minorHAnsi"/>
          <w:color w:val="181817"/>
          <w:sz w:val="24"/>
          <w:szCs w:val="24"/>
          <w:shd w:val="clear" w:color="auto" w:fill="FFFFFF"/>
        </w:rPr>
        <w:t xml:space="preserve">51(1), pp. 115–126. </w:t>
      </w:r>
      <w:r w:rsidRPr="00255146">
        <w:rPr>
          <w:rFonts w:cstheme="minorHAnsi"/>
          <w:color w:val="181817"/>
          <w:sz w:val="24"/>
          <w:szCs w:val="24"/>
          <w:shd w:val="clear" w:color="auto" w:fill="FFFFFF"/>
        </w:rPr>
        <w:t xml:space="preserve"> Cambridge</w:t>
      </w:r>
      <w:r w:rsidR="00D22324">
        <w:rPr>
          <w:rFonts w:cstheme="minorHAnsi"/>
          <w:color w:val="181817"/>
          <w:sz w:val="24"/>
          <w:szCs w:val="24"/>
          <w:shd w:val="clear" w:color="auto" w:fill="FFFFFF"/>
        </w:rPr>
        <w:t>: Cambridge</w:t>
      </w:r>
      <w:r w:rsidRPr="00255146">
        <w:rPr>
          <w:rFonts w:cstheme="minorHAnsi"/>
          <w:color w:val="181817"/>
          <w:sz w:val="24"/>
          <w:szCs w:val="24"/>
          <w:shd w:val="clear" w:color="auto" w:fill="FFFFFF"/>
        </w:rPr>
        <w:t xml:space="preserve"> University Press</w:t>
      </w:r>
      <w:r w:rsidR="007A1B2B" w:rsidRPr="00255146">
        <w:rPr>
          <w:rFonts w:cstheme="minorHAnsi"/>
          <w:color w:val="181817"/>
          <w:sz w:val="24"/>
          <w:szCs w:val="24"/>
          <w:shd w:val="clear" w:color="auto" w:fill="FFFFFF"/>
        </w:rPr>
        <w:t>.</w:t>
      </w:r>
    </w:p>
    <w:p w14:paraId="3D0AB43A" w14:textId="5EB0EA56" w:rsidR="00192107" w:rsidRDefault="00192107" w:rsidP="00700521">
      <w:pPr>
        <w:spacing w:after="0" w:line="240" w:lineRule="auto"/>
        <w:rPr>
          <w:rFonts w:cstheme="minorHAnsi"/>
          <w:color w:val="181817"/>
          <w:sz w:val="24"/>
          <w:szCs w:val="24"/>
          <w:shd w:val="clear" w:color="auto" w:fill="FFFFFF"/>
        </w:rPr>
      </w:pPr>
    </w:p>
    <w:p w14:paraId="5531EB7C" w14:textId="089DF0B3" w:rsidR="00192107" w:rsidRDefault="00C80822" w:rsidP="007A1B2B">
      <w:pPr>
        <w:spacing w:after="0"/>
        <w:rPr>
          <w:rFonts w:cstheme="minorHAnsi"/>
          <w:color w:val="000000"/>
          <w:sz w:val="24"/>
          <w:szCs w:val="24"/>
        </w:rPr>
      </w:pPr>
      <w:r w:rsidRPr="00192107">
        <w:rPr>
          <w:rFonts w:cstheme="minorHAnsi"/>
          <w:color w:val="000000"/>
          <w:sz w:val="24"/>
          <w:szCs w:val="24"/>
        </w:rPr>
        <w:t>Bosworth, A</w:t>
      </w:r>
      <w:r w:rsidR="00D22324">
        <w:rPr>
          <w:rFonts w:cstheme="minorHAnsi"/>
          <w:color w:val="000000"/>
          <w:sz w:val="24"/>
          <w:szCs w:val="24"/>
        </w:rPr>
        <w:t xml:space="preserve">. </w:t>
      </w:r>
      <w:r w:rsidR="00255146">
        <w:rPr>
          <w:rFonts w:cstheme="minorHAnsi"/>
          <w:color w:val="000000"/>
          <w:sz w:val="24"/>
          <w:szCs w:val="24"/>
        </w:rPr>
        <w:t>and</w:t>
      </w:r>
      <w:r w:rsidRPr="00192107">
        <w:rPr>
          <w:rFonts w:cstheme="minorHAnsi"/>
          <w:color w:val="000000"/>
          <w:sz w:val="24"/>
          <w:szCs w:val="24"/>
        </w:rPr>
        <w:t xml:space="preserve"> Baynham, E. (2002). </w:t>
      </w:r>
      <w:r>
        <w:rPr>
          <w:rFonts w:cstheme="minorHAnsi"/>
          <w:color w:val="000000"/>
          <w:sz w:val="24"/>
          <w:szCs w:val="24"/>
        </w:rPr>
        <w:t xml:space="preserve"> </w:t>
      </w:r>
      <w:r w:rsidRPr="00192107">
        <w:rPr>
          <w:rFonts w:cstheme="minorHAnsi"/>
          <w:i/>
          <w:iCs/>
          <w:color w:val="000000"/>
          <w:sz w:val="24"/>
          <w:szCs w:val="24"/>
        </w:rPr>
        <w:t xml:space="preserve">Alexander the </w:t>
      </w:r>
      <w:r w:rsidR="00D22324">
        <w:rPr>
          <w:rFonts w:cstheme="minorHAnsi"/>
          <w:i/>
          <w:iCs/>
          <w:color w:val="000000"/>
          <w:sz w:val="24"/>
          <w:szCs w:val="24"/>
        </w:rPr>
        <w:t>G</w:t>
      </w:r>
      <w:r w:rsidRPr="00192107">
        <w:rPr>
          <w:rFonts w:cstheme="minorHAnsi"/>
          <w:i/>
          <w:iCs/>
          <w:color w:val="000000"/>
          <w:sz w:val="24"/>
          <w:szCs w:val="24"/>
        </w:rPr>
        <w:t xml:space="preserve">reat, in </w:t>
      </w:r>
      <w:r w:rsidR="00D22324">
        <w:rPr>
          <w:rFonts w:cstheme="minorHAnsi"/>
          <w:i/>
          <w:iCs/>
          <w:color w:val="000000"/>
          <w:sz w:val="24"/>
          <w:szCs w:val="24"/>
        </w:rPr>
        <w:t>f</w:t>
      </w:r>
      <w:r w:rsidRPr="00192107">
        <w:rPr>
          <w:rFonts w:cstheme="minorHAnsi"/>
          <w:i/>
          <w:iCs/>
          <w:color w:val="000000"/>
          <w:sz w:val="24"/>
          <w:szCs w:val="24"/>
        </w:rPr>
        <w:t xml:space="preserve">act and </w:t>
      </w:r>
      <w:r w:rsidR="00D22324">
        <w:rPr>
          <w:rFonts w:cstheme="minorHAnsi"/>
          <w:i/>
          <w:iCs/>
          <w:color w:val="000000"/>
          <w:sz w:val="24"/>
          <w:szCs w:val="24"/>
        </w:rPr>
        <w:t>f</w:t>
      </w:r>
      <w:r w:rsidRPr="00192107">
        <w:rPr>
          <w:rFonts w:cstheme="minorHAnsi"/>
          <w:i/>
          <w:iCs/>
          <w:color w:val="000000"/>
          <w:sz w:val="24"/>
          <w:szCs w:val="24"/>
        </w:rPr>
        <w:t>iction</w:t>
      </w:r>
      <w:r w:rsidRPr="00192107">
        <w:rPr>
          <w:rFonts w:cstheme="minorHAnsi"/>
          <w:color w:val="000000"/>
          <w:sz w:val="24"/>
          <w:szCs w:val="24"/>
        </w:rPr>
        <w:t xml:space="preserve">.  </w:t>
      </w:r>
      <w:r w:rsidR="00D22324">
        <w:rPr>
          <w:rFonts w:cstheme="minorHAnsi"/>
          <w:color w:val="000000"/>
          <w:sz w:val="24"/>
          <w:szCs w:val="24"/>
        </w:rPr>
        <w:t xml:space="preserve">Oxford: </w:t>
      </w:r>
      <w:r w:rsidRPr="00192107">
        <w:rPr>
          <w:rFonts w:cstheme="minorHAnsi"/>
          <w:color w:val="000000"/>
          <w:sz w:val="24"/>
          <w:szCs w:val="24"/>
        </w:rPr>
        <w:t>Oxford University Press</w:t>
      </w:r>
      <w:r>
        <w:rPr>
          <w:rFonts w:cstheme="minorHAnsi"/>
          <w:color w:val="000000"/>
          <w:sz w:val="24"/>
          <w:szCs w:val="24"/>
        </w:rPr>
        <w:t xml:space="preserve">. </w:t>
      </w:r>
    </w:p>
    <w:p w14:paraId="71926F34" w14:textId="77777777" w:rsidR="00784BC7" w:rsidRDefault="00784BC7" w:rsidP="00784BC7">
      <w:pPr>
        <w:spacing w:after="0" w:line="240" w:lineRule="auto"/>
        <w:rPr>
          <w:rFonts w:cstheme="minorHAnsi"/>
          <w:color w:val="181817"/>
          <w:sz w:val="24"/>
          <w:szCs w:val="24"/>
          <w:shd w:val="clear" w:color="auto" w:fill="FFFFFF"/>
        </w:rPr>
      </w:pPr>
    </w:p>
    <w:p w14:paraId="26BECAF4" w14:textId="3BDB941F" w:rsidR="00784BC7" w:rsidRDefault="00C80822" w:rsidP="00784BC7">
      <w:pPr>
        <w:spacing w:after="0" w:line="240" w:lineRule="auto"/>
        <w:rPr>
          <w:rFonts w:cstheme="minorHAnsi"/>
          <w:color w:val="181817"/>
          <w:sz w:val="24"/>
          <w:szCs w:val="24"/>
          <w:shd w:val="clear" w:color="auto" w:fill="FFFFFF"/>
        </w:rPr>
      </w:pPr>
      <w:r w:rsidRPr="00784BC7">
        <w:rPr>
          <w:rFonts w:cstheme="minorHAnsi"/>
          <w:color w:val="181817"/>
          <w:sz w:val="24"/>
          <w:szCs w:val="24"/>
          <w:shd w:val="clear" w:color="auto" w:fill="FFFFFF"/>
        </w:rPr>
        <w:t xml:space="preserve">Bridges, V. (2018).  </w:t>
      </w:r>
      <w:r w:rsidRPr="00784BC7">
        <w:rPr>
          <w:rFonts w:cstheme="minorHAnsi"/>
          <w:i/>
          <w:iCs/>
          <w:color w:val="181817"/>
          <w:sz w:val="24"/>
          <w:szCs w:val="24"/>
          <w:bdr w:val="none" w:sz="0" w:space="0" w:color="auto" w:frame="1"/>
          <w:shd w:val="clear" w:color="auto" w:fill="FFFFFF"/>
        </w:rPr>
        <w:t xml:space="preserve">Medieval </w:t>
      </w:r>
      <w:r w:rsidR="00D22324">
        <w:rPr>
          <w:rFonts w:cstheme="minorHAnsi"/>
          <w:i/>
          <w:iCs/>
          <w:color w:val="181817"/>
          <w:sz w:val="24"/>
          <w:szCs w:val="24"/>
          <w:bdr w:val="none" w:sz="0" w:space="0" w:color="auto" w:frame="1"/>
          <w:shd w:val="clear" w:color="auto" w:fill="FFFFFF"/>
        </w:rPr>
        <w:t>n</w:t>
      </w:r>
      <w:r w:rsidRPr="00784BC7">
        <w:rPr>
          <w:rFonts w:cstheme="minorHAnsi"/>
          <w:i/>
          <w:iCs/>
          <w:color w:val="181817"/>
          <w:sz w:val="24"/>
          <w:szCs w:val="24"/>
          <w:bdr w:val="none" w:sz="0" w:space="0" w:color="auto" w:frame="1"/>
          <w:shd w:val="clear" w:color="auto" w:fill="FFFFFF"/>
        </w:rPr>
        <w:t xml:space="preserve">arratives of Alexander the Great: Transnational </w:t>
      </w:r>
      <w:r w:rsidR="00D22324">
        <w:rPr>
          <w:rFonts w:cstheme="minorHAnsi"/>
          <w:i/>
          <w:iCs/>
          <w:color w:val="181817"/>
          <w:sz w:val="24"/>
          <w:szCs w:val="24"/>
          <w:bdr w:val="none" w:sz="0" w:space="0" w:color="auto" w:frame="1"/>
          <w:shd w:val="clear" w:color="auto" w:fill="FFFFFF"/>
        </w:rPr>
        <w:t>t</w:t>
      </w:r>
      <w:r w:rsidRPr="00784BC7">
        <w:rPr>
          <w:rFonts w:cstheme="minorHAnsi"/>
          <w:i/>
          <w:iCs/>
          <w:color w:val="181817"/>
          <w:sz w:val="24"/>
          <w:szCs w:val="24"/>
          <w:bdr w:val="none" w:sz="0" w:space="0" w:color="auto" w:frame="1"/>
          <w:shd w:val="clear" w:color="auto" w:fill="FFFFFF"/>
        </w:rPr>
        <w:t>exts in England and France</w:t>
      </w:r>
      <w:r w:rsidRPr="00784BC7">
        <w:rPr>
          <w:rFonts w:cstheme="minorHAnsi"/>
          <w:color w:val="181817"/>
          <w:sz w:val="24"/>
          <w:szCs w:val="24"/>
          <w:shd w:val="clear" w:color="auto" w:fill="FFFFFF"/>
        </w:rPr>
        <w:t xml:space="preserve"> (Vol. 20).  Boydell &amp; Brewer.</w:t>
      </w:r>
    </w:p>
    <w:p w14:paraId="02DA4207" w14:textId="77777777" w:rsidR="001E5849" w:rsidRDefault="001E5849" w:rsidP="00784BC7">
      <w:pPr>
        <w:spacing w:after="0" w:line="240" w:lineRule="auto"/>
        <w:rPr>
          <w:rFonts w:cstheme="minorHAnsi"/>
          <w:color w:val="181817"/>
          <w:sz w:val="24"/>
          <w:szCs w:val="24"/>
          <w:shd w:val="clear" w:color="auto" w:fill="FFFFFF"/>
        </w:rPr>
      </w:pPr>
    </w:p>
    <w:p w14:paraId="65B28569" w14:textId="5F3E0091" w:rsidR="00D506D6" w:rsidRDefault="00C80822" w:rsidP="00D506D6">
      <w:pPr>
        <w:spacing w:after="0" w:line="240" w:lineRule="auto"/>
        <w:rPr>
          <w:rFonts w:eastAsia="Times New Roman" w:cstheme="minorHAnsi"/>
          <w:sz w:val="24"/>
          <w:szCs w:val="24"/>
          <w:lang w:eastAsia="en-GB"/>
        </w:rPr>
      </w:pPr>
      <w:r w:rsidRPr="00256195">
        <w:rPr>
          <w:rFonts w:eastAsia="Times New Roman" w:cstheme="minorHAnsi"/>
          <w:sz w:val="24"/>
          <w:szCs w:val="24"/>
          <w:lang w:eastAsia="en-GB"/>
        </w:rPr>
        <w:t>F</w:t>
      </w:r>
      <w:r>
        <w:rPr>
          <w:rFonts w:eastAsia="Times New Roman" w:cstheme="minorHAnsi"/>
          <w:sz w:val="24"/>
          <w:szCs w:val="24"/>
          <w:lang w:eastAsia="en-GB"/>
        </w:rPr>
        <w:t>urtado, A.</w:t>
      </w:r>
      <w:r w:rsidRPr="00256195">
        <w:rPr>
          <w:rFonts w:eastAsia="Times New Roman" w:cstheme="minorHAnsi"/>
          <w:sz w:val="24"/>
          <w:szCs w:val="24"/>
          <w:lang w:eastAsia="en-GB"/>
        </w:rPr>
        <w:t xml:space="preserve"> L. (1999).  </w:t>
      </w:r>
      <w:r w:rsidR="00D22324">
        <w:rPr>
          <w:rFonts w:eastAsia="Times New Roman" w:cstheme="minorHAnsi"/>
          <w:sz w:val="24"/>
          <w:szCs w:val="24"/>
          <w:lang w:eastAsia="en-GB"/>
        </w:rPr>
        <w:t>‘</w:t>
      </w:r>
      <w:r w:rsidRPr="00256195">
        <w:rPr>
          <w:rFonts w:eastAsia="Times New Roman" w:cstheme="minorHAnsi"/>
          <w:sz w:val="24"/>
          <w:szCs w:val="24"/>
          <w:lang w:eastAsia="en-GB"/>
        </w:rPr>
        <w:t xml:space="preserve">Review of </w:t>
      </w:r>
      <w:r w:rsidRPr="00256195">
        <w:rPr>
          <w:rFonts w:eastAsia="Times New Roman" w:cstheme="minorHAnsi"/>
          <w:i/>
          <w:iCs/>
          <w:sz w:val="24"/>
          <w:szCs w:val="24"/>
          <w:lang w:eastAsia="en-GB"/>
        </w:rPr>
        <w:t>Alexandreis</w:t>
      </w:r>
      <w:r w:rsidRPr="00256195">
        <w:rPr>
          <w:rFonts w:eastAsia="Times New Roman" w:cstheme="minorHAnsi"/>
          <w:sz w:val="24"/>
          <w:szCs w:val="24"/>
          <w:lang w:eastAsia="en-GB"/>
        </w:rPr>
        <w:t>, by W. O. C</w:t>
      </w:r>
      <w:r>
        <w:rPr>
          <w:rFonts w:eastAsia="Times New Roman" w:cstheme="minorHAnsi"/>
          <w:sz w:val="24"/>
          <w:szCs w:val="24"/>
          <w:lang w:eastAsia="en-GB"/>
        </w:rPr>
        <w:t>hatillion</w:t>
      </w:r>
      <w:r w:rsidRPr="00256195">
        <w:rPr>
          <w:rFonts w:eastAsia="Times New Roman" w:cstheme="minorHAnsi"/>
          <w:sz w:val="24"/>
          <w:szCs w:val="24"/>
          <w:lang w:eastAsia="en-GB"/>
        </w:rPr>
        <w:t xml:space="preserve"> &amp; D. Townsend</w:t>
      </w:r>
      <w:r w:rsidR="00D22324">
        <w:rPr>
          <w:rFonts w:eastAsia="Times New Roman" w:cstheme="minorHAnsi"/>
          <w:sz w:val="24"/>
          <w:szCs w:val="24"/>
          <w:lang w:eastAsia="en-GB"/>
        </w:rPr>
        <w:t>’</w:t>
      </w:r>
      <w:r w:rsidRPr="00256195">
        <w:rPr>
          <w:rFonts w:eastAsia="Times New Roman" w:cstheme="minorHAnsi"/>
          <w:sz w:val="24"/>
          <w:szCs w:val="24"/>
          <w:lang w:eastAsia="en-GB"/>
        </w:rPr>
        <w:t xml:space="preserve">. </w:t>
      </w:r>
      <w:r w:rsidRPr="00256195">
        <w:rPr>
          <w:rFonts w:eastAsia="Times New Roman" w:cstheme="minorHAnsi"/>
          <w:i/>
          <w:iCs/>
          <w:sz w:val="24"/>
          <w:szCs w:val="24"/>
          <w:lang w:eastAsia="en-GB"/>
        </w:rPr>
        <w:t xml:space="preserve"> Arthuriana</w:t>
      </w:r>
      <w:r w:rsidRPr="00256195">
        <w:rPr>
          <w:rFonts w:eastAsia="Times New Roman" w:cstheme="minorHAnsi"/>
          <w:sz w:val="24"/>
          <w:szCs w:val="24"/>
          <w:lang w:eastAsia="en-GB"/>
        </w:rPr>
        <w:t xml:space="preserve">, </w:t>
      </w:r>
      <w:r w:rsidRPr="00256195">
        <w:rPr>
          <w:rFonts w:eastAsia="Times New Roman" w:cstheme="minorHAnsi"/>
          <w:i/>
          <w:iCs/>
          <w:sz w:val="24"/>
          <w:szCs w:val="24"/>
          <w:lang w:eastAsia="en-GB"/>
        </w:rPr>
        <w:t>9</w:t>
      </w:r>
      <w:r w:rsidRPr="00256195">
        <w:rPr>
          <w:rFonts w:eastAsia="Times New Roman" w:cstheme="minorHAnsi"/>
          <w:sz w:val="24"/>
          <w:szCs w:val="24"/>
          <w:lang w:eastAsia="en-GB"/>
        </w:rPr>
        <w:t xml:space="preserve">(2), 63–64.  </w:t>
      </w:r>
      <w:r w:rsidR="009B6E56">
        <w:rPr>
          <w:rFonts w:eastAsia="Times New Roman" w:cstheme="minorHAnsi"/>
          <w:sz w:val="24"/>
          <w:szCs w:val="24"/>
          <w:lang w:eastAsia="en-GB"/>
        </w:rPr>
        <w:t xml:space="preserve">Available at: </w:t>
      </w:r>
      <w:hyperlink r:id="rId9" w:history="1">
        <w:r w:rsidR="009B6E56" w:rsidRPr="00256195">
          <w:rPr>
            <w:rStyle w:val="Hyperlink"/>
            <w:rFonts w:eastAsia="Times New Roman" w:cstheme="minorHAnsi"/>
            <w:sz w:val="24"/>
            <w:szCs w:val="24"/>
            <w:lang w:eastAsia="en-GB"/>
          </w:rPr>
          <w:t>http://www.jstor.org/stable/27869457</w:t>
        </w:r>
      </w:hyperlink>
      <w:r w:rsidR="009B6E56">
        <w:rPr>
          <w:rFonts w:eastAsia="Times New Roman" w:cstheme="minorHAnsi"/>
          <w:sz w:val="24"/>
          <w:szCs w:val="24"/>
          <w:lang w:eastAsia="en-GB"/>
        </w:rPr>
        <w:t xml:space="preserve"> (Accessed 11 May 2022).</w:t>
      </w:r>
    </w:p>
    <w:p w14:paraId="0CB4FD64" w14:textId="77777777" w:rsidR="00D506D6" w:rsidRPr="00256195" w:rsidRDefault="00D506D6" w:rsidP="00D506D6">
      <w:pPr>
        <w:spacing w:after="0" w:line="240" w:lineRule="auto"/>
        <w:rPr>
          <w:rFonts w:eastAsia="Times New Roman" w:cstheme="minorHAnsi"/>
          <w:sz w:val="24"/>
          <w:szCs w:val="24"/>
          <w:lang w:eastAsia="en-GB"/>
        </w:rPr>
      </w:pPr>
    </w:p>
    <w:p w14:paraId="2EF0962E" w14:textId="37B96F70" w:rsidR="00D506D6" w:rsidRDefault="00C80822" w:rsidP="00D506D6">
      <w:pPr>
        <w:spacing w:after="0" w:line="240" w:lineRule="auto"/>
        <w:rPr>
          <w:rFonts w:eastAsia="Times New Roman" w:cstheme="minorHAnsi"/>
          <w:sz w:val="24"/>
          <w:szCs w:val="24"/>
          <w:lang w:eastAsia="en-GB"/>
        </w:rPr>
      </w:pPr>
      <w:r w:rsidRPr="00D506D6">
        <w:rPr>
          <w:rFonts w:eastAsia="Times New Roman" w:cstheme="minorHAnsi"/>
          <w:sz w:val="24"/>
          <w:szCs w:val="24"/>
          <w:lang w:eastAsia="en-GB"/>
        </w:rPr>
        <w:t>Hamilton, G. L. (1927).</w:t>
      </w:r>
      <w:r>
        <w:rPr>
          <w:rFonts w:eastAsia="Times New Roman" w:cstheme="minorHAnsi"/>
          <w:sz w:val="24"/>
          <w:szCs w:val="24"/>
          <w:lang w:eastAsia="en-GB"/>
        </w:rPr>
        <w:t xml:space="preserve"> </w:t>
      </w:r>
      <w:r w:rsidRPr="00D506D6">
        <w:rPr>
          <w:rFonts w:eastAsia="Times New Roman" w:cstheme="minorHAnsi"/>
          <w:sz w:val="24"/>
          <w:szCs w:val="24"/>
          <w:lang w:eastAsia="en-GB"/>
        </w:rPr>
        <w:t xml:space="preserve"> </w:t>
      </w:r>
      <w:r w:rsidR="00D22324">
        <w:rPr>
          <w:rFonts w:eastAsia="Times New Roman" w:cstheme="minorHAnsi"/>
          <w:sz w:val="24"/>
          <w:szCs w:val="24"/>
          <w:lang w:eastAsia="en-GB"/>
        </w:rPr>
        <w:t>‘</w:t>
      </w:r>
      <w:r w:rsidRPr="00D506D6">
        <w:rPr>
          <w:rFonts w:eastAsia="Times New Roman" w:cstheme="minorHAnsi"/>
          <w:sz w:val="24"/>
          <w:szCs w:val="24"/>
          <w:lang w:eastAsia="en-GB"/>
        </w:rPr>
        <w:t xml:space="preserve">A </w:t>
      </w:r>
      <w:r w:rsidR="00D22324">
        <w:rPr>
          <w:rFonts w:eastAsia="Times New Roman" w:cstheme="minorHAnsi"/>
          <w:sz w:val="24"/>
          <w:szCs w:val="24"/>
          <w:lang w:eastAsia="en-GB"/>
        </w:rPr>
        <w:t>n</w:t>
      </w:r>
      <w:r w:rsidRPr="00D506D6">
        <w:rPr>
          <w:rFonts w:eastAsia="Times New Roman" w:cstheme="minorHAnsi"/>
          <w:sz w:val="24"/>
          <w:szCs w:val="24"/>
          <w:lang w:eastAsia="en-GB"/>
        </w:rPr>
        <w:t xml:space="preserve">ew </w:t>
      </w:r>
      <w:r w:rsidR="00D22324">
        <w:rPr>
          <w:rFonts w:eastAsia="Times New Roman" w:cstheme="minorHAnsi"/>
          <w:sz w:val="24"/>
          <w:szCs w:val="24"/>
          <w:lang w:eastAsia="en-GB"/>
        </w:rPr>
        <w:t>r</w:t>
      </w:r>
      <w:r w:rsidRPr="00D506D6">
        <w:rPr>
          <w:rFonts w:eastAsia="Times New Roman" w:cstheme="minorHAnsi"/>
          <w:sz w:val="24"/>
          <w:szCs w:val="24"/>
          <w:lang w:eastAsia="en-GB"/>
        </w:rPr>
        <w:t xml:space="preserve">edaction of the Historia de </w:t>
      </w:r>
      <w:r>
        <w:rPr>
          <w:rFonts w:eastAsia="Times New Roman" w:cstheme="minorHAnsi"/>
          <w:sz w:val="24"/>
          <w:szCs w:val="24"/>
          <w:lang w:eastAsia="en-GB"/>
        </w:rPr>
        <w:t>p</w:t>
      </w:r>
      <w:r w:rsidRPr="00D506D6">
        <w:rPr>
          <w:rFonts w:eastAsia="Times New Roman" w:cstheme="minorHAnsi"/>
          <w:sz w:val="24"/>
          <w:szCs w:val="24"/>
          <w:lang w:eastAsia="en-GB"/>
        </w:rPr>
        <w:t xml:space="preserve">reliis and the </w:t>
      </w:r>
      <w:r w:rsidR="00D22324">
        <w:rPr>
          <w:rFonts w:eastAsia="Times New Roman" w:cstheme="minorHAnsi"/>
          <w:sz w:val="24"/>
          <w:szCs w:val="24"/>
          <w:lang w:eastAsia="en-GB"/>
        </w:rPr>
        <w:t>d</w:t>
      </w:r>
      <w:r w:rsidRPr="00D506D6">
        <w:rPr>
          <w:rFonts w:eastAsia="Times New Roman" w:cstheme="minorHAnsi"/>
          <w:sz w:val="24"/>
          <w:szCs w:val="24"/>
          <w:lang w:eastAsia="en-GB"/>
        </w:rPr>
        <w:t xml:space="preserve">ate of </w:t>
      </w:r>
      <w:r w:rsidR="00D22324">
        <w:rPr>
          <w:rFonts w:eastAsia="Times New Roman" w:cstheme="minorHAnsi"/>
          <w:sz w:val="24"/>
          <w:szCs w:val="24"/>
          <w:lang w:eastAsia="en-GB"/>
        </w:rPr>
        <w:t>r</w:t>
      </w:r>
      <w:r w:rsidRPr="00D506D6">
        <w:rPr>
          <w:rFonts w:eastAsia="Times New Roman" w:cstheme="minorHAnsi"/>
          <w:sz w:val="24"/>
          <w:szCs w:val="24"/>
          <w:lang w:eastAsia="en-GB"/>
        </w:rPr>
        <w:t>edaction</w:t>
      </w:r>
      <w:r w:rsidR="00D22324">
        <w:rPr>
          <w:rFonts w:eastAsia="Times New Roman" w:cstheme="minorHAnsi"/>
          <w:sz w:val="24"/>
          <w:szCs w:val="24"/>
          <w:lang w:eastAsia="en-GB"/>
        </w:rPr>
        <w:t>’</w:t>
      </w:r>
      <w:r w:rsidRPr="00D506D6">
        <w:rPr>
          <w:rFonts w:eastAsia="Times New Roman" w:cstheme="minorHAnsi"/>
          <w:sz w:val="24"/>
          <w:szCs w:val="24"/>
          <w:lang w:eastAsia="en-GB"/>
        </w:rPr>
        <w:t xml:space="preserve">. </w:t>
      </w:r>
      <w:r w:rsidRPr="00D506D6">
        <w:rPr>
          <w:rFonts w:eastAsia="Times New Roman" w:cstheme="minorHAnsi"/>
          <w:i/>
          <w:iCs/>
          <w:sz w:val="24"/>
          <w:szCs w:val="24"/>
          <w:lang w:eastAsia="en-GB"/>
        </w:rPr>
        <w:t xml:space="preserve"> Speculum</w:t>
      </w:r>
      <w:r w:rsidRPr="00D506D6">
        <w:rPr>
          <w:rFonts w:eastAsia="Times New Roman" w:cstheme="minorHAnsi"/>
          <w:sz w:val="24"/>
          <w:szCs w:val="24"/>
          <w:lang w:eastAsia="en-GB"/>
        </w:rPr>
        <w:t xml:space="preserve">, </w:t>
      </w:r>
      <w:r w:rsidRPr="00D506D6">
        <w:rPr>
          <w:rFonts w:eastAsia="Times New Roman" w:cstheme="minorHAnsi"/>
          <w:i/>
          <w:iCs/>
          <w:sz w:val="24"/>
          <w:szCs w:val="24"/>
          <w:lang w:eastAsia="en-GB"/>
        </w:rPr>
        <w:t>2</w:t>
      </w:r>
      <w:r w:rsidRPr="00D506D6">
        <w:rPr>
          <w:rFonts w:eastAsia="Times New Roman" w:cstheme="minorHAnsi"/>
          <w:sz w:val="24"/>
          <w:szCs w:val="24"/>
          <w:lang w:eastAsia="en-GB"/>
        </w:rPr>
        <w:t xml:space="preserve">(2), 113–146.  </w:t>
      </w:r>
      <w:hyperlink r:id="rId10" w:history="1">
        <w:r w:rsidRPr="00D506D6">
          <w:rPr>
            <w:rStyle w:val="Hyperlink"/>
            <w:rFonts w:eastAsia="Times New Roman" w:cstheme="minorHAnsi"/>
            <w:sz w:val="24"/>
            <w:szCs w:val="24"/>
            <w:lang w:eastAsia="en-GB"/>
          </w:rPr>
          <w:t>https://doi.org/10.2307/2849026</w:t>
        </w:r>
      </w:hyperlink>
      <w:r w:rsidR="009B6E56">
        <w:rPr>
          <w:rFonts w:eastAsia="Times New Roman" w:cstheme="minorHAnsi"/>
          <w:sz w:val="24"/>
          <w:szCs w:val="24"/>
          <w:lang w:eastAsia="en-GB"/>
        </w:rPr>
        <w:t xml:space="preserve"> (Accessed 11 May 2022).</w:t>
      </w:r>
    </w:p>
    <w:p w14:paraId="5EBE3608" w14:textId="77777777" w:rsidR="00D506D6" w:rsidRPr="00D506D6" w:rsidRDefault="00D506D6" w:rsidP="00D506D6">
      <w:pPr>
        <w:spacing w:after="0" w:line="240" w:lineRule="auto"/>
        <w:rPr>
          <w:rFonts w:eastAsia="Times New Roman" w:cstheme="minorHAnsi"/>
          <w:sz w:val="24"/>
          <w:szCs w:val="24"/>
          <w:lang w:eastAsia="en-GB"/>
        </w:rPr>
      </w:pPr>
    </w:p>
    <w:p w14:paraId="08FD4D05" w14:textId="646F1F4D" w:rsidR="000A601F" w:rsidRPr="00F15C2D" w:rsidRDefault="00C80822" w:rsidP="000A601F">
      <w:pPr>
        <w:spacing w:after="0" w:line="240" w:lineRule="auto"/>
        <w:rPr>
          <w:rFonts w:cstheme="minorHAnsi"/>
          <w:sz w:val="24"/>
          <w:szCs w:val="24"/>
        </w:rPr>
      </w:pPr>
      <w:r>
        <w:rPr>
          <w:sz w:val="24"/>
          <w:szCs w:val="24"/>
        </w:rPr>
        <w:t xml:space="preserve">Heckel, W. (1949).  </w:t>
      </w:r>
      <w:r w:rsidRPr="000A601F">
        <w:rPr>
          <w:i/>
          <w:iCs/>
          <w:sz w:val="24"/>
          <w:szCs w:val="24"/>
        </w:rPr>
        <w:t xml:space="preserve">Who’s </w:t>
      </w:r>
      <w:r w:rsidR="00D22324">
        <w:rPr>
          <w:i/>
          <w:iCs/>
          <w:sz w:val="24"/>
          <w:szCs w:val="24"/>
        </w:rPr>
        <w:t>w</w:t>
      </w:r>
      <w:r w:rsidRPr="000A601F">
        <w:rPr>
          <w:i/>
          <w:iCs/>
          <w:sz w:val="24"/>
          <w:szCs w:val="24"/>
        </w:rPr>
        <w:t xml:space="preserve">ho in the </w:t>
      </w:r>
      <w:r w:rsidR="00D22324">
        <w:rPr>
          <w:i/>
          <w:iCs/>
          <w:sz w:val="24"/>
          <w:szCs w:val="24"/>
        </w:rPr>
        <w:t>a</w:t>
      </w:r>
      <w:r w:rsidRPr="000A601F">
        <w:rPr>
          <w:i/>
          <w:iCs/>
          <w:sz w:val="24"/>
          <w:szCs w:val="24"/>
        </w:rPr>
        <w:t>ge of Alexander the Great</w:t>
      </w:r>
      <w:r w:rsidRPr="009429C1">
        <w:rPr>
          <w:sz w:val="24"/>
          <w:szCs w:val="24"/>
        </w:rPr>
        <w:t xml:space="preserve">. </w:t>
      </w:r>
      <w:r w:rsidRPr="00F15C2D">
        <w:rPr>
          <w:rFonts w:cstheme="minorHAnsi"/>
          <w:color w:val="2C2C2C"/>
          <w:sz w:val="24"/>
          <w:szCs w:val="24"/>
          <w:shd w:val="clear" w:color="auto" w:fill="FFFFFF"/>
        </w:rPr>
        <w:t xml:space="preserve"> Oxford : Blackwell Publishin</w:t>
      </w:r>
      <w:r>
        <w:rPr>
          <w:rFonts w:cstheme="minorHAnsi"/>
          <w:color w:val="2C2C2C"/>
          <w:sz w:val="24"/>
          <w:szCs w:val="24"/>
          <w:shd w:val="clear" w:color="auto" w:fill="FFFFFF"/>
        </w:rPr>
        <w:t>g.</w:t>
      </w:r>
    </w:p>
    <w:p w14:paraId="78806FF6" w14:textId="77777777" w:rsidR="000A601F" w:rsidRPr="009429C1" w:rsidRDefault="000A601F" w:rsidP="000A601F">
      <w:pPr>
        <w:spacing w:after="0" w:line="240" w:lineRule="auto"/>
        <w:rPr>
          <w:sz w:val="24"/>
          <w:szCs w:val="24"/>
        </w:rPr>
      </w:pPr>
    </w:p>
    <w:p w14:paraId="44DDEE43" w14:textId="47C38BDD" w:rsidR="00F15C2D" w:rsidRPr="00C80822" w:rsidRDefault="00C80822" w:rsidP="00F15C2D">
      <w:pPr>
        <w:spacing w:after="0" w:line="240" w:lineRule="auto"/>
        <w:rPr>
          <w:i/>
          <w:iCs/>
          <w:sz w:val="24"/>
          <w:szCs w:val="24"/>
        </w:rPr>
      </w:pPr>
      <w:r w:rsidRPr="001E5849">
        <w:rPr>
          <w:sz w:val="24"/>
          <w:szCs w:val="24"/>
        </w:rPr>
        <w:t>Heckel</w:t>
      </w:r>
      <w:r>
        <w:rPr>
          <w:sz w:val="24"/>
          <w:szCs w:val="24"/>
        </w:rPr>
        <w:t>, W. (</w:t>
      </w:r>
      <w:r w:rsidRPr="001E5849">
        <w:rPr>
          <w:sz w:val="24"/>
          <w:szCs w:val="24"/>
        </w:rPr>
        <w:t>1994</w:t>
      </w:r>
      <w:r>
        <w:rPr>
          <w:sz w:val="24"/>
          <w:szCs w:val="24"/>
        </w:rPr>
        <w:t>)</w:t>
      </w:r>
      <w:r w:rsidRPr="001E5849">
        <w:rPr>
          <w:sz w:val="24"/>
          <w:szCs w:val="24"/>
        </w:rPr>
        <w:t xml:space="preserve">.  </w:t>
      </w:r>
      <w:r w:rsidR="00D22324">
        <w:rPr>
          <w:sz w:val="24"/>
          <w:szCs w:val="24"/>
        </w:rPr>
        <w:t>‘</w:t>
      </w:r>
      <w:r w:rsidRPr="001E5849">
        <w:rPr>
          <w:sz w:val="24"/>
          <w:szCs w:val="24"/>
        </w:rPr>
        <w:t xml:space="preserve">Notes on Q. Curtius Rufus’ </w:t>
      </w:r>
      <w:r w:rsidR="00D22324">
        <w:rPr>
          <w:sz w:val="24"/>
          <w:szCs w:val="24"/>
        </w:rPr>
        <w:t>h</w:t>
      </w:r>
      <w:r w:rsidRPr="001E5849">
        <w:rPr>
          <w:sz w:val="24"/>
          <w:szCs w:val="24"/>
        </w:rPr>
        <w:t>istory of Alexander</w:t>
      </w:r>
      <w:r w:rsidR="00D22324">
        <w:rPr>
          <w:sz w:val="24"/>
          <w:szCs w:val="24"/>
        </w:rPr>
        <w:t>’</w:t>
      </w:r>
      <w:r w:rsidRPr="001E5849">
        <w:rPr>
          <w:sz w:val="24"/>
          <w:szCs w:val="24"/>
        </w:rPr>
        <w:t>.</w:t>
      </w:r>
      <w:r>
        <w:rPr>
          <w:sz w:val="24"/>
          <w:szCs w:val="24"/>
        </w:rPr>
        <w:t xml:space="preserve"> </w:t>
      </w:r>
      <w:r w:rsidRPr="001E5849">
        <w:rPr>
          <w:sz w:val="24"/>
          <w:szCs w:val="24"/>
        </w:rPr>
        <w:t> </w:t>
      </w:r>
      <w:r w:rsidRPr="00C80822">
        <w:rPr>
          <w:i/>
          <w:iCs/>
          <w:sz w:val="24"/>
          <w:szCs w:val="24"/>
        </w:rPr>
        <w:t>Acta Classica 37: 67-78</w:t>
      </w:r>
    </w:p>
    <w:p w14:paraId="110A626D" w14:textId="10D5926E" w:rsidR="00F15C2D" w:rsidRPr="009B6E56" w:rsidRDefault="00C80822" w:rsidP="00F15C2D">
      <w:pPr>
        <w:spacing w:after="0" w:line="240" w:lineRule="auto"/>
        <w:rPr>
          <w:rFonts w:cstheme="minorHAnsi"/>
          <w:color w:val="373A3C"/>
          <w:sz w:val="24"/>
          <w:szCs w:val="24"/>
        </w:rPr>
      </w:pPr>
      <w:r w:rsidRPr="009B6E56">
        <w:t xml:space="preserve">Available at : </w:t>
      </w:r>
      <w:hyperlink r:id="rId11" w:history="1">
        <w:r w:rsidRPr="003433A7">
          <w:rPr>
            <w:rStyle w:val="Hyperlink"/>
            <w:sz w:val="24"/>
            <w:szCs w:val="24"/>
          </w:rPr>
          <w:t>http://www.casa-kvsa.org.za/legacy/1994/AC37-05-Heckel.pdf</w:t>
        </w:r>
      </w:hyperlink>
      <w:r w:rsidRPr="009B6E56">
        <w:rPr>
          <w:rFonts w:ascii="Segoe UI" w:hAnsi="Segoe UI" w:cs="Segoe UI"/>
          <w:color w:val="373A3C"/>
          <w:sz w:val="23"/>
          <w:szCs w:val="23"/>
        </w:rPr>
        <w:t>.</w:t>
      </w:r>
      <w:r>
        <w:rPr>
          <w:rFonts w:ascii="Segoe UI" w:hAnsi="Segoe UI" w:cs="Segoe UI"/>
          <w:color w:val="373A3C"/>
          <w:sz w:val="23"/>
          <w:szCs w:val="23"/>
        </w:rPr>
        <w:t xml:space="preserve"> </w:t>
      </w:r>
      <w:r>
        <w:rPr>
          <w:rFonts w:cstheme="minorHAnsi"/>
          <w:color w:val="373A3C"/>
          <w:sz w:val="24"/>
          <w:szCs w:val="24"/>
        </w:rPr>
        <w:t xml:space="preserve"> (Accessed 12 May 2022).</w:t>
      </w:r>
    </w:p>
    <w:p w14:paraId="6C1CD0F6" w14:textId="77777777" w:rsidR="00F15C2D" w:rsidRPr="009B6E56" w:rsidRDefault="00F15C2D" w:rsidP="001E5849">
      <w:pPr>
        <w:spacing w:after="0" w:line="240" w:lineRule="auto"/>
        <w:rPr>
          <w:sz w:val="24"/>
          <w:szCs w:val="24"/>
        </w:rPr>
      </w:pPr>
    </w:p>
    <w:p w14:paraId="1CAC7191" w14:textId="24B41707" w:rsidR="00784BC7" w:rsidRPr="004D0F66" w:rsidRDefault="00C80822" w:rsidP="004D0F66">
      <w:pPr>
        <w:spacing w:after="0" w:line="240" w:lineRule="auto"/>
        <w:rPr>
          <w:sz w:val="24"/>
          <w:szCs w:val="24"/>
        </w:rPr>
      </w:pPr>
      <w:r w:rsidRPr="00462AC6">
        <w:rPr>
          <w:sz w:val="24"/>
          <w:szCs w:val="24"/>
        </w:rPr>
        <w:t xml:space="preserve">Munding, </w:t>
      </w:r>
      <w:r>
        <w:rPr>
          <w:sz w:val="24"/>
          <w:szCs w:val="24"/>
        </w:rPr>
        <w:t>M</w:t>
      </w:r>
      <w:r w:rsidRPr="00462AC6">
        <w:rPr>
          <w:sz w:val="24"/>
          <w:szCs w:val="24"/>
        </w:rPr>
        <w:t>.</w:t>
      </w:r>
      <w:r w:rsidR="006D6B82">
        <w:rPr>
          <w:sz w:val="24"/>
          <w:szCs w:val="24"/>
        </w:rPr>
        <w:t xml:space="preserve"> </w:t>
      </w:r>
      <w:r>
        <w:rPr>
          <w:sz w:val="24"/>
          <w:szCs w:val="24"/>
        </w:rPr>
        <w:t>(</w:t>
      </w:r>
      <w:r w:rsidRPr="00462AC6">
        <w:rPr>
          <w:sz w:val="24"/>
          <w:szCs w:val="24"/>
        </w:rPr>
        <w:t>2011</w:t>
      </w:r>
      <w:r>
        <w:rPr>
          <w:sz w:val="24"/>
          <w:szCs w:val="24"/>
        </w:rPr>
        <w:t>).</w:t>
      </w:r>
      <w:r w:rsidRPr="00462AC6">
        <w:rPr>
          <w:sz w:val="24"/>
          <w:szCs w:val="24"/>
        </w:rPr>
        <w:t xml:space="preserve">  </w:t>
      </w:r>
      <w:r w:rsidRPr="00462AC6">
        <w:rPr>
          <w:i/>
          <w:iCs/>
          <w:sz w:val="24"/>
          <w:szCs w:val="24"/>
        </w:rPr>
        <w:t>Alexander and the Amazon </w:t>
      </w:r>
      <w:r w:rsidR="0057609E">
        <w:rPr>
          <w:i/>
          <w:iCs/>
          <w:sz w:val="24"/>
          <w:szCs w:val="24"/>
        </w:rPr>
        <w:t>Q</w:t>
      </w:r>
      <w:r w:rsidRPr="00462AC6">
        <w:rPr>
          <w:i/>
          <w:iCs/>
          <w:sz w:val="24"/>
          <w:szCs w:val="24"/>
        </w:rPr>
        <w:t>ueen Graeco-Latina Brunensia. </w:t>
      </w:r>
      <w:r w:rsidRPr="00D22324">
        <w:rPr>
          <w:sz w:val="24"/>
          <w:szCs w:val="24"/>
        </w:rPr>
        <w:t>16. 2, pp. 125-142.  University of Szeged.</w:t>
      </w:r>
      <w:r w:rsidR="004D0F66">
        <w:rPr>
          <w:sz w:val="24"/>
          <w:szCs w:val="24"/>
        </w:rPr>
        <w:t xml:space="preserve">   </w:t>
      </w:r>
      <w:r w:rsidR="009B6E56" w:rsidRPr="004D0F66">
        <w:rPr>
          <w:sz w:val="24"/>
          <w:szCs w:val="24"/>
        </w:rPr>
        <w:t>Ava</w:t>
      </w:r>
      <w:r w:rsidR="004D0F66" w:rsidRPr="004D0F66">
        <w:rPr>
          <w:sz w:val="24"/>
          <w:szCs w:val="24"/>
        </w:rPr>
        <w:t>ilable at :</w:t>
      </w:r>
      <w:r w:rsidR="004D0F66">
        <w:t xml:space="preserve"> </w:t>
      </w:r>
      <w:hyperlink r:id="rId12" w:history="1">
        <w:r w:rsidR="004D0F66" w:rsidRPr="003433A7">
          <w:rPr>
            <w:rStyle w:val="Hyperlink"/>
            <w:sz w:val="24"/>
            <w:szCs w:val="24"/>
          </w:rPr>
          <w:t>https://digilib.phil.muni.cz/bitstream/handle/11222.digilib/118192/1_GraecoLatinaBrunensia_16-2011-2_9.pdf?sequence=</w:t>
        </w:r>
      </w:hyperlink>
      <w:r w:rsidR="004D0F66">
        <w:rPr>
          <w:sz w:val="24"/>
          <w:szCs w:val="24"/>
        </w:rPr>
        <w:t xml:space="preserve"> (Accessed on 10 May 2022).</w:t>
      </w:r>
    </w:p>
    <w:p w14:paraId="16E94BE6" w14:textId="77777777" w:rsidR="001E5849" w:rsidRPr="004D0F66" w:rsidRDefault="001E5849" w:rsidP="001E5849">
      <w:pPr>
        <w:spacing w:after="0" w:line="240" w:lineRule="auto"/>
        <w:rPr>
          <w:rFonts w:cstheme="minorHAnsi"/>
          <w:sz w:val="24"/>
          <w:szCs w:val="24"/>
        </w:rPr>
      </w:pPr>
    </w:p>
    <w:p w14:paraId="2BB906E0" w14:textId="67EB8C0F" w:rsidR="00EB33E5" w:rsidRPr="006D6B82" w:rsidRDefault="00C80822" w:rsidP="006D6B82">
      <w:pPr>
        <w:spacing w:after="0" w:line="240" w:lineRule="auto"/>
        <w:rPr>
          <w:rFonts w:eastAsia="Times New Roman" w:cstheme="minorHAnsi"/>
          <w:sz w:val="24"/>
          <w:szCs w:val="24"/>
          <w:lang w:eastAsia="en-GB"/>
        </w:rPr>
      </w:pPr>
      <w:r w:rsidRPr="009B6E56">
        <w:rPr>
          <w:rFonts w:eastAsia="Times New Roman" w:cstheme="minorHAnsi"/>
          <w:sz w:val="24"/>
          <w:szCs w:val="24"/>
          <w:lang w:eastAsia="en-GB"/>
        </w:rPr>
        <w:t>Poe, A. C.</w:t>
      </w:r>
      <w:r w:rsidR="00D22324" w:rsidRPr="009B6E56">
        <w:rPr>
          <w:rFonts w:eastAsia="Times New Roman" w:cstheme="minorHAnsi"/>
          <w:sz w:val="24"/>
          <w:szCs w:val="24"/>
          <w:lang w:eastAsia="en-GB"/>
        </w:rPr>
        <w:t xml:space="preserve"> and</w:t>
      </w:r>
      <w:r w:rsidRPr="009B6E56">
        <w:rPr>
          <w:rFonts w:eastAsia="Times New Roman" w:cstheme="minorHAnsi"/>
          <w:sz w:val="24"/>
          <w:szCs w:val="24"/>
          <w:lang w:eastAsia="en-GB"/>
        </w:rPr>
        <w:t xml:space="preserve"> Mayor, A. (2015). </w:t>
      </w:r>
      <w:r w:rsidR="009B6E56">
        <w:rPr>
          <w:rFonts w:eastAsia="Times New Roman" w:cstheme="minorHAnsi"/>
          <w:sz w:val="24"/>
          <w:szCs w:val="24"/>
          <w:lang w:eastAsia="en-GB"/>
        </w:rPr>
        <w:t xml:space="preserve"> '</w:t>
      </w:r>
      <w:r w:rsidRPr="006D6B82">
        <w:rPr>
          <w:rFonts w:eastAsia="Times New Roman" w:cstheme="minorHAnsi"/>
          <w:sz w:val="24"/>
          <w:szCs w:val="24"/>
          <w:lang w:eastAsia="en-GB"/>
        </w:rPr>
        <w:t xml:space="preserve">Review of </w:t>
      </w:r>
      <w:r w:rsidR="009B6E56" w:rsidRPr="006D6B82">
        <w:rPr>
          <w:rFonts w:eastAsia="Times New Roman" w:cstheme="minorHAnsi"/>
          <w:sz w:val="24"/>
          <w:szCs w:val="24"/>
          <w:lang w:eastAsia="en-GB"/>
        </w:rPr>
        <w:t>T</w:t>
      </w:r>
      <w:r w:rsidRPr="006D6B82">
        <w:rPr>
          <w:rFonts w:eastAsia="Times New Roman" w:cstheme="minorHAnsi"/>
          <w:sz w:val="24"/>
          <w:szCs w:val="24"/>
          <w:lang w:eastAsia="en-GB"/>
        </w:rPr>
        <w:t xml:space="preserve">he Amazons: </w:t>
      </w:r>
      <w:r w:rsidR="009B6E56" w:rsidRPr="006D6B82">
        <w:rPr>
          <w:rFonts w:eastAsia="Times New Roman" w:cstheme="minorHAnsi"/>
          <w:sz w:val="24"/>
          <w:szCs w:val="24"/>
          <w:lang w:eastAsia="en-GB"/>
        </w:rPr>
        <w:t>l</w:t>
      </w:r>
      <w:r w:rsidRPr="006D6B82">
        <w:rPr>
          <w:rFonts w:eastAsia="Times New Roman" w:cstheme="minorHAnsi"/>
          <w:sz w:val="24"/>
          <w:szCs w:val="24"/>
          <w:lang w:eastAsia="en-GB"/>
        </w:rPr>
        <w:t xml:space="preserve">ives and </w:t>
      </w:r>
      <w:r w:rsidR="009B6E56" w:rsidRPr="006D6B82">
        <w:rPr>
          <w:rFonts w:eastAsia="Times New Roman" w:cstheme="minorHAnsi"/>
          <w:sz w:val="24"/>
          <w:szCs w:val="24"/>
          <w:lang w:eastAsia="en-GB"/>
        </w:rPr>
        <w:t>le</w:t>
      </w:r>
      <w:r w:rsidRPr="006D6B82">
        <w:rPr>
          <w:rFonts w:eastAsia="Times New Roman" w:cstheme="minorHAnsi"/>
          <w:sz w:val="24"/>
          <w:szCs w:val="24"/>
          <w:lang w:eastAsia="en-GB"/>
        </w:rPr>
        <w:t xml:space="preserve">gends of </w:t>
      </w:r>
      <w:r w:rsidR="009B6E56" w:rsidRPr="006D6B82">
        <w:rPr>
          <w:rFonts w:eastAsia="Times New Roman" w:cstheme="minorHAnsi"/>
          <w:sz w:val="24"/>
          <w:szCs w:val="24"/>
          <w:lang w:eastAsia="en-GB"/>
        </w:rPr>
        <w:t>w</w:t>
      </w:r>
      <w:r w:rsidRPr="006D6B82">
        <w:rPr>
          <w:rFonts w:eastAsia="Times New Roman" w:cstheme="minorHAnsi"/>
          <w:sz w:val="24"/>
          <w:szCs w:val="24"/>
          <w:lang w:eastAsia="en-GB"/>
        </w:rPr>
        <w:t xml:space="preserve">arrior </w:t>
      </w:r>
      <w:r w:rsidR="009B6E56" w:rsidRPr="006D6B82">
        <w:rPr>
          <w:rFonts w:eastAsia="Times New Roman" w:cstheme="minorHAnsi"/>
          <w:sz w:val="24"/>
          <w:szCs w:val="24"/>
          <w:lang w:eastAsia="en-GB"/>
        </w:rPr>
        <w:t>w</w:t>
      </w:r>
      <w:r w:rsidRPr="006D6B82">
        <w:rPr>
          <w:rFonts w:eastAsia="Times New Roman" w:cstheme="minorHAnsi"/>
          <w:sz w:val="24"/>
          <w:szCs w:val="24"/>
          <w:lang w:eastAsia="en-GB"/>
        </w:rPr>
        <w:t>omen across the Ancient World</w:t>
      </w:r>
      <w:r w:rsidR="009B6E56">
        <w:rPr>
          <w:rFonts w:eastAsia="Times New Roman" w:cstheme="minorHAnsi"/>
          <w:sz w:val="24"/>
          <w:szCs w:val="24"/>
          <w:lang w:eastAsia="en-GB"/>
        </w:rPr>
        <w:t>’</w:t>
      </w:r>
      <w:r w:rsidRPr="001274F0">
        <w:rPr>
          <w:rFonts w:eastAsia="Times New Roman" w:cstheme="minorHAnsi"/>
          <w:sz w:val="24"/>
          <w:szCs w:val="24"/>
          <w:lang w:eastAsia="en-GB"/>
        </w:rPr>
        <w:t xml:space="preserve">. </w:t>
      </w:r>
      <w:r w:rsidRPr="001274F0">
        <w:rPr>
          <w:rFonts w:eastAsia="Times New Roman" w:cstheme="minorHAnsi"/>
          <w:i/>
          <w:iCs/>
          <w:sz w:val="24"/>
          <w:szCs w:val="24"/>
          <w:lang w:eastAsia="en-GB"/>
        </w:rPr>
        <w:t xml:space="preserve"> Woman's Art Journal</w:t>
      </w:r>
      <w:r w:rsidRPr="001274F0">
        <w:rPr>
          <w:rFonts w:eastAsia="Times New Roman" w:cstheme="minorHAnsi"/>
          <w:sz w:val="24"/>
          <w:szCs w:val="24"/>
          <w:lang w:eastAsia="en-GB"/>
        </w:rPr>
        <w:t xml:space="preserve">, </w:t>
      </w:r>
      <w:r w:rsidRPr="001274F0">
        <w:rPr>
          <w:rFonts w:eastAsia="Times New Roman" w:cstheme="minorHAnsi"/>
          <w:i/>
          <w:iCs/>
          <w:sz w:val="24"/>
          <w:szCs w:val="24"/>
          <w:lang w:eastAsia="en-GB"/>
        </w:rPr>
        <w:t>36</w:t>
      </w:r>
      <w:r w:rsidRPr="001274F0">
        <w:rPr>
          <w:rFonts w:eastAsia="Times New Roman" w:cstheme="minorHAnsi"/>
          <w:sz w:val="24"/>
          <w:szCs w:val="24"/>
          <w:lang w:eastAsia="en-GB"/>
        </w:rPr>
        <w:t xml:space="preserve">(2), 64–66.  </w:t>
      </w:r>
      <w:r w:rsidR="004D0F66">
        <w:rPr>
          <w:rFonts w:eastAsia="Times New Roman" w:cstheme="minorHAnsi"/>
          <w:sz w:val="24"/>
          <w:szCs w:val="24"/>
          <w:lang w:eastAsia="en-GB"/>
        </w:rPr>
        <w:t xml:space="preserve">Available at : </w:t>
      </w:r>
      <w:hyperlink r:id="rId13" w:history="1">
        <w:r w:rsidR="004D0F66" w:rsidRPr="003433A7">
          <w:rPr>
            <w:rStyle w:val="Hyperlink"/>
            <w:rFonts w:eastAsia="Times New Roman" w:cstheme="minorHAnsi"/>
            <w:sz w:val="24"/>
            <w:szCs w:val="24"/>
            <w:lang w:eastAsia="en-GB"/>
          </w:rPr>
          <w:t>https://www.jstor.org/stable/26430667</w:t>
        </w:r>
      </w:hyperlink>
      <w:r w:rsidR="004D0F66" w:rsidRPr="006D6B82">
        <w:rPr>
          <w:rStyle w:val="Hyperlink"/>
          <w:rFonts w:eastAsia="Times New Roman" w:cstheme="minorHAnsi"/>
          <w:color w:val="auto"/>
          <w:sz w:val="24"/>
          <w:szCs w:val="24"/>
          <w:u w:val="none"/>
          <w:lang w:eastAsia="en-GB"/>
        </w:rPr>
        <w:t xml:space="preserve">.  (Accessed on </w:t>
      </w:r>
      <w:r w:rsidR="004D0F66" w:rsidRPr="006D6B82">
        <w:rPr>
          <w:rFonts w:eastAsia="Times New Roman" w:cstheme="minorHAnsi"/>
          <w:sz w:val="24"/>
          <w:szCs w:val="24"/>
          <w:lang w:eastAsia="en-GB"/>
        </w:rPr>
        <w:t>13 May 2022).</w:t>
      </w:r>
    </w:p>
    <w:p w14:paraId="52D1A4F6" w14:textId="77777777" w:rsidR="004D0F66" w:rsidRDefault="004D0F66" w:rsidP="001274F0">
      <w:pPr>
        <w:spacing w:after="0" w:line="240" w:lineRule="auto"/>
        <w:rPr>
          <w:rFonts w:eastAsia="Times New Roman" w:cstheme="minorHAnsi"/>
          <w:sz w:val="24"/>
          <w:szCs w:val="24"/>
          <w:lang w:eastAsia="en-GB"/>
        </w:rPr>
      </w:pPr>
    </w:p>
    <w:p w14:paraId="427CD336" w14:textId="18B35D8D" w:rsidR="00EB33E5" w:rsidRPr="004D0F66" w:rsidRDefault="00C80822" w:rsidP="00EB33E5">
      <w:pPr>
        <w:spacing w:after="0" w:line="240" w:lineRule="auto"/>
        <w:rPr>
          <w:rFonts w:cstheme="minorHAnsi"/>
          <w:sz w:val="24"/>
          <w:szCs w:val="24"/>
        </w:rPr>
      </w:pPr>
      <w:r w:rsidRPr="0057609E">
        <w:rPr>
          <w:rStyle w:val="bibliographicauthorname"/>
          <w:rFonts w:cstheme="minorHAnsi"/>
          <w:sz w:val="24"/>
          <w:szCs w:val="24"/>
          <w:shd w:val="clear" w:color="auto" w:fill="FFFFFF"/>
        </w:rPr>
        <w:t>Quintus Curtius</w:t>
      </w:r>
      <w:r w:rsidR="0057609E">
        <w:rPr>
          <w:rStyle w:val="bibliographicauthorname"/>
          <w:rFonts w:cstheme="minorHAnsi"/>
          <w:sz w:val="24"/>
          <w:szCs w:val="24"/>
          <w:shd w:val="clear" w:color="auto" w:fill="FFFFFF"/>
        </w:rPr>
        <w:t xml:space="preserve"> Rufus</w:t>
      </w:r>
      <w:r w:rsidRPr="0057609E">
        <w:rPr>
          <w:rFonts w:cstheme="minorHAnsi"/>
          <w:sz w:val="24"/>
          <w:szCs w:val="24"/>
          <w:shd w:val="clear" w:color="auto" w:fill="FFFFFF"/>
        </w:rPr>
        <w:t>. </w:t>
      </w:r>
      <w:r w:rsidRPr="0057609E">
        <w:rPr>
          <w:rFonts w:cstheme="minorHAnsi"/>
          <w:i/>
          <w:iCs/>
          <w:sz w:val="24"/>
          <w:szCs w:val="24"/>
          <w:shd w:val="clear" w:color="auto" w:fill="FFFFFF"/>
        </w:rPr>
        <w:t>History of Alexander, Volume II: Books 6-10. </w:t>
      </w:r>
      <w:r w:rsidRPr="0057609E">
        <w:rPr>
          <w:rStyle w:val="translators"/>
          <w:rFonts w:cstheme="minorHAnsi"/>
          <w:sz w:val="24"/>
          <w:szCs w:val="24"/>
          <w:shd w:val="clear" w:color="auto" w:fill="FFFFFF"/>
        </w:rPr>
        <w:t xml:space="preserve"> Translated by </w:t>
      </w:r>
      <w:r w:rsidRPr="0057609E">
        <w:rPr>
          <w:rStyle w:val="contributorname"/>
          <w:rFonts w:cstheme="minorHAnsi"/>
          <w:sz w:val="24"/>
          <w:szCs w:val="24"/>
          <w:shd w:val="clear" w:color="auto" w:fill="FFFFFF"/>
        </w:rPr>
        <w:t>J. C. Rolfe</w:t>
      </w:r>
      <w:r w:rsidRPr="0057609E">
        <w:rPr>
          <w:rStyle w:val="translators"/>
          <w:rFonts w:cstheme="minorHAnsi"/>
          <w:sz w:val="24"/>
          <w:szCs w:val="24"/>
          <w:shd w:val="clear" w:color="auto" w:fill="FFFFFF"/>
        </w:rPr>
        <w:t xml:space="preserve">.  </w:t>
      </w:r>
      <w:r w:rsidRPr="0057609E">
        <w:rPr>
          <w:rFonts w:cstheme="minorHAnsi"/>
          <w:sz w:val="24"/>
          <w:szCs w:val="24"/>
          <w:shd w:val="clear" w:color="auto" w:fill="FFFFFF"/>
        </w:rPr>
        <w:t>Loeb Classical Library 369.  Cambridge, MA: Harvard University Press, 1946.</w:t>
      </w:r>
      <w:r w:rsidR="00470475">
        <w:rPr>
          <w:rFonts w:cstheme="minorHAnsi"/>
          <w:sz w:val="24"/>
          <w:szCs w:val="24"/>
          <w:shd w:val="clear" w:color="auto" w:fill="FFFFFF"/>
        </w:rPr>
        <w:t xml:space="preserve">  </w:t>
      </w:r>
      <w:r w:rsidR="004D0F66">
        <w:rPr>
          <w:rFonts w:cstheme="minorHAnsi"/>
          <w:sz w:val="24"/>
          <w:szCs w:val="24"/>
          <w:shd w:val="clear" w:color="auto" w:fill="FFFFFF"/>
        </w:rPr>
        <w:t xml:space="preserve">Available at: </w:t>
      </w:r>
      <w:hyperlink r:id="rId14" w:history="1">
        <w:r w:rsidR="00470475">
          <w:rPr>
            <w:rStyle w:val="Hyperlink"/>
          </w:rPr>
          <w:t>Quintus Curtius, History of Alexander, Volume II: Books 6-10 | Loeb Classical Library (uwtsd.ac.uk)</w:t>
        </w:r>
      </w:hyperlink>
      <w:r w:rsidR="004D0F66">
        <w:t xml:space="preserve"> </w:t>
      </w:r>
      <w:r w:rsidR="004D0F66" w:rsidRPr="004D0F66">
        <w:rPr>
          <w:sz w:val="24"/>
          <w:szCs w:val="24"/>
        </w:rPr>
        <w:t>(Accessed 10 May 2022).</w:t>
      </w:r>
    </w:p>
    <w:p w14:paraId="15CA4C5D" w14:textId="14C5642C" w:rsidR="00203E62" w:rsidRPr="0057609E" w:rsidRDefault="00203E62" w:rsidP="00F838C4">
      <w:pPr>
        <w:spacing w:after="0" w:line="240" w:lineRule="auto"/>
        <w:rPr>
          <w:sz w:val="24"/>
          <w:szCs w:val="24"/>
        </w:rPr>
      </w:pPr>
    </w:p>
    <w:p w14:paraId="265DF394" w14:textId="001CD5D1" w:rsidR="004D0F66" w:rsidRPr="004D0F66" w:rsidRDefault="00C80822" w:rsidP="004D0F66">
      <w:pPr>
        <w:spacing w:after="0" w:line="240" w:lineRule="auto"/>
        <w:rPr>
          <w:rStyle w:val="Hyperlink"/>
          <w:rFonts w:eastAsia="Times New Roman" w:cstheme="minorHAnsi"/>
          <w:sz w:val="24"/>
          <w:szCs w:val="24"/>
          <w:lang w:eastAsia="en-GB"/>
        </w:rPr>
      </w:pPr>
      <w:r w:rsidRPr="007270F3">
        <w:rPr>
          <w:rFonts w:eastAsia="Times New Roman" w:cstheme="minorHAnsi"/>
          <w:sz w:val="24"/>
          <w:szCs w:val="24"/>
          <w:lang w:eastAsia="en-GB"/>
        </w:rPr>
        <w:t>Rice</w:t>
      </w:r>
      <w:r>
        <w:rPr>
          <w:rFonts w:eastAsia="Times New Roman" w:cstheme="minorHAnsi"/>
          <w:sz w:val="24"/>
          <w:szCs w:val="24"/>
          <w:lang w:eastAsia="en-GB"/>
        </w:rPr>
        <w:t>, E. E.</w:t>
      </w:r>
      <w:r w:rsidRPr="007270F3">
        <w:rPr>
          <w:rFonts w:eastAsia="Times New Roman" w:cstheme="minorHAnsi"/>
          <w:sz w:val="24"/>
          <w:szCs w:val="24"/>
          <w:lang w:eastAsia="en-GB"/>
        </w:rPr>
        <w:t xml:space="preserve"> (1983). </w:t>
      </w:r>
      <w:r w:rsidRPr="006D6B82">
        <w:rPr>
          <w:rFonts w:eastAsia="Times New Roman" w:cstheme="minorHAnsi"/>
          <w:sz w:val="24"/>
          <w:szCs w:val="24"/>
          <w:lang w:eastAsia="en-GB"/>
        </w:rPr>
        <w:t xml:space="preserve"> 'Review of A Commentary on Q. Curtius Rufus’ Historiae Alexandri Magni, Books 3 and 4, by J. E. Atkinson</w:t>
      </w:r>
      <w:r w:rsidR="006D6B82">
        <w:rPr>
          <w:rFonts w:eastAsia="Times New Roman" w:cstheme="minorHAnsi"/>
          <w:sz w:val="24"/>
          <w:szCs w:val="24"/>
          <w:lang w:eastAsia="en-GB"/>
        </w:rPr>
        <w:t>’</w:t>
      </w:r>
      <w:r w:rsidRPr="007270F3">
        <w:rPr>
          <w:rFonts w:eastAsia="Times New Roman" w:cstheme="minorHAnsi"/>
          <w:sz w:val="24"/>
          <w:szCs w:val="24"/>
          <w:lang w:eastAsia="en-GB"/>
        </w:rPr>
        <w:t xml:space="preserve">. </w:t>
      </w:r>
      <w:r w:rsidRPr="007270F3">
        <w:rPr>
          <w:rFonts w:eastAsia="Times New Roman" w:cstheme="minorHAnsi"/>
          <w:i/>
          <w:iCs/>
          <w:sz w:val="24"/>
          <w:szCs w:val="24"/>
          <w:lang w:eastAsia="en-GB"/>
        </w:rPr>
        <w:t xml:space="preserve"> The Classical Review</w:t>
      </w:r>
      <w:r w:rsidRPr="007270F3">
        <w:rPr>
          <w:rFonts w:eastAsia="Times New Roman" w:cstheme="minorHAnsi"/>
          <w:sz w:val="24"/>
          <w:szCs w:val="24"/>
          <w:lang w:eastAsia="en-GB"/>
        </w:rPr>
        <w:t xml:space="preserve">, </w:t>
      </w:r>
      <w:r w:rsidRPr="007270F3">
        <w:rPr>
          <w:rFonts w:eastAsia="Times New Roman" w:cstheme="minorHAnsi"/>
          <w:i/>
          <w:iCs/>
          <w:sz w:val="24"/>
          <w:szCs w:val="24"/>
          <w:lang w:eastAsia="en-GB"/>
        </w:rPr>
        <w:t>33</w:t>
      </w:r>
      <w:r w:rsidRPr="007270F3">
        <w:rPr>
          <w:rFonts w:eastAsia="Times New Roman" w:cstheme="minorHAnsi"/>
          <w:sz w:val="24"/>
          <w:szCs w:val="24"/>
          <w:lang w:eastAsia="en-GB"/>
        </w:rPr>
        <w:t xml:space="preserve">(1), 39–41.  </w:t>
      </w:r>
      <w:r>
        <w:rPr>
          <w:rFonts w:eastAsia="Times New Roman" w:cstheme="minorHAnsi"/>
          <w:sz w:val="24"/>
          <w:szCs w:val="24"/>
          <w:lang w:eastAsia="en-GB"/>
        </w:rPr>
        <w:t xml:space="preserve">Available at: </w:t>
      </w:r>
      <w:hyperlink r:id="rId15" w:history="1">
        <w:r w:rsidRPr="003433A7">
          <w:rPr>
            <w:rStyle w:val="Hyperlink"/>
            <w:rFonts w:eastAsia="Times New Roman" w:cstheme="minorHAnsi"/>
            <w:sz w:val="24"/>
            <w:szCs w:val="24"/>
            <w:lang w:eastAsia="en-GB"/>
          </w:rPr>
          <w:t>http://www.jstor.org/stable/3062963</w:t>
        </w:r>
      </w:hyperlink>
      <w:r>
        <w:rPr>
          <w:rStyle w:val="Hyperlink"/>
          <w:rFonts w:eastAsia="Times New Roman" w:cstheme="minorHAnsi"/>
          <w:sz w:val="24"/>
          <w:szCs w:val="24"/>
          <w:lang w:eastAsia="en-GB"/>
        </w:rPr>
        <w:t xml:space="preserve">  </w:t>
      </w:r>
      <w:r w:rsidRPr="004D0F66">
        <w:rPr>
          <w:rStyle w:val="Hyperlink"/>
          <w:rFonts w:eastAsia="Times New Roman" w:cstheme="minorHAnsi"/>
          <w:color w:val="auto"/>
          <w:sz w:val="24"/>
          <w:szCs w:val="24"/>
          <w:u w:val="none"/>
          <w:lang w:eastAsia="en-GB"/>
        </w:rPr>
        <w:t>(Accessed on 14 May 2022).</w:t>
      </w:r>
    </w:p>
    <w:p w14:paraId="2B276067" w14:textId="77777777" w:rsidR="001528E6" w:rsidRDefault="001528E6" w:rsidP="007270F3">
      <w:pPr>
        <w:spacing w:after="0" w:line="240" w:lineRule="auto"/>
        <w:rPr>
          <w:rFonts w:eastAsia="Times New Roman" w:cstheme="minorHAnsi"/>
          <w:sz w:val="24"/>
          <w:szCs w:val="24"/>
          <w:lang w:eastAsia="en-GB"/>
        </w:rPr>
      </w:pPr>
    </w:p>
    <w:p w14:paraId="0B69E99B" w14:textId="0E98E484" w:rsidR="001528E6" w:rsidRDefault="00C80822" w:rsidP="001528E6">
      <w:pPr>
        <w:spacing w:after="0" w:line="240" w:lineRule="auto"/>
        <w:rPr>
          <w:sz w:val="24"/>
          <w:szCs w:val="24"/>
        </w:rPr>
      </w:pPr>
      <w:r>
        <w:rPr>
          <w:sz w:val="24"/>
          <w:szCs w:val="24"/>
        </w:rPr>
        <w:t xml:space="preserve">Stoneman, R.  (1991). </w:t>
      </w:r>
      <w:r w:rsidRPr="001528E6">
        <w:rPr>
          <w:i/>
          <w:iCs/>
          <w:sz w:val="24"/>
          <w:szCs w:val="24"/>
        </w:rPr>
        <w:t xml:space="preserve"> The Greek Alexander </w:t>
      </w:r>
      <w:r w:rsidR="006D6B82">
        <w:rPr>
          <w:i/>
          <w:iCs/>
          <w:sz w:val="24"/>
          <w:szCs w:val="24"/>
        </w:rPr>
        <w:t>r</w:t>
      </w:r>
      <w:r w:rsidRPr="001528E6">
        <w:rPr>
          <w:i/>
          <w:iCs/>
          <w:sz w:val="24"/>
          <w:szCs w:val="24"/>
        </w:rPr>
        <w:t>omance</w:t>
      </w:r>
      <w:r w:rsidRPr="009429C1">
        <w:rPr>
          <w:sz w:val="24"/>
          <w:szCs w:val="24"/>
        </w:rPr>
        <w:t xml:space="preserve">.  </w:t>
      </w:r>
      <w:r w:rsidR="00F03014">
        <w:rPr>
          <w:sz w:val="24"/>
          <w:szCs w:val="24"/>
        </w:rPr>
        <w:t xml:space="preserve">UK: </w:t>
      </w:r>
      <w:r w:rsidRPr="009429C1">
        <w:rPr>
          <w:sz w:val="24"/>
          <w:szCs w:val="24"/>
        </w:rPr>
        <w:t xml:space="preserve">Penguin </w:t>
      </w:r>
    </w:p>
    <w:p w14:paraId="62C76E6C" w14:textId="77777777" w:rsidR="00FB4D0E" w:rsidRDefault="00FB4D0E" w:rsidP="001528E6">
      <w:pPr>
        <w:spacing w:after="0" w:line="240" w:lineRule="auto"/>
        <w:rPr>
          <w:sz w:val="24"/>
          <w:szCs w:val="24"/>
        </w:rPr>
      </w:pPr>
    </w:p>
    <w:p w14:paraId="49278533" w14:textId="77777777" w:rsidR="00470475" w:rsidRDefault="00470475" w:rsidP="00FB4D0E">
      <w:pPr>
        <w:spacing w:after="0" w:line="240" w:lineRule="auto"/>
        <w:rPr>
          <w:rFonts w:cstheme="minorHAnsi"/>
          <w:sz w:val="24"/>
          <w:szCs w:val="24"/>
        </w:rPr>
      </w:pPr>
    </w:p>
    <w:p w14:paraId="67BF2B09" w14:textId="3D7ADFF1" w:rsidR="00FB4D0E" w:rsidRPr="00FB4D0E" w:rsidRDefault="00C80822" w:rsidP="00F03014">
      <w:pPr>
        <w:spacing w:after="0" w:line="240" w:lineRule="auto"/>
        <w:rPr>
          <w:rFonts w:cstheme="minorHAnsi"/>
          <w:color w:val="000000"/>
          <w:sz w:val="24"/>
          <w:szCs w:val="24"/>
          <w:shd w:val="clear" w:color="auto" w:fill="FFFFFF"/>
        </w:rPr>
      </w:pPr>
      <w:r w:rsidRPr="00FB4D0E">
        <w:rPr>
          <w:rFonts w:cstheme="minorHAnsi"/>
          <w:sz w:val="24"/>
          <w:szCs w:val="24"/>
        </w:rPr>
        <w:t>Strabo.  </w:t>
      </w:r>
      <w:r w:rsidRPr="00FB4D0E">
        <w:rPr>
          <w:rFonts w:cstheme="minorHAnsi"/>
          <w:i/>
          <w:iCs/>
          <w:sz w:val="24"/>
          <w:szCs w:val="24"/>
        </w:rPr>
        <w:t>Geography</w:t>
      </w:r>
      <w:r w:rsidRPr="00FB4D0E">
        <w:rPr>
          <w:rFonts w:cstheme="minorHAnsi"/>
          <w:sz w:val="24"/>
          <w:szCs w:val="24"/>
        </w:rPr>
        <w:t xml:space="preserve">. </w:t>
      </w:r>
      <w:r w:rsidR="00470475" w:rsidRPr="00FB4D0E">
        <w:rPr>
          <w:rFonts w:cstheme="minorHAnsi"/>
          <w:sz w:val="24"/>
          <w:szCs w:val="24"/>
        </w:rPr>
        <w:t xml:space="preserve"> Book XV. 1.28.  </w:t>
      </w:r>
      <w:r w:rsidR="00470475" w:rsidRPr="00470475">
        <w:rPr>
          <w:rFonts w:cstheme="minorHAnsi"/>
          <w:sz w:val="24"/>
          <w:szCs w:val="24"/>
        </w:rPr>
        <w:t>T</w:t>
      </w:r>
      <w:r w:rsidRPr="00470475">
        <w:rPr>
          <w:rFonts w:cstheme="minorHAnsi"/>
          <w:sz w:val="24"/>
          <w:szCs w:val="24"/>
        </w:rPr>
        <w:t>ransl</w:t>
      </w:r>
      <w:r w:rsidR="00470475" w:rsidRPr="00470475">
        <w:rPr>
          <w:rFonts w:cstheme="minorHAnsi"/>
          <w:sz w:val="24"/>
          <w:szCs w:val="24"/>
        </w:rPr>
        <w:t>ated by</w:t>
      </w:r>
      <w:r w:rsidRPr="00470475">
        <w:rPr>
          <w:rFonts w:cstheme="minorHAnsi"/>
          <w:sz w:val="24"/>
          <w:szCs w:val="24"/>
        </w:rPr>
        <w:t xml:space="preserve"> H.C. Hamilton., &amp; W. Falconer. </w:t>
      </w:r>
      <w:r w:rsidR="00F03014">
        <w:rPr>
          <w:rFonts w:cstheme="minorHAnsi"/>
          <w:sz w:val="24"/>
          <w:szCs w:val="24"/>
        </w:rPr>
        <w:t xml:space="preserve"> Available at: </w:t>
      </w:r>
      <w:hyperlink r:id="rId16" w:history="1">
        <w:r w:rsidR="00F03014" w:rsidRPr="003433A7">
          <w:rPr>
            <w:rStyle w:val="Hyperlink"/>
            <w:rFonts w:cstheme="minorHAnsi"/>
            <w:sz w:val="24"/>
            <w:szCs w:val="24"/>
          </w:rPr>
          <w:t>http://</w:t>
        </w:r>
        <w:r w:rsidR="00F03014" w:rsidRPr="003433A7">
          <w:rPr>
            <w:rStyle w:val="Hyperlink"/>
            <w:rFonts w:cstheme="minorHAnsi"/>
            <w:sz w:val="24"/>
            <w:szCs w:val="24"/>
            <w:shd w:val="clear" w:color="auto" w:fill="FFFFFF"/>
          </w:rPr>
          <w:t>data.perseus.org</w:t>
        </w:r>
      </w:hyperlink>
      <w:r w:rsidRPr="00FB4D0E">
        <w:rPr>
          <w:rFonts w:cstheme="minorHAnsi"/>
          <w:color w:val="000000"/>
          <w:sz w:val="24"/>
          <w:szCs w:val="24"/>
          <w:shd w:val="clear" w:color="auto" w:fill="FFFFFF"/>
        </w:rPr>
        <w:t>.</w:t>
      </w:r>
      <w:r w:rsidR="00F03014">
        <w:rPr>
          <w:rFonts w:cstheme="minorHAnsi"/>
          <w:color w:val="000000"/>
          <w:sz w:val="24"/>
          <w:szCs w:val="24"/>
          <w:shd w:val="clear" w:color="auto" w:fill="FFFFFF"/>
        </w:rPr>
        <w:t xml:space="preserve">  (</w:t>
      </w:r>
      <w:r w:rsidRPr="00FB4D0E">
        <w:rPr>
          <w:rFonts w:cstheme="minorHAnsi"/>
          <w:color w:val="000000"/>
          <w:sz w:val="24"/>
          <w:szCs w:val="24"/>
          <w:shd w:val="clear" w:color="auto" w:fill="FFFFFF"/>
        </w:rPr>
        <w:t>Accessed 1</w:t>
      </w:r>
      <w:r w:rsidR="00DA07C3">
        <w:rPr>
          <w:rFonts w:cstheme="minorHAnsi"/>
          <w:color w:val="000000"/>
          <w:sz w:val="24"/>
          <w:szCs w:val="24"/>
          <w:shd w:val="clear" w:color="auto" w:fill="FFFFFF"/>
        </w:rPr>
        <w:t>3</w:t>
      </w:r>
      <w:r w:rsidRPr="00FB4D0E">
        <w:rPr>
          <w:rFonts w:cstheme="minorHAnsi"/>
          <w:color w:val="000000"/>
          <w:sz w:val="24"/>
          <w:szCs w:val="24"/>
          <w:shd w:val="clear" w:color="auto" w:fill="FFFFFF"/>
        </w:rPr>
        <w:t xml:space="preserve"> May 2022</w:t>
      </w:r>
      <w:r w:rsidR="00F03014">
        <w:rPr>
          <w:rFonts w:cstheme="minorHAnsi"/>
          <w:color w:val="000000"/>
          <w:sz w:val="24"/>
          <w:szCs w:val="24"/>
          <w:shd w:val="clear" w:color="auto" w:fill="FFFFFF"/>
        </w:rPr>
        <w:t>)</w:t>
      </w:r>
      <w:r w:rsidRPr="00FB4D0E">
        <w:rPr>
          <w:rFonts w:cstheme="minorHAnsi"/>
          <w:color w:val="000000"/>
          <w:sz w:val="24"/>
          <w:szCs w:val="24"/>
          <w:shd w:val="clear" w:color="auto" w:fill="FFFFFF"/>
        </w:rPr>
        <w:t>.</w:t>
      </w:r>
    </w:p>
    <w:p w14:paraId="319881EB" w14:textId="21136ADD" w:rsidR="007270F3" w:rsidRPr="007270F3" w:rsidRDefault="007270F3" w:rsidP="00FB4D0E">
      <w:pPr>
        <w:spacing w:after="0" w:line="240" w:lineRule="auto"/>
        <w:rPr>
          <w:rFonts w:eastAsia="Times New Roman" w:cstheme="minorHAnsi"/>
          <w:sz w:val="24"/>
          <w:szCs w:val="24"/>
          <w:lang w:eastAsia="en-GB"/>
        </w:rPr>
      </w:pPr>
    </w:p>
    <w:p w14:paraId="25B22A75" w14:textId="3AABD747" w:rsidR="0077684B" w:rsidRPr="00C80822" w:rsidRDefault="00C80822" w:rsidP="0077684B">
      <w:pPr>
        <w:spacing w:after="0" w:line="240" w:lineRule="auto"/>
        <w:rPr>
          <w:rFonts w:cstheme="minorHAnsi"/>
          <w:color w:val="0A0A0A"/>
          <w:sz w:val="24"/>
          <w:szCs w:val="24"/>
          <w:shd w:val="clear" w:color="auto" w:fill="FFFFFF"/>
        </w:rPr>
      </w:pPr>
      <w:r w:rsidRPr="00C80822">
        <w:rPr>
          <w:rFonts w:cstheme="minorHAnsi"/>
          <w:color w:val="0A0A0A"/>
          <w:sz w:val="24"/>
          <w:szCs w:val="24"/>
          <w:shd w:val="clear" w:color="auto" w:fill="FFFFFF"/>
        </w:rPr>
        <w:t xml:space="preserve">Townsend, D. (1995). </w:t>
      </w:r>
      <w:r w:rsidR="00F03014" w:rsidRPr="00C80822">
        <w:rPr>
          <w:rFonts w:cstheme="minorHAnsi"/>
          <w:color w:val="0A0A0A"/>
          <w:sz w:val="24"/>
          <w:szCs w:val="24"/>
          <w:shd w:val="clear" w:color="auto" w:fill="FFFFFF"/>
        </w:rPr>
        <w:t xml:space="preserve"> '</w:t>
      </w:r>
      <w:r w:rsidRPr="00C80822">
        <w:rPr>
          <w:rFonts w:cstheme="minorHAnsi"/>
          <w:color w:val="0A0A0A"/>
          <w:sz w:val="24"/>
          <w:szCs w:val="24"/>
          <w:shd w:val="clear" w:color="auto" w:fill="FFFFFF"/>
        </w:rPr>
        <w:t xml:space="preserve">Sex and the </w:t>
      </w:r>
      <w:r w:rsidR="00F03014" w:rsidRPr="00C80822">
        <w:rPr>
          <w:rFonts w:cstheme="minorHAnsi"/>
          <w:color w:val="0A0A0A"/>
          <w:sz w:val="24"/>
          <w:szCs w:val="24"/>
          <w:shd w:val="clear" w:color="auto" w:fill="FFFFFF"/>
        </w:rPr>
        <w:t>s</w:t>
      </w:r>
      <w:r w:rsidRPr="00C80822">
        <w:rPr>
          <w:rFonts w:cstheme="minorHAnsi"/>
          <w:color w:val="0A0A0A"/>
          <w:sz w:val="24"/>
          <w:szCs w:val="24"/>
          <w:shd w:val="clear" w:color="auto" w:fill="FFFFFF"/>
        </w:rPr>
        <w:t xml:space="preserve">ingle Amazon in Twelfth-Century Latin </w:t>
      </w:r>
      <w:r w:rsidR="00F03014" w:rsidRPr="00C80822">
        <w:rPr>
          <w:rFonts w:cstheme="minorHAnsi"/>
          <w:color w:val="0A0A0A"/>
          <w:sz w:val="24"/>
          <w:szCs w:val="24"/>
          <w:shd w:val="clear" w:color="auto" w:fill="FFFFFF"/>
        </w:rPr>
        <w:t>e</w:t>
      </w:r>
      <w:r w:rsidRPr="00C80822">
        <w:rPr>
          <w:rFonts w:cstheme="minorHAnsi"/>
          <w:color w:val="0A0A0A"/>
          <w:sz w:val="24"/>
          <w:szCs w:val="24"/>
          <w:shd w:val="clear" w:color="auto" w:fill="FFFFFF"/>
        </w:rPr>
        <w:t>pic</w:t>
      </w:r>
      <w:r w:rsidR="00F03014" w:rsidRPr="00C80822">
        <w:rPr>
          <w:rFonts w:cstheme="minorHAnsi"/>
          <w:color w:val="0A0A0A"/>
          <w:sz w:val="24"/>
          <w:szCs w:val="24"/>
          <w:shd w:val="clear" w:color="auto" w:fill="FFFFFF"/>
        </w:rPr>
        <w:t>’</w:t>
      </w:r>
      <w:r w:rsidRPr="00C80822">
        <w:rPr>
          <w:rFonts w:cstheme="minorHAnsi"/>
          <w:color w:val="0A0A0A"/>
          <w:sz w:val="24"/>
          <w:szCs w:val="24"/>
          <w:shd w:val="clear" w:color="auto" w:fill="FFFFFF"/>
        </w:rPr>
        <w:t xml:space="preserve">.  </w:t>
      </w:r>
      <w:r w:rsidRPr="00C80822">
        <w:rPr>
          <w:rFonts w:cstheme="minorHAnsi"/>
          <w:i/>
          <w:iCs/>
          <w:color w:val="0A0A0A"/>
          <w:sz w:val="24"/>
          <w:szCs w:val="24"/>
          <w:shd w:val="clear" w:color="auto" w:fill="FFFFFF"/>
        </w:rPr>
        <w:t>University of Toronto Quarterly</w:t>
      </w:r>
      <w:r w:rsidRPr="00C80822">
        <w:rPr>
          <w:rFonts w:cstheme="minorHAnsi"/>
          <w:color w:val="0A0A0A"/>
          <w:sz w:val="24"/>
          <w:szCs w:val="24"/>
          <w:shd w:val="clear" w:color="auto" w:fill="FFFFFF"/>
        </w:rPr>
        <w:t> </w:t>
      </w:r>
      <w:r w:rsidRPr="00C80822">
        <w:rPr>
          <w:rFonts w:cstheme="minorHAnsi"/>
          <w:i/>
          <w:iCs/>
          <w:color w:val="0A0A0A"/>
          <w:sz w:val="24"/>
          <w:szCs w:val="24"/>
          <w:shd w:val="clear" w:color="auto" w:fill="FFFFFF"/>
        </w:rPr>
        <w:t>64</w:t>
      </w:r>
      <w:r w:rsidRPr="00C80822">
        <w:rPr>
          <w:rFonts w:cstheme="minorHAnsi"/>
          <w:color w:val="0A0A0A"/>
          <w:sz w:val="24"/>
          <w:szCs w:val="24"/>
          <w:shd w:val="clear" w:color="auto" w:fill="FFFFFF"/>
        </w:rPr>
        <w:t>(2), 255-273.</w:t>
      </w:r>
      <w:r w:rsidRPr="00C80822">
        <w:rPr>
          <w:sz w:val="24"/>
          <w:szCs w:val="24"/>
        </w:rPr>
        <w:t xml:space="preserve"> </w:t>
      </w:r>
      <w:r w:rsidR="00F03014" w:rsidRPr="00C80822">
        <w:rPr>
          <w:sz w:val="24"/>
          <w:szCs w:val="24"/>
        </w:rPr>
        <w:t xml:space="preserve"> Available at: </w:t>
      </w:r>
      <w:hyperlink r:id="rId17" w:history="1">
        <w:r w:rsidRPr="00C80822">
          <w:rPr>
            <w:color w:val="0000FF"/>
            <w:sz w:val="24"/>
            <w:szCs w:val="24"/>
            <w:u w:val="single"/>
          </w:rPr>
          <w:t>University of Toronto Quarterly Spring 1995: Vol 64 Iss 2 : Free Download, Borrow, and Streaming : Internet Archive</w:t>
        </w:r>
      </w:hyperlink>
      <w:r w:rsidRPr="00C80822">
        <w:rPr>
          <w:rFonts w:cstheme="minorHAnsi"/>
          <w:color w:val="0A0A0A"/>
          <w:sz w:val="24"/>
          <w:szCs w:val="24"/>
          <w:shd w:val="clear" w:color="auto" w:fill="FFFFFF"/>
        </w:rPr>
        <w:t>.</w:t>
      </w:r>
      <w:r w:rsidR="00F03014" w:rsidRPr="00C80822">
        <w:rPr>
          <w:rFonts w:cstheme="minorHAnsi"/>
          <w:color w:val="0A0A0A"/>
          <w:sz w:val="24"/>
          <w:szCs w:val="24"/>
          <w:shd w:val="clear" w:color="auto" w:fill="FFFFFF"/>
        </w:rPr>
        <w:t xml:space="preserve">  (Accessed 14 May 2022).</w:t>
      </w:r>
    </w:p>
    <w:p w14:paraId="3F1385C6" w14:textId="206E3010" w:rsidR="0077684B" w:rsidRPr="00C80822" w:rsidRDefault="0077684B" w:rsidP="0077684B">
      <w:pPr>
        <w:spacing w:after="0" w:line="240" w:lineRule="auto"/>
        <w:rPr>
          <w:rFonts w:cstheme="minorHAnsi"/>
          <w:color w:val="0A0A0A"/>
          <w:sz w:val="24"/>
          <w:szCs w:val="24"/>
          <w:shd w:val="clear" w:color="auto" w:fill="FFFFFF"/>
        </w:rPr>
      </w:pPr>
    </w:p>
    <w:p w14:paraId="3E369AE6" w14:textId="705E7B98" w:rsidR="00683BE2" w:rsidRPr="00C80822" w:rsidRDefault="00C80822" w:rsidP="00683BE2">
      <w:pPr>
        <w:spacing w:after="0" w:line="240" w:lineRule="auto"/>
        <w:rPr>
          <w:rFonts w:eastAsia="Times New Roman" w:cstheme="minorHAnsi"/>
          <w:sz w:val="24"/>
          <w:szCs w:val="24"/>
          <w:lang w:eastAsia="en-GB"/>
        </w:rPr>
      </w:pPr>
      <w:r w:rsidRPr="00C80822">
        <w:rPr>
          <w:rFonts w:eastAsia="Times New Roman" w:cstheme="minorHAnsi"/>
          <w:sz w:val="24"/>
          <w:szCs w:val="24"/>
          <w:lang w:eastAsia="en-GB"/>
        </w:rPr>
        <w:t xml:space="preserve">Townsend, D. (1996).  </w:t>
      </w:r>
      <w:r w:rsidRPr="00C80822">
        <w:rPr>
          <w:rFonts w:eastAsia="Times New Roman" w:cstheme="minorHAnsi"/>
          <w:i/>
          <w:iCs/>
          <w:sz w:val="24"/>
          <w:szCs w:val="24"/>
          <w:lang w:eastAsia="en-GB"/>
        </w:rPr>
        <w:t xml:space="preserve">The “Alexandreis” of Walter of Chatilon: A Twelfth-Century </w:t>
      </w:r>
      <w:r w:rsidR="00F03014" w:rsidRPr="00C80822">
        <w:rPr>
          <w:rFonts w:eastAsia="Times New Roman" w:cstheme="minorHAnsi"/>
          <w:i/>
          <w:iCs/>
          <w:sz w:val="24"/>
          <w:szCs w:val="24"/>
          <w:lang w:eastAsia="en-GB"/>
        </w:rPr>
        <w:t>e</w:t>
      </w:r>
      <w:r w:rsidRPr="00C80822">
        <w:rPr>
          <w:rFonts w:eastAsia="Times New Roman" w:cstheme="minorHAnsi"/>
          <w:i/>
          <w:iCs/>
          <w:sz w:val="24"/>
          <w:szCs w:val="24"/>
          <w:lang w:eastAsia="en-GB"/>
        </w:rPr>
        <w:t>pic</w:t>
      </w:r>
      <w:r w:rsidRPr="00C80822">
        <w:rPr>
          <w:rFonts w:eastAsia="Times New Roman" w:cstheme="minorHAnsi"/>
          <w:sz w:val="24"/>
          <w:szCs w:val="24"/>
          <w:lang w:eastAsia="en-GB"/>
        </w:rPr>
        <w:t xml:space="preserve">.  </w:t>
      </w:r>
      <w:r w:rsidR="00451D35" w:rsidRPr="00C80822">
        <w:rPr>
          <w:sz w:val="24"/>
          <w:szCs w:val="24"/>
        </w:rPr>
        <w:t xml:space="preserve">Philadelphia: </w:t>
      </w:r>
      <w:r w:rsidRPr="00C80822">
        <w:rPr>
          <w:rFonts w:eastAsia="Times New Roman" w:cstheme="minorHAnsi"/>
          <w:sz w:val="24"/>
          <w:szCs w:val="24"/>
          <w:lang w:eastAsia="en-GB"/>
        </w:rPr>
        <w:t xml:space="preserve">University of Pennsylvania Press. </w:t>
      </w:r>
      <w:r w:rsidR="00F03014" w:rsidRPr="00C80822">
        <w:rPr>
          <w:rFonts w:eastAsia="Times New Roman" w:cstheme="minorHAnsi"/>
          <w:sz w:val="24"/>
          <w:szCs w:val="24"/>
          <w:lang w:eastAsia="en-GB"/>
        </w:rPr>
        <w:t xml:space="preserve"> Available at: </w:t>
      </w:r>
      <w:hyperlink r:id="rId18" w:history="1">
        <w:r w:rsidR="00F03014" w:rsidRPr="00C80822">
          <w:rPr>
            <w:rStyle w:val="Hyperlink"/>
            <w:rFonts w:eastAsia="Times New Roman" w:cstheme="minorHAnsi"/>
            <w:sz w:val="24"/>
            <w:szCs w:val="24"/>
            <w:lang w:eastAsia="en-GB"/>
          </w:rPr>
          <w:t>http://www.jstor.org/stable/j.ctt18crxvp</w:t>
        </w:r>
      </w:hyperlink>
      <w:r w:rsidR="00F03014" w:rsidRPr="00C80822">
        <w:rPr>
          <w:rFonts w:eastAsia="Times New Roman" w:cstheme="minorHAnsi"/>
          <w:sz w:val="24"/>
          <w:szCs w:val="24"/>
          <w:lang w:eastAsia="en-GB"/>
        </w:rPr>
        <w:t xml:space="preserve"> (Accessed 10 May 2022).</w:t>
      </w:r>
    </w:p>
    <w:p w14:paraId="4CD4E405" w14:textId="77777777" w:rsidR="00F03014" w:rsidRPr="00C80822" w:rsidRDefault="00F03014" w:rsidP="00683BE2">
      <w:pPr>
        <w:spacing w:after="0" w:line="240" w:lineRule="auto"/>
        <w:rPr>
          <w:rFonts w:eastAsia="Times New Roman" w:cstheme="minorHAnsi"/>
          <w:sz w:val="24"/>
          <w:szCs w:val="24"/>
          <w:lang w:eastAsia="en-GB"/>
        </w:rPr>
      </w:pPr>
    </w:p>
    <w:p w14:paraId="541396D7" w14:textId="424E816E" w:rsidR="00203E62" w:rsidRDefault="00C80822" w:rsidP="00F03014">
      <w:pPr>
        <w:spacing w:after="0" w:line="240" w:lineRule="auto"/>
        <w:rPr>
          <w:rFonts w:cstheme="minorHAnsi"/>
          <w:sz w:val="24"/>
          <w:szCs w:val="24"/>
          <w:shd w:val="clear" w:color="auto" w:fill="FFFFFF"/>
        </w:rPr>
      </w:pPr>
      <w:r w:rsidRPr="00C80822">
        <w:rPr>
          <w:sz w:val="24"/>
          <w:szCs w:val="24"/>
        </w:rPr>
        <w:t>Townsend, D</w:t>
      </w:r>
      <w:r w:rsidR="00DB55FD" w:rsidRPr="00C80822">
        <w:rPr>
          <w:sz w:val="24"/>
          <w:szCs w:val="24"/>
        </w:rPr>
        <w:t>.</w:t>
      </w:r>
      <w:r w:rsidR="00272869" w:rsidRPr="00C80822">
        <w:rPr>
          <w:sz w:val="24"/>
          <w:szCs w:val="24"/>
        </w:rPr>
        <w:t xml:space="preserve"> &amp; Taylor, A. (1998).</w:t>
      </w:r>
      <w:r w:rsidRPr="00C80822">
        <w:rPr>
          <w:sz w:val="24"/>
          <w:szCs w:val="24"/>
        </w:rPr>
        <w:t xml:space="preserve"> </w:t>
      </w:r>
      <w:r w:rsidRPr="00C80822">
        <w:rPr>
          <w:i/>
          <w:iCs/>
          <w:sz w:val="24"/>
          <w:szCs w:val="24"/>
        </w:rPr>
        <w:t xml:space="preserve"> The Tongue of the Fathers: Gender And Ideology in Twelfth Century Latin.</w:t>
      </w:r>
      <w:r w:rsidR="00272869" w:rsidRPr="00C80822">
        <w:rPr>
          <w:sz w:val="24"/>
          <w:szCs w:val="24"/>
        </w:rPr>
        <w:t xml:space="preserve">  </w:t>
      </w:r>
      <w:r w:rsidR="00451D35" w:rsidRPr="00C80822">
        <w:rPr>
          <w:sz w:val="24"/>
          <w:szCs w:val="24"/>
        </w:rPr>
        <w:t>Philadelphia</w:t>
      </w:r>
      <w:r w:rsidR="00451D35">
        <w:rPr>
          <w:sz w:val="24"/>
          <w:szCs w:val="24"/>
        </w:rPr>
        <w:t xml:space="preserve">: </w:t>
      </w:r>
      <w:r w:rsidR="00272869" w:rsidRPr="00272869">
        <w:rPr>
          <w:rFonts w:cstheme="minorHAnsi"/>
          <w:sz w:val="24"/>
          <w:szCs w:val="24"/>
          <w:shd w:val="clear" w:color="auto" w:fill="FFFFFF"/>
        </w:rPr>
        <w:t>University of Pennsylvania Press</w:t>
      </w:r>
      <w:r w:rsidR="00272869">
        <w:rPr>
          <w:rFonts w:cstheme="minorHAnsi"/>
          <w:sz w:val="24"/>
          <w:szCs w:val="24"/>
          <w:shd w:val="clear" w:color="auto" w:fill="FFFFFF"/>
        </w:rPr>
        <w:t>.</w:t>
      </w:r>
    </w:p>
    <w:p w14:paraId="58C8380B" w14:textId="141AEB18" w:rsidR="00426446" w:rsidRDefault="00426446" w:rsidP="00F03014">
      <w:pPr>
        <w:spacing w:after="0" w:line="240" w:lineRule="auto"/>
        <w:rPr>
          <w:rFonts w:cstheme="minorHAnsi"/>
          <w:sz w:val="24"/>
          <w:szCs w:val="24"/>
          <w:shd w:val="clear" w:color="auto" w:fill="FFFFFF"/>
        </w:rPr>
      </w:pPr>
    </w:p>
    <w:p w14:paraId="67B9BD2D" w14:textId="18990E5A" w:rsidR="00426446" w:rsidRPr="005242B5" w:rsidRDefault="00426446" w:rsidP="005242B5">
      <w:pPr>
        <w:rPr>
          <w:sz w:val="24"/>
          <w:szCs w:val="24"/>
          <w:lang w:val="nb-NO"/>
        </w:rPr>
      </w:pPr>
      <w:proofErr w:type="spellStart"/>
      <w:r w:rsidRPr="005242B5">
        <w:rPr>
          <w:sz w:val="24"/>
          <w:szCs w:val="24"/>
        </w:rPr>
        <w:t>Zuwiyya</w:t>
      </w:r>
      <w:proofErr w:type="spellEnd"/>
      <w:r w:rsidR="00DB07C1" w:rsidRPr="005242B5">
        <w:rPr>
          <w:sz w:val="24"/>
          <w:szCs w:val="24"/>
        </w:rPr>
        <w:t>, D.</w:t>
      </w:r>
      <w:r w:rsidRPr="005242B5">
        <w:rPr>
          <w:sz w:val="24"/>
          <w:szCs w:val="24"/>
        </w:rPr>
        <w:t xml:space="preserve"> (2011)</w:t>
      </w:r>
      <w:r w:rsidR="00DB07C1" w:rsidRPr="005242B5">
        <w:rPr>
          <w:sz w:val="24"/>
          <w:szCs w:val="24"/>
        </w:rPr>
        <w:t xml:space="preserve">. </w:t>
      </w:r>
      <w:r w:rsidRPr="005242B5">
        <w:rPr>
          <w:sz w:val="24"/>
          <w:szCs w:val="24"/>
        </w:rPr>
        <w:t> </w:t>
      </w:r>
      <w:r w:rsidRPr="005242B5">
        <w:rPr>
          <w:i/>
          <w:iCs/>
          <w:sz w:val="24"/>
          <w:szCs w:val="24"/>
        </w:rPr>
        <w:t xml:space="preserve">A </w:t>
      </w:r>
      <w:r w:rsidR="00DB07C1" w:rsidRPr="005242B5">
        <w:rPr>
          <w:i/>
          <w:iCs/>
          <w:sz w:val="24"/>
          <w:szCs w:val="24"/>
        </w:rPr>
        <w:t>c</w:t>
      </w:r>
      <w:r w:rsidRPr="005242B5">
        <w:rPr>
          <w:i/>
          <w:iCs/>
          <w:sz w:val="24"/>
          <w:szCs w:val="24"/>
        </w:rPr>
        <w:t xml:space="preserve">ompanion to Alexander </w:t>
      </w:r>
      <w:r w:rsidR="00DB07C1" w:rsidRPr="005242B5">
        <w:rPr>
          <w:i/>
          <w:iCs/>
          <w:sz w:val="24"/>
          <w:szCs w:val="24"/>
        </w:rPr>
        <w:t>l</w:t>
      </w:r>
      <w:r w:rsidRPr="005242B5">
        <w:rPr>
          <w:i/>
          <w:iCs/>
          <w:sz w:val="24"/>
          <w:szCs w:val="24"/>
        </w:rPr>
        <w:t>iterature in the Middle Ages.</w:t>
      </w:r>
      <w:r w:rsidRPr="005242B5">
        <w:rPr>
          <w:sz w:val="24"/>
          <w:szCs w:val="24"/>
        </w:rPr>
        <w:t xml:space="preserve"> </w:t>
      </w:r>
      <w:r w:rsidRPr="005242B5">
        <w:rPr>
          <w:sz w:val="24"/>
          <w:szCs w:val="24"/>
          <w:lang w:val="nb-NO"/>
        </w:rPr>
        <w:t xml:space="preserve">Leiden: </w:t>
      </w:r>
      <w:proofErr w:type="spellStart"/>
      <w:r w:rsidRPr="005242B5">
        <w:rPr>
          <w:sz w:val="24"/>
          <w:szCs w:val="24"/>
          <w:lang w:val="nb-NO"/>
        </w:rPr>
        <w:t>Brill</w:t>
      </w:r>
      <w:proofErr w:type="spellEnd"/>
      <w:r w:rsidRPr="005242B5">
        <w:rPr>
          <w:sz w:val="24"/>
          <w:szCs w:val="24"/>
          <w:lang w:val="nb-NO"/>
        </w:rPr>
        <w:t xml:space="preserve"> </w:t>
      </w:r>
      <w:proofErr w:type="spellStart"/>
      <w:r w:rsidRPr="005242B5">
        <w:rPr>
          <w:sz w:val="24"/>
          <w:szCs w:val="24"/>
          <w:lang w:val="nb-NO"/>
        </w:rPr>
        <w:t>Available</w:t>
      </w:r>
      <w:proofErr w:type="spellEnd"/>
      <w:r w:rsidRPr="005242B5">
        <w:rPr>
          <w:sz w:val="24"/>
          <w:szCs w:val="24"/>
          <w:lang w:val="nb-NO"/>
        </w:rPr>
        <w:t xml:space="preserve"> at: </w:t>
      </w:r>
      <w:hyperlink r:id="rId19" w:history="1">
        <w:r w:rsidR="005242B5" w:rsidRPr="005242B5">
          <w:rPr>
            <w:rStyle w:val="Hyperlink"/>
            <w:sz w:val="24"/>
            <w:szCs w:val="24"/>
            <w:lang w:val="nb-NO"/>
          </w:rPr>
          <w:t>https://searchebscohostcom.ezproxy.uwtsd.ac.uk/login.aspx?direct=true&amp;db=nlebk&amp;AN=377326&amp;site=ehost-live</w:t>
        </w:r>
      </w:hyperlink>
      <w:r w:rsidRPr="005242B5">
        <w:rPr>
          <w:sz w:val="24"/>
          <w:szCs w:val="24"/>
          <w:lang w:val="nb-NO"/>
        </w:rPr>
        <w:t xml:space="preserve"> </w:t>
      </w:r>
      <w:r w:rsidRPr="005242B5">
        <w:rPr>
          <w:sz w:val="24"/>
          <w:szCs w:val="24"/>
        </w:rPr>
        <w:t>(Accessed: 1</w:t>
      </w:r>
      <w:r w:rsidR="00DC0C8D" w:rsidRPr="005242B5">
        <w:rPr>
          <w:sz w:val="24"/>
          <w:szCs w:val="24"/>
        </w:rPr>
        <w:t>3</w:t>
      </w:r>
      <w:r w:rsidRPr="005242B5">
        <w:rPr>
          <w:sz w:val="24"/>
          <w:szCs w:val="24"/>
        </w:rPr>
        <w:t xml:space="preserve"> May 2022).</w:t>
      </w:r>
    </w:p>
    <w:p w14:paraId="640BCA47" w14:textId="77777777" w:rsidR="00DC0C8D" w:rsidRPr="00DB07C1" w:rsidRDefault="00DC0C8D" w:rsidP="00DB07C1">
      <w:pPr>
        <w:rPr>
          <w:sz w:val="24"/>
          <w:szCs w:val="24"/>
        </w:rPr>
      </w:pPr>
    </w:p>
    <w:sectPr w:rsidR="00DC0C8D" w:rsidRPr="00DB07C1" w:rsidSect="008B18F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83A27" w14:textId="77777777" w:rsidR="00CB73FF" w:rsidRDefault="00C80822">
      <w:pPr>
        <w:spacing w:after="0" w:line="240" w:lineRule="auto"/>
      </w:pPr>
      <w:r>
        <w:separator/>
      </w:r>
    </w:p>
  </w:endnote>
  <w:endnote w:type="continuationSeparator" w:id="0">
    <w:p w14:paraId="18FE9ABD" w14:textId="77777777" w:rsidR="00CB73FF" w:rsidRDefault="00C80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51E84" w14:textId="77777777" w:rsidR="008B18F5" w:rsidRDefault="008B1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052C4" w14:textId="77777777" w:rsidR="008B18F5" w:rsidRDefault="008B18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7D780" w14:textId="77777777" w:rsidR="008B18F5" w:rsidRDefault="008B1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E578B" w14:textId="77777777" w:rsidR="009429C1" w:rsidRDefault="00C80822" w:rsidP="009429C1">
      <w:pPr>
        <w:spacing w:after="0" w:line="240" w:lineRule="auto"/>
      </w:pPr>
      <w:r>
        <w:separator/>
      </w:r>
    </w:p>
  </w:footnote>
  <w:footnote w:type="continuationSeparator" w:id="0">
    <w:p w14:paraId="73441767" w14:textId="77777777" w:rsidR="009429C1" w:rsidRDefault="00C80822" w:rsidP="009429C1">
      <w:pPr>
        <w:spacing w:after="0" w:line="240" w:lineRule="auto"/>
      </w:pPr>
      <w:r>
        <w:continuationSeparator/>
      </w:r>
    </w:p>
  </w:footnote>
  <w:footnote w:id="1">
    <w:p w14:paraId="2B3E89E7" w14:textId="72A35D8C" w:rsidR="00AB7D0D" w:rsidRPr="00B55E94" w:rsidRDefault="00C80822" w:rsidP="009D3D50">
      <w:pPr>
        <w:pStyle w:val="FootnoteText"/>
        <w:rPr>
          <w:lang w:val="pt-PT"/>
        </w:rPr>
      </w:pPr>
      <w:r>
        <w:rPr>
          <w:rStyle w:val="FootnoteReference"/>
        </w:rPr>
        <w:footnoteRef/>
      </w:r>
      <w:r w:rsidRPr="00B55E94">
        <w:rPr>
          <w:lang w:val="pt-PT"/>
        </w:rPr>
        <w:t xml:space="preserve"> Strabo, 15.1.28.</w:t>
      </w:r>
    </w:p>
  </w:footnote>
  <w:footnote w:id="2">
    <w:p w14:paraId="20FDE0E7" w14:textId="2202A75E" w:rsidR="00DC0C8D" w:rsidRPr="005242B5" w:rsidRDefault="00DC0C8D">
      <w:pPr>
        <w:pStyle w:val="FootnoteText"/>
        <w:rPr>
          <w:lang w:val="pt-PT"/>
        </w:rPr>
      </w:pPr>
      <w:r>
        <w:rPr>
          <w:rStyle w:val="FootnoteReference"/>
        </w:rPr>
        <w:footnoteRef/>
      </w:r>
      <w:r w:rsidRPr="005242B5">
        <w:rPr>
          <w:lang w:val="pt-PT"/>
        </w:rPr>
        <w:t xml:space="preserve"> </w:t>
      </w:r>
      <w:proofErr w:type="spellStart"/>
      <w:r w:rsidR="005242B5" w:rsidRPr="005242B5">
        <w:t>Zuwiyya</w:t>
      </w:r>
      <w:proofErr w:type="spellEnd"/>
      <w:r w:rsidR="005242B5" w:rsidRPr="005242B5">
        <w:t>, 2011</w:t>
      </w:r>
      <w:r w:rsidR="005242B5">
        <w:t>,</w:t>
      </w:r>
      <w:r w:rsidR="005242B5">
        <w:rPr>
          <w:sz w:val="24"/>
          <w:szCs w:val="24"/>
        </w:rPr>
        <w:t xml:space="preserve"> </w:t>
      </w:r>
      <w:r w:rsidR="005242B5">
        <w:t>p. 185</w:t>
      </w:r>
      <w:r w:rsidR="005242B5" w:rsidRPr="005242B5">
        <w:rPr>
          <w:lang w:val="pt-PT"/>
        </w:rPr>
        <w:t xml:space="preserve">. </w:t>
      </w:r>
    </w:p>
  </w:footnote>
  <w:footnote w:id="3">
    <w:p w14:paraId="78AE8F63" w14:textId="25D9BED5" w:rsidR="00AB7D0D" w:rsidRPr="009D3D50" w:rsidRDefault="00C80822">
      <w:pPr>
        <w:pStyle w:val="FootnoteText"/>
        <w:rPr>
          <w:lang w:val="pt-PT"/>
        </w:rPr>
      </w:pPr>
      <w:r>
        <w:rPr>
          <w:rStyle w:val="FootnoteReference"/>
        </w:rPr>
        <w:footnoteRef/>
      </w:r>
      <w:r w:rsidRPr="009D3D50">
        <w:rPr>
          <w:lang w:val="pt-PT"/>
        </w:rPr>
        <w:t xml:space="preserve"> </w:t>
      </w:r>
      <w:proofErr w:type="spellStart"/>
      <w:r w:rsidRPr="009D3D50">
        <w:rPr>
          <w:rFonts w:cstheme="minorHAnsi"/>
          <w:shd w:val="clear" w:color="auto" w:fill="FFFFFF"/>
          <w:lang w:val="pt-PT"/>
        </w:rPr>
        <w:t>Quintus</w:t>
      </w:r>
      <w:proofErr w:type="spellEnd"/>
      <w:r w:rsidRPr="009D3D50">
        <w:rPr>
          <w:rFonts w:cstheme="minorHAnsi"/>
          <w:shd w:val="clear" w:color="auto" w:fill="FFFFFF"/>
          <w:lang w:val="pt-PT"/>
        </w:rPr>
        <w:t xml:space="preserve"> </w:t>
      </w:r>
      <w:proofErr w:type="spellStart"/>
      <w:r w:rsidRPr="009D3D50">
        <w:rPr>
          <w:rFonts w:cstheme="minorHAnsi"/>
          <w:shd w:val="clear" w:color="auto" w:fill="FFFFFF"/>
          <w:lang w:val="pt-PT"/>
        </w:rPr>
        <w:t>Curtius</w:t>
      </w:r>
      <w:proofErr w:type="spellEnd"/>
      <w:r w:rsidRPr="009D3D50">
        <w:rPr>
          <w:rFonts w:cstheme="minorHAnsi"/>
          <w:shd w:val="clear" w:color="auto" w:fill="FFFFFF"/>
          <w:lang w:val="pt-PT"/>
        </w:rPr>
        <w:t xml:space="preserve"> Rufus</w:t>
      </w:r>
      <w:r w:rsidR="009C20F2">
        <w:rPr>
          <w:rFonts w:cstheme="minorHAnsi"/>
          <w:shd w:val="clear" w:color="auto" w:fill="FFFFFF"/>
          <w:lang w:val="pt-PT"/>
        </w:rPr>
        <w:t>,</w:t>
      </w:r>
      <w:r w:rsidRPr="009D3D50">
        <w:rPr>
          <w:rFonts w:cstheme="minorHAnsi"/>
          <w:shd w:val="clear" w:color="auto" w:fill="FFFFFF"/>
          <w:lang w:val="pt-PT"/>
        </w:rPr>
        <w:t xml:space="preserve"> 6.5.24-32.</w:t>
      </w:r>
    </w:p>
  </w:footnote>
  <w:footnote w:id="4">
    <w:p w14:paraId="6860A756" w14:textId="3C65D59A" w:rsidR="00AB7D0D" w:rsidRPr="009D3D50" w:rsidRDefault="00C80822">
      <w:pPr>
        <w:pStyle w:val="FootnoteText"/>
        <w:rPr>
          <w:lang w:val="pt-PT"/>
        </w:rPr>
      </w:pPr>
      <w:r>
        <w:rPr>
          <w:rStyle w:val="FootnoteReference"/>
        </w:rPr>
        <w:footnoteRef/>
      </w:r>
      <w:r w:rsidRPr="009D3D50">
        <w:rPr>
          <w:lang w:val="pt-PT"/>
        </w:rPr>
        <w:t xml:space="preserve"> Furtado, 1999, p.</w:t>
      </w:r>
      <w:r w:rsidR="005242B5">
        <w:rPr>
          <w:lang w:val="pt-PT"/>
        </w:rPr>
        <w:t xml:space="preserve"> </w:t>
      </w:r>
      <w:r w:rsidRPr="009D3D50">
        <w:rPr>
          <w:lang w:val="pt-PT"/>
        </w:rPr>
        <w:t>63.</w:t>
      </w:r>
    </w:p>
  </w:footnote>
  <w:footnote w:id="5">
    <w:p w14:paraId="7AE69409" w14:textId="089FB481" w:rsidR="00AB7D0D" w:rsidRDefault="00C80822">
      <w:pPr>
        <w:pStyle w:val="FootnoteText"/>
      </w:pPr>
      <w:r>
        <w:rPr>
          <w:rStyle w:val="FootnoteReference"/>
        </w:rPr>
        <w:footnoteRef/>
      </w:r>
      <w:r>
        <w:t xml:space="preserve"> Townsend, 1995, p. 257.</w:t>
      </w:r>
    </w:p>
  </w:footnote>
  <w:footnote w:id="6">
    <w:p w14:paraId="5921E773" w14:textId="0DABC6F6" w:rsidR="00AB7D0D" w:rsidRDefault="00C80822">
      <w:pPr>
        <w:pStyle w:val="FootnoteText"/>
      </w:pPr>
      <w:r>
        <w:rPr>
          <w:rStyle w:val="FootnoteReference"/>
        </w:rPr>
        <w:footnoteRef/>
      </w:r>
      <w:r>
        <w:t xml:space="preserve"> Townsend, 1995, p. 258.</w:t>
      </w:r>
    </w:p>
  </w:footnote>
  <w:footnote w:id="7">
    <w:p w14:paraId="6C426622" w14:textId="56721BDA" w:rsidR="009D3D50" w:rsidRDefault="00C80822">
      <w:pPr>
        <w:pStyle w:val="FootnoteText"/>
      </w:pPr>
      <w:r>
        <w:rPr>
          <w:rStyle w:val="FootnoteReference"/>
        </w:rPr>
        <w:footnoteRef/>
      </w:r>
      <w:r>
        <w:t xml:space="preserve"> Hamilton, 1927, p. 113.</w:t>
      </w:r>
    </w:p>
  </w:footnote>
  <w:footnote w:id="8">
    <w:p w14:paraId="41AEA9DF" w14:textId="7FF59B20" w:rsidR="009D3D50" w:rsidRDefault="00C80822">
      <w:pPr>
        <w:pStyle w:val="FootnoteText"/>
      </w:pPr>
      <w:r>
        <w:rPr>
          <w:rStyle w:val="FootnoteReference"/>
        </w:rPr>
        <w:footnoteRef/>
      </w:r>
      <w:r>
        <w:t xml:space="preserve"> Bridges, </w:t>
      </w:r>
      <w:r w:rsidR="00B55E94">
        <w:t xml:space="preserve">2018, </w:t>
      </w:r>
      <w:r>
        <w:t>p. 243.</w:t>
      </w:r>
    </w:p>
  </w:footnote>
  <w:footnote w:id="9">
    <w:p w14:paraId="229C95F0" w14:textId="0C69EA75" w:rsidR="009D3D50" w:rsidRPr="009D3D50" w:rsidRDefault="00C80822">
      <w:pPr>
        <w:pStyle w:val="FootnoteText"/>
      </w:pPr>
      <w:r>
        <w:rPr>
          <w:rStyle w:val="FootnoteReference"/>
        </w:rPr>
        <w:footnoteRef/>
      </w:r>
      <w:r>
        <w:t xml:space="preserve"> </w:t>
      </w:r>
      <w:r w:rsidRPr="009D3D50">
        <w:t>Poe &amp; Mayor, 2015, p</w:t>
      </w:r>
      <w:r>
        <w:t>.</w:t>
      </w:r>
      <w:r w:rsidRPr="009D3D50">
        <w:t xml:space="preserve"> 64</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BC4C8" w14:textId="77777777" w:rsidR="008B18F5" w:rsidRDefault="008B1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E8992" w14:textId="77777777" w:rsidR="008B18F5" w:rsidRDefault="008B18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E6A57" w14:textId="77777777" w:rsidR="008B18F5" w:rsidRDefault="008B1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C6CC4"/>
    <w:multiLevelType w:val="multilevel"/>
    <w:tmpl w:val="D4F8C8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559046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62"/>
    <w:rsid w:val="000A601F"/>
    <w:rsid w:val="000F6514"/>
    <w:rsid w:val="001274F0"/>
    <w:rsid w:val="001528E6"/>
    <w:rsid w:val="00192107"/>
    <w:rsid w:val="001E460C"/>
    <w:rsid w:val="001E5849"/>
    <w:rsid w:val="00203E62"/>
    <w:rsid w:val="00226773"/>
    <w:rsid w:val="00255146"/>
    <w:rsid w:val="00256195"/>
    <w:rsid w:val="00272869"/>
    <w:rsid w:val="003433A7"/>
    <w:rsid w:val="003D3C13"/>
    <w:rsid w:val="00426446"/>
    <w:rsid w:val="00451D35"/>
    <w:rsid w:val="00462AC6"/>
    <w:rsid w:val="00470475"/>
    <w:rsid w:val="004D0F66"/>
    <w:rsid w:val="005242B5"/>
    <w:rsid w:val="00536108"/>
    <w:rsid w:val="0057609E"/>
    <w:rsid w:val="005A3958"/>
    <w:rsid w:val="00625253"/>
    <w:rsid w:val="00676FAE"/>
    <w:rsid w:val="00683BE2"/>
    <w:rsid w:val="006D6B82"/>
    <w:rsid w:val="00700521"/>
    <w:rsid w:val="007270F3"/>
    <w:rsid w:val="0077684B"/>
    <w:rsid w:val="00776F2F"/>
    <w:rsid w:val="00784BC7"/>
    <w:rsid w:val="007A1B2B"/>
    <w:rsid w:val="008B18F5"/>
    <w:rsid w:val="00911336"/>
    <w:rsid w:val="009429C1"/>
    <w:rsid w:val="00994C00"/>
    <w:rsid w:val="009B6E56"/>
    <w:rsid w:val="009C20F2"/>
    <w:rsid w:val="009D3D50"/>
    <w:rsid w:val="009E0B62"/>
    <w:rsid w:val="00AB7D0D"/>
    <w:rsid w:val="00B55E94"/>
    <w:rsid w:val="00C11EE9"/>
    <w:rsid w:val="00C705CA"/>
    <w:rsid w:val="00C80822"/>
    <w:rsid w:val="00C8154B"/>
    <w:rsid w:val="00CB73FF"/>
    <w:rsid w:val="00D15AB4"/>
    <w:rsid w:val="00D22324"/>
    <w:rsid w:val="00D506D6"/>
    <w:rsid w:val="00DA07C3"/>
    <w:rsid w:val="00DB07C1"/>
    <w:rsid w:val="00DB55FD"/>
    <w:rsid w:val="00DC0C8D"/>
    <w:rsid w:val="00DD192B"/>
    <w:rsid w:val="00EB33E5"/>
    <w:rsid w:val="00F03014"/>
    <w:rsid w:val="00F15C2D"/>
    <w:rsid w:val="00F838C4"/>
    <w:rsid w:val="00FB4D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D5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E62"/>
  </w:style>
  <w:style w:type="paragraph" w:styleId="Heading1">
    <w:name w:val="heading 1"/>
    <w:basedOn w:val="Normal"/>
    <w:link w:val="Heading1Char"/>
    <w:uiPriority w:val="9"/>
    <w:qFormat/>
    <w:rsid w:val="002728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E62"/>
    <w:rPr>
      <w:color w:val="0000FF" w:themeColor="hyperlink"/>
      <w:u w:val="single"/>
    </w:rPr>
  </w:style>
  <w:style w:type="paragraph" w:styleId="Header">
    <w:name w:val="header"/>
    <w:basedOn w:val="Normal"/>
    <w:link w:val="HeaderChar"/>
    <w:uiPriority w:val="99"/>
    <w:unhideWhenUsed/>
    <w:rsid w:val="00942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9C1"/>
  </w:style>
  <w:style w:type="paragraph" w:styleId="Footer">
    <w:name w:val="footer"/>
    <w:basedOn w:val="Normal"/>
    <w:link w:val="FooterChar"/>
    <w:uiPriority w:val="99"/>
    <w:unhideWhenUsed/>
    <w:rsid w:val="00942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9C1"/>
  </w:style>
  <w:style w:type="paragraph" w:styleId="FootnoteText">
    <w:name w:val="footnote text"/>
    <w:basedOn w:val="Normal"/>
    <w:link w:val="FootnoteTextChar"/>
    <w:uiPriority w:val="99"/>
    <w:semiHidden/>
    <w:unhideWhenUsed/>
    <w:rsid w:val="00AB7D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7D0D"/>
    <w:rPr>
      <w:sz w:val="20"/>
      <w:szCs w:val="20"/>
    </w:rPr>
  </w:style>
  <w:style w:type="character" w:styleId="FootnoteReference">
    <w:name w:val="footnote reference"/>
    <w:basedOn w:val="DefaultParagraphFont"/>
    <w:uiPriority w:val="99"/>
    <w:semiHidden/>
    <w:unhideWhenUsed/>
    <w:rsid w:val="00AB7D0D"/>
    <w:rPr>
      <w:vertAlign w:val="superscript"/>
    </w:rPr>
  </w:style>
  <w:style w:type="character" w:customStyle="1" w:styleId="UnresolvedMention1">
    <w:name w:val="Unresolved Mention1"/>
    <w:basedOn w:val="DefaultParagraphFont"/>
    <w:uiPriority w:val="99"/>
    <w:semiHidden/>
    <w:unhideWhenUsed/>
    <w:rsid w:val="00192107"/>
    <w:rPr>
      <w:color w:val="605E5C"/>
      <w:shd w:val="clear" w:color="auto" w:fill="E1DFDD"/>
    </w:rPr>
  </w:style>
  <w:style w:type="paragraph" w:styleId="NormalWeb">
    <w:name w:val="Normal (Web)"/>
    <w:basedOn w:val="Normal"/>
    <w:uiPriority w:val="99"/>
    <w:semiHidden/>
    <w:unhideWhenUsed/>
    <w:rsid w:val="00462A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462AC6"/>
  </w:style>
  <w:style w:type="character" w:styleId="Emphasis">
    <w:name w:val="Emphasis"/>
    <w:basedOn w:val="DefaultParagraphFont"/>
    <w:uiPriority w:val="20"/>
    <w:qFormat/>
    <w:rsid w:val="00462AC6"/>
    <w:rPr>
      <w:i/>
      <w:iCs/>
    </w:rPr>
  </w:style>
  <w:style w:type="character" w:customStyle="1" w:styleId="bibliographicauthorname">
    <w:name w:val="bibliographicauthorname"/>
    <w:basedOn w:val="DefaultParagraphFont"/>
    <w:rsid w:val="00EB33E5"/>
  </w:style>
  <w:style w:type="character" w:customStyle="1" w:styleId="translators">
    <w:name w:val="translators"/>
    <w:basedOn w:val="DefaultParagraphFont"/>
    <w:rsid w:val="00EB33E5"/>
  </w:style>
  <w:style w:type="character" w:customStyle="1" w:styleId="contributorname">
    <w:name w:val="contributorname"/>
    <w:basedOn w:val="DefaultParagraphFont"/>
    <w:rsid w:val="00EB33E5"/>
  </w:style>
  <w:style w:type="character" w:customStyle="1" w:styleId="Heading1Char">
    <w:name w:val="Heading 1 Char"/>
    <w:basedOn w:val="DefaultParagraphFont"/>
    <w:link w:val="Heading1"/>
    <w:uiPriority w:val="9"/>
    <w:rsid w:val="00272869"/>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272869"/>
  </w:style>
  <w:style w:type="character" w:customStyle="1" w:styleId="Subtitle1">
    <w:name w:val="Subtitle1"/>
    <w:basedOn w:val="DefaultParagraphFont"/>
    <w:rsid w:val="00272869"/>
  </w:style>
  <w:style w:type="character" w:styleId="Strong">
    <w:name w:val="Strong"/>
    <w:basedOn w:val="DefaultParagraphFont"/>
    <w:uiPriority w:val="22"/>
    <w:qFormat/>
    <w:rsid w:val="003D3C13"/>
    <w:rPr>
      <w:b/>
      <w:bCs/>
    </w:rPr>
  </w:style>
  <w:style w:type="paragraph" w:customStyle="1" w:styleId="activity">
    <w:name w:val="activity"/>
    <w:basedOn w:val="Normal"/>
    <w:rsid w:val="003D3C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ancename">
    <w:name w:val="instancename"/>
    <w:basedOn w:val="DefaultParagraphFont"/>
    <w:rsid w:val="003D3C13"/>
  </w:style>
  <w:style w:type="character" w:customStyle="1" w:styleId="accesshide">
    <w:name w:val="accesshide"/>
    <w:basedOn w:val="DefaultParagraphFont"/>
    <w:rsid w:val="003D3C13"/>
  </w:style>
  <w:style w:type="character" w:styleId="FollowedHyperlink">
    <w:name w:val="FollowedHyperlink"/>
    <w:basedOn w:val="DefaultParagraphFont"/>
    <w:uiPriority w:val="99"/>
    <w:semiHidden/>
    <w:unhideWhenUsed/>
    <w:rsid w:val="00D15AB4"/>
    <w:rPr>
      <w:color w:val="800080" w:themeColor="followedHyperlink"/>
      <w:u w:val="single"/>
    </w:rPr>
  </w:style>
  <w:style w:type="character" w:customStyle="1" w:styleId="data-label">
    <w:name w:val="data-label"/>
    <w:basedOn w:val="DefaultParagraphFont"/>
    <w:rsid w:val="00994C00"/>
  </w:style>
  <w:style w:type="character" w:customStyle="1" w:styleId="Title1">
    <w:name w:val="Title1"/>
    <w:basedOn w:val="DefaultParagraphFont"/>
    <w:rsid w:val="00994C00"/>
  </w:style>
  <w:style w:type="character" w:styleId="UnresolvedMention">
    <w:name w:val="Unresolved Mention"/>
    <w:basedOn w:val="DefaultParagraphFont"/>
    <w:uiPriority w:val="99"/>
    <w:rsid w:val="00DC0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chive.org/search.php?query=creator%3A%22Leo%2C+Archipresbyter%2C+10th+cent%22" TargetMode="External"/><Relationship Id="rId13" Type="http://schemas.openxmlformats.org/officeDocument/2006/relationships/hyperlink" Target="https://www.jstor.org/stable/26430667" TargetMode="External"/><Relationship Id="rId18" Type="http://schemas.openxmlformats.org/officeDocument/2006/relationships/hyperlink" Target="http://www.jstor.org/stable/j.ctt18crxv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digilib.phil.muni.cz/bitstream/handle/11222.digilib/118192/1_GraecoLatinaBrunensia_16-2011-2_9.pdf?sequence=" TargetMode="External"/><Relationship Id="rId17" Type="http://schemas.openxmlformats.org/officeDocument/2006/relationships/hyperlink" Target="https://archive.org/details/sim_university-of-toronto-quarterly_spring-1995_64_2"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data.perseus.or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sa-kvsa.org.za/legacy/1994/AC37-05-Heckel.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www.jstor.org/stable/3062963" TargetMode="External"/><Relationship Id="rId23" Type="http://schemas.openxmlformats.org/officeDocument/2006/relationships/footer" Target="footer2.xml"/><Relationship Id="rId10" Type="http://schemas.openxmlformats.org/officeDocument/2006/relationships/hyperlink" Target="https://doi.org/10.2307/2849026" TargetMode="External"/><Relationship Id="rId19" Type="http://schemas.openxmlformats.org/officeDocument/2006/relationships/hyperlink" Target="https://searchebscohostcom.ezproxy.uwtsd.ac.uk/login.aspx?direct=true&amp;db=nlebk&amp;AN=377326&amp;site=ehost-live" TargetMode="External"/><Relationship Id="rId4" Type="http://schemas.openxmlformats.org/officeDocument/2006/relationships/settings" Target="settings.xml"/><Relationship Id="rId9" Type="http://schemas.openxmlformats.org/officeDocument/2006/relationships/hyperlink" Target="http://www.jstor.org/stable/27869457" TargetMode="External"/><Relationship Id="rId14" Type="http://schemas.openxmlformats.org/officeDocument/2006/relationships/hyperlink" Target="https://www-loebclassics-com.ezproxy.uwtsd.ac.uk/view/LCL369/1946/volume.xml"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07203-3DBD-4EA8-A7BE-E78EFB123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1217</Words>
  <Characters>6939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2022-05-16T11:20:00Z</dcterms:created>
  <dcterms:modified xsi:type="dcterms:W3CDTF">2022-05-16T12:30:00Z</dcterms:modified>
</cp:coreProperties>
</file>