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9916C3" w14:textId="774955AF" w:rsidR="004068D7" w:rsidRDefault="004068D7" w:rsidP="004068D7">
      <w:pPr>
        <w:pStyle w:val="Heading2"/>
      </w:pPr>
      <w:bookmarkStart w:id="0" w:name="_Toc134339561"/>
      <w:r>
        <w:t>Brizeux</w:t>
      </w:r>
      <w:bookmarkEnd w:id="0"/>
      <w:r w:rsidR="002F3BC0">
        <w:t xml:space="preserve"> between the two languages of Brittany</w:t>
      </w:r>
    </w:p>
    <w:p w14:paraId="480B188C" w14:textId="322F2537" w:rsidR="004068D7" w:rsidRDefault="004068D7" w:rsidP="004068D7">
      <w:r>
        <w:t xml:space="preserve">An anecdote about Brizeux recounted by La Villemarqué reveals the latter’s confidence in translation as a smooth and unproblematic process. In his story of a trip – part pilgrimage, part detective work – that he made to the village of Moustier, where Brizeux’s </w:t>
      </w:r>
      <w:r>
        <w:rPr>
          <w:i/>
          <w:iCs/>
        </w:rPr>
        <w:t>Marie</w:t>
      </w:r>
      <w:r>
        <w:t xml:space="preserve"> is set, La Villemarqué speaks, in Breton, to a number of locals, before tracking down a young girl named Fantik, who turns out to be Marie’s cousin. He translates some of Brizeux’s poetry into the girl’s own language, for her to be able to exclaim: ‘C’est pure vérité’</w:t>
      </w:r>
      <w:r w:rsidR="002F3BC0">
        <w:t xml:space="preserve"> [it’s pure truth]</w:t>
      </w:r>
      <w:r>
        <w:t>.</w:t>
      </w:r>
      <w:r>
        <w:rPr>
          <w:rStyle w:val="FootnoteReference"/>
        </w:rPr>
        <w:footnoteReference w:id="1"/>
      </w:r>
      <w:r>
        <w:t xml:space="preserve"> With this climax to his story he protects Brizeux from any charges that his little peasant girl had been invented to please a Parisian audience. The way in which he brushes over the issue of translation, though, is telling. The fact that the Breton experience of these monoglot peasants had first been translated into French by Brizeux, and then back into Breton by La Villemarqué, is not even deemed worthy of comment, all of which makes the Breton language seem little more than a useful research tool that allows you to talk to peasants, and thus – it is implied – paint pictures that are reliable and authentic. </w:t>
      </w:r>
    </w:p>
    <w:p w14:paraId="6CB9874D" w14:textId="77777777" w:rsidR="004068D7" w:rsidRPr="00997270" w:rsidRDefault="004068D7" w:rsidP="004068D7">
      <w:pPr>
        <w:pStyle w:val="NormalIndent"/>
        <w:rPr>
          <w:lang w:val="fr-FR"/>
        </w:rPr>
      </w:pPr>
      <w:r>
        <w:t xml:space="preserve">In his day Brizeux was considered by fans and detractors alike to excel in papering over the possible cracks between cultural contexts. </w:t>
      </w:r>
      <w:r w:rsidRPr="00997270">
        <w:rPr>
          <w:lang w:val="fr-FR"/>
        </w:rPr>
        <w:t xml:space="preserve">The following comment by his editor Taillandier is </w:t>
      </w:r>
      <w:proofErr w:type="gramStart"/>
      <w:r w:rsidRPr="00997270">
        <w:rPr>
          <w:lang w:val="fr-FR"/>
        </w:rPr>
        <w:t>typical:</w:t>
      </w:r>
      <w:proofErr w:type="gramEnd"/>
      <w:r w:rsidRPr="00997270">
        <w:rPr>
          <w:lang w:val="fr-FR"/>
        </w:rPr>
        <w:t xml:space="preserve"> </w:t>
      </w:r>
    </w:p>
    <w:p w14:paraId="24888A03" w14:textId="6500CB0F" w:rsidR="004068D7" w:rsidRDefault="004068D7" w:rsidP="004068D7">
      <w:pPr>
        <w:pStyle w:val="DisplayQuote"/>
        <w:rPr>
          <w:lang w:val="fr-FR"/>
        </w:rPr>
      </w:pPr>
      <w:r w:rsidRPr="00997270">
        <w:rPr>
          <w:lang w:val="fr-FR"/>
        </w:rPr>
        <w:t>Brizeux n’est pas de ceux à qui la petite patrie fait oublier la grande. Au lieu de se battre dans les champs de Vannes, c’est lui qui nous le déclare, il serait allé à la frontière. Amour de la Bretagne, attachement à la France, ces deux sentiments, bien loin de se contredire, se soutiennent l’un l’autre.</w:t>
      </w:r>
      <w:r>
        <w:rPr>
          <w:rStyle w:val="FootnoteReference"/>
        </w:rPr>
        <w:footnoteReference w:id="2"/>
      </w:r>
      <w:r w:rsidRPr="00997270">
        <w:rPr>
          <w:lang w:val="fr-FR"/>
        </w:rPr>
        <w:t xml:space="preserve"> </w:t>
      </w:r>
    </w:p>
    <w:p w14:paraId="6A7AFC7A" w14:textId="77E1BCD1" w:rsidR="001D58E7" w:rsidRPr="00EF1FCF" w:rsidRDefault="00C65090" w:rsidP="00C65090">
      <w:pPr>
        <w:pStyle w:val="BodyText"/>
        <w:ind w:left="454"/>
      </w:pPr>
      <w:r>
        <w:t>[</w:t>
      </w:r>
      <w:r w:rsidR="001D58E7" w:rsidRPr="001D58E7">
        <w:t>B is not one o</w:t>
      </w:r>
      <w:r w:rsidR="001D58E7">
        <w:t>f those for whom the little fatherland means forge</w:t>
      </w:r>
      <w:r w:rsidR="00EF1FCF">
        <w:t xml:space="preserve">tting the big one. Rather than </w:t>
      </w:r>
      <w:r w:rsidR="00EF1FCF" w:rsidRPr="00EF1FCF">
        <w:t>fight in the fields of Vannes, he h</w:t>
      </w:r>
      <w:r w:rsidR="00EF1FCF">
        <w:t xml:space="preserve">imself tells us, he would have gone to the front. </w:t>
      </w:r>
      <w:r w:rsidR="00EF1FCF" w:rsidRPr="00EF1FCF">
        <w:t>Love of Brittany, attachment to France, these two feelings a</w:t>
      </w:r>
      <w:r w:rsidR="00EF1FCF">
        <w:t xml:space="preserve">re far from </w:t>
      </w:r>
      <w:r>
        <w:t xml:space="preserve">being </w:t>
      </w:r>
      <w:r w:rsidR="00EF1FCF">
        <w:t>contradict</w:t>
      </w:r>
      <w:r>
        <w:t>ory</w:t>
      </w:r>
      <w:r w:rsidR="00EF1FCF">
        <w:t xml:space="preserve">, </w:t>
      </w:r>
      <w:r>
        <w:t>strengthen each other]</w:t>
      </w:r>
    </w:p>
    <w:p w14:paraId="25236471" w14:textId="3C63BFAE" w:rsidR="004068D7" w:rsidRDefault="004068D7" w:rsidP="004068D7">
      <w:r w:rsidRPr="00C9788C">
        <w:t>Similarly, Lexandre’s study attempts to describe a tension in Brizeux, talking of ‘cette lutte qui dut se livrer en lui, sans qu’il s’en doutât peut-être, entre les deux natures, entre le poète né celte et le poète français du XIX</w:t>
      </w:r>
      <w:r w:rsidRPr="00C9788C">
        <w:rPr>
          <w:vertAlign w:val="superscript"/>
        </w:rPr>
        <w:t>ème</w:t>
      </w:r>
      <w:r w:rsidRPr="00C9788C">
        <w:t xml:space="preserve"> siècle’</w:t>
      </w:r>
      <w:r w:rsidR="00C65090" w:rsidRPr="00C9788C">
        <w:t xml:space="preserve"> [that conflict that must have taken place in him, without him realizing it perhaps, between the two natures : b</w:t>
      </w:r>
      <w:r w:rsidR="00C9788C" w:rsidRPr="00C9788C">
        <w:t xml:space="preserve">etween the Celtic-born poet and the nineteenth-century French </w:t>
      </w:r>
      <w:r w:rsidR="00C9788C">
        <w:t>poet]</w:t>
      </w:r>
      <w:r w:rsidRPr="00C9788C">
        <w:t>,</w:t>
      </w:r>
      <w:r>
        <w:rPr>
          <w:rStyle w:val="FootnoteReference"/>
        </w:rPr>
        <w:footnoteReference w:id="3"/>
      </w:r>
      <w:r w:rsidRPr="00C9788C">
        <w:t xml:space="preserve"> but only to reassure readers that Brizeux is a good patriot: ‘Il ne faudrait pas croire cependant que dans cette portion du territoire national, l’attache à la petite patrie soit un signe qu’on ne tient pas des entrailles à la grande’</w:t>
      </w:r>
      <w:r w:rsidR="00C9788C">
        <w:t xml:space="preserve"> [but </w:t>
      </w:r>
      <w:r w:rsidR="00800B65">
        <w:t xml:space="preserve">it musn’t be thought that in this part of the national territory, attachement to the little fatherland is a sign </w:t>
      </w:r>
      <w:r w:rsidR="008B1C27">
        <w:t xml:space="preserve">that we don’t feel </w:t>
      </w:r>
      <w:r w:rsidR="00866DAE">
        <w:t>the deepest connection to the big one]</w:t>
      </w:r>
      <w:r w:rsidR="00800B65">
        <w:t xml:space="preserve"> </w:t>
      </w:r>
      <w:r w:rsidRPr="00C9788C">
        <w:t>.</w:t>
      </w:r>
      <w:r>
        <w:rPr>
          <w:rStyle w:val="FootnoteReference"/>
        </w:rPr>
        <w:footnoteReference w:id="4"/>
      </w:r>
      <w:r w:rsidRPr="00C9788C">
        <w:t xml:space="preserve"> </w:t>
      </w:r>
      <w:r>
        <w:t>The ‘lutte’ he refers to never seems to make much of an impression on the text, as smoothness was the aim of both Brizeux and La Villemarqué in all their writing, not just translation. To this end, Brizeux was keen that there should be no real alienation for the French reader, for example in Brizeux’s case his attention to orthography, and in the case of La Villemarqué the choice of page layout</w:t>
      </w:r>
      <w:r>
        <w:rPr>
          <w:rStyle w:val="FootnoteReference"/>
        </w:rPr>
        <w:footnoteReference w:id="5"/>
      </w:r>
      <w:r>
        <w:t xml:space="preserve"> for the </w:t>
      </w:r>
      <w:r>
        <w:rPr>
          <w:i/>
          <w:iCs/>
        </w:rPr>
        <w:t>Barzaz Breiz</w:t>
      </w:r>
      <w:r>
        <w:t xml:space="preserve">, and the careful marketing of his material as necessarily of French interest is revealing. </w:t>
      </w:r>
    </w:p>
    <w:p w14:paraId="59D1043D" w14:textId="77777777" w:rsidR="004068D7" w:rsidRDefault="004068D7" w:rsidP="004068D7">
      <w:pPr>
        <w:pStyle w:val="NormalIndent"/>
      </w:pPr>
      <w:r>
        <w:t>However, this attitude depends on an understanding of translation as a smooth and politically innocent process, which it never can be. On a pragmatic level there is no simple answer to the problem of translating the ‘culturally specific’, or what have been called ‘metonymic gaps’.</w:t>
      </w:r>
      <w:r>
        <w:rPr>
          <w:rStyle w:val="FootnoteReference"/>
        </w:rPr>
        <w:footnoteReference w:id="6"/>
      </w:r>
      <w:r>
        <w:t xml:space="preserve"> Brizeux’s work is full of such gaps: words such as </w:t>
      </w:r>
      <w:r>
        <w:rPr>
          <w:i/>
          <w:iCs/>
        </w:rPr>
        <w:t xml:space="preserve">ankou </w:t>
      </w:r>
      <w:r>
        <w:t xml:space="preserve">(an incarnation of death) that cannot be adequately translated without a footnote, or at least a long paraphrase, words that as a result act as metonyms for cultural </w:t>
      </w:r>
      <w:r>
        <w:lastRenderedPageBreak/>
        <w:t xml:space="preserve">difference. More fundamentally, there is always an imbalance between two given languages, be it political, or simply socio-economic. Any writer presenting Brittany to a French-speaking readership is interpreting a culture with its own specific </w:t>
      </w:r>
      <w:proofErr w:type="gramStart"/>
      <w:r>
        <w:t>language, and</w:t>
      </w:r>
      <w:proofErr w:type="gramEnd"/>
      <w:r>
        <w:t xml:space="preserve"> is to a certain degree a translator. ‘Translation’ that is in the sense that the whole of the Irish Renaissance has been described as a ‘translation’: ‘The Irish Renaissance had been essentially an exercise in translation, in carrying over aspects of Gaelic culture into English, a language often thought alien to that culture’.</w:t>
      </w:r>
      <w:r>
        <w:rPr>
          <w:rStyle w:val="FootnoteReference"/>
        </w:rPr>
        <w:footnoteReference w:id="7"/>
      </w:r>
      <w:r>
        <w:t xml:space="preserve"> Translation being an imperfect process, Francophone Breton writing is infused with its problems. A writer’s privileged position as an insider to the culture is therefore ultimately irrelevant. A representation of Brittany can still be inauthentic despite being produced by a native who speaks the language. This is because French-language texts produced in Brittany represent a rupture, which is either a linguistic shift – when material, motifs, conventions from an indigenous, non-French tradition are translated into the politically dominant language (French), or a cultural shift. Such a shift – when a poet describes a Breton landscape or </w:t>
      </w:r>
      <w:proofErr w:type="gramStart"/>
      <w:r>
        <w:t>experience, but</w:t>
      </w:r>
      <w:proofErr w:type="gramEnd"/>
      <w:r>
        <w:t xml:space="preserve"> does so while submitting to a discourse alien in its conventions and motifs – is only incidentally linguistic. Ironically in Brizeux’s case, the act of claiming authenticity and superiority positions him intertextually. From his privileged position of inside knowledge, then, Brizeux will choose the words with which to create a representation of Brittany with a difference. By the act of claiming the newness and accuracy of his own work he situates himself in a line of previous literary representations of Brittany, thus inviting an intertextual reading. </w:t>
      </w:r>
    </w:p>
    <w:p w14:paraId="429C730C" w14:textId="4A651715" w:rsidR="004068D7" w:rsidRPr="00F81BFC" w:rsidRDefault="004068D7" w:rsidP="004068D7">
      <w:pPr>
        <w:pStyle w:val="NormalIndent"/>
      </w:pPr>
      <w:r>
        <w:t xml:space="preserve">Even if the nineteenth century lacked the terminology of modern academic studies, a more sophisticated understanding of the relationship between the two languages was developing. Ideas of translation were broadening </w:t>
      </w:r>
      <w:proofErr w:type="gramStart"/>
      <w:r>
        <w:t>in the course of</w:t>
      </w:r>
      <w:proofErr w:type="gramEnd"/>
      <w:r>
        <w:t xml:space="preserve"> the nineteenth century. The idea of the Romantic as foreign, or non-French is presented by Mme de Staël, but as domestic (French) Romanticism developed, interest turned to the ‘others’ within, such as other social classes within the confines of Paris, or other regions. It has been claimed that ‘Romanticism had in Staël’s terms been almost characterized by its non-Frenchness’,</w:t>
      </w:r>
      <w:r>
        <w:rPr>
          <w:rStyle w:val="FootnoteReference"/>
        </w:rPr>
        <w:footnoteReference w:id="8"/>
      </w:r>
      <w:r>
        <w:t xml:space="preserve"> and a growing preference for ‘foreignizing’ translation is seen in critical reactions to Brizeux and his contemporaries. There is a gradual valorization of a different type of translation, one that allows something of the original through, to create a disrupted or disruptive surface. Even Sainte-Beuve revises his opinion that Brizeux is too </w:t>
      </w:r>
      <w:proofErr w:type="gramStart"/>
      <w:r>
        <w:t>Breton, and</w:t>
      </w:r>
      <w:proofErr w:type="gramEnd"/>
      <w:r>
        <w:t xml:space="preserve"> decides that he is instead too adept as smoothing over the surface. The more mature Sainte-Beuve has come to associate a degree of alienation with authenticity, and condemns the poet he had once championed in these terms: ‘cette gentille </w:t>
      </w:r>
      <w:r>
        <w:rPr>
          <w:i/>
          <w:iCs/>
        </w:rPr>
        <w:t>Marie</w:t>
      </w:r>
      <w:r>
        <w:t xml:space="preserve">, dans son premier costume, n’était qu’une petite paysanne à l’usage et à la mesure de Paris. </w:t>
      </w:r>
      <w:r w:rsidRPr="00F81BFC">
        <w:t xml:space="preserve">Ce n’est que plus </w:t>
      </w:r>
      <w:proofErr w:type="gramStart"/>
      <w:r w:rsidRPr="00F81BFC">
        <w:t>tard</w:t>
      </w:r>
      <w:proofErr w:type="gramEnd"/>
      <w:r w:rsidRPr="00F81BFC">
        <w:t xml:space="preserve"> que Brizeux a songé tout de bon à se faire Breton’</w:t>
      </w:r>
      <w:r w:rsidR="00866DAE" w:rsidRPr="00F81BFC">
        <w:t xml:space="preserve"> [this </w:t>
      </w:r>
      <w:r w:rsidR="00F81BFC" w:rsidRPr="00F81BFC">
        <w:t xml:space="preserve">nice </w:t>
      </w:r>
      <w:r w:rsidR="00F81BFC" w:rsidRPr="00F81BFC">
        <w:rPr>
          <w:i/>
          <w:iCs/>
        </w:rPr>
        <w:t>Marie</w:t>
      </w:r>
      <w:r w:rsidR="00F81BFC" w:rsidRPr="00F81BFC">
        <w:t>, in her first costume, was nothing but a peasant girl made for th</w:t>
      </w:r>
      <w:r w:rsidR="00F81BFC">
        <w:t>e use of Paris.</w:t>
      </w:r>
      <w:r w:rsidR="00312B04">
        <w:t xml:space="preserve"> Only later did B think properly about making himself Breton]</w:t>
      </w:r>
      <w:r w:rsidRPr="00F81BFC">
        <w:t>.</w:t>
      </w:r>
      <w:r>
        <w:rPr>
          <w:rStyle w:val="FootnoteReference"/>
        </w:rPr>
        <w:footnoteReference w:id="9"/>
      </w:r>
    </w:p>
    <w:p w14:paraId="06F679DD" w14:textId="77777777" w:rsidR="004068D7" w:rsidRDefault="004068D7" w:rsidP="004068D7">
      <w:pPr>
        <w:pStyle w:val="NormalIndent"/>
      </w:pPr>
      <w:r>
        <w:t xml:space="preserve">The type of translation practised by François Marie Luzel grew in favour. His French in </w:t>
      </w:r>
      <w:r>
        <w:rPr>
          <w:i/>
        </w:rPr>
        <w:t>Gwerziou Breiz-Izel</w:t>
      </w:r>
      <w:r>
        <w:rPr>
          <w:rStyle w:val="FootnoteReference"/>
          <w:iCs/>
        </w:rPr>
        <w:footnoteReference w:id="10"/>
      </w:r>
      <w:r>
        <w:rPr>
          <w:i/>
        </w:rPr>
        <w:t xml:space="preserve"> </w:t>
      </w:r>
      <w:r>
        <w:rPr>
          <w:iCs/>
        </w:rPr>
        <w:t>appealed because</w:t>
      </w:r>
      <w:r>
        <w:t xml:space="preserve"> it drew the reader back to the Breton by offering what has been described as a ‘French made strange’, or ‘bent over backwards’.</w:t>
      </w:r>
      <w:r>
        <w:rPr>
          <w:rStyle w:val="FootnoteReference"/>
        </w:rPr>
        <w:footnoteReference w:id="11"/>
      </w:r>
      <w:r>
        <w:t xml:space="preserve"> This crooked French is the opposite of the smoothness of Brizeux, and even of La Villemarqué, of which Sainte-Beuve grows tired. He writes to Luzel to congratulate him on precisely this aspect of his French, citing his ability to allow something of the foreign language through as evidence of a more convincing ‘Bretonness’ than that of Brizeux:</w:t>
      </w:r>
    </w:p>
    <w:p w14:paraId="38ADD958" w14:textId="77777777" w:rsidR="004068D7" w:rsidRPr="00997270" w:rsidRDefault="004068D7" w:rsidP="004068D7">
      <w:pPr>
        <w:pStyle w:val="DisplayQuote"/>
        <w:rPr>
          <w:lang w:val="fr-FR"/>
        </w:rPr>
      </w:pPr>
      <w:r w:rsidRPr="00997270">
        <w:rPr>
          <w:lang w:val="fr-FR"/>
        </w:rPr>
        <w:lastRenderedPageBreak/>
        <w:t>Brizeux, que vous chantez si bien, était un Breton qui l’était en quelque sorte redevenu après coup. Il semble que vous l’êtes plus naturellement. […] vous y avez des accents qui nous atteignent même à travers la traduction et qui doivent mordre deux fois dans la langue natale.</w:t>
      </w:r>
      <w:r>
        <w:rPr>
          <w:rStyle w:val="FootnoteReference"/>
        </w:rPr>
        <w:footnoteReference w:id="12"/>
      </w:r>
    </w:p>
    <w:p w14:paraId="0655E5EC" w14:textId="603F541A" w:rsidR="00312B04" w:rsidRDefault="00E7277B" w:rsidP="008A0054">
      <w:pPr>
        <w:ind w:left="454"/>
      </w:pPr>
      <w:r>
        <w:t>[</w:t>
      </w:r>
      <w:r w:rsidR="00312B04">
        <w:t xml:space="preserve">B, </w:t>
      </w:r>
      <w:r w:rsidR="00AA346B">
        <w:t>whose praises you sing, was a Breton who became so afterwards so to speak. You seem to be it more naturally ……</w:t>
      </w:r>
      <w:proofErr w:type="gramStart"/>
      <w:r w:rsidR="00AA346B">
        <w:t>….there</w:t>
      </w:r>
      <w:proofErr w:type="gramEnd"/>
      <w:r w:rsidR="00AA346B">
        <w:t xml:space="preserve"> are accents in you that </w:t>
      </w:r>
      <w:r w:rsidR="008A0054">
        <w:t>touch us even through the translation, and that must bite twice as much in the native language.</w:t>
      </w:r>
      <w:r>
        <w:t>]</w:t>
      </w:r>
      <w:r w:rsidR="00AA346B">
        <w:t xml:space="preserve"> </w:t>
      </w:r>
    </w:p>
    <w:p w14:paraId="346978A1" w14:textId="77777777" w:rsidR="00AA346B" w:rsidRDefault="00AA346B" w:rsidP="004068D7"/>
    <w:p w14:paraId="0077D871" w14:textId="23336928" w:rsidR="004068D7" w:rsidRDefault="004068D7" w:rsidP="004068D7">
      <w:r>
        <w:t xml:space="preserve">La Villemarqué tried to defend Brizeux against Sainte-Beuve’s attacks by claiming that his friend was already ‘très breton’ at the time of publishing </w:t>
      </w:r>
      <w:r>
        <w:rPr>
          <w:i/>
          <w:iCs/>
        </w:rPr>
        <w:t>Marie</w:t>
      </w:r>
      <w:r>
        <w:t>, and had not sought to ‘Bretonize’ himself in response to some fashion or other.</w:t>
      </w:r>
      <w:r>
        <w:rPr>
          <w:rStyle w:val="FootnoteReference"/>
        </w:rPr>
        <w:footnoteReference w:id="13"/>
      </w:r>
      <w:r>
        <w:t xml:space="preserve"> But times had changed, and the growing expectation that poetry, especially that by a Breton, should be characterized by some degree of verbal exoticism or barbarity is expressed in Barbey d’Aurévilly’s condemnation of Brizeux. He saw Brizeux as a lifeless figure who never evolved, and who was too Parisian. What he finds most unforgivable is his unimaginative, clichéd language: </w:t>
      </w:r>
    </w:p>
    <w:p w14:paraId="10B727DE" w14:textId="77777777" w:rsidR="004068D7" w:rsidRPr="00997270" w:rsidRDefault="004068D7" w:rsidP="004068D7">
      <w:pPr>
        <w:pStyle w:val="DisplayQuote"/>
        <w:rPr>
          <w:lang w:val="fr-FR"/>
        </w:rPr>
      </w:pPr>
      <w:r w:rsidRPr="00997270">
        <w:rPr>
          <w:lang w:val="fr-FR"/>
        </w:rPr>
        <w:t xml:space="preserve">Il n’était pas assez poète pour se passer d’une langue toute faite, et celle qu’il a parlée purement, mais mollement en ces vers, est toute chargée des influences du temps et de l’heure où il les </w:t>
      </w:r>
      <w:proofErr w:type="gramStart"/>
      <w:r w:rsidRPr="00997270">
        <w:rPr>
          <w:lang w:val="fr-FR"/>
        </w:rPr>
        <w:t>écrivit!</w:t>
      </w:r>
      <w:proofErr w:type="gramEnd"/>
      <w:r w:rsidRPr="00997270">
        <w:rPr>
          <w:lang w:val="fr-FR"/>
        </w:rPr>
        <w:t xml:space="preserve"> Sa langue, à ce Breton, est, en définitive, la langue de tout le monde, – de tout le monde des poètes du XIXe siècle et sans </w:t>
      </w:r>
      <w:proofErr w:type="gramStart"/>
      <w:r w:rsidRPr="00997270">
        <w:rPr>
          <w:lang w:val="fr-FR"/>
        </w:rPr>
        <w:t>exception!</w:t>
      </w:r>
      <w:proofErr w:type="gramEnd"/>
      <w:r w:rsidRPr="00997270">
        <w:rPr>
          <w:lang w:val="fr-FR"/>
        </w:rPr>
        <w:t xml:space="preserve"> C’est celle que parlent, en échos, tous les écolatres qui s’amusent à ce jeu de raquette des vers.</w:t>
      </w:r>
      <w:r>
        <w:rPr>
          <w:rStyle w:val="FootnoteReference"/>
        </w:rPr>
        <w:footnoteReference w:id="14"/>
      </w:r>
    </w:p>
    <w:p w14:paraId="3FCEE647" w14:textId="6AF3C80E" w:rsidR="00E7277B" w:rsidRDefault="00E7277B" w:rsidP="006A5421">
      <w:pPr>
        <w:pStyle w:val="NormalIndent"/>
        <w:ind w:left="454" w:firstLine="0"/>
      </w:pPr>
      <w:r>
        <w:t xml:space="preserve">[He was not enough of a poet to do without a ready-made language, </w:t>
      </w:r>
      <w:r w:rsidR="001126F4">
        <w:t>and the one that he spoke purely, but feebly</w:t>
      </w:r>
      <w:r w:rsidR="006A5421">
        <w:t xml:space="preserve"> in his verse, is laden with the influences of the time and hour when </w:t>
      </w:r>
      <w:r w:rsidR="00DC48DF">
        <w:t xml:space="preserve">it was written! His language, this Breton, is, </w:t>
      </w:r>
      <w:r w:rsidR="00E31BB8">
        <w:t>in fact</w:t>
      </w:r>
      <w:r w:rsidR="00DC48DF">
        <w:t xml:space="preserve">, </w:t>
      </w:r>
      <w:r w:rsidR="00B809F5">
        <w:t>every</w:t>
      </w:r>
      <w:r w:rsidR="00E31BB8">
        <w:t>one</w:t>
      </w:r>
      <w:r w:rsidR="00B809F5">
        <w:t xml:space="preserve">’s language, - </w:t>
      </w:r>
      <w:r w:rsidR="00E31BB8">
        <w:t>every</w:t>
      </w:r>
      <w:r w:rsidR="00EE2908">
        <w:t xml:space="preserve"> nineteenth-century poet without exception! It is the language spoken, in echo, by </w:t>
      </w:r>
      <w:r w:rsidR="0001597D">
        <w:t>any</w:t>
      </w:r>
      <w:r w:rsidR="00EE2908">
        <w:t xml:space="preserve"> schoolboy</w:t>
      </w:r>
      <w:r w:rsidR="0001597D">
        <w:t xml:space="preserve"> who tries his hand at </w:t>
      </w:r>
      <w:r w:rsidR="002B4AD3">
        <w:t xml:space="preserve">this </w:t>
      </w:r>
      <w:r w:rsidR="0001597D">
        <w:t>poetry</w:t>
      </w:r>
      <w:r w:rsidR="002B4AD3">
        <w:t xml:space="preserve"> lark</w:t>
      </w:r>
      <w:r w:rsidR="0001597D">
        <w:t>.]</w:t>
      </w:r>
      <w:r w:rsidR="00EE2908">
        <w:t xml:space="preserve"> </w:t>
      </w:r>
    </w:p>
    <w:p w14:paraId="634B0E36" w14:textId="77777777" w:rsidR="00E7277B" w:rsidRDefault="00E7277B" w:rsidP="004068D7">
      <w:pPr>
        <w:pStyle w:val="NormalIndent"/>
      </w:pPr>
    </w:p>
    <w:p w14:paraId="5D8127B2" w14:textId="7F651106" w:rsidR="004068D7" w:rsidRDefault="004068D7" w:rsidP="004068D7">
      <w:pPr>
        <w:pStyle w:val="NormalIndent"/>
      </w:pPr>
      <w:r>
        <w:t xml:space="preserve">This reputation lasts to this </w:t>
      </w:r>
      <w:proofErr w:type="gramStart"/>
      <w:r>
        <w:t>day, and</w:t>
      </w:r>
      <w:proofErr w:type="gramEnd"/>
      <w:r>
        <w:t xml:space="preserve"> explains why Brizeux is out of both print and favour despite enormous success in his own day, and his literary historical significance. His success in his own day derived precisely from his facility in tapping into the tastes of his readership. His poems are infused by Romantic sensibility, and the valorization of the country (as opposed to the corrupt city) derived from Rousseau is felt at every turn: walks in the country, a sentimental attitude towards peasants, old people, and children, and being moved to tears. His debt to Romanticism is even clearer in his choice of words, in the opposition set up between the </w:t>
      </w:r>
      <w:r>
        <w:rPr>
          <w:i/>
        </w:rPr>
        <w:t>paix, douceur, mollesse</w:t>
      </w:r>
      <w:r>
        <w:t xml:space="preserve"> of Brittany, peopled with characters who are always </w:t>
      </w:r>
      <w:r>
        <w:rPr>
          <w:i/>
        </w:rPr>
        <w:t>nostalgique, simple, croyant</w:t>
      </w:r>
      <w:r>
        <w:t xml:space="preserve">, and the harsh reality of Paris, for which he reserves words such as </w:t>
      </w:r>
      <w:r>
        <w:rPr>
          <w:i/>
        </w:rPr>
        <w:t>plainte, gémissement, s’agiter</w:t>
      </w:r>
      <w:r>
        <w:t xml:space="preserve">. </w:t>
      </w:r>
    </w:p>
    <w:p w14:paraId="3EDCB7E9" w14:textId="36A17E85" w:rsidR="004068D7" w:rsidRDefault="004068D7" w:rsidP="004068D7">
      <w:pPr>
        <w:ind w:firstLine="454"/>
      </w:pPr>
      <w:r>
        <w:t xml:space="preserve">Brizeux’s choice of lexis suggests something of his motivation, as words have histories. Keen not to alienate his French readers, his language presents them with a measured degree of exoticism. For instance place names are cited as evidence of the poetic nature of the Breton people and place, as in the case of Penn-Marc’h in ‘Le Chasse-Marée’, OAB, </w:t>
      </w:r>
      <w:r>
        <w:rPr>
          <w:smallCaps/>
        </w:rPr>
        <w:t>ii,</w:t>
      </w:r>
      <w:r>
        <w:t xml:space="preserve"> 68, and again in ‘Les Noces de Nona’, OAB, </w:t>
      </w:r>
      <w:r>
        <w:rPr>
          <w:smallCaps/>
        </w:rPr>
        <w:t>ii</w:t>
      </w:r>
      <w:r>
        <w:t>, 29. As we saw in chapter 1, his choice of adjective can reveal the cultural distance inherent in his project of painting Brittany in French. The use of ‘étrange’ to qualify the costumes of his classmates makes of the poet a stranger in his own land, but Brizeux can never be a stranger in the same sense as a Parisian novelist, or a travel writer. The distance between this poetic voice and the monoglot Breton peasants he observes is at once less evident and less surmountable, as it is the distance that comes from borrowing new eyes, or a new language. It is more the distance of Proust’s ‘seul véritable voyage’</w:t>
      </w:r>
      <w:r w:rsidR="002B4AD3">
        <w:t xml:space="preserve"> [only true travel] </w:t>
      </w:r>
      <w:r>
        <w:t xml:space="preserve"> than that of the travel account, and it is inherent in such a writing project, because previous descriptions live on as a virtual presence in the textual detail. This complexity is </w:t>
      </w:r>
      <w:proofErr w:type="gramStart"/>
      <w:r>
        <w:t>unavoidable, because</w:t>
      </w:r>
      <w:proofErr w:type="gramEnd"/>
      <w:r>
        <w:t xml:space="preserve"> French-language texts with a claim to ‘Bretonness’ are caught between cultures. On the one hand they are the heirs to previous representations in French written from the point of view of an outsider (often a </w:t>
      </w:r>
      <w:r>
        <w:lastRenderedPageBreak/>
        <w:t xml:space="preserve">traveller), and on the other hand to a genuine folk culture, which is connected to a lost indigenous poetic tradition stretching back to medieval times. French-language texts produced in Brittany thus represent an unavoidable rupture, and perhaps Brizeux’s task was simply impossible. Once he had decided to write in French rather than in </w:t>
      </w:r>
      <w:proofErr w:type="gramStart"/>
      <w:r>
        <w:t>Breton</w:t>
      </w:r>
      <w:proofErr w:type="gramEnd"/>
      <w:r>
        <w:t xml:space="preserve"> he was trapped into having to forge a language from words that had pre-histories in the colonializing culture. </w:t>
      </w:r>
    </w:p>
    <w:p w14:paraId="34883884" w14:textId="77777777" w:rsidR="004068D7" w:rsidRDefault="004068D7" w:rsidP="004068D7">
      <w:pPr>
        <w:pStyle w:val="NormalIndent"/>
      </w:pPr>
      <w:r>
        <w:t>His search for an adequate language was also impossible in the sense that any primitivist writing must remain at a remove from the community it seeks to describe. The paradox is summed up by Fiona Stafford in a discussion of primitivism in English literature: ‘Primitive poetry is, in a sense, a badge of respectability because it asserts the writer’s membership of the non-primitive culture it ostensibly lambasts’,</w:t>
      </w:r>
      <w:r>
        <w:rPr>
          <w:rStyle w:val="FootnoteReference"/>
        </w:rPr>
        <w:footnoteReference w:id="15"/>
      </w:r>
      <w:r>
        <w:t xml:space="preserve"> and there is no escape from this because ‘had the poet remained part of his community and composed verse for a local audience, the results would not be primitivist’.</w:t>
      </w:r>
      <w:r>
        <w:rPr>
          <w:rStyle w:val="FootnoteReference"/>
        </w:rPr>
        <w:footnoteReference w:id="16"/>
      </w:r>
      <w:r>
        <w:t xml:space="preserve"> Brizeux belongs in the long line of writers who make local difference into mere local colour. Such levelling out is an inevitability when writers at the periphery seek to describe their home community in a way suited to the tastes of the reading public at the centre. The problem certainly was not unique to French-language Breton writing, and can be seen in writing about other regions of France, and indeed further afield.</w:t>
      </w:r>
      <w:r>
        <w:rPr>
          <w:rStyle w:val="FootnoteReference"/>
        </w:rPr>
        <w:footnoteReference w:id="17"/>
      </w:r>
      <w:r>
        <w:t xml:space="preserve"> </w:t>
      </w:r>
    </w:p>
    <w:p w14:paraId="68ECF5BE" w14:textId="77777777" w:rsidR="004068D7" w:rsidRDefault="004068D7" w:rsidP="004068D7">
      <w:pPr>
        <w:pStyle w:val="NormalIndent"/>
      </w:pPr>
      <w:r>
        <w:t>Attempting to set oneself up as ‘a Breton writer’ is, as we have seen, beside the point. The issue of authenticity comes to be centred not so much around accidents of birth, or the possession of a skill such as Brizeux’s vaunted ‘avoir parlé leur langue’, but is dependent on the particular use made of the French language, and can be observed at the micro-level of the text.</w:t>
      </w:r>
    </w:p>
    <w:p w14:paraId="74CEDED3" w14:textId="77777777" w:rsidR="00210BE3" w:rsidRDefault="00210BE3"/>
    <w:sectPr w:rsidR="00210BE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41AFE9" w14:textId="77777777" w:rsidR="007F034D" w:rsidRDefault="007F034D" w:rsidP="004068D7">
      <w:pPr>
        <w:spacing w:line="240" w:lineRule="auto"/>
      </w:pPr>
      <w:r>
        <w:separator/>
      </w:r>
    </w:p>
  </w:endnote>
  <w:endnote w:type="continuationSeparator" w:id="0">
    <w:p w14:paraId="29BE7D11" w14:textId="77777777" w:rsidR="007F034D" w:rsidRDefault="007F034D" w:rsidP="004068D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F72FA2" w14:textId="77777777" w:rsidR="007F034D" w:rsidRDefault="007F034D" w:rsidP="004068D7">
      <w:pPr>
        <w:spacing w:line="240" w:lineRule="auto"/>
      </w:pPr>
      <w:r>
        <w:separator/>
      </w:r>
    </w:p>
  </w:footnote>
  <w:footnote w:type="continuationSeparator" w:id="0">
    <w:p w14:paraId="65AED901" w14:textId="77777777" w:rsidR="007F034D" w:rsidRDefault="007F034D" w:rsidP="004068D7">
      <w:pPr>
        <w:spacing w:line="240" w:lineRule="auto"/>
      </w:pPr>
      <w:r>
        <w:continuationSeparator/>
      </w:r>
    </w:p>
  </w:footnote>
  <w:footnote w:id="1">
    <w:p w14:paraId="659C7966" w14:textId="77777777" w:rsidR="004068D7" w:rsidRPr="00997270" w:rsidRDefault="004068D7" w:rsidP="004068D7">
      <w:pPr>
        <w:pStyle w:val="FootnoteText"/>
        <w:rPr>
          <w:lang w:val="fr-FR"/>
        </w:rPr>
      </w:pPr>
      <w:r>
        <w:rPr>
          <w:rStyle w:val="FootnoteReference"/>
        </w:rPr>
        <w:footnoteRef/>
      </w:r>
      <w:r w:rsidRPr="00997270">
        <w:rPr>
          <w:lang w:val="fr-FR"/>
        </w:rPr>
        <w:tab/>
        <w:t>‘C’est pure vérité, s’écria la jeune paysanne’, ‘La Renaissance bretonne’, p.4.</w:t>
      </w:r>
    </w:p>
  </w:footnote>
  <w:footnote w:id="2">
    <w:p w14:paraId="3EEA362A" w14:textId="77777777" w:rsidR="004068D7" w:rsidRPr="00997270" w:rsidRDefault="004068D7" w:rsidP="004068D7">
      <w:pPr>
        <w:pStyle w:val="FootnoteText"/>
        <w:rPr>
          <w:lang w:val="fr-FR"/>
        </w:rPr>
      </w:pPr>
      <w:r>
        <w:rPr>
          <w:rStyle w:val="FootnoteReference"/>
        </w:rPr>
        <w:footnoteRef/>
      </w:r>
      <w:r w:rsidRPr="00997270">
        <w:rPr>
          <w:lang w:val="fr-FR"/>
        </w:rPr>
        <w:tab/>
        <w:t xml:space="preserve">Auguste Brizeux, </w:t>
      </w:r>
      <w:r w:rsidRPr="00997270">
        <w:rPr>
          <w:i/>
          <w:lang w:val="fr-FR"/>
        </w:rPr>
        <w:t>Œuvres complètes</w:t>
      </w:r>
      <w:r w:rsidRPr="00997270">
        <w:rPr>
          <w:lang w:val="fr-FR"/>
        </w:rPr>
        <w:t xml:space="preserve">, 2 vols, ed. </w:t>
      </w:r>
      <w:proofErr w:type="gramStart"/>
      <w:r w:rsidRPr="00997270">
        <w:rPr>
          <w:lang w:val="fr-FR"/>
        </w:rPr>
        <w:t>by</w:t>
      </w:r>
      <w:proofErr w:type="gramEnd"/>
      <w:r w:rsidRPr="00997270">
        <w:rPr>
          <w:lang w:val="fr-FR"/>
        </w:rPr>
        <w:t xml:space="preserve"> Saint René Taillandier, (Paris: Michel Lévy Frères, 1860), </w:t>
      </w:r>
      <w:r w:rsidRPr="00997270">
        <w:rPr>
          <w:smallCaps/>
          <w:lang w:val="fr-FR"/>
        </w:rPr>
        <w:t>i</w:t>
      </w:r>
      <w:r w:rsidRPr="00997270">
        <w:rPr>
          <w:lang w:val="fr-FR"/>
        </w:rPr>
        <w:t>, xxvii.</w:t>
      </w:r>
    </w:p>
  </w:footnote>
  <w:footnote w:id="3">
    <w:p w14:paraId="3A2CC99E" w14:textId="77777777" w:rsidR="004068D7" w:rsidRPr="00997270" w:rsidRDefault="004068D7" w:rsidP="004068D7">
      <w:pPr>
        <w:pStyle w:val="FootnoteText"/>
        <w:rPr>
          <w:lang w:val="fr-FR"/>
        </w:rPr>
      </w:pPr>
      <w:r>
        <w:rPr>
          <w:rStyle w:val="FootnoteReference"/>
        </w:rPr>
        <w:footnoteRef/>
      </w:r>
      <w:r w:rsidRPr="00997270">
        <w:rPr>
          <w:lang w:val="fr-FR"/>
        </w:rPr>
        <w:tab/>
        <w:t xml:space="preserve">A. Lexandre, </w:t>
      </w:r>
      <w:r w:rsidRPr="00997270">
        <w:rPr>
          <w:i/>
          <w:lang w:val="fr-FR"/>
        </w:rPr>
        <w:t>Un Pélerinage</w:t>
      </w:r>
      <w:r w:rsidRPr="00997270">
        <w:rPr>
          <w:lang w:val="fr-FR"/>
        </w:rPr>
        <w:t xml:space="preserve"> (</w:t>
      </w:r>
      <w:proofErr w:type="gramStart"/>
      <w:r w:rsidRPr="00997270">
        <w:rPr>
          <w:lang w:val="fr-FR"/>
        </w:rPr>
        <w:t>Paris:</w:t>
      </w:r>
      <w:proofErr w:type="gramEnd"/>
      <w:r w:rsidRPr="00997270">
        <w:rPr>
          <w:lang w:val="fr-FR"/>
        </w:rPr>
        <w:t xml:space="preserve"> Dentu, 1879), p.70.</w:t>
      </w:r>
    </w:p>
  </w:footnote>
  <w:footnote w:id="4">
    <w:p w14:paraId="633F7C80" w14:textId="77777777" w:rsidR="004068D7" w:rsidRDefault="004068D7" w:rsidP="004068D7">
      <w:pPr>
        <w:pStyle w:val="FootnoteText"/>
      </w:pPr>
      <w:r>
        <w:rPr>
          <w:rStyle w:val="FootnoteReference"/>
        </w:rPr>
        <w:footnoteRef/>
      </w:r>
      <w:r>
        <w:tab/>
        <w:t>Ibid., pp.133–34.</w:t>
      </w:r>
    </w:p>
  </w:footnote>
  <w:footnote w:id="5">
    <w:p w14:paraId="15982CFE" w14:textId="77777777" w:rsidR="004068D7" w:rsidRDefault="004068D7" w:rsidP="004068D7">
      <w:pPr>
        <w:pStyle w:val="FootnoteText"/>
      </w:pPr>
      <w:r>
        <w:rPr>
          <w:rStyle w:val="FootnoteReference"/>
        </w:rPr>
        <w:footnoteRef/>
      </w:r>
      <w:r>
        <w:tab/>
        <w:t xml:space="preserve">The Breton text is relegated to the bottom of the page, and the French translation given prominence. </w:t>
      </w:r>
    </w:p>
  </w:footnote>
  <w:footnote w:id="6">
    <w:p w14:paraId="0A02D4BC" w14:textId="77777777" w:rsidR="004068D7" w:rsidRDefault="004068D7" w:rsidP="004068D7">
      <w:pPr>
        <w:pStyle w:val="FootnoteText"/>
      </w:pPr>
      <w:r>
        <w:rPr>
          <w:rStyle w:val="FootnoteReference"/>
        </w:rPr>
        <w:footnoteRef/>
      </w:r>
      <w:r>
        <w:tab/>
        <w:t xml:space="preserve">On these ‘gaps’ between places and the language used to describe them, see </w:t>
      </w:r>
      <w:r>
        <w:rPr>
          <w:i/>
        </w:rPr>
        <w:t>The Empire Writes Back</w:t>
      </w:r>
      <w:r>
        <w:t>, ed. by Ashcroft, Griffiths, Tiffin, p.9.</w:t>
      </w:r>
    </w:p>
  </w:footnote>
  <w:footnote w:id="7">
    <w:p w14:paraId="29A7D636" w14:textId="77777777" w:rsidR="004068D7" w:rsidRDefault="004068D7" w:rsidP="004068D7">
      <w:pPr>
        <w:pStyle w:val="FootnoteText"/>
      </w:pPr>
      <w:r>
        <w:rPr>
          <w:rStyle w:val="FootnoteReference"/>
        </w:rPr>
        <w:footnoteRef/>
      </w:r>
      <w:r>
        <w:tab/>
        <w:t xml:space="preserve">Declan Kiberd, </w:t>
      </w:r>
      <w:r>
        <w:rPr>
          <w:i/>
          <w:iCs/>
        </w:rPr>
        <w:t>Inventing Ireland</w:t>
      </w:r>
      <w:r>
        <w:t>, p.624.</w:t>
      </w:r>
    </w:p>
  </w:footnote>
  <w:footnote w:id="8">
    <w:p w14:paraId="26D1AC03" w14:textId="77777777" w:rsidR="004068D7" w:rsidRDefault="004068D7" w:rsidP="004068D7">
      <w:pPr>
        <w:pStyle w:val="FootnoteText"/>
      </w:pPr>
      <w:r>
        <w:rPr>
          <w:rStyle w:val="FootnoteReference"/>
        </w:rPr>
        <w:footnoteRef/>
      </w:r>
      <w:r>
        <w:tab/>
        <w:t xml:space="preserve">Joep Leerssen, ‘Outer and Inner Others: The Auto-Image of French Identity from Mme de Staël to Eugène Sue’, </w:t>
      </w:r>
      <w:r>
        <w:rPr>
          <w:i/>
        </w:rPr>
        <w:t>Yearbook of European Studies</w:t>
      </w:r>
      <w:r>
        <w:t>, 2 (1989), 35–52 (42).</w:t>
      </w:r>
    </w:p>
  </w:footnote>
  <w:footnote w:id="9">
    <w:p w14:paraId="54C0B320" w14:textId="77777777" w:rsidR="004068D7" w:rsidRPr="004068D7" w:rsidRDefault="004068D7" w:rsidP="004068D7">
      <w:pPr>
        <w:pStyle w:val="FootnoteText"/>
        <w:rPr>
          <w:lang w:val="fr-FR"/>
        </w:rPr>
      </w:pPr>
      <w:r>
        <w:rPr>
          <w:rStyle w:val="FootnoteReference"/>
        </w:rPr>
        <w:footnoteRef/>
      </w:r>
      <w:r w:rsidRPr="00997270">
        <w:rPr>
          <w:lang w:val="fr-FR"/>
        </w:rPr>
        <w:tab/>
      </w:r>
      <w:r w:rsidRPr="00997270">
        <w:rPr>
          <w:i/>
          <w:iCs/>
          <w:lang w:val="fr-FR"/>
        </w:rPr>
        <w:t>Causeries du lundi, portraits de femmes et portraits littéraires</w:t>
      </w:r>
      <w:r w:rsidRPr="00997270">
        <w:rPr>
          <w:lang w:val="fr-FR"/>
        </w:rPr>
        <w:t xml:space="preserve">, 16 vols, ed. </w:t>
      </w:r>
      <w:proofErr w:type="gramStart"/>
      <w:r w:rsidRPr="00997270">
        <w:rPr>
          <w:lang w:val="fr-FR"/>
        </w:rPr>
        <w:t>by</w:t>
      </w:r>
      <w:proofErr w:type="gramEnd"/>
      <w:r w:rsidRPr="00997270">
        <w:rPr>
          <w:lang w:val="fr-FR"/>
        </w:rPr>
        <w:t xml:space="preserve"> Ch. </w:t>
      </w:r>
      <w:r w:rsidRPr="004068D7">
        <w:rPr>
          <w:lang w:val="fr-FR"/>
        </w:rPr>
        <w:t xml:space="preserve">Pierrot (Paris: Garnier, 1926–1949), </w:t>
      </w:r>
      <w:r w:rsidRPr="004068D7">
        <w:rPr>
          <w:smallCaps/>
          <w:lang w:val="fr-FR"/>
        </w:rPr>
        <w:t>xv,</w:t>
      </w:r>
      <w:r w:rsidRPr="004068D7">
        <w:rPr>
          <w:lang w:val="fr-FR"/>
        </w:rPr>
        <w:t xml:space="preserve"> 14.</w:t>
      </w:r>
    </w:p>
  </w:footnote>
  <w:footnote w:id="10">
    <w:p w14:paraId="7FA4A9C3" w14:textId="77777777" w:rsidR="004068D7" w:rsidRPr="00997270" w:rsidRDefault="004068D7" w:rsidP="004068D7">
      <w:pPr>
        <w:pStyle w:val="FootnoteText"/>
        <w:rPr>
          <w:lang w:val="fr-FR"/>
        </w:rPr>
      </w:pPr>
      <w:r>
        <w:rPr>
          <w:rStyle w:val="FootnoteReference"/>
        </w:rPr>
        <w:footnoteRef/>
      </w:r>
      <w:r w:rsidRPr="00997270">
        <w:rPr>
          <w:lang w:val="fr-FR"/>
        </w:rPr>
        <w:t xml:space="preserve"> </w:t>
      </w:r>
      <w:r w:rsidRPr="00997270">
        <w:rPr>
          <w:lang w:val="fr-FR"/>
        </w:rPr>
        <w:tab/>
        <w:t xml:space="preserve">F.-M. Luzel, </w:t>
      </w:r>
      <w:r w:rsidRPr="00997270">
        <w:rPr>
          <w:i/>
          <w:iCs/>
          <w:lang w:val="fr-FR"/>
        </w:rPr>
        <w:t>Gwerziou Breiz-</w:t>
      </w:r>
      <w:proofErr w:type="gramStart"/>
      <w:r w:rsidRPr="00997270">
        <w:rPr>
          <w:i/>
          <w:iCs/>
          <w:lang w:val="fr-FR"/>
        </w:rPr>
        <w:t>Izel:</w:t>
      </w:r>
      <w:proofErr w:type="gramEnd"/>
      <w:r w:rsidRPr="00997270">
        <w:rPr>
          <w:i/>
          <w:iCs/>
          <w:lang w:val="fr-FR"/>
        </w:rPr>
        <w:t xml:space="preserve"> chants populaires de la Basse-Bretagne</w:t>
      </w:r>
      <w:r w:rsidRPr="00997270">
        <w:rPr>
          <w:lang w:val="fr-FR"/>
        </w:rPr>
        <w:t>, 2 vols (Lorient: É. Corfmat, 1868–1874).</w:t>
      </w:r>
    </w:p>
  </w:footnote>
  <w:footnote w:id="11">
    <w:p w14:paraId="6B11A78E" w14:textId="77777777" w:rsidR="004068D7" w:rsidRDefault="004068D7" w:rsidP="004068D7">
      <w:pPr>
        <w:pStyle w:val="FootnoteText"/>
      </w:pPr>
      <w:r>
        <w:rPr>
          <w:rStyle w:val="FootnoteReference"/>
        </w:rPr>
        <w:footnoteRef/>
      </w:r>
      <w:r>
        <w:tab/>
        <w:t xml:space="preserve">‘Occasionally there appear half-defiant, half-apologetic justifications for his “crooked” French; his close though by no means unreadable translations are intended as a window onto the idioms and even the syntax of the Breton language’, Mary-Ann Constantine, </w:t>
      </w:r>
      <w:r>
        <w:rPr>
          <w:i/>
          <w:iCs/>
        </w:rPr>
        <w:t>Breton Ballads</w:t>
      </w:r>
      <w:r>
        <w:t xml:space="preserve">, p.195. See also further comments in Mary-Ann Constantine, ‘Ballads Crossing Borders: La Villemarqué and the “Breton Lenore”’, </w:t>
      </w:r>
      <w:r>
        <w:rPr>
          <w:i/>
          <w:iCs/>
        </w:rPr>
        <w:t>Translation and Literature</w:t>
      </w:r>
      <w:r>
        <w:t>, 89:2 (1999), 197–216.</w:t>
      </w:r>
    </w:p>
  </w:footnote>
  <w:footnote w:id="12">
    <w:p w14:paraId="1F55ED65" w14:textId="77777777" w:rsidR="004068D7" w:rsidRPr="00997270" w:rsidRDefault="004068D7" w:rsidP="004068D7">
      <w:pPr>
        <w:pStyle w:val="FootnoteText"/>
        <w:rPr>
          <w:lang w:val="fr-FR"/>
        </w:rPr>
      </w:pPr>
      <w:r>
        <w:rPr>
          <w:rStyle w:val="FootnoteReference"/>
        </w:rPr>
        <w:footnoteRef/>
      </w:r>
      <w:r w:rsidRPr="00997270">
        <w:rPr>
          <w:lang w:val="fr-FR"/>
        </w:rPr>
        <w:tab/>
        <w:t xml:space="preserve">Letter to Luzel, 18 May 1865, Sainte-Beuve, </w:t>
      </w:r>
      <w:r w:rsidRPr="00997270">
        <w:rPr>
          <w:i/>
          <w:lang w:val="fr-FR"/>
        </w:rPr>
        <w:t>Correspondance générale</w:t>
      </w:r>
      <w:r w:rsidRPr="00997270">
        <w:rPr>
          <w:lang w:val="fr-FR"/>
        </w:rPr>
        <w:t xml:space="preserve">, </w:t>
      </w:r>
      <w:r w:rsidRPr="00997270">
        <w:rPr>
          <w:smallCaps/>
          <w:lang w:val="fr-FR"/>
        </w:rPr>
        <w:t>xiv</w:t>
      </w:r>
      <w:r w:rsidRPr="00997270">
        <w:rPr>
          <w:lang w:val="fr-FR"/>
        </w:rPr>
        <w:t>, 209–10.</w:t>
      </w:r>
    </w:p>
  </w:footnote>
  <w:footnote w:id="13">
    <w:p w14:paraId="3E810A71" w14:textId="77777777" w:rsidR="004068D7" w:rsidRPr="00997270" w:rsidRDefault="004068D7" w:rsidP="004068D7">
      <w:pPr>
        <w:pStyle w:val="FootnoteText"/>
        <w:rPr>
          <w:lang w:val="fr-FR"/>
        </w:rPr>
      </w:pPr>
      <w:r>
        <w:rPr>
          <w:rStyle w:val="FootnoteReference"/>
        </w:rPr>
        <w:footnoteRef/>
      </w:r>
      <w:r w:rsidRPr="00997270">
        <w:rPr>
          <w:lang w:val="fr-FR"/>
        </w:rPr>
        <w:tab/>
        <w:t>‘La Renaissance bretonne’, pp.3, 5.</w:t>
      </w:r>
    </w:p>
  </w:footnote>
  <w:footnote w:id="14">
    <w:p w14:paraId="777A6737" w14:textId="77777777" w:rsidR="004068D7" w:rsidRPr="00997270" w:rsidRDefault="004068D7" w:rsidP="004068D7">
      <w:pPr>
        <w:pStyle w:val="FootnoteText"/>
        <w:rPr>
          <w:lang w:val="fr-FR"/>
        </w:rPr>
      </w:pPr>
      <w:r>
        <w:rPr>
          <w:rStyle w:val="FootnoteReference"/>
        </w:rPr>
        <w:footnoteRef/>
      </w:r>
      <w:r w:rsidRPr="00997270">
        <w:rPr>
          <w:lang w:val="fr-FR"/>
        </w:rPr>
        <w:tab/>
        <w:t xml:space="preserve">Jules Barbey d’Aurévilly, ‘M. Brizeux’, </w:t>
      </w:r>
      <w:r w:rsidRPr="00997270">
        <w:rPr>
          <w:i/>
          <w:lang w:val="fr-FR"/>
        </w:rPr>
        <w:t>Les Œuvres et les hommes</w:t>
      </w:r>
      <w:r w:rsidRPr="00997270">
        <w:rPr>
          <w:lang w:val="fr-FR"/>
        </w:rPr>
        <w:t xml:space="preserve">, </w:t>
      </w:r>
      <w:r w:rsidRPr="00997270">
        <w:rPr>
          <w:smallCaps/>
          <w:lang w:val="fr-FR"/>
        </w:rPr>
        <w:t>iii</w:t>
      </w:r>
      <w:r w:rsidRPr="00997270">
        <w:rPr>
          <w:lang w:val="fr-FR"/>
        </w:rPr>
        <w:t xml:space="preserve">, </w:t>
      </w:r>
      <w:r w:rsidRPr="00997270">
        <w:rPr>
          <w:i/>
          <w:lang w:val="fr-FR"/>
        </w:rPr>
        <w:t>Les poètes</w:t>
      </w:r>
      <w:r w:rsidRPr="00997270">
        <w:rPr>
          <w:lang w:val="fr-FR"/>
        </w:rPr>
        <w:t xml:space="preserve"> (première série), 26 vols (vol 3) (</w:t>
      </w:r>
      <w:proofErr w:type="gramStart"/>
      <w:r w:rsidRPr="00997270">
        <w:rPr>
          <w:lang w:val="fr-FR"/>
        </w:rPr>
        <w:t>Geneva:</w:t>
      </w:r>
      <w:proofErr w:type="gramEnd"/>
      <w:r w:rsidRPr="00997270">
        <w:rPr>
          <w:lang w:val="fr-FR"/>
        </w:rPr>
        <w:t xml:space="preserve"> Slatkine reprints, 1968), reprint of 1862 Paris edition, pp.75–98 (p.85)</w:t>
      </w:r>
    </w:p>
  </w:footnote>
  <w:footnote w:id="15">
    <w:p w14:paraId="2DD6A4D7" w14:textId="77777777" w:rsidR="004068D7" w:rsidRDefault="004068D7" w:rsidP="004068D7">
      <w:pPr>
        <w:pStyle w:val="FootnoteText"/>
      </w:pPr>
      <w:r>
        <w:rPr>
          <w:rStyle w:val="FootnoteReference"/>
        </w:rPr>
        <w:footnoteRef/>
      </w:r>
      <w:r>
        <w:tab/>
        <w:t xml:space="preserve">Fiona Stafford, ‘Primitivism and the “primitive” poet: a cultural context for Macpherson’s Ossian’, in </w:t>
      </w:r>
      <w:r>
        <w:rPr>
          <w:i/>
        </w:rPr>
        <w:t>Celticism</w:t>
      </w:r>
      <w:r>
        <w:t xml:space="preserve">, pp.79–96 (90). ‘Primitivism’, as she investigates it, is certainly an element present in writing about the regions of France, it is another version of the centre-periphery relationship. </w:t>
      </w:r>
    </w:p>
  </w:footnote>
  <w:footnote w:id="16">
    <w:p w14:paraId="1E7E8953" w14:textId="77777777" w:rsidR="004068D7" w:rsidRDefault="004068D7" w:rsidP="004068D7">
      <w:pPr>
        <w:pStyle w:val="FootnoteText"/>
      </w:pPr>
      <w:r>
        <w:rPr>
          <w:rStyle w:val="FootnoteReference"/>
        </w:rPr>
        <w:footnoteRef/>
      </w:r>
      <w:r>
        <w:tab/>
        <w:t>Ibid., p.91.</w:t>
      </w:r>
    </w:p>
  </w:footnote>
  <w:footnote w:id="17">
    <w:p w14:paraId="7766F7FC" w14:textId="77777777" w:rsidR="004068D7" w:rsidRDefault="004068D7" w:rsidP="004068D7">
      <w:pPr>
        <w:pStyle w:val="FootnoteText"/>
      </w:pPr>
      <w:r>
        <w:rPr>
          <w:rStyle w:val="FootnoteReference"/>
        </w:rPr>
        <w:footnoteRef/>
      </w:r>
      <w:r>
        <w:t xml:space="preserve"> </w:t>
      </w:r>
      <w:r>
        <w:tab/>
        <w:t xml:space="preserve">See Anne-Marrie Thiesse, </w:t>
      </w:r>
      <w:r>
        <w:rPr>
          <w:i/>
          <w:iCs/>
        </w:rPr>
        <w:t>Écrire la France</w:t>
      </w:r>
      <w:r>
        <w:t>, and Fiona Stafford, ‘Primitivism and the “primivite” poet’.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68D7"/>
    <w:rsid w:val="0001597D"/>
    <w:rsid w:val="001126F4"/>
    <w:rsid w:val="001D58E7"/>
    <w:rsid w:val="00210BE3"/>
    <w:rsid w:val="002B4AD3"/>
    <w:rsid w:val="002F3BC0"/>
    <w:rsid w:val="00312B04"/>
    <w:rsid w:val="004068D7"/>
    <w:rsid w:val="006A5421"/>
    <w:rsid w:val="007F034D"/>
    <w:rsid w:val="00800B65"/>
    <w:rsid w:val="00866DAE"/>
    <w:rsid w:val="008A0054"/>
    <w:rsid w:val="008B1C27"/>
    <w:rsid w:val="00AA346B"/>
    <w:rsid w:val="00B809F5"/>
    <w:rsid w:val="00C65090"/>
    <w:rsid w:val="00C9788C"/>
    <w:rsid w:val="00DC48DF"/>
    <w:rsid w:val="00E31BB8"/>
    <w:rsid w:val="00E7277B"/>
    <w:rsid w:val="00EE2908"/>
    <w:rsid w:val="00EF1FCF"/>
    <w:rsid w:val="00F81B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C2078C"/>
  <w15:chartTrackingRefBased/>
  <w15:docId w15:val="{A3FD57C2-851B-4EBB-8B1E-1D1471DE3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68D7"/>
    <w:pPr>
      <w:spacing w:after="0" w:line="260" w:lineRule="exact"/>
      <w:jc w:val="both"/>
    </w:pPr>
    <w:rPr>
      <w:rFonts w:ascii="Times New Roman" w:eastAsia="Times New Roman" w:hAnsi="Times New Roman" w:cs="Times New Roman"/>
      <w:szCs w:val="24"/>
    </w:rPr>
  </w:style>
  <w:style w:type="paragraph" w:styleId="Heading2">
    <w:name w:val="heading 2"/>
    <w:basedOn w:val="Normal"/>
    <w:next w:val="Normal"/>
    <w:link w:val="Heading2Char"/>
    <w:qFormat/>
    <w:rsid w:val="004068D7"/>
    <w:pPr>
      <w:keepNext/>
      <w:spacing w:before="780" w:after="520" w:line="300" w:lineRule="exact"/>
      <w:outlineLvl w:val="1"/>
    </w:pPr>
    <w:rPr>
      <w:rFonts w:cs="Arial"/>
      <w:b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068D7"/>
    <w:rPr>
      <w:rFonts w:ascii="Times New Roman" w:eastAsia="Times New Roman" w:hAnsi="Times New Roman" w:cs="Arial"/>
      <w:bCs/>
      <w:sz w:val="26"/>
      <w:szCs w:val="24"/>
    </w:rPr>
  </w:style>
  <w:style w:type="character" w:styleId="FootnoteReference">
    <w:name w:val="footnote reference"/>
    <w:basedOn w:val="DefaultParagraphFont"/>
    <w:semiHidden/>
    <w:rsid w:val="004068D7"/>
    <w:rPr>
      <w:vertAlign w:val="superscript"/>
    </w:rPr>
  </w:style>
  <w:style w:type="paragraph" w:styleId="FootnoteText">
    <w:name w:val="footnote text"/>
    <w:basedOn w:val="Normal"/>
    <w:link w:val="FootnoteTextChar"/>
    <w:semiHidden/>
    <w:rsid w:val="004068D7"/>
    <w:pPr>
      <w:tabs>
        <w:tab w:val="left" w:pos="454"/>
      </w:tabs>
      <w:overflowPunct w:val="0"/>
      <w:autoSpaceDE w:val="0"/>
      <w:autoSpaceDN w:val="0"/>
      <w:adjustRightInd w:val="0"/>
      <w:spacing w:line="220" w:lineRule="exact"/>
      <w:ind w:left="454" w:hanging="454"/>
      <w:textAlignment w:val="baseline"/>
    </w:pPr>
    <w:rPr>
      <w:sz w:val="18"/>
      <w:szCs w:val="20"/>
    </w:rPr>
  </w:style>
  <w:style w:type="character" w:customStyle="1" w:styleId="FootnoteTextChar">
    <w:name w:val="Footnote Text Char"/>
    <w:basedOn w:val="DefaultParagraphFont"/>
    <w:link w:val="FootnoteText"/>
    <w:semiHidden/>
    <w:rsid w:val="004068D7"/>
    <w:rPr>
      <w:rFonts w:ascii="Times New Roman" w:eastAsia="Times New Roman" w:hAnsi="Times New Roman" w:cs="Times New Roman"/>
      <w:sz w:val="18"/>
      <w:szCs w:val="20"/>
    </w:rPr>
  </w:style>
  <w:style w:type="paragraph" w:styleId="NormalIndent">
    <w:name w:val="Normal Indent"/>
    <w:basedOn w:val="Normal"/>
    <w:semiHidden/>
    <w:rsid w:val="004068D7"/>
    <w:pPr>
      <w:ind w:firstLine="454"/>
    </w:pPr>
  </w:style>
  <w:style w:type="paragraph" w:customStyle="1" w:styleId="DisplayQuote">
    <w:name w:val="Display Quote"/>
    <w:basedOn w:val="BodyTextIndent"/>
    <w:next w:val="BodyText"/>
    <w:rsid w:val="004068D7"/>
    <w:pPr>
      <w:spacing w:before="220" w:after="220" w:line="220" w:lineRule="exact"/>
      <w:ind w:left="454"/>
    </w:pPr>
    <w:rPr>
      <w:sz w:val="18"/>
    </w:rPr>
  </w:style>
  <w:style w:type="paragraph" w:styleId="BodyTextIndent">
    <w:name w:val="Body Text Indent"/>
    <w:basedOn w:val="Normal"/>
    <w:link w:val="BodyTextIndentChar"/>
    <w:uiPriority w:val="99"/>
    <w:semiHidden/>
    <w:unhideWhenUsed/>
    <w:rsid w:val="004068D7"/>
    <w:pPr>
      <w:spacing w:after="120"/>
      <w:ind w:left="283"/>
    </w:pPr>
  </w:style>
  <w:style w:type="character" w:customStyle="1" w:styleId="BodyTextIndentChar">
    <w:name w:val="Body Text Indent Char"/>
    <w:basedOn w:val="DefaultParagraphFont"/>
    <w:link w:val="BodyTextIndent"/>
    <w:uiPriority w:val="99"/>
    <w:semiHidden/>
    <w:rsid w:val="004068D7"/>
    <w:rPr>
      <w:rFonts w:ascii="Times New Roman" w:eastAsia="Times New Roman" w:hAnsi="Times New Roman" w:cs="Times New Roman"/>
      <w:szCs w:val="24"/>
    </w:rPr>
  </w:style>
  <w:style w:type="paragraph" w:styleId="BodyText">
    <w:name w:val="Body Text"/>
    <w:basedOn w:val="Normal"/>
    <w:link w:val="BodyTextChar"/>
    <w:uiPriority w:val="99"/>
    <w:semiHidden/>
    <w:unhideWhenUsed/>
    <w:rsid w:val="004068D7"/>
    <w:pPr>
      <w:spacing w:after="120"/>
    </w:pPr>
  </w:style>
  <w:style w:type="character" w:customStyle="1" w:styleId="BodyTextChar">
    <w:name w:val="Body Text Char"/>
    <w:basedOn w:val="DefaultParagraphFont"/>
    <w:link w:val="BodyText"/>
    <w:uiPriority w:val="99"/>
    <w:semiHidden/>
    <w:rsid w:val="004068D7"/>
    <w:rPr>
      <w:rFonts w:ascii="Times New Roman" w:eastAsia="Times New Roman"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4</Pages>
  <Words>2086</Words>
  <Characters>11892</Characters>
  <Application>Microsoft Office Word</Application>
  <DocSecurity>0</DocSecurity>
  <Lines>99</Lines>
  <Paragraphs>27</Paragraphs>
  <ScaleCrop>false</ScaleCrop>
  <Company/>
  <LinksUpToDate>false</LinksUpToDate>
  <CharactersWithSpaces>13951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 Shilton</dc:creator>
  <cp:keywords/>
  <dc:description/>
  <cp:lastModifiedBy>Nicholas Shilton</cp:lastModifiedBy>
  <cp:revision>22</cp:revision>
  <dcterms:created xsi:type="dcterms:W3CDTF">2020-09-28T13:50:00Z</dcterms:created>
  <dcterms:modified xsi:type="dcterms:W3CDTF">2020-09-29T13:07:00Z</dcterms:modified>
</cp:coreProperties>
</file>