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41052" w14:textId="77777777" w:rsidR="00ED0DC2" w:rsidRDefault="00ED0DC2" w:rsidP="00105147">
      <w:pPr>
        <w:jc w:val="center"/>
      </w:pPr>
    </w:p>
    <w:p w14:paraId="5FA5DA7C" w14:textId="77777777" w:rsidR="00C41B78" w:rsidRPr="00C41B78" w:rsidRDefault="00C41B78" w:rsidP="00C41B78">
      <w:pPr>
        <w:jc w:val="center"/>
        <w:rPr>
          <w:rFonts w:ascii="Arial" w:hAnsi="Arial" w:cs="Arial"/>
          <w:b/>
          <w:bCs/>
          <w:i/>
          <w:iCs/>
          <w:sz w:val="22"/>
          <w:szCs w:val="22"/>
          <w:u w:val="single"/>
        </w:rPr>
      </w:pPr>
    </w:p>
    <w:p w14:paraId="562C807F" w14:textId="1A5F9362" w:rsidR="00105147" w:rsidRPr="00C41B78" w:rsidRDefault="00452DBD" w:rsidP="00C41B78">
      <w:pPr>
        <w:jc w:val="center"/>
        <w:rPr>
          <w:rFonts w:ascii="Arial" w:hAnsi="Arial" w:cs="Arial"/>
          <w:b/>
          <w:bCs/>
          <w:sz w:val="40"/>
          <w:szCs w:val="40"/>
          <w:u w:val="single"/>
        </w:rPr>
      </w:pPr>
      <w:r w:rsidRPr="00C41B78">
        <w:rPr>
          <w:rFonts w:ascii="Arial" w:hAnsi="Arial" w:cs="Arial"/>
          <w:b/>
          <w:bCs/>
          <w:sz w:val="40"/>
          <w:szCs w:val="40"/>
          <w:u w:val="single"/>
        </w:rPr>
        <w:t>A</w:t>
      </w:r>
      <w:r w:rsidR="00105147" w:rsidRPr="00C41B78">
        <w:rPr>
          <w:rFonts w:ascii="Arial" w:hAnsi="Arial" w:cs="Arial"/>
          <w:b/>
          <w:bCs/>
          <w:sz w:val="40"/>
          <w:szCs w:val="40"/>
          <w:u w:val="single"/>
        </w:rPr>
        <w:t>CEA 7012 - The impact of product recalls on businesses and projects</w:t>
      </w:r>
    </w:p>
    <w:p w14:paraId="5072827C" w14:textId="77777777" w:rsidR="00105147" w:rsidRPr="00C41B78" w:rsidRDefault="00105147" w:rsidP="00105147">
      <w:pPr>
        <w:jc w:val="center"/>
        <w:rPr>
          <w:rFonts w:ascii="Arial" w:hAnsi="Arial" w:cs="Arial"/>
          <w:b/>
          <w:bCs/>
          <w:i/>
          <w:iCs/>
          <w:sz w:val="22"/>
          <w:szCs w:val="22"/>
          <w:u w:val="single"/>
        </w:rPr>
      </w:pPr>
    </w:p>
    <w:p w14:paraId="53A748ED" w14:textId="77777777" w:rsidR="00105147" w:rsidRPr="00C41B78" w:rsidRDefault="00105147" w:rsidP="00105147">
      <w:pPr>
        <w:jc w:val="center"/>
        <w:rPr>
          <w:rFonts w:ascii="Arial" w:hAnsi="Arial" w:cs="Arial"/>
          <w:b/>
          <w:bCs/>
          <w:i/>
          <w:iCs/>
          <w:sz w:val="22"/>
          <w:szCs w:val="22"/>
          <w:u w:val="single"/>
        </w:rPr>
      </w:pPr>
    </w:p>
    <w:p w14:paraId="1232414A" w14:textId="77777777" w:rsidR="00105147" w:rsidRPr="00C41B78" w:rsidRDefault="00105147" w:rsidP="00105147">
      <w:pPr>
        <w:jc w:val="center"/>
        <w:rPr>
          <w:rFonts w:ascii="Arial" w:hAnsi="Arial" w:cs="Arial"/>
          <w:b/>
          <w:bCs/>
          <w:i/>
          <w:iCs/>
          <w:sz w:val="22"/>
          <w:szCs w:val="22"/>
          <w:u w:val="single"/>
        </w:rPr>
      </w:pPr>
    </w:p>
    <w:p w14:paraId="607FDFD0" w14:textId="77777777" w:rsidR="00105147" w:rsidRPr="00C41B78" w:rsidRDefault="00105147" w:rsidP="00105147">
      <w:pPr>
        <w:jc w:val="center"/>
        <w:rPr>
          <w:rFonts w:ascii="Arial" w:hAnsi="Arial" w:cs="Arial"/>
          <w:b/>
          <w:bCs/>
          <w:i/>
          <w:iCs/>
          <w:sz w:val="22"/>
          <w:szCs w:val="22"/>
          <w:u w:val="single"/>
        </w:rPr>
      </w:pPr>
    </w:p>
    <w:p w14:paraId="10FADC6B" w14:textId="77777777" w:rsidR="00105147" w:rsidRPr="00C41B78" w:rsidRDefault="00105147" w:rsidP="00105147">
      <w:pPr>
        <w:jc w:val="center"/>
        <w:rPr>
          <w:rFonts w:ascii="Arial" w:hAnsi="Arial" w:cs="Arial"/>
          <w:b/>
          <w:bCs/>
          <w:i/>
          <w:iCs/>
          <w:sz w:val="22"/>
          <w:szCs w:val="22"/>
          <w:u w:val="single"/>
        </w:rPr>
      </w:pPr>
    </w:p>
    <w:p w14:paraId="687B917B" w14:textId="545990A2" w:rsidR="00105147" w:rsidRPr="00C41B78" w:rsidRDefault="00105147" w:rsidP="00105147">
      <w:pPr>
        <w:jc w:val="center"/>
        <w:rPr>
          <w:rFonts w:ascii="Arial" w:hAnsi="Arial" w:cs="Arial"/>
          <w:b/>
          <w:bCs/>
          <w:i/>
          <w:iCs/>
          <w:sz w:val="22"/>
          <w:szCs w:val="22"/>
          <w:u w:val="single"/>
        </w:rPr>
      </w:pPr>
    </w:p>
    <w:p w14:paraId="431492D6" w14:textId="77777777" w:rsidR="00C41B78" w:rsidRPr="00C41B78" w:rsidRDefault="00C41B78" w:rsidP="00105147">
      <w:pPr>
        <w:jc w:val="center"/>
        <w:rPr>
          <w:rFonts w:ascii="Arial" w:hAnsi="Arial" w:cs="Arial"/>
          <w:b/>
          <w:bCs/>
          <w:i/>
          <w:iCs/>
          <w:sz w:val="22"/>
          <w:szCs w:val="22"/>
          <w:u w:val="single"/>
        </w:rPr>
      </w:pPr>
    </w:p>
    <w:p w14:paraId="6E586606" w14:textId="77777777" w:rsidR="00C41B78" w:rsidRPr="00C41B78" w:rsidRDefault="00C41B78" w:rsidP="00105147">
      <w:pPr>
        <w:jc w:val="center"/>
        <w:rPr>
          <w:rFonts w:ascii="Arial" w:hAnsi="Arial" w:cs="Arial"/>
          <w:b/>
          <w:bCs/>
          <w:i/>
          <w:iCs/>
          <w:sz w:val="22"/>
          <w:szCs w:val="22"/>
          <w:u w:val="single"/>
        </w:rPr>
      </w:pPr>
    </w:p>
    <w:p w14:paraId="7C3C50CC" w14:textId="77777777" w:rsidR="00C41B78" w:rsidRPr="00C41B78" w:rsidRDefault="00C41B78" w:rsidP="00105147">
      <w:pPr>
        <w:jc w:val="center"/>
        <w:rPr>
          <w:rFonts w:ascii="Arial" w:hAnsi="Arial" w:cs="Arial"/>
          <w:b/>
          <w:bCs/>
          <w:i/>
          <w:iCs/>
          <w:sz w:val="22"/>
          <w:szCs w:val="22"/>
          <w:u w:val="single"/>
        </w:rPr>
      </w:pPr>
    </w:p>
    <w:p w14:paraId="3587B76D" w14:textId="77777777" w:rsidR="00C41B78" w:rsidRPr="00C41B78" w:rsidRDefault="00C41B78" w:rsidP="00105147">
      <w:pPr>
        <w:jc w:val="center"/>
        <w:rPr>
          <w:rFonts w:ascii="Arial" w:hAnsi="Arial" w:cs="Arial"/>
          <w:b/>
          <w:bCs/>
          <w:i/>
          <w:iCs/>
          <w:sz w:val="22"/>
          <w:szCs w:val="22"/>
          <w:u w:val="single"/>
        </w:rPr>
      </w:pPr>
    </w:p>
    <w:p w14:paraId="0B7E0652" w14:textId="77777777" w:rsidR="00C41B78" w:rsidRPr="00C41B78" w:rsidRDefault="00C41B78" w:rsidP="00105147">
      <w:pPr>
        <w:jc w:val="center"/>
        <w:rPr>
          <w:rFonts w:ascii="Arial" w:hAnsi="Arial" w:cs="Arial"/>
          <w:b/>
          <w:bCs/>
          <w:i/>
          <w:iCs/>
          <w:sz w:val="22"/>
          <w:szCs w:val="22"/>
          <w:u w:val="single"/>
        </w:rPr>
      </w:pPr>
    </w:p>
    <w:p w14:paraId="3497F02D" w14:textId="77777777" w:rsidR="00C41B78" w:rsidRPr="00C41B78" w:rsidRDefault="00C41B78" w:rsidP="00105147">
      <w:pPr>
        <w:jc w:val="center"/>
        <w:rPr>
          <w:rFonts w:ascii="Arial" w:hAnsi="Arial" w:cs="Arial"/>
          <w:b/>
          <w:bCs/>
          <w:i/>
          <w:iCs/>
          <w:sz w:val="22"/>
          <w:szCs w:val="22"/>
          <w:u w:val="single"/>
        </w:rPr>
      </w:pPr>
    </w:p>
    <w:p w14:paraId="0FE91433" w14:textId="77777777" w:rsidR="00105147" w:rsidRPr="00C41B78" w:rsidRDefault="00105147" w:rsidP="00105147">
      <w:pPr>
        <w:jc w:val="center"/>
        <w:rPr>
          <w:rFonts w:ascii="Arial" w:hAnsi="Arial" w:cs="Arial"/>
          <w:b/>
          <w:bCs/>
          <w:i/>
          <w:iCs/>
          <w:sz w:val="22"/>
          <w:szCs w:val="22"/>
          <w:u w:val="single"/>
        </w:rPr>
      </w:pPr>
    </w:p>
    <w:p w14:paraId="72BBD5C0" w14:textId="77777777" w:rsidR="00105147" w:rsidRPr="00C41B78" w:rsidRDefault="00105147" w:rsidP="00105147">
      <w:pPr>
        <w:jc w:val="center"/>
        <w:rPr>
          <w:rFonts w:ascii="Arial" w:hAnsi="Arial" w:cs="Arial"/>
          <w:b/>
          <w:bCs/>
          <w:i/>
          <w:iCs/>
          <w:sz w:val="22"/>
          <w:szCs w:val="22"/>
          <w:u w:val="single"/>
        </w:rPr>
      </w:pPr>
    </w:p>
    <w:sdt>
      <w:sdtPr>
        <w:rPr>
          <w:rFonts w:ascii="Arial" w:eastAsiaTheme="minorHAnsi" w:hAnsi="Arial" w:cs="Arial"/>
          <w:color w:val="auto"/>
          <w:kern w:val="2"/>
          <w:sz w:val="22"/>
          <w:szCs w:val="22"/>
          <w:lang w:val="en-GB"/>
          <w14:ligatures w14:val="standardContextual"/>
        </w:rPr>
        <w:id w:val="-1145346042"/>
        <w:docPartObj>
          <w:docPartGallery w:val="Table of Contents"/>
          <w:docPartUnique/>
        </w:docPartObj>
      </w:sdtPr>
      <w:sdtEndPr>
        <w:rPr>
          <w:b/>
          <w:bCs/>
          <w:noProof/>
        </w:rPr>
      </w:sdtEndPr>
      <w:sdtContent>
        <w:p w14:paraId="756E2A40" w14:textId="77777777" w:rsidR="00C41B78" w:rsidRDefault="00C41B78">
          <w:pPr>
            <w:pStyle w:val="TOCHeading"/>
            <w:rPr>
              <w:rFonts w:ascii="Arial" w:eastAsiaTheme="minorHAnsi" w:hAnsi="Arial" w:cs="Arial"/>
              <w:color w:val="auto"/>
              <w:kern w:val="2"/>
              <w:sz w:val="22"/>
              <w:szCs w:val="22"/>
              <w:lang w:val="en-GB"/>
              <w14:ligatures w14:val="standardContextual"/>
            </w:rPr>
          </w:pPr>
        </w:p>
        <w:p w14:paraId="271C387B" w14:textId="77777777" w:rsidR="00C41B78" w:rsidRDefault="00C41B78">
          <w:pPr>
            <w:pStyle w:val="TOCHeading"/>
            <w:rPr>
              <w:rFonts w:ascii="Arial" w:eastAsiaTheme="minorHAnsi" w:hAnsi="Arial" w:cs="Arial"/>
              <w:color w:val="auto"/>
              <w:kern w:val="2"/>
              <w:sz w:val="22"/>
              <w:szCs w:val="22"/>
              <w:lang w:val="en-GB"/>
              <w14:ligatures w14:val="standardContextual"/>
            </w:rPr>
          </w:pPr>
        </w:p>
        <w:p w14:paraId="6AF63A23" w14:textId="77777777" w:rsidR="00C41B78" w:rsidRDefault="00C41B78">
          <w:pPr>
            <w:pStyle w:val="TOCHeading"/>
            <w:rPr>
              <w:rFonts w:ascii="Arial" w:eastAsiaTheme="minorHAnsi" w:hAnsi="Arial" w:cs="Arial"/>
              <w:color w:val="auto"/>
              <w:kern w:val="2"/>
              <w:sz w:val="22"/>
              <w:szCs w:val="22"/>
              <w:lang w:val="en-GB"/>
              <w14:ligatures w14:val="standardContextual"/>
            </w:rPr>
          </w:pPr>
        </w:p>
        <w:p w14:paraId="2CDA2ABC" w14:textId="77777777" w:rsidR="00C41B78" w:rsidRDefault="00C41B78">
          <w:pPr>
            <w:pStyle w:val="TOCHeading"/>
            <w:rPr>
              <w:rFonts w:ascii="Arial" w:eastAsiaTheme="minorHAnsi" w:hAnsi="Arial" w:cs="Arial"/>
              <w:color w:val="auto"/>
              <w:kern w:val="2"/>
              <w:sz w:val="22"/>
              <w:szCs w:val="22"/>
              <w:lang w:val="en-GB"/>
              <w14:ligatures w14:val="standardContextual"/>
            </w:rPr>
          </w:pPr>
        </w:p>
        <w:p w14:paraId="2C27C68A" w14:textId="77777777" w:rsidR="00C41B78" w:rsidRDefault="00C41B78">
          <w:pPr>
            <w:pStyle w:val="TOCHeading"/>
            <w:rPr>
              <w:rFonts w:ascii="Arial" w:eastAsiaTheme="minorHAnsi" w:hAnsi="Arial" w:cs="Arial"/>
              <w:color w:val="auto"/>
              <w:kern w:val="2"/>
              <w:sz w:val="22"/>
              <w:szCs w:val="22"/>
              <w:lang w:val="en-GB"/>
              <w14:ligatures w14:val="standardContextual"/>
            </w:rPr>
          </w:pPr>
        </w:p>
        <w:p w14:paraId="32B5E46C" w14:textId="77777777" w:rsidR="00C41B78" w:rsidRDefault="00C41B78">
          <w:pPr>
            <w:pStyle w:val="TOCHeading"/>
            <w:rPr>
              <w:rFonts w:ascii="Arial" w:eastAsiaTheme="minorHAnsi" w:hAnsi="Arial" w:cs="Arial"/>
              <w:color w:val="auto"/>
              <w:kern w:val="2"/>
              <w:sz w:val="22"/>
              <w:szCs w:val="22"/>
              <w:lang w:val="en-GB"/>
              <w14:ligatures w14:val="standardContextual"/>
            </w:rPr>
          </w:pPr>
        </w:p>
        <w:p w14:paraId="17018B1F" w14:textId="77777777" w:rsidR="00C41B78" w:rsidRDefault="00C41B78">
          <w:pPr>
            <w:pStyle w:val="TOCHeading"/>
            <w:rPr>
              <w:rFonts w:ascii="Arial" w:hAnsi="Arial" w:cs="Arial"/>
              <w:sz w:val="22"/>
              <w:szCs w:val="22"/>
            </w:rPr>
          </w:pPr>
        </w:p>
        <w:p w14:paraId="21F82BFC" w14:textId="77777777" w:rsidR="00C41B78" w:rsidRDefault="00C41B78" w:rsidP="00C41B78">
          <w:pPr>
            <w:rPr>
              <w:lang w:val="en-US"/>
            </w:rPr>
          </w:pPr>
        </w:p>
        <w:p w14:paraId="752998E1" w14:textId="77777777" w:rsidR="00C41B78" w:rsidRDefault="00C41B78" w:rsidP="00C41B78">
          <w:pPr>
            <w:rPr>
              <w:lang w:val="en-US"/>
            </w:rPr>
          </w:pPr>
        </w:p>
        <w:p w14:paraId="04C68737" w14:textId="77777777" w:rsidR="00C41B78" w:rsidRDefault="00C41B78" w:rsidP="00C41B78">
          <w:pPr>
            <w:rPr>
              <w:lang w:val="en-US"/>
            </w:rPr>
          </w:pPr>
        </w:p>
        <w:p w14:paraId="197DB57F" w14:textId="77777777" w:rsidR="00C41B78" w:rsidRDefault="00C41B78" w:rsidP="00C41B78">
          <w:pPr>
            <w:rPr>
              <w:lang w:val="en-US"/>
            </w:rPr>
          </w:pPr>
        </w:p>
        <w:p w14:paraId="0981FC0C" w14:textId="77777777" w:rsidR="00C41B78" w:rsidRPr="00C41B78" w:rsidRDefault="00C41B78" w:rsidP="00C41B78">
          <w:pPr>
            <w:rPr>
              <w:lang w:val="en-US"/>
            </w:rPr>
          </w:pPr>
        </w:p>
        <w:p w14:paraId="24502534" w14:textId="6D4F9456" w:rsidR="0031074F" w:rsidRPr="00C41B78" w:rsidRDefault="0031074F">
          <w:pPr>
            <w:pStyle w:val="TOCHeading"/>
            <w:rPr>
              <w:rFonts w:ascii="Arial" w:hAnsi="Arial" w:cs="Arial"/>
              <w:b/>
              <w:bCs/>
              <w:color w:val="auto"/>
              <w:sz w:val="36"/>
              <w:szCs w:val="36"/>
              <w:u w:val="single"/>
            </w:rPr>
          </w:pPr>
          <w:r w:rsidRPr="00C41B78">
            <w:rPr>
              <w:rFonts w:ascii="Arial" w:hAnsi="Arial" w:cs="Arial"/>
              <w:b/>
              <w:bCs/>
              <w:color w:val="auto"/>
              <w:sz w:val="36"/>
              <w:szCs w:val="36"/>
              <w:u w:val="single"/>
            </w:rPr>
            <w:t>Contents</w:t>
          </w:r>
        </w:p>
        <w:p w14:paraId="4A24BBAD" w14:textId="77777777" w:rsidR="00C41B78" w:rsidRDefault="00C41B78" w:rsidP="00C41B78">
          <w:pPr>
            <w:rPr>
              <w:lang w:val="en-US"/>
            </w:rPr>
          </w:pPr>
        </w:p>
        <w:p w14:paraId="14A385CF" w14:textId="77777777" w:rsidR="00C41B78" w:rsidRPr="00C41B78" w:rsidRDefault="00C41B78" w:rsidP="00C41B78">
          <w:pPr>
            <w:rPr>
              <w:lang w:val="en-US"/>
            </w:rPr>
          </w:pPr>
        </w:p>
        <w:p w14:paraId="3657C7B3" w14:textId="5EA24DE4" w:rsidR="0031074F" w:rsidRPr="00C41B78" w:rsidRDefault="0031074F">
          <w:pPr>
            <w:pStyle w:val="TOC1"/>
            <w:tabs>
              <w:tab w:val="right" w:leader="dot" w:pos="9016"/>
            </w:tabs>
            <w:rPr>
              <w:rFonts w:ascii="Arial" w:hAnsi="Arial" w:cs="Arial"/>
              <w:noProof/>
            </w:rPr>
          </w:pPr>
          <w:r w:rsidRPr="00C41B78">
            <w:rPr>
              <w:rFonts w:ascii="Arial" w:hAnsi="Arial" w:cs="Arial"/>
            </w:rPr>
            <w:fldChar w:fldCharType="begin"/>
          </w:r>
          <w:r w:rsidRPr="00C41B78">
            <w:rPr>
              <w:rFonts w:ascii="Arial" w:hAnsi="Arial" w:cs="Arial"/>
            </w:rPr>
            <w:instrText xml:space="preserve"> TOC \o "1-3" \h \z \u </w:instrText>
          </w:r>
          <w:r w:rsidRPr="00C41B78">
            <w:rPr>
              <w:rFonts w:ascii="Arial" w:hAnsi="Arial" w:cs="Arial"/>
            </w:rPr>
            <w:fldChar w:fldCharType="separate"/>
          </w:r>
          <w:hyperlink w:anchor="_Toc184773047" w:history="1">
            <w:r w:rsidRPr="00C41B78">
              <w:rPr>
                <w:rStyle w:val="Hyperlink"/>
                <w:rFonts w:ascii="Arial" w:hAnsi="Arial" w:cs="Arial"/>
                <w:b/>
                <w:bCs/>
                <w:noProof/>
              </w:rPr>
              <w:t>Introduction</w:t>
            </w:r>
            <w:r w:rsidRPr="00C41B78">
              <w:rPr>
                <w:rFonts w:ascii="Arial" w:hAnsi="Arial" w:cs="Arial"/>
                <w:noProof/>
                <w:webHidden/>
              </w:rPr>
              <w:tab/>
            </w:r>
            <w:r w:rsidRPr="00C41B78">
              <w:rPr>
                <w:rFonts w:ascii="Arial" w:hAnsi="Arial" w:cs="Arial"/>
                <w:noProof/>
                <w:webHidden/>
              </w:rPr>
              <w:fldChar w:fldCharType="begin"/>
            </w:r>
            <w:r w:rsidRPr="00C41B78">
              <w:rPr>
                <w:rFonts w:ascii="Arial" w:hAnsi="Arial" w:cs="Arial"/>
                <w:noProof/>
                <w:webHidden/>
              </w:rPr>
              <w:instrText xml:space="preserve"> PAGEREF _Toc184773047 \h </w:instrText>
            </w:r>
            <w:r w:rsidRPr="00C41B78">
              <w:rPr>
                <w:rFonts w:ascii="Arial" w:hAnsi="Arial" w:cs="Arial"/>
                <w:noProof/>
                <w:webHidden/>
              </w:rPr>
            </w:r>
            <w:r w:rsidRPr="00C41B78">
              <w:rPr>
                <w:rFonts w:ascii="Arial" w:hAnsi="Arial" w:cs="Arial"/>
                <w:noProof/>
                <w:webHidden/>
              </w:rPr>
              <w:fldChar w:fldCharType="separate"/>
            </w:r>
            <w:r w:rsidR="00626390">
              <w:rPr>
                <w:rFonts w:ascii="Arial" w:hAnsi="Arial" w:cs="Arial"/>
                <w:noProof/>
                <w:webHidden/>
              </w:rPr>
              <w:t>3</w:t>
            </w:r>
            <w:r w:rsidRPr="00C41B78">
              <w:rPr>
                <w:rFonts w:ascii="Arial" w:hAnsi="Arial" w:cs="Arial"/>
                <w:noProof/>
                <w:webHidden/>
              </w:rPr>
              <w:fldChar w:fldCharType="end"/>
            </w:r>
          </w:hyperlink>
        </w:p>
        <w:p w14:paraId="07325041" w14:textId="77777777" w:rsidR="00C41B78" w:rsidRPr="00C41B78" w:rsidRDefault="00C41B78" w:rsidP="00C41B78">
          <w:pPr>
            <w:rPr>
              <w:noProof/>
              <w:lang w:val="en-US"/>
            </w:rPr>
          </w:pPr>
        </w:p>
        <w:p w14:paraId="6094DE8A" w14:textId="61886B97" w:rsidR="0031074F" w:rsidRDefault="0031074F">
          <w:pPr>
            <w:pStyle w:val="TOC1"/>
            <w:tabs>
              <w:tab w:val="left" w:pos="440"/>
              <w:tab w:val="right" w:leader="dot" w:pos="9016"/>
            </w:tabs>
            <w:rPr>
              <w:rFonts w:ascii="Arial" w:hAnsi="Arial" w:cs="Arial"/>
              <w:noProof/>
            </w:rPr>
          </w:pPr>
          <w:hyperlink w:anchor="_Toc184773048" w:history="1">
            <w:r w:rsidRPr="00C41B78">
              <w:rPr>
                <w:rStyle w:val="Hyperlink"/>
                <w:rFonts w:ascii="Arial" w:hAnsi="Arial" w:cs="Arial"/>
                <w:b/>
                <w:bCs/>
                <w:noProof/>
              </w:rPr>
              <w:t>1.</w:t>
            </w:r>
            <w:r w:rsidRPr="00C41B78">
              <w:rPr>
                <w:rFonts w:ascii="Arial" w:hAnsi="Arial" w:cs="Arial"/>
                <w:noProof/>
                <w:kern w:val="2"/>
                <w:lang w:val="en-GB" w:eastAsia="en-GB"/>
                <w14:ligatures w14:val="standardContextual"/>
              </w:rPr>
              <w:tab/>
            </w:r>
            <w:r w:rsidRPr="00C41B78">
              <w:rPr>
                <w:rStyle w:val="Hyperlink"/>
                <w:rFonts w:ascii="Arial" w:hAnsi="Arial" w:cs="Arial"/>
                <w:b/>
                <w:bCs/>
                <w:noProof/>
              </w:rPr>
              <w:t>Product recall process</w:t>
            </w:r>
            <w:r w:rsidRPr="00C41B78">
              <w:rPr>
                <w:rFonts w:ascii="Arial" w:hAnsi="Arial" w:cs="Arial"/>
                <w:noProof/>
                <w:webHidden/>
              </w:rPr>
              <w:tab/>
            </w:r>
            <w:r w:rsidRPr="00C41B78">
              <w:rPr>
                <w:rFonts w:ascii="Arial" w:hAnsi="Arial" w:cs="Arial"/>
                <w:noProof/>
                <w:webHidden/>
              </w:rPr>
              <w:fldChar w:fldCharType="begin"/>
            </w:r>
            <w:r w:rsidRPr="00C41B78">
              <w:rPr>
                <w:rFonts w:ascii="Arial" w:hAnsi="Arial" w:cs="Arial"/>
                <w:noProof/>
                <w:webHidden/>
              </w:rPr>
              <w:instrText xml:space="preserve"> PAGEREF _Toc184773048 \h </w:instrText>
            </w:r>
            <w:r w:rsidRPr="00C41B78">
              <w:rPr>
                <w:rFonts w:ascii="Arial" w:hAnsi="Arial" w:cs="Arial"/>
                <w:noProof/>
                <w:webHidden/>
              </w:rPr>
            </w:r>
            <w:r w:rsidRPr="00C41B78">
              <w:rPr>
                <w:rFonts w:ascii="Arial" w:hAnsi="Arial" w:cs="Arial"/>
                <w:noProof/>
                <w:webHidden/>
              </w:rPr>
              <w:fldChar w:fldCharType="separate"/>
            </w:r>
            <w:r w:rsidR="00626390">
              <w:rPr>
                <w:rFonts w:ascii="Arial" w:hAnsi="Arial" w:cs="Arial"/>
                <w:noProof/>
                <w:webHidden/>
              </w:rPr>
              <w:t>5</w:t>
            </w:r>
            <w:r w:rsidRPr="00C41B78">
              <w:rPr>
                <w:rFonts w:ascii="Arial" w:hAnsi="Arial" w:cs="Arial"/>
                <w:noProof/>
                <w:webHidden/>
              </w:rPr>
              <w:fldChar w:fldCharType="end"/>
            </w:r>
          </w:hyperlink>
        </w:p>
        <w:p w14:paraId="45542115" w14:textId="77777777" w:rsidR="00C41B78" w:rsidRPr="00C41B78" w:rsidRDefault="00C41B78" w:rsidP="00C41B78">
          <w:pPr>
            <w:rPr>
              <w:noProof/>
              <w:lang w:val="en-US"/>
            </w:rPr>
          </w:pPr>
        </w:p>
        <w:p w14:paraId="4A2A3D08" w14:textId="50E0EA0C" w:rsidR="0031074F" w:rsidRDefault="0031074F">
          <w:pPr>
            <w:pStyle w:val="TOC1"/>
            <w:tabs>
              <w:tab w:val="left" w:pos="440"/>
              <w:tab w:val="right" w:leader="dot" w:pos="9016"/>
            </w:tabs>
            <w:rPr>
              <w:rFonts w:ascii="Arial" w:hAnsi="Arial" w:cs="Arial"/>
              <w:noProof/>
            </w:rPr>
          </w:pPr>
          <w:hyperlink w:anchor="_Toc184773049" w:history="1">
            <w:r w:rsidRPr="00C41B78">
              <w:rPr>
                <w:rStyle w:val="Hyperlink"/>
                <w:rFonts w:ascii="Arial" w:hAnsi="Arial" w:cs="Arial"/>
                <w:b/>
                <w:bCs/>
                <w:noProof/>
              </w:rPr>
              <w:t>2.</w:t>
            </w:r>
            <w:r w:rsidRPr="00C41B78">
              <w:rPr>
                <w:rFonts w:ascii="Arial" w:hAnsi="Arial" w:cs="Arial"/>
                <w:noProof/>
                <w:kern w:val="2"/>
                <w:lang w:val="en-GB" w:eastAsia="en-GB"/>
                <w14:ligatures w14:val="standardContextual"/>
              </w:rPr>
              <w:tab/>
            </w:r>
            <w:r w:rsidRPr="00C41B78">
              <w:rPr>
                <w:rStyle w:val="Hyperlink"/>
                <w:rFonts w:ascii="Arial" w:hAnsi="Arial" w:cs="Arial"/>
                <w:b/>
                <w:bCs/>
                <w:noProof/>
              </w:rPr>
              <w:t>Costs associated with product recalls and controls</w:t>
            </w:r>
            <w:r w:rsidRPr="00C41B78">
              <w:rPr>
                <w:rFonts w:ascii="Arial" w:hAnsi="Arial" w:cs="Arial"/>
                <w:noProof/>
                <w:webHidden/>
              </w:rPr>
              <w:tab/>
            </w:r>
            <w:r w:rsidRPr="00C41B78">
              <w:rPr>
                <w:rFonts w:ascii="Arial" w:hAnsi="Arial" w:cs="Arial"/>
                <w:noProof/>
                <w:webHidden/>
              </w:rPr>
              <w:fldChar w:fldCharType="begin"/>
            </w:r>
            <w:r w:rsidRPr="00C41B78">
              <w:rPr>
                <w:rFonts w:ascii="Arial" w:hAnsi="Arial" w:cs="Arial"/>
                <w:noProof/>
                <w:webHidden/>
              </w:rPr>
              <w:instrText xml:space="preserve"> PAGEREF _Toc184773049 \h </w:instrText>
            </w:r>
            <w:r w:rsidRPr="00C41B78">
              <w:rPr>
                <w:rFonts w:ascii="Arial" w:hAnsi="Arial" w:cs="Arial"/>
                <w:noProof/>
                <w:webHidden/>
              </w:rPr>
            </w:r>
            <w:r w:rsidRPr="00C41B78">
              <w:rPr>
                <w:rFonts w:ascii="Arial" w:hAnsi="Arial" w:cs="Arial"/>
                <w:noProof/>
                <w:webHidden/>
              </w:rPr>
              <w:fldChar w:fldCharType="separate"/>
            </w:r>
            <w:r w:rsidR="00626390">
              <w:rPr>
                <w:rFonts w:ascii="Arial" w:hAnsi="Arial" w:cs="Arial"/>
                <w:noProof/>
                <w:webHidden/>
              </w:rPr>
              <w:t>8</w:t>
            </w:r>
            <w:r w:rsidRPr="00C41B78">
              <w:rPr>
                <w:rFonts w:ascii="Arial" w:hAnsi="Arial" w:cs="Arial"/>
                <w:noProof/>
                <w:webHidden/>
              </w:rPr>
              <w:fldChar w:fldCharType="end"/>
            </w:r>
          </w:hyperlink>
        </w:p>
        <w:p w14:paraId="7CD11B21" w14:textId="77777777" w:rsidR="00C41B78" w:rsidRPr="00C41B78" w:rsidRDefault="00C41B78" w:rsidP="00C41B78">
          <w:pPr>
            <w:rPr>
              <w:noProof/>
              <w:lang w:val="en-US"/>
            </w:rPr>
          </w:pPr>
        </w:p>
        <w:p w14:paraId="51744122" w14:textId="172CB5C7" w:rsidR="0031074F" w:rsidRDefault="0031074F">
          <w:pPr>
            <w:pStyle w:val="TOC1"/>
            <w:tabs>
              <w:tab w:val="left" w:pos="440"/>
              <w:tab w:val="right" w:leader="dot" w:pos="9016"/>
            </w:tabs>
            <w:rPr>
              <w:rFonts w:ascii="Arial" w:hAnsi="Arial" w:cs="Arial"/>
              <w:noProof/>
            </w:rPr>
          </w:pPr>
          <w:hyperlink w:anchor="_Toc184773050" w:history="1">
            <w:r w:rsidRPr="00C41B78">
              <w:rPr>
                <w:rStyle w:val="Hyperlink"/>
                <w:rFonts w:ascii="Arial" w:hAnsi="Arial" w:cs="Arial"/>
                <w:b/>
                <w:bCs/>
                <w:noProof/>
              </w:rPr>
              <w:t>3.</w:t>
            </w:r>
            <w:r w:rsidRPr="00C41B78">
              <w:rPr>
                <w:rFonts w:ascii="Arial" w:hAnsi="Arial" w:cs="Arial"/>
                <w:noProof/>
                <w:kern w:val="2"/>
                <w:lang w:val="en-GB" w:eastAsia="en-GB"/>
                <w14:ligatures w14:val="standardContextual"/>
              </w:rPr>
              <w:tab/>
            </w:r>
            <w:r w:rsidRPr="00C41B78">
              <w:rPr>
                <w:rStyle w:val="Hyperlink"/>
                <w:rFonts w:ascii="Arial" w:hAnsi="Arial" w:cs="Arial"/>
                <w:b/>
                <w:bCs/>
                <w:noProof/>
              </w:rPr>
              <w:t>Restoring customer confidence</w:t>
            </w:r>
            <w:r w:rsidRPr="00C41B78">
              <w:rPr>
                <w:rFonts w:ascii="Arial" w:hAnsi="Arial" w:cs="Arial"/>
                <w:noProof/>
                <w:webHidden/>
              </w:rPr>
              <w:tab/>
            </w:r>
            <w:r w:rsidRPr="00C41B78">
              <w:rPr>
                <w:rFonts w:ascii="Arial" w:hAnsi="Arial" w:cs="Arial"/>
                <w:noProof/>
                <w:webHidden/>
              </w:rPr>
              <w:fldChar w:fldCharType="begin"/>
            </w:r>
            <w:r w:rsidRPr="00C41B78">
              <w:rPr>
                <w:rFonts w:ascii="Arial" w:hAnsi="Arial" w:cs="Arial"/>
                <w:noProof/>
                <w:webHidden/>
              </w:rPr>
              <w:instrText xml:space="preserve"> PAGEREF _Toc184773050 \h </w:instrText>
            </w:r>
            <w:r w:rsidRPr="00C41B78">
              <w:rPr>
                <w:rFonts w:ascii="Arial" w:hAnsi="Arial" w:cs="Arial"/>
                <w:noProof/>
                <w:webHidden/>
              </w:rPr>
            </w:r>
            <w:r w:rsidRPr="00C41B78">
              <w:rPr>
                <w:rFonts w:ascii="Arial" w:hAnsi="Arial" w:cs="Arial"/>
                <w:noProof/>
                <w:webHidden/>
              </w:rPr>
              <w:fldChar w:fldCharType="separate"/>
            </w:r>
            <w:r w:rsidR="00626390">
              <w:rPr>
                <w:rFonts w:ascii="Arial" w:hAnsi="Arial" w:cs="Arial"/>
                <w:noProof/>
                <w:webHidden/>
              </w:rPr>
              <w:t>11</w:t>
            </w:r>
            <w:r w:rsidRPr="00C41B78">
              <w:rPr>
                <w:rFonts w:ascii="Arial" w:hAnsi="Arial" w:cs="Arial"/>
                <w:noProof/>
                <w:webHidden/>
              </w:rPr>
              <w:fldChar w:fldCharType="end"/>
            </w:r>
          </w:hyperlink>
        </w:p>
        <w:p w14:paraId="2065E957" w14:textId="77777777" w:rsidR="00C41B78" w:rsidRPr="00C41B78" w:rsidRDefault="00C41B78" w:rsidP="00C41B78">
          <w:pPr>
            <w:rPr>
              <w:noProof/>
              <w:lang w:val="en-US"/>
            </w:rPr>
          </w:pPr>
        </w:p>
        <w:p w14:paraId="73F39E66" w14:textId="081532E9" w:rsidR="0031074F" w:rsidRDefault="0031074F">
          <w:pPr>
            <w:pStyle w:val="TOC1"/>
            <w:tabs>
              <w:tab w:val="right" w:leader="dot" w:pos="9016"/>
            </w:tabs>
            <w:rPr>
              <w:rFonts w:ascii="Arial" w:hAnsi="Arial" w:cs="Arial"/>
              <w:noProof/>
            </w:rPr>
          </w:pPr>
          <w:hyperlink w:anchor="_Toc184773051" w:history="1">
            <w:r w:rsidRPr="00C41B78">
              <w:rPr>
                <w:rStyle w:val="Hyperlink"/>
                <w:rFonts w:ascii="Arial" w:hAnsi="Arial" w:cs="Arial"/>
                <w:b/>
                <w:bCs/>
                <w:noProof/>
              </w:rPr>
              <w:t>Conclusion</w:t>
            </w:r>
            <w:r w:rsidRPr="00C41B78">
              <w:rPr>
                <w:rFonts w:ascii="Arial" w:hAnsi="Arial" w:cs="Arial"/>
                <w:noProof/>
                <w:webHidden/>
              </w:rPr>
              <w:tab/>
            </w:r>
            <w:r w:rsidRPr="00C41B78">
              <w:rPr>
                <w:rFonts w:ascii="Arial" w:hAnsi="Arial" w:cs="Arial"/>
                <w:noProof/>
                <w:webHidden/>
              </w:rPr>
              <w:fldChar w:fldCharType="begin"/>
            </w:r>
            <w:r w:rsidRPr="00C41B78">
              <w:rPr>
                <w:rFonts w:ascii="Arial" w:hAnsi="Arial" w:cs="Arial"/>
                <w:noProof/>
                <w:webHidden/>
              </w:rPr>
              <w:instrText xml:space="preserve"> PAGEREF _Toc184773051 \h </w:instrText>
            </w:r>
            <w:r w:rsidRPr="00C41B78">
              <w:rPr>
                <w:rFonts w:ascii="Arial" w:hAnsi="Arial" w:cs="Arial"/>
                <w:noProof/>
                <w:webHidden/>
              </w:rPr>
            </w:r>
            <w:r w:rsidRPr="00C41B78">
              <w:rPr>
                <w:rFonts w:ascii="Arial" w:hAnsi="Arial" w:cs="Arial"/>
                <w:noProof/>
                <w:webHidden/>
              </w:rPr>
              <w:fldChar w:fldCharType="separate"/>
            </w:r>
            <w:r w:rsidR="00626390">
              <w:rPr>
                <w:rFonts w:ascii="Arial" w:hAnsi="Arial" w:cs="Arial"/>
                <w:noProof/>
                <w:webHidden/>
              </w:rPr>
              <w:t>13</w:t>
            </w:r>
            <w:r w:rsidRPr="00C41B78">
              <w:rPr>
                <w:rFonts w:ascii="Arial" w:hAnsi="Arial" w:cs="Arial"/>
                <w:noProof/>
                <w:webHidden/>
              </w:rPr>
              <w:fldChar w:fldCharType="end"/>
            </w:r>
          </w:hyperlink>
        </w:p>
        <w:p w14:paraId="4D0168F3" w14:textId="66A958BC" w:rsidR="00C41B78" w:rsidRPr="00C41B78" w:rsidRDefault="00C41B78" w:rsidP="00C41B78">
          <w:pPr>
            <w:rPr>
              <w:noProof/>
              <w:lang w:val="en-US"/>
            </w:rPr>
          </w:pPr>
        </w:p>
        <w:p w14:paraId="6410A238" w14:textId="5D6ECF31" w:rsidR="0031074F" w:rsidRPr="00C41B78" w:rsidRDefault="0031074F">
          <w:pPr>
            <w:pStyle w:val="TOC1"/>
            <w:tabs>
              <w:tab w:val="right" w:leader="dot" w:pos="9016"/>
            </w:tabs>
            <w:rPr>
              <w:rFonts w:ascii="Arial" w:hAnsi="Arial" w:cs="Arial"/>
              <w:noProof/>
              <w:kern w:val="2"/>
              <w:lang w:val="en-GB" w:eastAsia="en-GB"/>
              <w14:ligatures w14:val="standardContextual"/>
            </w:rPr>
          </w:pPr>
          <w:hyperlink w:anchor="_Toc184773052" w:history="1">
            <w:r w:rsidRPr="00C41B78">
              <w:rPr>
                <w:rStyle w:val="Hyperlink"/>
                <w:rFonts w:ascii="Arial" w:hAnsi="Arial" w:cs="Arial"/>
                <w:b/>
                <w:bCs/>
                <w:noProof/>
              </w:rPr>
              <w:t>References</w:t>
            </w:r>
            <w:r w:rsidRPr="00C41B78">
              <w:rPr>
                <w:rFonts w:ascii="Arial" w:hAnsi="Arial" w:cs="Arial"/>
                <w:noProof/>
                <w:webHidden/>
              </w:rPr>
              <w:tab/>
            </w:r>
            <w:r w:rsidRPr="00C41B78">
              <w:rPr>
                <w:rFonts w:ascii="Arial" w:hAnsi="Arial" w:cs="Arial"/>
                <w:noProof/>
                <w:webHidden/>
              </w:rPr>
              <w:fldChar w:fldCharType="begin"/>
            </w:r>
            <w:r w:rsidRPr="00C41B78">
              <w:rPr>
                <w:rFonts w:ascii="Arial" w:hAnsi="Arial" w:cs="Arial"/>
                <w:noProof/>
                <w:webHidden/>
              </w:rPr>
              <w:instrText xml:space="preserve"> PAGEREF _Toc184773052 \h </w:instrText>
            </w:r>
            <w:r w:rsidRPr="00C41B78">
              <w:rPr>
                <w:rFonts w:ascii="Arial" w:hAnsi="Arial" w:cs="Arial"/>
                <w:noProof/>
                <w:webHidden/>
              </w:rPr>
            </w:r>
            <w:r w:rsidRPr="00C41B78">
              <w:rPr>
                <w:rFonts w:ascii="Arial" w:hAnsi="Arial" w:cs="Arial"/>
                <w:noProof/>
                <w:webHidden/>
              </w:rPr>
              <w:fldChar w:fldCharType="separate"/>
            </w:r>
            <w:r w:rsidR="00626390">
              <w:rPr>
                <w:rFonts w:ascii="Arial" w:hAnsi="Arial" w:cs="Arial"/>
                <w:noProof/>
                <w:webHidden/>
              </w:rPr>
              <w:t>14</w:t>
            </w:r>
            <w:r w:rsidRPr="00C41B78">
              <w:rPr>
                <w:rFonts w:ascii="Arial" w:hAnsi="Arial" w:cs="Arial"/>
                <w:noProof/>
                <w:webHidden/>
              </w:rPr>
              <w:fldChar w:fldCharType="end"/>
            </w:r>
          </w:hyperlink>
        </w:p>
        <w:p w14:paraId="31B011D6" w14:textId="6D2C1F39" w:rsidR="0031074F" w:rsidRPr="00C41B78" w:rsidRDefault="0031074F">
          <w:pPr>
            <w:rPr>
              <w:rFonts w:ascii="Arial" w:hAnsi="Arial" w:cs="Arial"/>
              <w:sz w:val="22"/>
              <w:szCs w:val="22"/>
            </w:rPr>
          </w:pPr>
          <w:r w:rsidRPr="00C41B78">
            <w:rPr>
              <w:rFonts w:ascii="Arial" w:hAnsi="Arial" w:cs="Arial"/>
              <w:b/>
              <w:bCs/>
              <w:noProof/>
              <w:sz w:val="22"/>
              <w:szCs w:val="22"/>
            </w:rPr>
            <w:fldChar w:fldCharType="end"/>
          </w:r>
        </w:p>
      </w:sdtContent>
    </w:sdt>
    <w:p w14:paraId="57A803C9" w14:textId="3D719F37" w:rsidR="00105147" w:rsidRPr="00C41B78" w:rsidRDefault="00105147" w:rsidP="00732F43">
      <w:pPr>
        <w:pStyle w:val="Heading1"/>
        <w:rPr>
          <w:rFonts w:ascii="Arial" w:hAnsi="Arial" w:cs="Arial"/>
          <w:sz w:val="22"/>
          <w:szCs w:val="22"/>
        </w:rPr>
      </w:pPr>
    </w:p>
    <w:p w14:paraId="22A5B6D4" w14:textId="77777777" w:rsidR="00105147" w:rsidRPr="00C41B78" w:rsidRDefault="00105147" w:rsidP="00105147">
      <w:pPr>
        <w:rPr>
          <w:rFonts w:ascii="Arial" w:hAnsi="Arial" w:cs="Arial"/>
          <w:sz w:val="22"/>
          <w:szCs w:val="22"/>
        </w:rPr>
      </w:pPr>
    </w:p>
    <w:p w14:paraId="6A184B5D" w14:textId="77777777" w:rsidR="00105147" w:rsidRPr="00C41B78" w:rsidRDefault="00105147" w:rsidP="00105147">
      <w:pPr>
        <w:rPr>
          <w:rFonts w:ascii="Arial" w:hAnsi="Arial" w:cs="Arial"/>
          <w:sz w:val="22"/>
          <w:szCs w:val="22"/>
        </w:rPr>
      </w:pPr>
    </w:p>
    <w:p w14:paraId="248E5598" w14:textId="77777777" w:rsidR="00105147" w:rsidRPr="00C41B78" w:rsidRDefault="00105147" w:rsidP="00105147">
      <w:pPr>
        <w:rPr>
          <w:rFonts w:ascii="Arial" w:hAnsi="Arial" w:cs="Arial"/>
          <w:sz w:val="22"/>
          <w:szCs w:val="22"/>
        </w:rPr>
      </w:pPr>
    </w:p>
    <w:p w14:paraId="707D1841" w14:textId="77777777" w:rsidR="00105147" w:rsidRPr="00C41B78" w:rsidRDefault="00105147" w:rsidP="00105147">
      <w:pPr>
        <w:rPr>
          <w:rFonts w:ascii="Arial" w:hAnsi="Arial" w:cs="Arial"/>
          <w:sz w:val="22"/>
          <w:szCs w:val="22"/>
        </w:rPr>
      </w:pPr>
    </w:p>
    <w:p w14:paraId="646D2720" w14:textId="77777777" w:rsidR="00105147" w:rsidRPr="00C41B78" w:rsidRDefault="00105147" w:rsidP="00105147">
      <w:pPr>
        <w:rPr>
          <w:rFonts w:ascii="Arial" w:hAnsi="Arial" w:cs="Arial"/>
          <w:sz w:val="22"/>
          <w:szCs w:val="22"/>
        </w:rPr>
      </w:pPr>
    </w:p>
    <w:p w14:paraId="1B5E2A8C" w14:textId="77777777" w:rsidR="00105147" w:rsidRPr="00C41B78" w:rsidRDefault="00105147" w:rsidP="00105147">
      <w:pPr>
        <w:rPr>
          <w:rFonts w:ascii="Arial" w:hAnsi="Arial" w:cs="Arial"/>
          <w:sz w:val="22"/>
          <w:szCs w:val="22"/>
        </w:rPr>
      </w:pPr>
    </w:p>
    <w:p w14:paraId="4EECBB79" w14:textId="77777777" w:rsidR="00105147" w:rsidRPr="00C41B78" w:rsidRDefault="00105147" w:rsidP="00105147">
      <w:pPr>
        <w:rPr>
          <w:rFonts w:ascii="Arial" w:hAnsi="Arial" w:cs="Arial"/>
          <w:sz w:val="22"/>
          <w:szCs w:val="22"/>
        </w:rPr>
      </w:pPr>
    </w:p>
    <w:p w14:paraId="5273FC15" w14:textId="77777777" w:rsidR="00105147" w:rsidRPr="00C41B78" w:rsidRDefault="00105147" w:rsidP="00105147">
      <w:pPr>
        <w:rPr>
          <w:rFonts w:ascii="Arial" w:hAnsi="Arial" w:cs="Arial"/>
          <w:sz w:val="22"/>
          <w:szCs w:val="22"/>
        </w:rPr>
      </w:pPr>
    </w:p>
    <w:p w14:paraId="318390AA" w14:textId="77777777" w:rsidR="00105147" w:rsidRPr="00C41B78" w:rsidRDefault="00105147" w:rsidP="00105147">
      <w:pPr>
        <w:rPr>
          <w:rFonts w:ascii="Arial" w:hAnsi="Arial" w:cs="Arial"/>
          <w:sz w:val="22"/>
          <w:szCs w:val="22"/>
        </w:rPr>
      </w:pPr>
    </w:p>
    <w:p w14:paraId="17ED0E0D" w14:textId="77777777" w:rsidR="00105147" w:rsidRPr="00C41B78" w:rsidRDefault="00105147" w:rsidP="00105147">
      <w:pPr>
        <w:rPr>
          <w:rFonts w:ascii="Arial" w:hAnsi="Arial" w:cs="Arial"/>
          <w:sz w:val="22"/>
          <w:szCs w:val="22"/>
        </w:rPr>
      </w:pPr>
    </w:p>
    <w:p w14:paraId="5ED65047" w14:textId="77777777" w:rsidR="00105147" w:rsidRPr="00C41B78" w:rsidRDefault="00105147" w:rsidP="00105147">
      <w:pPr>
        <w:rPr>
          <w:rFonts w:ascii="Arial" w:hAnsi="Arial" w:cs="Arial"/>
          <w:sz w:val="22"/>
          <w:szCs w:val="22"/>
        </w:rPr>
      </w:pPr>
    </w:p>
    <w:p w14:paraId="5192AEDD" w14:textId="77777777" w:rsidR="00105147" w:rsidRPr="00C41B78" w:rsidRDefault="00105147" w:rsidP="00105147">
      <w:pPr>
        <w:rPr>
          <w:rFonts w:ascii="Arial" w:hAnsi="Arial" w:cs="Arial"/>
          <w:sz w:val="22"/>
          <w:szCs w:val="22"/>
        </w:rPr>
      </w:pPr>
    </w:p>
    <w:p w14:paraId="0D6D720A" w14:textId="77777777" w:rsidR="00732F43" w:rsidRPr="00C41B78" w:rsidRDefault="00732F43" w:rsidP="00853106">
      <w:pPr>
        <w:rPr>
          <w:rFonts w:ascii="Arial" w:hAnsi="Arial" w:cs="Arial"/>
          <w:sz w:val="22"/>
          <w:szCs w:val="22"/>
        </w:rPr>
      </w:pPr>
    </w:p>
    <w:p w14:paraId="538C6FC8" w14:textId="77777777" w:rsidR="00CF4EF9" w:rsidRDefault="00CF4EF9" w:rsidP="00C7495D">
      <w:pPr>
        <w:pStyle w:val="Heading1"/>
        <w:spacing w:line="360" w:lineRule="auto"/>
        <w:rPr>
          <w:rFonts w:ascii="Arial" w:hAnsi="Arial" w:cs="Arial"/>
          <w:b/>
          <w:bCs/>
          <w:color w:val="auto"/>
          <w:sz w:val="22"/>
          <w:szCs w:val="22"/>
        </w:rPr>
      </w:pPr>
      <w:bookmarkStart w:id="0" w:name="_Toc184773047"/>
    </w:p>
    <w:p w14:paraId="70CA9FDF" w14:textId="226B327A" w:rsidR="00CF4EF9" w:rsidRPr="00CF4EF9" w:rsidRDefault="00452DBD" w:rsidP="00CF4EF9">
      <w:pPr>
        <w:pStyle w:val="Heading1"/>
        <w:spacing w:line="360" w:lineRule="auto"/>
        <w:rPr>
          <w:rFonts w:ascii="Arial" w:hAnsi="Arial" w:cs="Arial"/>
          <w:b/>
          <w:bCs/>
          <w:color w:val="auto"/>
          <w:sz w:val="22"/>
          <w:szCs w:val="22"/>
        </w:rPr>
      </w:pPr>
      <w:r w:rsidRPr="00C41B78">
        <w:rPr>
          <w:rFonts w:ascii="Arial" w:hAnsi="Arial" w:cs="Arial"/>
          <w:b/>
          <w:bCs/>
          <w:color w:val="auto"/>
          <w:sz w:val="22"/>
          <w:szCs w:val="22"/>
        </w:rPr>
        <w:t>Introduction</w:t>
      </w:r>
      <w:bookmarkEnd w:id="0"/>
      <w:r w:rsidR="00CF4EF9">
        <w:rPr>
          <w:rFonts w:ascii="Arial" w:hAnsi="Arial" w:cs="Arial"/>
          <w:b/>
          <w:bCs/>
          <w:color w:val="auto"/>
          <w:sz w:val="22"/>
          <w:szCs w:val="22"/>
        </w:rPr>
        <w:br/>
      </w:r>
    </w:p>
    <w:p w14:paraId="3EAB4A85" w14:textId="563A20FB" w:rsidR="00452DBD" w:rsidRPr="00C41B78" w:rsidRDefault="009F6216" w:rsidP="00C7495D">
      <w:pPr>
        <w:spacing w:line="360" w:lineRule="auto"/>
        <w:rPr>
          <w:rFonts w:ascii="Arial" w:hAnsi="Arial" w:cs="Arial"/>
          <w:sz w:val="22"/>
          <w:szCs w:val="22"/>
        </w:rPr>
      </w:pPr>
      <w:r w:rsidRPr="00C41B78">
        <w:rPr>
          <w:rFonts w:ascii="Arial" w:hAnsi="Arial" w:cs="Arial"/>
          <w:sz w:val="22"/>
          <w:szCs w:val="22"/>
        </w:rPr>
        <w:t>The impact of product recalls on businesses and projects with</w:t>
      </w:r>
      <w:r w:rsidR="00C7495D">
        <w:rPr>
          <w:rFonts w:ascii="Arial" w:hAnsi="Arial" w:cs="Arial"/>
          <w:sz w:val="22"/>
          <w:szCs w:val="22"/>
        </w:rPr>
        <w:t>i</w:t>
      </w:r>
      <w:r w:rsidRPr="00C41B78">
        <w:rPr>
          <w:rFonts w:ascii="Arial" w:hAnsi="Arial" w:cs="Arial"/>
          <w:sz w:val="22"/>
          <w:szCs w:val="22"/>
        </w:rPr>
        <w:t>n the automotive industry is profound</w:t>
      </w:r>
      <w:r w:rsidR="00C7495D">
        <w:rPr>
          <w:rFonts w:ascii="Arial" w:hAnsi="Arial" w:cs="Arial"/>
          <w:sz w:val="22"/>
          <w:szCs w:val="22"/>
        </w:rPr>
        <w:t>. These include</w:t>
      </w:r>
      <w:r w:rsidRPr="00C41B78">
        <w:rPr>
          <w:rFonts w:ascii="Arial" w:hAnsi="Arial" w:cs="Arial"/>
          <w:sz w:val="22"/>
          <w:szCs w:val="22"/>
        </w:rPr>
        <w:t xml:space="preserve"> various aspects such as consumer trust, financial performance, operational efficiency, and brand reputation. Understanding these impacts is essential for manufacturers to develop effective strategies for managing recalls and mitigating their adverse effects.</w:t>
      </w:r>
      <w:r w:rsidR="00C7495D">
        <w:rPr>
          <w:rFonts w:ascii="Arial" w:hAnsi="Arial" w:cs="Arial"/>
          <w:sz w:val="22"/>
          <w:szCs w:val="22"/>
        </w:rPr>
        <w:t xml:space="preserve"> Within this paper I will endeavour to research product recall processes, and how this is carried out in the automotive industry, and the costs associated with product recalls. Lastly, I will research into the field of forthcoming issues surrounding product recalls, and how customer confidence can be restored after such incidents. </w:t>
      </w:r>
      <w:r w:rsidR="00C7495D">
        <w:rPr>
          <w:rFonts w:ascii="Arial" w:hAnsi="Arial" w:cs="Arial"/>
          <w:sz w:val="22"/>
          <w:szCs w:val="22"/>
        </w:rPr>
        <w:br/>
        <w:t xml:space="preserve">     </w:t>
      </w:r>
      <w:r w:rsidRPr="00C41B78">
        <w:rPr>
          <w:rFonts w:ascii="Arial" w:hAnsi="Arial" w:cs="Arial"/>
          <w:sz w:val="22"/>
          <w:szCs w:val="22"/>
        </w:rPr>
        <w:t xml:space="preserve">Product recalls can significantly undermine consumer trust and brand reputation. When a vehicle is recalled, it often leads to negative perceptions among consumers regarding the reliability and safety of the brand. Research indicates that recalls can result in a substantial decline in brand equity, as consumers may associate the recall with a lack of quality control (Eilert et al., 2017). </w:t>
      </w:r>
      <w:r w:rsidR="00C660AA">
        <w:rPr>
          <w:rFonts w:ascii="Arial" w:hAnsi="Arial" w:cs="Arial"/>
          <w:sz w:val="22"/>
          <w:szCs w:val="22"/>
        </w:rPr>
        <w:t>An example of a declination of consumer trust reflects in the</w:t>
      </w:r>
      <w:r w:rsidRPr="00C41B78">
        <w:rPr>
          <w:rFonts w:ascii="Arial" w:hAnsi="Arial" w:cs="Arial"/>
          <w:sz w:val="22"/>
          <w:szCs w:val="22"/>
        </w:rPr>
        <w:t xml:space="preserve"> Toyota recall crisis, which involved </w:t>
      </w:r>
      <w:r w:rsidR="00C660AA">
        <w:rPr>
          <w:rFonts w:ascii="Arial" w:hAnsi="Arial" w:cs="Arial"/>
          <w:sz w:val="22"/>
          <w:szCs w:val="22"/>
        </w:rPr>
        <w:t>a substantial number</w:t>
      </w:r>
      <w:r w:rsidRPr="00C41B78">
        <w:rPr>
          <w:rFonts w:ascii="Arial" w:hAnsi="Arial" w:cs="Arial"/>
          <w:sz w:val="22"/>
          <w:szCs w:val="22"/>
        </w:rPr>
        <w:t xml:space="preserve"> of vehicles, </w:t>
      </w:r>
      <w:r w:rsidR="00C660AA">
        <w:rPr>
          <w:rFonts w:ascii="Arial" w:hAnsi="Arial" w:cs="Arial"/>
          <w:sz w:val="22"/>
          <w:szCs w:val="22"/>
        </w:rPr>
        <w:t xml:space="preserve">which </w:t>
      </w:r>
      <w:r w:rsidRPr="00C41B78">
        <w:rPr>
          <w:rFonts w:ascii="Arial" w:hAnsi="Arial" w:cs="Arial"/>
          <w:sz w:val="22"/>
          <w:szCs w:val="22"/>
        </w:rPr>
        <w:t>severely impacted the company's reputation and consumer trust</w:t>
      </w:r>
      <w:r w:rsidR="00C660AA">
        <w:rPr>
          <w:rFonts w:ascii="Arial" w:hAnsi="Arial" w:cs="Arial"/>
          <w:sz w:val="22"/>
          <w:szCs w:val="22"/>
        </w:rPr>
        <w:t xml:space="preserve">. This incident </w:t>
      </w:r>
      <w:r w:rsidRPr="00C41B78">
        <w:rPr>
          <w:rFonts w:ascii="Arial" w:hAnsi="Arial" w:cs="Arial"/>
          <w:sz w:val="22"/>
          <w:szCs w:val="22"/>
        </w:rPr>
        <w:t>highligh</w:t>
      </w:r>
      <w:r w:rsidR="00C660AA">
        <w:rPr>
          <w:rFonts w:ascii="Arial" w:hAnsi="Arial" w:cs="Arial"/>
          <w:sz w:val="22"/>
          <w:szCs w:val="22"/>
        </w:rPr>
        <w:t>ted</w:t>
      </w:r>
      <w:r w:rsidRPr="00C41B78">
        <w:rPr>
          <w:rFonts w:ascii="Arial" w:hAnsi="Arial" w:cs="Arial"/>
          <w:sz w:val="22"/>
          <w:szCs w:val="22"/>
        </w:rPr>
        <w:t xml:space="preserve"> the long-term consequences of such events (Kehr &amp; Proctor, 2016). Furthermore, studies have shown that the timing and nature of the recall (voluntary vs. mandatory) can influence consumer perceptions, with voluntary recalls generally leading to less damage to brand reputation (Eilert et al., 2017).</w:t>
      </w:r>
      <w:r w:rsidR="00C660AA">
        <w:rPr>
          <w:rFonts w:ascii="Arial" w:hAnsi="Arial" w:cs="Arial"/>
          <w:sz w:val="22"/>
          <w:szCs w:val="22"/>
        </w:rPr>
        <w:br/>
        <w:t xml:space="preserve">      </w:t>
      </w:r>
      <w:r w:rsidRPr="00C41B78">
        <w:rPr>
          <w:rFonts w:ascii="Arial" w:hAnsi="Arial" w:cs="Arial"/>
          <w:sz w:val="22"/>
          <w:szCs w:val="22"/>
        </w:rPr>
        <w:t xml:space="preserve">The financial implications of product recalls are significant and multifaceted. Automotive manufacturers face direct costs associated with the recall process, including logistics, repairs, and potential legal liabilities (Thirumalai &amp; Sinha, 2011). Indirect costs, such as lost sales and diminished market value, can further exacerbate the financial strain on a recalling firm (Shah et al., 2017). </w:t>
      </w:r>
      <w:r w:rsidR="00C660AA">
        <w:rPr>
          <w:rFonts w:ascii="Arial" w:hAnsi="Arial" w:cs="Arial"/>
          <w:sz w:val="22"/>
          <w:szCs w:val="22"/>
        </w:rPr>
        <w:t>Considering the Toyota crisis as mentioned, it was found that</w:t>
      </w:r>
      <w:r w:rsidRPr="00C41B78">
        <w:rPr>
          <w:rFonts w:ascii="Arial" w:hAnsi="Arial" w:cs="Arial"/>
          <w:sz w:val="22"/>
          <w:szCs w:val="22"/>
        </w:rPr>
        <w:t xml:space="preserve"> over 20 million vehicles</w:t>
      </w:r>
      <w:r w:rsidR="00C660AA">
        <w:rPr>
          <w:rFonts w:ascii="Arial" w:hAnsi="Arial" w:cs="Arial"/>
          <w:sz w:val="22"/>
          <w:szCs w:val="22"/>
        </w:rPr>
        <w:t xml:space="preserve"> were recalled</w:t>
      </w:r>
      <w:r w:rsidRPr="00C41B78">
        <w:rPr>
          <w:rFonts w:ascii="Arial" w:hAnsi="Arial" w:cs="Arial"/>
          <w:sz w:val="22"/>
          <w:szCs w:val="22"/>
        </w:rPr>
        <w:t xml:space="preserve"> by Toyota in 2010</w:t>
      </w:r>
      <w:r w:rsidR="00C660AA">
        <w:rPr>
          <w:rFonts w:ascii="Arial" w:hAnsi="Arial" w:cs="Arial"/>
          <w:sz w:val="22"/>
          <w:szCs w:val="22"/>
        </w:rPr>
        <w:t>,</w:t>
      </w:r>
      <w:r w:rsidRPr="00C41B78">
        <w:rPr>
          <w:rFonts w:ascii="Arial" w:hAnsi="Arial" w:cs="Arial"/>
          <w:sz w:val="22"/>
          <w:szCs w:val="22"/>
        </w:rPr>
        <w:t xml:space="preserve"> result</w:t>
      </w:r>
      <w:r w:rsidR="00C660AA">
        <w:rPr>
          <w:rFonts w:ascii="Arial" w:hAnsi="Arial" w:cs="Arial"/>
          <w:sz w:val="22"/>
          <w:szCs w:val="22"/>
        </w:rPr>
        <w:t>ing</w:t>
      </w:r>
      <w:r w:rsidRPr="00C41B78">
        <w:rPr>
          <w:rFonts w:ascii="Arial" w:hAnsi="Arial" w:cs="Arial"/>
          <w:sz w:val="22"/>
          <w:szCs w:val="22"/>
        </w:rPr>
        <w:t xml:space="preserve"> in substantial financial losses, estimated at billions of dollars (Taie et al., 2012). Additionally, stock market reaction</w:t>
      </w:r>
      <w:r w:rsidR="00C660AA">
        <w:rPr>
          <w:rFonts w:ascii="Arial" w:hAnsi="Arial" w:cs="Arial"/>
          <w:sz w:val="22"/>
          <w:szCs w:val="22"/>
        </w:rPr>
        <w:t>s</w:t>
      </w:r>
      <w:r w:rsidRPr="00C41B78">
        <w:rPr>
          <w:rFonts w:ascii="Arial" w:hAnsi="Arial" w:cs="Arial"/>
          <w:sz w:val="22"/>
          <w:szCs w:val="22"/>
        </w:rPr>
        <w:t xml:space="preserve"> to recall announcements can be</w:t>
      </w:r>
      <w:r w:rsidR="00C660AA">
        <w:rPr>
          <w:rFonts w:ascii="Arial" w:hAnsi="Arial" w:cs="Arial"/>
          <w:sz w:val="22"/>
          <w:szCs w:val="22"/>
        </w:rPr>
        <w:t xml:space="preserve"> </w:t>
      </w:r>
      <w:r w:rsidR="00626390">
        <w:rPr>
          <w:rFonts w:ascii="Arial" w:hAnsi="Arial" w:cs="Arial"/>
          <w:sz w:val="22"/>
          <w:szCs w:val="22"/>
        </w:rPr>
        <w:t>drastic</w:t>
      </w:r>
      <w:r w:rsidR="00626390" w:rsidRPr="00C41B78">
        <w:rPr>
          <w:rFonts w:ascii="Arial" w:hAnsi="Arial" w:cs="Arial"/>
          <w:sz w:val="22"/>
          <w:szCs w:val="22"/>
        </w:rPr>
        <w:t>,</w:t>
      </w:r>
      <w:r w:rsidRPr="00C41B78">
        <w:rPr>
          <w:rFonts w:ascii="Arial" w:hAnsi="Arial" w:cs="Arial"/>
          <w:sz w:val="22"/>
          <w:szCs w:val="22"/>
        </w:rPr>
        <w:t xml:space="preserve"> with studies indicating that automotive recalls often lead to significant drops in stock prices (Eilert et al., </w:t>
      </w:r>
      <w:r w:rsidR="00F924E9" w:rsidRPr="00C41B78">
        <w:rPr>
          <w:rFonts w:ascii="Arial" w:hAnsi="Arial" w:cs="Arial"/>
          <w:sz w:val="22"/>
          <w:szCs w:val="22"/>
        </w:rPr>
        <w:t>2017;</w:t>
      </w:r>
      <w:r w:rsidRPr="00C41B78">
        <w:rPr>
          <w:rFonts w:ascii="Arial" w:hAnsi="Arial" w:cs="Arial"/>
          <w:sz w:val="22"/>
          <w:szCs w:val="22"/>
        </w:rPr>
        <w:t xml:space="preserve"> DuHadway &amp; Narasimhan, 2020). This financial impact under</w:t>
      </w:r>
      <w:r w:rsidR="00C660AA">
        <w:rPr>
          <w:rFonts w:ascii="Arial" w:hAnsi="Arial" w:cs="Arial"/>
          <w:sz w:val="22"/>
          <w:szCs w:val="22"/>
        </w:rPr>
        <w:t>pins</w:t>
      </w:r>
      <w:r w:rsidRPr="00C41B78">
        <w:rPr>
          <w:rFonts w:ascii="Arial" w:hAnsi="Arial" w:cs="Arial"/>
          <w:sz w:val="22"/>
          <w:szCs w:val="22"/>
        </w:rPr>
        <w:t xml:space="preserve"> the importance of effective recall management strategies to minimi</w:t>
      </w:r>
      <w:r w:rsidR="005F4C70" w:rsidRPr="00C41B78">
        <w:rPr>
          <w:rFonts w:ascii="Arial" w:hAnsi="Arial" w:cs="Arial"/>
          <w:sz w:val="22"/>
          <w:szCs w:val="22"/>
        </w:rPr>
        <w:t>s</w:t>
      </w:r>
      <w:r w:rsidRPr="00C41B78">
        <w:rPr>
          <w:rFonts w:ascii="Arial" w:hAnsi="Arial" w:cs="Arial"/>
          <w:sz w:val="22"/>
          <w:szCs w:val="22"/>
        </w:rPr>
        <w:t>e losses.</w:t>
      </w:r>
      <w:r w:rsidR="00C660AA">
        <w:rPr>
          <w:rFonts w:ascii="Arial" w:hAnsi="Arial" w:cs="Arial"/>
          <w:sz w:val="22"/>
          <w:szCs w:val="22"/>
        </w:rPr>
        <w:br/>
        <w:t xml:space="preserve">     </w:t>
      </w:r>
      <w:r w:rsidRPr="00C41B78">
        <w:rPr>
          <w:rFonts w:ascii="Arial" w:hAnsi="Arial" w:cs="Arial"/>
          <w:sz w:val="22"/>
          <w:szCs w:val="22"/>
        </w:rPr>
        <w:t xml:space="preserve">Product recalls also pose challenges to operational efficiency and supply chain management. The need to halt production and redirect resources to address the recall can </w:t>
      </w:r>
      <w:r w:rsidRPr="00C41B78">
        <w:rPr>
          <w:rFonts w:ascii="Arial" w:hAnsi="Arial" w:cs="Arial"/>
          <w:sz w:val="22"/>
          <w:szCs w:val="22"/>
        </w:rPr>
        <w:lastRenderedPageBreak/>
        <w:t>disrupt normal operations and lead to inefficiencies (Patro et al., 2021). Moreover, recalls can strain relationships with suppliers and dealers, as manufacturers must coordinate efforts to manage the recall process effectively (DuHadway &amp; Narasimhan, 2020). The complexity of automotive supply chains means that a recall can have ripple effects throughout the entire</w:t>
      </w:r>
      <w:r w:rsidR="00C660AA">
        <w:rPr>
          <w:rFonts w:ascii="Arial" w:hAnsi="Arial" w:cs="Arial"/>
          <w:sz w:val="22"/>
          <w:szCs w:val="22"/>
        </w:rPr>
        <w:t>ty of its</w:t>
      </w:r>
      <w:r w:rsidRPr="00C41B78">
        <w:rPr>
          <w:rFonts w:ascii="Arial" w:hAnsi="Arial" w:cs="Arial"/>
          <w:sz w:val="22"/>
          <w:szCs w:val="22"/>
        </w:rPr>
        <w:t xml:space="preserve"> network, affecting not only the recalling firm but also its partners (Hage et al., 2022). Consequently, effective communication and collaboration among supply chain stakeholders are critical to managing the operational challenges posed by recalls.</w:t>
      </w:r>
      <w:r w:rsidR="00C660AA">
        <w:rPr>
          <w:rFonts w:ascii="Arial" w:hAnsi="Arial" w:cs="Arial"/>
          <w:sz w:val="22"/>
          <w:szCs w:val="22"/>
        </w:rPr>
        <w:br/>
        <w:t xml:space="preserve">    </w:t>
      </w:r>
      <w:r w:rsidRPr="00C41B78">
        <w:rPr>
          <w:rFonts w:ascii="Arial" w:hAnsi="Arial" w:cs="Arial"/>
          <w:sz w:val="22"/>
          <w:szCs w:val="22"/>
        </w:rPr>
        <w:t>Despite the negative impacts, product recalls can also serve as catalysts for innovation and improvement within the automotive industry. Firms that experience recalls often engage in introspection and analysis of their processes, leading to enhancements in quality control and product design (Ni et al., 2023). For instance, the lessons learn</w:t>
      </w:r>
      <w:r w:rsidR="00C660AA">
        <w:rPr>
          <w:rFonts w:ascii="Arial" w:hAnsi="Arial" w:cs="Arial"/>
          <w:sz w:val="22"/>
          <w:szCs w:val="22"/>
        </w:rPr>
        <w:t>t</w:t>
      </w:r>
      <w:r w:rsidRPr="00C41B78">
        <w:rPr>
          <w:rFonts w:ascii="Arial" w:hAnsi="Arial" w:cs="Arial"/>
          <w:sz w:val="22"/>
          <w:szCs w:val="22"/>
        </w:rPr>
        <w:t xml:space="preserve"> from past recalls can inform future product development strategies, enabling manufacturers to implement more robust safety measures and improve overall product reliability (Shah et al., 2017). This perspective emphasi</w:t>
      </w:r>
      <w:r w:rsidR="00234866" w:rsidRPr="00C41B78">
        <w:rPr>
          <w:rFonts w:ascii="Arial" w:hAnsi="Arial" w:cs="Arial"/>
          <w:sz w:val="22"/>
          <w:szCs w:val="22"/>
        </w:rPr>
        <w:t>s</w:t>
      </w:r>
      <w:r w:rsidRPr="00C41B78">
        <w:rPr>
          <w:rFonts w:ascii="Arial" w:hAnsi="Arial" w:cs="Arial"/>
          <w:sz w:val="22"/>
          <w:szCs w:val="22"/>
        </w:rPr>
        <w:t xml:space="preserve">es the potential for recalls </w:t>
      </w:r>
      <w:r w:rsidR="00F924E9" w:rsidRPr="00C41B78">
        <w:rPr>
          <w:rFonts w:ascii="Arial" w:hAnsi="Arial" w:cs="Arial"/>
          <w:sz w:val="22"/>
          <w:szCs w:val="22"/>
        </w:rPr>
        <w:t>driving</w:t>
      </w:r>
      <w:r w:rsidRPr="00C41B78">
        <w:rPr>
          <w:rFonts w:ascii="Arial" w:hAnsi="Arial" w:cs="Arial"/>
          <w:sz w:val="22"/>
          <w:szCs w:val="22"/>
        </w:rPr>
        <w:t xml:space="preserve"> positive change within organi</w:t>
      </w:r>
      <w:r w:rsidR="00234866" w:rsidRPr="00C41B78">
        <w:rPr>
          <w:rFonts w:ascii="Arial" w:hAnsi="Arial" w:cs="Arial"/>
          <w:sz w:val="22"/>
          <w:szCs w:val="22"/>
        </w:rPr>
        <w:t>s</w:t>
      </w:r>
      <w:r w:rsidRPr="00C41B78">
        <w:rPr>
          <w:rFonts w:ascii="Arial" w:hAnsi="Arial" w:cs="Arial"/>
          <w:sz w:val="22"/>
          <w:szCs w:val="22"/>
        </w:rPr>
        <w:t>ations, transforming challenges into opportunities for growth and improvement.</w:t>
      </w:r>
      <w:r w:rsidR="00CF4EF9">
        <w:rPr>
          <w:rFonts w:ascii="Arial" w:hAnsi="Arial" w:cs="Arial"/>
          <w:sz w:val="22"/>
          <w:szCs w:val="22"/>
        </w:rPr>
        <w:t xml:space="preserve"> The following information is broken down </w:t>
      </w:r>
      <w:r w:rsidR="003520A1">
        <w:rPr>
          <w:rFonts w:ascii="Arial" w:hAnsi="Arial" w:cs="Arial"/>
          <w:sz w:val="22"/>
          <w:szCs w:val="22"/>
        </w:rPr>
        <w:t>into</w:t>
      </w:r>
      <w:r w:rsidR="00CF4EF9">
        <w:rPr>
          <w:rFonts w:ascii="Arial" w:hAnsi="Arial" w:cs="Arial"/>
          <w:sz w:val="22"/>
          <w:szCs w:val="22"/>
        </w:rPr>
        <w:t xml:space="preserve"> 3 categories</w:t>
      </w:r>
      <w:r w:rsidR="003520A1">
        <w:rPr>
          <w:rFonts w:ascii="Arial" w:hAnsi="Arial" w:cs="Arial"/>
          <w:sz w:val="22"/>
          <w:szCs w:val="22"/>
        </w:rPr>
        <w:t xml:space="preserve"> to explore and identify the process of product recalls. </w:t>
      </w:r>
    </w:p>
    <w:p w14:paraId="6CF34EAE" w14:textId="77777777" w:rsidR="009F6216" w:rsidRPr="00C41B78" w:rsidRDefault="009F6216" w:rsidP="00C7495D">
      <w:pPr>
        <w:spacing w:line="360" w:lineRule="auto"/>
        <w:rPr>
          <w:rFonts w:ascii="Arial" w:hAnsi="Arial" w:cs="Arial"/>
          <w:sz w:val="22"/>
          <w:szCs w:val="22"/>
        </w:rPr>
      </w:pPr>
    </w:p>
    <w:p w14:paraId="1E832A16" w14:textId="77777777" w:rsidR="009F6216" w:rsidRPr="00C41B78" w:rsidRDefault="009F6216" w:rsidP="00C7495D">
      <w:pPr>
        <w:spacing w:line="360" w:lineRule="auto"/>
        <w:rPr>
          <w:rFonts w:ascii="Arial" w:hAnsi="Arial" w:cs="Arial"/>
          <w:sz w:val="22"/>
          <w:szCs w:val="22"/>
        </w:rPr>
      </w:pPr>
    </w:p>
    <w:p w14:paraId="75A8D202" w14:textId="77777777" w:rsidR="009F6216" w:rsidRPr="00C41B78" w:rsidRDefault="009F6216" w:rsidP="00C7495D">
      <w:pPr>
        <w:spacing w:line="360" w:lineRule="auto"/>
        <w:rPr>
          <w:rFonts w:ascii="Arial" w:hAnsi="Arial" w:cs="Arial"/>
          <w:sz w:val="22"/>
          <w:szCs w:val="22"/>
        </w:rPr>
      </w:pPr>
    </w:p>
    <w:p w14:paraId="16A28B26" w14:textId="77777777" w:rsidR="009F6216" w:rsidRPr="00C41B78" w:rsidRDefault="009F6216" w:rsidP="00C7495D">
      <w:pPr>
        <w:spacing w:line="360" w:lineRule="auto"/>
        <w:rPr>
          <w:rFonts w:ascii="Arial" w:hAnsi="Arial" w:cs="Arial"/>
          <w:sz w:val="22"/>
          <w:szCs w:val="22"/>
        </w:rPr>
      </w:pPr>
    </w:p>
    <w:p w14:paraId="2B0A6167" w14:textId="77777777" w:rsidR="009F6216" w:rsidRPr="00C41B78" w:rsidRDefault="009F6216" w:rsidP="00C7495D">
      <w:pPr>
        <w:spacing w:line="360" w:lineRule="auto"/>
        <w:rPr>
          <w:rFonts w:ascii="Arial" w:hAnsi="Arial" w:cs="Arial"/>
          <w:sz w:val="22"/>
          <w:szCs w:val="22"/>
        </w:rPr>
      </w:pPr>
    </w:p>
    <w:p w14:paraId="77A949AB" w14:textId="77777777" w:rsidR="009F6216" w:rsidRPr="00C41B78" w:rsidRDefault="009F6216" w:rsidP="00C7495D">
      <w:pPr>
        <w:spacing w:line="360" w:lineRule="auto"/>
        <w:rPr>
          <w:rFonts w:ascii="Arial" w:hAnsi="Arial" w:cs="Arial"/>
          <w:sz w:val="22"/>
          <w:szCs w:val="22"/>
        </w:rPr>
      </w:pPr>
    </w:p>
    <w:p w14:paraId="17384F5B" w14:textId="77777777" w:rsidR="009F6216" w:rsidRPr="00C41B78" w:rsidRDefault="009F6216" w:rsidP="00C7495D">
      <w:pPr>
        <w:spacing w:line="360" w:lineRule="auto"/>
        <w:rPr>
          <w:rFonts w:ascii="Arial" w:hAnsi="Arial" w:cs="Arial"/>
          <w:sz w:val="22"/>
          <w:szCs w:val="22"/>
        </w:rPr>
      </w:pPr>
    </w:p>
    <w:p w14:paraId="19DD4B82" w14:textId="77777777" w:rsidR="009F6216" w:rsidRPr="00C41B78" w:rsidRDefault="009F6216" w:rsidP="00C7495D">
      <w:pPr>
        <w:spacing w:line="360" w:lineRule="auto"/>
        <w:rPr>
          <w:rFonts w:ascii="Arial" w:hAnsi="Arial" w:cs="Arial"/>
          <w:sz w:val="22"/>
          <w:szCs w:val="22"/>
        </w:rPr>
      </w:pPr>
    </w:p>
    <w:p w14:paraId="5FDCCECB" w14:textId="77777777" w:rsidR="009F6216" w:rsidRPr="00C41B78" w:rsidRDefault="009F6216" w:rsidP="00C7495D">
      <w:pPr>
        <w:spacing w:line="360" w:lineRule="auto"/>
        <w:rPr>
          <w:rFonts w:ascii="Arial" w:hAnsi="Arial" w:cs="Arial"/>
          <w:sz w:val="22"/>
          <w:szCs w:val="22"/>
        </w:rPr>
      </w:pPr>
    </w:p>
    <w:p w14:paraId="65BFFF49" w14:textId="77777777" w:rsidR="009F6216" w:rsidRPr="00C41B78" w:rsidRDefault="009F6216" w:rsidP="00C7495D">
      <w:pPr>
        <w:spacing w:line="360" w:lineRule="auto"/>
        <w:rPr>
          <w:rFonts w:ascii="Arial" w:hAnsi="Arial" w:cs="Arial"/>
          <w:sz w:val="22"/>
          <w:szCs w:val="22"/>
        </w:rPr>
      </w:pPr>
    </w:p>
    <w:p w14:paraId="60300369" w14:textId="77777777" w:rsidR="009F6216" w:rsidRPr="00C41B78" w:rsidRDefault="009F6216" w:rsidP="00C7495D">
      <w:pPr>
        <w:spacing w:line="360" w:lineRule="auto"/>
        <w:rPr>
          <w:rFonts w:ascii="Arial" w:hAnsi="Arial" w:cs="Arial"/>
          <w:sz w:val="22"/>
          <w:szCs w:val="22"/>
        </w:rPr>
      </w:pPr>
    </w:p>
    <w:p w14:paraId="685CA88D" w14:textId="77777777" w:rsidR="009F6216" w:rsidRPr="00C41B78" w:rsidRDefault="009F6216" w:rsidP="00C7495D">
      <w:pPr>
        <w:spacing w:line="360" w:lineRule="auto"/>
        <w:rPr>
          <w:rFonts w:ascii="Arial" w:hAnsi="Arial" w:cs="Arial"/>
          <w:sz w:val="22"/>
          <w:szCs w:val="22"/>
        </w:rPr>
      </w:pPr>
    </w:p>
    <w:p w14:paraId="36FD7A1C" w14:textId="77777777" w:rsidR="009F6216" w:rsidRPr="00C41B78" w:rsidRDefault="009F6216" w:rsidP="00C7495D">
      <w:pPr>
        <w:spacing w:line="360" w:lineRule="auto"/>
        <w:rPr>
          <w:rFonts w:ascii="Arial" w:hAnsi="Arial" w:cs="Arial"/>
          <w:sz w:val="22"/>
          <w:szCs w:val="22"/>
        </w:rPr>
      </w:pPr>
    </w:p>
    <w:p w14:paraId="4B23AD08" w14:textId="77777777" w:rsidR="009F6216" w:rsidRDefault="009F6216" w:rsidP="00C7495D">
      <w:pPr>
        <w:spacing w:line="360" w:lineRule="auto"/>
        <w:rPr>
          <w:rFonts w:ascii="Arial" w:hAnsi="Arial" w:cs="Arial"/>
          <w:sz w:val="22"/>
          <w:szCs w:val="22"/>
        </w:rPr>
      </w:pPr>
    </w:p>
    <w:p w14:paraId="094320A9" w14:textId="77777777" w:rsidR="00CF4EF9" w:rsidRPr="00C41B78" w:rsidRDefault="00CF4EF9" w:rsidP="00C7495D">
      <w:pPr>
        <w:spacing w:line="360" w:lineRule="auto"/>
        <w:rPr>
          <w:rFonts w:ascii="Arial" w:hAnsi="Arial" w:cs="Arial"/>
          <w:sz w:val="22"/>
          <w:szCs w:val="22"/>
        </w:rPr>
      </w:pPr>
    </w:p>
    <w:p w14:paraId="706563EC" w14:textId="0F8DF7F5" w:rsidR="009F6216" w:rsidRPr="00CF4EF9" w:rsidRDefault="0031074F" w:rsidP="00C7495D">
      <w:pPr>
        <w:pStyle w:val="Heading1"/>
        <w:numPr>
          <w:ilvl w:val="0"/>
          <w:numId w:val="1"/>
        </w:numPr>
        <w:spacing w:line="360" w:lineRule="auto"/>
        <w:rPr>
          <w:rFonts w:ascii="Arial" w:hAnsi="Arial" w:cs="Arial"/>
          <w:b/>
          <w:bCs/>
          <w:color w:val="auto"/>
          <w:sz w:val="22"/>
          <w:szCs w:val="22"/>
          <w:u w:val="single"/>
        </w:rPr>
      </w:pPr>
      <w:bookmarkStart w:id="1" w:name="_Toc184773048"/>
      <w:r w:rsidRPr="00CF4EF9">
        <w:rPr>
          <w:rFonts w:ascii="Arial" w:hAnsi="Arial" w:cs="Arial"/>
          <w:b/>
          <w:bCs/>
          <w:color w:val="auto"/>
          <w:sz w:val="22"/>
          <w:szCs w:val="22"/>
          <w:u w:val="single"/>
        </w:rPr>
        <w:t>Product recall process</w:t>
      </w:r>
      <w:bookmarkEnd w:id="1"/>
    </w:p>
    <w:p w14:paraId="796966ED" w14:textId="282D864D" w:rsidR="009F6216" w:rsidRPr="00C41B78" w:rsidRDefault="009F6216" w:rsidP="00CF4EF9">
      <w:pPr>
        <w:spacing w:line="360" w:lineRule="auto"/>
        <w:rPr>
          <w:rFonts w:ascii="Arial" w:hAnsi="Arial" w:cs="Arial"/>
          <w:sz w:val="22"/>
          <w:szCs w:val="22"/>
        </w:rPr>
      </w:pPr>
      <w:r w:rsidRPr="00C41B78">
        <w:rPr>
          <w:rFonts w:ascii="Arial" w:hAnsi="Arial" w:cs="Arial"/>
          <w:sz w:val="22"/>
          <w:szCs w:val="22"/>
        </w:rPr>
        <w:t>In the automotive industry, the process of managing a product recall is critical to ensuring consumer safety, maintaining brand integrity, and minimi</w:t>
      </w:r>
      <w:r w:rsidR="00234866" w:rsidRPr="00C41B78">
        <w:rPr>
          <w:rFonts w:ascii="Arial" w:hAnsi="Arial" w:cs="Arial"/>
          <w:sz w:val="22"/>
          <w:szCs w:val="22"/>
        </w:rPr>
        <w:t>s</w:t>
      </w:r>
      <w:r w:rsidRPr="00C41B78">
        <w:rPr>
          <w:rFonts w:ascii="Arial" w:hAnsi="Arial" w:cs="Arial"/>
          <w:sz w:val="22"/>
          <w:szCs w:val="22"/>
        </w:rPr>
        <w:t>ing financial losses. A structured approach to product recalls can help manufacturers effectively navigate the complexities associated with such events. The following outlines a suitable process that can be followed in the event of a product recall in the automotive sector.</w:t>
      </w:r>
    </w:p>
    <w:p w14:paraId="5B9E8C3B" w14:textId="77777777" w:rsidR="009F6216" w:rsidRPr="00C41B78" w:rsidRDefault="009F6216" w:rsidP="00C7495D">
      <w:pPr>
        <w:spacing w:line="360" w:lineRule="auto"/>
        <w:rPr>
          <w:rFonts w:ascii="Arial" w:hAnsi="Arial" w:cs="Arial"/>
          <w:sz w:val="22"/>
          <w:szCs w:val="22"/>
        </w:rPr>
      </w:pPr>
    </w:p>
    <w:p w14:paraId="6C76A732" w14:textId="3AD08444" w:rsidR="009F6216" w:rsidRPr="00C41B78" w:rsidRDefault="009F6216" w:rsidP="00C7495D">
      <w:pPr>
        <w:spacing w:line="360" w:lineRule="auto"/>
        <w:rPr>
          <w:rFonts w:ascii="Arial" w:hAnsi="Arial" w:cs="Arial"/>
          <w:b/>
          <w:bCs/>
          <w:sz w:val="22"/>
          <w:szCs w:val="22"/>
        </w:rPr>
      </w:pPr>
      <w:r w:rsidRPr="00C41B78">
        <w:rPr>
          <w:rFonts w:ascii="Arial" w:hAnsi="Arial" w:cs="Arial"/>
          <w:b/>
          <w:bCs/>
          <w:sz w:val="22"/>
          <w:szCs w:val="22"/>
        </w:rPr>
        <w:t xml:space="preserve"> Identification and Assessment of the Issue</w:t>
      </w:r>
    </w:p>
    <w:p w14:paraId="1EF91B5B" w14:textId="7DCED43F" w:rsidR="009F6216" w:rsidRPr="00C41B78" w:rsidRDefault="009F6216" w:rsidP="00C7495D">
      <w:pPr>
        <w:spacing w:line="360" w:lineRule="auto"/>
        <w:rPr>
          <w:rFonts w:ascii="Arial" w:hAnsi="Arial" w:cs="Arial"/>
          <w:sz w:val="22"/>
          <w:szCs w:val="22"/>
        </w:rPr>
      </w:pPr>
      <w:r w:rsidRPr="00C41B78">
        <w:rPr>
          <w:rFonts w:ascii="Arial" w:hAnsi="Arial" w:cs="Arial"/>
          <w:sz w:val="22"/>
          <w:szCs w:val="22"/>
        </w:rPr>
        <w:t>The first step in the recall process is the identification of a potential defect or safety issue. This can arise from various sources, including consumer complaints, warranty claims, or internal quality control checks. Once a potential issue is identified, it is essential to conduct a thorough assessment to determine the severity and scope of the defect (Ahsan &amp; Gunawan, 2014), Ahsan, 2013). T</w:t>
      </w:r>
      <w:r w:rsidR="00B905FA">
        <w:rPr>
          <w:rFonts w:ascii="Arial" w:hAnsi="Arial" w:cs="Arial"/>
          <w:sz w:val="22"/>
          <w:szCs w:val="22"/>
        </w:rPr>
        <w:t>hey furthermore add that the</w:t>
      </w:r>
      <w:r w:rsidRPr="00C41B78">
        <w:rPr>
          <w:rFonts w:ascii="Arial" w:hAnsi="Arial" w:cs="Arial"/>
          <w:sz w:val="22"/>
          <w:szCs w:val="22"/>
        </w:rPr>
        <w:t xml:space="preserve"> assessment should include an analysis of the affected components, the potential risks to consumers, and the number of vehicles impacted.</w:t>
      </w:r>
    </w:p>
    <w:p w14:paraId="559B4501" w14:textId="77777777" w:rsidR="009F6216" w:rsidRPr="00C41B78" w:rsidRDefault="009F6216" w:rsidP="00C7495D">
      <w:pPr>
        <w:spacing w:line="360" w:lineRule="auto"/>
        <w:rPr>
          <w:rFonts w:ascii="Arial" w:hAnsi="Arial" w:cs="Arial"/>
          <w:sz w:val="22"/>
          <w:szCs w:val="22"/>
        </w:rPr>
      </w:pPr>
    </w:p>
    <w:p w14:paraId="40B31420" w14:textId="7FB45A40" w:rsidR="009F6216" w:rsidRPr="00C41B78" w:rsidRDefault="009F6216" w:rsidP="00C7495D">
      <w:pPr>
        <w:spacing w:line="360" w:lineRule="auto"/>
        <w:rPr>
          <w:rFonts w:ascii="Arial" w:hAnsi="Arial" w:cs="Arial"/>
          <w:b/>
          <w:bCs/>
          <w:sz w:val="22"/>
          <w:szCs w:val="22"/>
        </w:rPr>
      </w:pPr>
      <w:r w:rsidRPr="00C41B78">
        <w:rPr>
          <w:rFonts w:ascii="Arial" w:hAnsi="Arial" w:cs="Arial"/>
          <w:b/>
          <w:bCs/>
          <w:sz w:val="22"/>
          <w:szCs w:val="22"/>
        </w:rPr>
        <w:t xml:space="preserve"> Decision to Recall</w:t>
      </w:r>
    </w:p>
    <w:p w14:paraId="3117E485" w14:textId="768A7D3F" w:rsidR="009F6216" w:rsidRPr="00C41B78" w:rsidRDefault="009F6216" w:rsidP="00C7495D">
      <w:pPr>
        <w:spacing w:line="360" w:lineRule="auto"/>
        <w:rPr>
          <w:rFonts w:ascii="Arial" w:hAnsi="Arial" w:cs="Arial"/>
          <w:sz w:val="22"/>
          <w:szCs w:val="22"/>
        </w:rPr>
      </w:pPr>
      <w:r w:rsidRPr="00C41B78">
        <w:rPr>
          <w:rFonts w:ascii="Arial" w:hAnsi="Arial" w:cs="Arial"/>
          <w:sz w:val="22"/>
          <w:szCs w:val="22"/>
        </w:rPr>
        <w:t xml:space="preserve">After assessing the issue, the decision to initiate a recall must be made promptly. This decision should involve key stakeholders, including engineering, legal, and marketing teams, to ensure that all aspects of the recall are considered (Nassar et al., </w:t>
      </w:r>
      <w:r w:rsidR="00F924E9" w:rsidRPr="00C41B78">
        <w:rPr>
          <w:rFonts w:ascii="Arial" w:hAnsi="Arial" w:cs="Arial"/>
          <w:sz w:val="22"/>
          <w:szCs w:val="22"/>
        </w:rPr>
        <w:t>2019;</w:t>
      </w:r>
      <w:r w:rsidRPr="00C41B78">
        <w:rPr>
          <w:rFonts w:ascii="Arial" w:hAnsi="Arial" w:cs="Arial"/>
          <w:sz w:val="22"/>
          <w:szCs w:val="22"/>
        </w:rPr>
        <w:t xml:space="preserve"> Ni &amp; Huang, 2017). The decision should also </w:t>
      </w:r>
      <w:r w:rsidR="00F924E9" w:rsidRPr="00C41B78">
        <w:rPr>
          <w:rFonts w:ascii="Arial" w:hAnsi="Arial" w:cs="Arial"/>
          <w:sz w:val="22"/>
          <w:szCs w:val="22"/>
        </w:rPr>
        <w:t>consider</w:t>
      </w:r>
      <w:r w:rsidRPr="00C41B78">
        <w:rPr>
          <w:rFonts w:ascii="Arial" w:hAnsi="Arial" w:cs="Arial"/>
          <w:sz w:val="22"/>
          <w:szCs w:val="22"/>
        </w:rPr>
        <w:t xml:space="preserve"> regulatory requirements, as automotive manufacturers are legally obligated to report safety defects to the National Highway Traffic Safety Administration (NHTSA) in the United States (Ahsan, 2013).</w:t>
      </w:r>
    </w:p>
    <w:p w14:paraId="7CA6946F" w14:textId="77777777" w:rsidR="009F6216" w:rsidRPr="00C41B78" w:rsidRDefault="009F6216" w:rsidP="00C7495D">
      <w:pPr>
        <w:spacing w:line="360" w:lineRule="auto"/>
        <w:rPr>
          <w:rFonts w:ascii="Arial" w:hAnsi="Arial" w:cs="Arial"/>
          <w:sz w:val="22"/>
          <w:szCs w:val="22"/>
        </w:rPr>
      </w:pPr>
    </w:p>
    <w:p w14:paraId="1D996987" w14:textId="111C08EE" w:rsidR="009F6216" w:rsidRPr="00C41B78" w:rsidRDefault="009F6216" w:rsidP="00C7495D">
      <w:pPr>
        <w:spacing w:line="360" w:lineRule="auto"/>
        <w:rPr>
          <w:rFonts w:ascii="Arial" w:hAnsi="Arial" w:cs="Arial"/>
          <w:b/>
          <w:bCs/>
          <w:sz w:val="22"/>
          <w:szCs w:val="22"/>
        </w:rPr>
      </w:pPr>
      <w:r w:rsidRPr="00C41B78">
        <w:rPr>
          <w:rFonts w:ascii="Arial" w:hAnsi="Arial" w:cs="Arial"/>
          <w:b/>
          <w:bCs/>
          <w:sz w:val="22"/>
          <w:szCs w:val="22"/>
        </w:rPr>
        <w:t>Development of a Recall Strategy</w:t>
      </w:r>
    </w:p>
    <w:p w14:paraId="2172159E" w14:textId="77777777" w:rsidR="009F6216" w:rsidRPr="00C41B78" w:rsidRDefault="009F6216" w:rsidP="00C7495D">
      <w:pPr>
        <w:spacing w:line="360" w:lineRule="auto"/>
        <w:rPr>
          <w:rFonts w:ascii="Arial" w:hAnsi="Arial" w:cs="Arial"/>
          <w:sz w:val="22"/>
          <w:szCs w:val="22"/>
        </w:rPr>
      </w:pPr>
      <w:r w:rsidRPr="00C41B78">
        <w:rPr>
          <w:rFonts w:ascii="Arial" w:hAnsi="Arial" w:cs="Arial"/>
          <w:sz w:val="22"/>
          <w:szCs w:val="22"/>
        </w:rPr>
        <w:t>Once the decision to recall is made, a comprehensive recall strategy must be developed. This strategy should outline the logistics of the recall, including how affected vehicles will be identified, how consumers will be notified, and what remedies will be offered (Teplická et al., 2023). Effective communication is crucial during this phase, as it helps to manage consumer expectations and maintain trust in the brand (Ni et al., 2023).</w:t>
      </w:r>
    </w:p>
    <w:p w14:paraId="30B4235E" w14:textId="77777777" w:rsidR="009F6216" w:rsidRPr="00C41B78" w:rsidRDefault="009F6216" w:rsidP="00C7495D">
      <w:pPr>
        <w:spacing w:line="360" w:lineRule="auto"/>
        <w:rPr>
          <w:rFonts w:ascii="Arial" w:hAnsi="Arial" w:cs="Arial"/>
          <w:sz w:val="22"/>
          <w:szCs w:val="22"/>
        </w:rPr>
      </w:pPr>
    </w:p>
    <w:p w14:paraId="78320090" w14:textId="77777777" w:rsidR="00CD4813" w:rsidRPr="00C41B78" w:rsidRDefault="00CD4813" w:rsidP="00C7495D">
      <w:pPr>
        <w:spacing w:line="360" w:lineRule="auto"/>
        <w:rPr>
          <w:rFonts w:ascii="Arial" w:hAnsi="Arial" w:cs="Arial"/>
          <w:b/>
          <w:bCs/>
          <w:sz w:val="22"/>
          <w:szCs w:val="22"/>
        </w:rPr>
      </w:pPr>
    </w:p>
    <w:p w14:paraId="604C7052" w14:textId="77777777" w:rsidR="00CD4813" w:rsidRPr="00C41B78" w:rsidRDefault="00CD4813" w:rsidP="00C7495D">
      <w:pPr>
        <w:spacing w:line="360" w:lineRule="auto"/>
        <w:rPr>
          <w:rFonts w:ascii="Arial" w:hAnsi="Arial" w:cs="Arial"/>
          <w:b/>
          <w:bCs/>
          <w:sz w:val="22"/>
          <w:szCs w:val="22"/>
        </w:rPr>
      </w:pPr>
    </w:p>
    <w:p w14:paraId="09BDA63E" w14:textId="1F90EE78" w:rsidR="009F6216" w:rsidRPr="00C41B78" w:rsidRDefault="009F6216" w:rsidP="00C7495D">
      <w:pPr>
        <w:spacing w:line="360" w:lineRule="auto"/>
        <w:rPr>
          <w:rFonts w:ascii="Arial" w:hAnsi="Arial" w:cs="Arial"/>
          <w:b/>
          <w:bCs/>
          <w:sz w:val="22"/>
          <w:szCs w:val="22"/>
        </w:rPr>
      </w:pPr>
      <w:r w:rsidRPr="00C41B78">
        <w:rPr>
          <w:rFonts w:ascii="Arial" w:hAnsi="Arial" w:cs="Arial"/>
          <w:b/>
          <w:bCs/>
          <w:sz w:val="22"/>
          <w:szCs w:val="22"/>
        </w:rPr>
        <w:t>Communication and Notification</w:t>
      </w:r>
    </w:p>
    <w:p w14:paraId="4B9F4AE0" w14:textId="7DC4E0B1" w:rsidR="009F6216" w:rsidRPr="00C41B78" w:rsidRDefault="009F6216" w:rsidP="00C7495D">
      <w:pPr>
        <w:spacing w:line="360" w:lineRule="auto"/>
        <w:rPr>
          <w:rFonts w:ascii="Arial" w:hAnsi="Arial" w:cs="Arial"/>
          <w:sz w:val="22"/>
          <w:szCs w:val="22"/>
        </w:rPr>
      </w:pPr>
      <w:r w:rsidRPr="00C41B78">
        <w:rPr>
          <w:rFonts w:ascii="Arial" w:hAnsi="Arial" w:cs="Arial"/>
          <w:sz w:val="22"/>
          <w:szCs w:val="22"/>
        </w:rPr>
        <w:t>The next step involves notifying affected consumers and stakeholders. This can be done through various channels, including direct mail, email, and public announcements. The communication should clearly explain the nature of the defect, the potential risks, and the steps consumers should take</w:t>
      </w:r>
      <w:r w:rsidR="00B905FA">
        <w:rPr>
          <w:rFonts w:ascii="Arial" w:hAnsi="Arial" w:cs="Arial"/>
          <w:sz w:val="22"/>
          <w:szCs w:val="22"/>
        </w:rPr>
        <w:t xml:space="preserve"> going forward</w:t>
      </w:r>
      <w:r w:rsidRPr="00C41B78">
        <w:rPr>
          <w:rFonts w:ascii="Arial" w:hAnsi="Arial" w:cs="Arial"/>
          <w:sz w:val="22"/>
          <w:szCs w:val="22"/>
        </w:rPr>
        <w:t xml:space="preserve"> (Mafael et al., </w:t>
      </w:r>
      <w:r w:rsidR="00F924E9" w:rsidRPr="00C41B78">
        <w:rPr>
          <w:rFonts w:ascii="Arial" w:hAnsi="Arial" w:cs="Arial"/>
          <w:sz w:val="22"/>
          <w:szCs w:val="22"/>
        </w:rPr>
        <w:t>2021;</w:t>
      </w:r>
      <w:r w:rsidRPr="00C41B78">
        <w:rPr>
          <w:rFonts w:ascii="Arial" w:hAnsi="Arial" w:cs="Arial"/>
          <w:sz w:val="22"/>
          <w:szCs w:val="22"/>
        </w:rPr>
        <w:t xml:space="preserve"> Borah &amp; Tellis, 2016). </w:t>
      </w:r>
    </w:p>
    <w:p w14:paraId="39084F9D" w14:textId="77777777" w:rsidR="009F6216" w:rsidRPr="00C41B78" w:rsidRDefault="009F6216" w:rsidP="00C7495D">
      <w:pPr>
        <w:spacing w:line="360" w:lineRule="auto"/>
        <w:rPr>
          <w:rFonts w:ascii="Arial" w:hAnsi="Arial" w:cs="Arial"/>
          <w:sz w:val="22"/>
          <w:szCs w:val="22"/>
        </w:rPr>
      </w:pPr>
    </w:p>
    <w:p w14:paraId="0EE30484" w14:textId="5F8FFF9D" w:rsidR="009F6216" w:rsidRPr="00C41B78" w:rsidRDefault="009F6216" w:rsidP="00C7495D">
      <w:pPr>
        <w:spacing w:line="360" w:lineRule="auto"/>
        <w:rPr>
          <w:rFonts w:ascii="Arial" w:hAnsi="Arial" w:cs="Arial"/>
          <w:b/>
          <w:bCs/>
          <w:sz w:val="22"/>
          <w:szCs w:val="22"/>
        </w:rPr>
      </w:pPr>
      <w:r w:rsidRPr="00C41B78">
        <w:rPr>
          <w:rFonts w:ascii="Arial" w:hAnsi="Arial" w:cs="Arial"/>
          <w:b/>
          <w:bCs/>
          <w:sz w:val="22"/>
          <w:szCs w:val="22"/>
        </w:rPr>
        <w:t xml:space="preserve"> Execution of the Recall</w:t>
      </w:r>
    </w:p>
    <w:p w14:paraId="3631048F" w14:textId="4C64F151" w:rsidR="009F6216" w:rsidRPr="00C41B78" w:rsidRDefault="009F6216" w:rsidP="00C7495D">
      <w:pPr>
        <w:spacing w:line="360" w:lineRule="auto"/>
        <w:rPr>
          <w:rFonts w:ascii="Arial" w:hAnsi="Arial" w:cs="Arial"/>
          <w:sz w:val="22"/>
          <w:szCs w:val="22"/>
        </w:rPr>
      </w:pPr>
      <w:r w:rsidRPr="00C41B78">
        <w:rPr>
          <w:rFonts w:ascii="Arial" w:hAnsi="Arial" w:cs="Arial"/>
          <w:sz w:val="22"/>
          <w:szCs w:val="22"/>
        </w:rPr>
        <w:t>The execution phase involves implementing the recall strategy. This includes coordinating with dealerships to ensure they are prepared to handle the influx of affected vehicles, managing logistics for parts replacement or repairs, and ensuring that all safety measures are in place (Vanichchinchai, 2022). It is also important to monitor the recall process closely to address any issues that may arise during execution</w:t>
      </w:r>
      <w:r w:rsidR="00B905FA">
        <w:rPr>
          <w:rFonts w:ascii="Arial" w:hAnsi="Arial" w:cs="Arial"/>
          <w:sz w:val="22"/>
          <w:szCs w:val="22"/>
        </w:rPr>
        <w:t xml:space="preserve"> </w:t>
      </w:r>
      <w:r w:rsidR="00B905FA" w:rsidRPr="00C41B78">
        <w:rPr>
          <w:rFonts w:ascii="Arial" w:hAnsi="Arial" w:cs="Arial"/>
          <w:sz w:val="22"/>
          <w:szCs w:val="22"/>
        </w:rPr>
        <w:t>(Vanichchinchai, 2022).</w:t>
      </w:r>
    </w:p>
    <w:p w14:paraId="1188BC2B" w14:textId="77777777" w:rsidR="009F6216" w:rsidRPr="00C41B78" w:rsidRDefault="009F6216" w:rsidP="00C7495D">
      <w:pPr>
        <w:spacing w:line="360" w:lineRule="auto"/>
        <w:rPr>
          <w:rFonts w:ascii="Arial" w:hAnsi="Arial" w:cs="Arial"/>
          <w:sz w:val="22"/>
          <w:szCs w:val="22"/>
        </w:rPr>
      </w:pPr>
    </w:p>
    <w:p w14:paraId="45A76568" w14:textId="763F56D0" w:rsidR="009F6216" w:rsidRPr="00C41B78" w:rsidRDefault="009F6216" w:rsidP="00C7495D">
      <w:pPr>
        <w:spacing w:line="360" w:lineRule="auto"/>
        <w:rPr>
          <w:rFonts w:ascii="Arial" w:hAnsi="Arial" w:cs="Arial"/>
          <w:b/>
          <w:bCs/>
          <w:sz w:val="22"/>
          <w:szCs w:val="22"/>
        </w:rPr>
      </w:pPr>
      <w:r w:rsidRPr="00C41B78">
        <w:rPr>
          <w:rFonts w:ascii="Arial" w:hAnsi="Arial" w:cs="Arial"/>
          <w:b/>
          <w:bCs/>
          <w:sz w:val="22"/>
          <w:szCs w:val="22"/>
        </w:rPr>
        <w:t xml:space="preserve"> Post-Recall Evaluation</w:t>
      </w:r>
    </w:p>
    <w:p w14:paraId="41EA31EE" w14:textId="3DE8749B" w:rsidR="009F6216" w:rsidRPr="00C41B78" w:rsidRDefault="009F6216" w:rsidP="00C7495D">
      <w:pPr>
        <w:spacing w:line="360" w:lineRule="auto"/>
        <w:rPr>
          <w:rFonts w:ascii="Arial" w:hAnsi="Arial" w:cs="Arial"/>
          <w:sz w:val="22"/>
          <w:szCs w:val="22"/>
        </w:rPr>
      </w:pPr>
      <w:r w:rsidRPr="00C41B78">
        <w:rPr>
          <w:rFonts w:ascii="Arial" w:hAnsi="Arial" w:cs="Arial"/>
          <w:sz w:val="22"/>
          <w:szCs w:val="22"/>
        </w:rPr>
        <w:t xml:space="preserve">After the recall has been executed, a thorough evaluation should be conducted to assess the effectiveness of the recall process. This evaluation should consider consumer feedback, the efficiency of the logistics, and the overall impact on brand reputation (Ni et al., 2023). Insights gained from this evaluation can inform future recall strategies and improve overall quality management practices within the </w:t>
      </w:r>
      <w:r w:rsidR="00BC5732" w:rsidRPr="00C41B78">
        <w:rPr>
          <w:rFonts w:ascii="Arial" w:hAnsi="Arial" w:cs="Arial"/>
          <w:sz w:val="22"/>
          <w:szCs w:val="22"/>
        </w:rPr>
        <w:t>organisation</w:t>
      </w:r>
      <w:r w:rsidRPr="00C41B78">
        <w:rPr>
          <w:rFonts w:ascii="Arial" w:hAnsi="Arial" w:cs="Arial"/>
          <w:sz w:val="22"/>
          <w:szCs w:val="22"/>
        </w:rPr>
        <w:t xml:space="preserve"> (Ahsan &amp; Gunawan, 2014).</w:t>
      </w:r>
    </w:p>
    <w:p w14:paraId="508A478F" w14:textId="77777777" w:rsidR="009F6216" w:rsidRPr="00C41B78" w:rsidRDefault="009F6216" w:rsidP="00C7495D">
      <w:pPr>
        <w:spacing w:line="360" w:lineRule="auto"/>
        <w:rPr>
          <w:rFonts w:ascii="Arial" w:hAnsi="Arial" w:cs="Arial"/>
          <w:sz w:val="22"/>
          <w:szCs w:val="22"/>
        </w:rPr>
      </w:pPr>
    </w:p>
    <w:p w14:paraId="63E81974" w14:textId="48CE2432" w:rsidR="009F6216" w:rsidRPr="00C41B78" w:rsidRDefault="009F6216" w:rsidP="00C7495D">
      <w:pPr>
        <w:spacing w:line="360" w:lineRule="auto"/>
        <w:rPr>
          <w:rFonts w:ascii="Arial" w:hAnsi="Arial" w:cs="Arial"/>
          <w:b/>
          <w:bCs/>
          <w:sz w:val="22"/>
          <w:szCs w:val="22"/>
        </w:rPr>
      </w:pPr>
      <w:r w:rsidRPr="00C41B78">
        <w:rPr>
          <w:rFonts w:ascii="Arial" w:hAnsi="Arial" w:cs="Arial"/>
          <w:b/>
          <w:bCs/>
          <w:sz w:val="22"/>
          <w:szCs w:val="22"/>
        </w:rPr>
        <w:t xml:space="preserve"> Continuous Improvement</w:t>
      </w:r>
    </w:p>
    <w:p w14:paraId="5A25758B" w14:textId="484FB38E" w:rsidR="009F6216" w:rsidRPr="00C41B78" w:rsidRDefault="009F6216" w:rsidP="00C7495D">
      <w:pPr>
        <w:spacing w:line="360" w:lineRule="auto"/>
        <w:rPr>
          <w:rFonts w:ascii="Arial" w:hAnsi="Arial" w:cs="Arial"/>
          <w:sz w:val="22"/>
          <w:szCs w:val="22"/>
        </w:rPr>
      </w:pPr>
      <w:r w:rsidRPr="00C41B78">
        <w:rPr>
          <w:rFonts w:ascii="Arial" w:hAnsi="Arial" w:cs="Arial"/>
          <w:sz w:val="22"/>
          <w:szCs w:val="22"/>
        </w:rPr>
        <w:t>Finally, the lessons learned from the recall process should be integrated into the company's quality management systems. This may involve revising design processes, enhancing quality control measures, and implementing new technologies for better traceability and risk management</w:t>
      </w:r>
      <w:r w:rsidR="005D3E36">
        <w:rPr>
          <w:rFonts w:ascii="Arial" w:hAnsi="Arial" w:cs="Arial"/>
          <w:sz w:val="22"/>
          <w:szCs w:val="22"/>
        </w:rPr>
        <w:t xml:space="preserve">. </w:t>
      </w:r>
      <w:r w:rsidR="005D3E36" w:rsidRPr="00C41B78">
        <w:rPr>
          <w:rFonts w:ascii="Arial" w:hAnsi="Arial" w:cs="Arial"/>
          <w:sz w:val="22"/>
          <w:szCs w:val="22"/>
        </w:rPr>
        <w:t>Continuous improvement is essential to reduce the likelihood of future recalls and enhance overall product safety</w:t>
      </w:r>
      <w:r w:rsidRPr="00C41B78">
        <w:rPr>
          <w:rFonts w:ascii="Arial" w:hAnsi="Arial" w:cs="Arial"/>
          <w:sz w:val="22"/>
          <w:szCs w:val="22"/>
        </w:rPr>
        <w:t xml:space="preserve"> (Prashar &amp; Aggarwal, 2019)</w:t>
      </w:r>
    </w:p>
    <w:p w14:paraId="6A1B3FBE" w14:textId="77777777" w:rsidR="009F6216" w:rsidRPr="00C41B78" w:rsidRDefault="009F6216" w:rsidP="00C7495D">
      <w:pPr>
        <w:spacing w:line="360" w:lineRule="auto"/>
        <w:rPr>
          <w:rFonts w:ascii="Arial" w:hAnsi="Arial" w:cs="Arial"/>
          <w:sz w:val="22"/>
          <w:szCs w:val="22"/>
        </w:rPr>
      </w:pPr>
    </w:p>
    <w:p w14:paraId="4A68A03D" w14:textId="6F7DEC21" w:rsidR="005F4C70" w:rsidRDefault="009F6216" w:rsidP="00C7495D">
      <w:pPr>
        <w:spacing w:line="360" w:lineRule="auto"/>
        <w:rPr>
          <w:rFonts w:ascii="Arial" w:hAnsi="Arial" w:cs="Arial"/>
          <w:sz w:val="22"/>
          <w:szCs w:val="22"/>
        </w:rPr>
      </w:pPr>
      <w:r w:rsidRPr="00C41B78">
        <w:rPr>
          <w:rFonts w:ascii="Arial" w:hAnsi="Arial" w:cs="Arial"/>
          <w:sz w:val="22"/>
          <w:szCs w:val="22"/>
        </w:rPr>
        <w:lastRenderedPageBreak/>
        <w:t>In summary, a structured approach to managing product recalls in the automotive industry is essential for ensuring consumer safety and maintaining brand integrity. By following a systematic process that includes identification, assessment, decision-making, strategy development, communication, execution, evaluation, and continuous improvement, automotive manufacturers can effectively navigate the challenges associated with product recalls.</w:t>
      </w:r>
    </w:p>
    <w:p w14:paraId="1F719DE0" w14:textId="77777777" w:rsidR="003520A1" w:rsidRDefault="003520A1" w:rsidP="00C7495D">
      <w:pPr>
        <w:spacing w:line="360" w:lineRule="auto"/>
        <w:rPr>
          <w:rFonts w:ascii="Arial" w:hAnsi="Arial" w:cs="Arial"/>
          <w:sz w:val="22"/>
          <w:szCs w:val="22"/>
        </w:rPr>
      </w:pPr>
    </w:p>
    <w:p w14:paraId="11E8BF8E" w14:textId="77777777" w:rsidR="003520A1" w:rsidRDefault="003520A1" w:rsidP="00C7495D">
      <w:pPr>
        <w:spacing w:line="360" w:lineRule="auto"/>
        <w:rPr>
          <w:rFonts w:ascii="Arial" w:hAnsi="Arial" w:cs="Arial"/>
          <w:sz w:val="22"/>
          <w:szCs w:val="22"/>
        </w:rPr>
      </w:pPr>
    </w:p>
    <w:p w14:paraId="7A5B0367" w14:textId="77777777" w:rsidR="003520A1" w:rsidRDefault="003520A1" w:rsidP="00C7495D">
      <w:pPr>
        <w:spacing w:line="360" w:lineRule="auto"/>
        <w:rPr>
          <w:rFonts w:ascii="Arial" w:hAnsi="Arial" w:cs="Arial"/>
          <w:sz w:val="22"/>
          <w:szCs w:val="22"/>
        </w:rPr>
      </w:pPr>
    </w:p>
    <w:p w14:paraId="2F900B1D" w14:textId="77777777" w:rsidR="003520A1" w:rsidRDefault="003520A1" w:rsidP="00C7495D">
      <w:pPr>
        <w:spacing w:line="360" w:lineRule="auto"/>
        <w:rPr>
          <w:rFonts w:ascii="Arial" w:hAnsi="Arial" w:cs="Arial"/>
          <w:sz w:val="22"/>
          <w:szCs w:val="22"/>
        </w:rPr>
      </w:pPr>
    </w:p>
    <w:p w14:paraId="602C69B4" w14:textId="77777777" w:rsidR="003520A1" w:rsidRDefault="003520A1" w:rsidP="00C7495D">
      <w:pPr>
        <w:spacing w:line="360" w:lineRule="auto"/>
        <w:rPr>
          <w:rFonts w:ascii="Arial" w:hAnsi="Arial" w:cs="Arial"/>
          <w:sz w:val="22"/>
          <w:szCs w:val="22"/>
        </w:rPr>
      </w:pPr>
    </w:p>
    <w:p w14:paraId="1F2A069C" w14:textId="77777777" w:rsidR="003520A1" w:rsidRDefault="003520A1" w:rsidP="00C7495D">
      <w:pPr>
        <w:spacing w:line="360" w:lineRule="auto"/>
        <w:rPr>
          <w:rFonts w:ascii="Arial" w:hAnsi="Arial" w:cs="Arial"/>
          <w:sz w:val="22"/>
          <w:szCs w:val="22"/>
        </w:rPr>
      </w:pPr>
    </w:p>
    <w:p w14:paraId="557AE43D" w14:textId="77777777" w:rsidR="003520A1" w:rsidRDefault="003520A1" w:rsidP="00C7495D">
      <w:pPr>
        <w:spacing w:line="360" w:lineRule="auto"/>
        <w:rPr>
          <w:rFonts w:ascii="Arial" w:hAnsi="Arial" w:cs="Arial"/>
          <w:sz w:val="22"/>
          <w:szCs w:val="22"/>
        </w:rPr>
      </w:pPr>
    </w:p>
    <w:p w14:paraId="31208C40" w14:textId="77777777" w:rsidR="003520A1" w:rsidRDefault="003520A1" w:rsidP="00C7495D">
      <w:pPr>
        <w:spacing w:line="360" w:lineRule="auto"/>
        <w:rPr>
          <w:rFonts w:ascii="Arial" w:hAnsi="Arial" w:cs="Arial"/>
          <w:sz w:val="22"/>
          <w:szCs w:val="22"/>
        </w:rPr>
      </w:pPr>
    </w:p>
    <w:p w14:paraId="2717B810" w14:textId="77777777" w:rsidR="003520A1" w:rsidRDefault="003520A1" w:rsidP="00C7495D">
      <w:pPr>
        <w:spacing w:line="360" w:lineRule="auto"/>
        <w:rPr>
          <w:rFonts w:ascii="Arial" w:hAnsi="Arial" w:cs="Arial"/>
          <w:sz w:val="22"/>
          <w:szCs w:val="22"/>
        </w:rPr>
      </w:pPr>
    </w:p>
    <w:p w14:paraId="6997204C" w14:textId="77777777" w:rsidR="003520A1" w:rsidRDefault="003520A1" w:rsidP="00C7495D">
      <w:pPr>
        <w:spacing w:line="360" w:lineRule="auto"/>
        <w:rPr>
          <w:rFonts w:ascii="Arial" w:hAnsi="Arial" w:cs="Arial"/>
          <w:sz w:val="22"/>
          <w:szCs w:val="22"/>
        </w:rPr>
      </w:pPr>
    </w:p>
    <w:p w14:paraId="180F5F4B" w14:textId="77777777" w:rsidR="003520A1" w:rsidRDefault="003520A1" w:rsidP="00C7495D">
      <w:pPr>
        <w:spacing w:line="360" w:lineRule="auto"/>
        <w:rPr>
          <w:rFonts w:ascii="Arial" w:hAnsi="Arial" w:cs="Arial"/>
          <w:sz w:val="22"/>
          <w:szCs w:val="22"/>
        </w:rPr>
      </w:pPr>
    </w:p>
    <w:p w14:paraId="1B8675CB" w14:textId="77777777" w:rsidR="003520A1" w:rsidRDefault="003520A1" w:rsidP="00C7495D">
      <w:pPr>
        <w:spacing w:line="360" w:lineRule="auto"/>
        <w:rPr>
          <w:rFonts w:ascii="Arial" w:hAnsi="Arial" w:cs="Arial"/>
          <w:sz w:val="22"/>
          <w:szCs w:val="22"/>
        </w:rPr>
      </w:pPr>
    </w:p>
    <w:p w14:paraId="17AAC372" w14:textId="77777777" w:rsidR="003520A1" w:rsidRDefault="003520A1" w:rsidP="00C7495D">
      <w:pPr>
        <w:spacing w:line="360" w:lineRule="auto"/>
        <w:rPr>
          <w:rFonts w:ascii="Arial" w:hAnsi="Arial" w:cs="Arial"/>
          <w:sz w:val="22"/>
          <w:szCs w:val="22"/>
        </w:rPr>
      </w:pPr>
    </w:p>
    <w:p w14:paraId="7E644B5E" w14:textId="77777777" w:rsidR="003520A1" w:rsidRDefault="003520A1" w:rsidP="00C7495D">
      <w:pPr>
        <w:spacing w:line="360" w:lineRule="auto"/>
        <w:rPr>
          <w:rFonts w:ascii="Arial" w:hAnsi="Arial" w:cs="Arial"/>
          <w:sz w:val="22"/>
          <w:szCs w:val="22"/>
        </w:rPr>
      </w:pPr>
    </w:p>
    <w:p w14:paraId="76A33EA5" w14:textId="77777777" w:rsidR="003520A1" w:rsidRDefault="003520A1" w:rsidP="00C7495D">
      <w:pPr>
        <w:spacing w:line="360" w:lineRule="auto"/>
        <w:rPr>
          <w:rFonts w:ascii="Arial" w:hAnsi="Arial" w:cs="Arial"/>
          <w:sz w:val="22"/>
          <w:szCs w:val="22"/>
        </w:rPr>
      </w:pPr>
    </w:p>
    <w:p w14:paraId="24C5E096" w14:textId="77777777" w:rsidR="003520A1" w:rsidRDefault="003520A1" w:rsidP="00C7495D">
      <w:pPr>
        <w:spacing w:line="360" w:lineRule="auto"/>
        <w:rPr>
          <w:rFonts w:ascii="Arial" w:hAnsi="Arial" w:cs="Arial"/>
          <w:sz w:val="22"/>
          <w:szCs w:val="22"/>
        </w:rPr>
      </w:pPr>
    </w:p>
    <w:p w14:paraId="6ECE3080" w14:textId="77777777" w:rsidR="003520A1" w:rsidRDefault="003520A1" w:rsidP="00C7495D">
      <w:pPr>
        <w:spacing w:line="360" w:lineRule="auto"/>
        <w:rPr>
          <w:rFonts w:ascii="Arial" w:hAnsi="Arial" w:cs="Arial"/>
          <w:sz w:val="22"/>
          <w:szCs w:val="22"/>
        </w:rPr>
      </w:pPr>
    </w:p>
    <w:p w14:paraId="237567ED" w14:textId="77777777" w:rsidR="003520A1" w:rsidRDefault="003520A1" w:rsidP="00C7495D">
      <w:pPr>
        <w:spacing w:line="360" w:lineRule="auto"/>
        <w:rPr>
          <w:rFonts w:ascii="Arial" w:hAnsi="Arial" w:cs="Arial"/>
          <w:sz w:val="22"/>
          <w:szCs w:val="22"/>
        </w:rPr>
      </w:pPr>
    </w:p>
    <w:p w14:paraId="2382AD52" w14:textId="77777777" w:rsidR="003520A1" w:rsidRDefault="003520A1" w:rsidP="00C7495D">
      <w:pPr>
        <w:spacing w:line="360" w:lineRule="auto"/>
        <w:rPr>
          <w:rFonts w:ascii="Arial" w:hAnsi="Arial" w:cs="Arial"/>
          <w:sz w:val="22"/>
          <w:szCs w:val="22"/>
        </w:rPr>
      </w:pPr>
    </w:p>
    <w:p w14:paraId="36E5A9A7" w14:textId="77777777" w:rsidR="003520A1" w:rsidRPr="00C41B78" w:rsidRDefault="003520A1" w:rsidP="00C7495D">
      <w:pPr>
        <w:spacing w:line="360" w:lineRule="auto"/>
        <w:rPr>
          <w:rFonts w:ascii="Arial" w:hAnsi="Arial" w:cs="Arial"/>
          <w:sz w:val="22"/>
          <w:szCs w:val="22"/>
        </w:rPr>
      </w:pPr>
    </w:p>
    <w:p w14:paraId="3EB366CE" w14:textId="3134FC23" w:rsidR="005F4C70" w:rsidRPr="00CF4EF9" w:rsidRDefault="0031074F" w:rsidP="00C7495D">
      <w:pPr>
        <w:pStyle w:val="Heading1"/>
        <w:numPr>
          <w:ilvl w:val="0"/>
          <w:numId w:val="1"/>
        </w:numPr>
        <w:spacing w:line="360" w:lineRule="auto"/>
        <w:rPr>
          <w:rFonts w:ascii="Arial" w:hAnsi="Arial" w:cs="Arial"/>
          <w:b/>
          <w:bCs/>
          <w:color w:val="auto"/>
          <w:sz w:val="22"/>
          <w:szCs w:val="22"/>
          <w:u w:val="single"/>
        </w:rPr>
      </w:pPr>
      <w:bookmarkStart w:id="2" w:name="_Toc184773049"/>
      <w:r w:rsidRPr="00CF4EF9">
        <w:rPr>
          <w:rFonts w:ascii="Arial" w:hAnsi="Arial" w:cs="Arial"/>
          <w:b/>
          <w:bCs/>
          <w:color w:val="auto"/>
          <w:sz w:val="22"/>
          <w:szCs w:val="22"/>
          <w:u w:val="single"/>
        </w:rPr>
        <w:lastRenderedPageBreak/>
        <w:t>Costs associated with product recalls and controls</w:t>
      </w:r>
      <w:bookmarkEnd w:id="2"/>
      <w:r w:rsidR="003520A1">
        <w:rPr>
          <w:rFonts w:ascii="Arial" w:hAnsi="Arial" w:cs="Arial"/>
          <w:b/>
          <w:bCs/>
          <w:color w:val="auto"/>
          <w:sz w:val="22"/>
          <w:szCs w:val="22"/>
          <w:u w:val="single"/>
        </w:rPr>
        <w:br/>
      </w:r>
    </w:p>
    <w:p w14:paraId="5F10AF90" w14:textId="6A23ED99"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 xml:space="preserve">The costs associated with product recalls in the automotive industry are substantial and can be </w:t>
      </w:r>
      <w:r w:rsidR="00BC5732" w:rsidRPr="00C41B78">
        <w:rPr>
          <w:rFonts w:ascii="Arial" w:hAnsi="Arial" w:cs="Arial"/>
          <w:sz w:val="22"/>
          <w:szCs w:val="22"/>
        </w:rPr>
        <w:t>categorised</w:t>
      </w:r>
      <w:r w:rsidRPr="00C41B78">
        <w:rPr>
          <w:rFonts w:ascii="Arial" w:hAnsi="Arial" w:cs="Arial"/>
          <w:sz w:val="22"/>
          <w:szCs w:val="22"/>
        </w:rPr>
        <w:t xml:space="preserve"> into direct and indirect costs. Understanding these costs and implementing effective management strategies is crucial for automotive manufacturers to mitigate the financial impact of recalls and maintain consumer trust.</w:t>
      </w:r>
    </w:p>
    <w:p w14:paraId="1E2C05E0" w14:textId="77777777" w:rsidR="005F4C70" w:rsidRPr="00C41B78" w:rsidRDefault="005F4C70" w:rsidP="00C7495D">
      <w:pPr>
        <w:spacing w:line="360" w:lineRule="auto"/>
        <w:rPr>
          <w:rFonts w:ascii="Arial" w:hAnsi="Arial" w:cs="Arial"/>
          <w:sz w:val="22"/>
          <w:szCs w:val="22"/>
        </w:rPr>
      </w:pPr>
    </w:p>
    <w:p w14:paraId="19EA1EB2" w14:textId="6A9984C8" w:rsidR="005F4C70" w:rsidRPr="00C41B78" w:rsidRDefault="005F4C70" w:rsidP="00C7495D">
      <w:pPr>
        <w:spacing w:line="360" w:lineRule="auto"/>
        <w:rPr>
          <w:rFonts w:ascii="Arial" w:hAnsi="Arial" w:cs="Arial"/>
          <w:b/>
          <w:bCs/>
          <w:sz w:val="22"/>
          <w:szCs w:val="22"/>
        </w:rPr>
      </w:pPr>
      <w:r w:rsidRPr="00C41B78">
        <w:rPr>
          <w:rFonts w:ascii="Arial" w:hAnsi="Arial" w:cs="Arial"/>
          <w:b/>
          <w:bCs/>
          <w:sz w:val="22"/>
          <w:szCs w:val="22"/>
        </w:rPr>
        <w:t>Direct Costs of Product Recalls</w:t>
      </w:r>
    </w:p>
    <w:p w14:paraId="45A84E9B" w14:textId="4E2D38FF"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 xml:space="preserve">Direct costs are those that can be directly attributed to the recall process. These include expenses related to managing the recall operations, such as logistics for retrieving affected vehicles, costs for repairs or replacements, and legal fees associated with potential lawsuits (Ahsan, </w:t>
      </w:r>
      <w:r w:rsidR="00F924E9" w:rsidRPr="00C41B78">
        <w:rPr>
          <w:rFonts w:ascii="Arial" w:hAnsi="Arial" w:cs="Arial"/>
          <w:sz w:val="22"/>
          <w:szCs w:val="22"/>
        </w:rPr>
        <w:t>2013;</w:t>
      </w:r>
      <w:r w:rsidRPr="00C41B78">
        <w:rPr>
          <w:rFonts w:ascii="Arial" w:hAnsi="Arial" w:cs="Arial"/>
          <w:sz w:val="22"/>
          <w:szCs w:val="22"/>
        </w:rPr>
        <w:t xml:space="preserve"> Hora et al., 2011). For instance, the costs of managing the reverse flow of products and disposal of defective parts can be significant, often leading to financial strain on the recalling firm (Hora et al., 2011). In 2016, the U.S. automotive industry faced approximately $22.1 billion in direct costs due to recalls, underscoring the financial burden that recalls can impose (Singh &amp; Grewal, 2023).</w:t>
      </w:r>
    </w:p>
    <w:p w14:paraId="64DC7622" w14:textId="77777777" w:rsidR="005F4C70" w:rsidRPr="00C41B78" w:rsidRDefault="005F4C70" w:rsidP="00C7495D">
      <w:pPr>
        <w:spacing w:line="360" w:lineRule="auto"/>
        <w:rPr>
          <w:rFonts w:ascii="Arial" w:hAnsi="Arial" w:cs="Arial"/>
          <w:sz w:val="22"/>
          <w:szCs w:val="22"/>
        </w:rPr>
      </w:pPr>
    </w:p>
    <w:p w14:paraId="78ACF0C8" w14:textId="68352113" w:rsidR="005F4C70" w:rsidRPr="00C41B78" w:rsidRDefault="005F4C70" w:rsidP="00C7495D">
      <w:pPr>
        <w:spacing w:line="360" w:lineRule="auto"/>
        <w:rPr>
          <w:rFonts w:ascii="Arial" w:hAnsi="Arial" w:cs="Arial"/>
          <w:b/>
          <w:bCs/>
          <w:sz w:val="22"/>
          <w:szCs w:val="22"/>
        </w:rPr>
      </w:pPr>
      <w:r w:rsidRPr="00C41B78">
        <w:rPr>
          <w:rFonts w:ascii="Arial" w:hAnsi="Arial" w:cs="Arial"/>
          <w:b/>
          <w:bCs/>
          <w:sz w:val="22"/>
          <w:szCs w:val="22"/>
        </w:rPr>
        <w:t>Indirect Costs of Product Recalls</w:t>
      </w:r>
    </w:p>
    <w:p w14:paraId="1D9E2138" w14:textId="32A95C1D"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 xml:space="preserve">Indirect costs, while less tangible, can have a profound impact on a company's financial health and market position. These costs include the loss of market share and goodwill, diminished brand reputation, and the potential long-term effects on customer loyalty (Ahsan, </w:t>
      </w:r>
      <w:r w:rsidR="00F924E9" w:rsidRPr="00C41B78">
        <w:rPr>
          <w:rFonts w:ascii="Arial" w:hAnsi="Arial" w:cs="Arial"/>
          <w:sz w:val="22"/>
          <w:szCs w:val="22"/>
        </w:rPr>
        <w:t>2013;</w:t>
      </w:r>
      <w:r w:rsidRPr="00C41B78">
        <w:rPr>
          <w:rFonts w:ascii="Arial" w:hAnsi="Arial" w:cs="Arial"/>
          <w:sz w:val="22"/>
          <w:szCs w:val="22"/>
        </w:rPr>
        <w:t xml:space="preserve"> Cleeren et al., 2013). A recall can lead to a decrease in consumer trust, which may result in reduced sales and a decline in stock prices (Hora et al., 2011). For example, the fallout from high-profile recalls can lead to a significant drop in a company's stock value, as seen in the aftermath of the Toyota recall crisis (Cleeren et al., 2013). Furthermore, the costs associated with marketing efforts to restore brand value post-recall can also be considerable (Ahsan, 2013).</w:t>
      </w:r>
    </w:p>
    <w:p w14:paraId="566D1EDC" w14:textId="77777777" w:rsidR="005F4C70" w:rsidRPr="00C41B78" w:rsidRDefault="005F4C70" w:rsidP="00C7495D">
      <w:pPr>
        <w:spacing w:line="360" w:lineRule="auto"/>
        <w:rPr>
          <w:rFonts w:ascii="Arial" w:hAnsi="Arial" w:cs="Arial"/>
          <w:sz w:val="22"/>
          <w:szCs w:val="22"/>
        </w:rPr>
      </w:pPr>
    </w:p>
    <w:p w14:paraId="3345BCA2" w14:textId="45963ED4" w:rsidR="005F4C70" w:rsidRPr="00C41B78" w:rsidRDefault="005F4C70" w:rsidP="00C7495D">
      <w:pPr>
        <w:spacing w:line="360" w:lineRule="auto"/>
        <w:rPr>
          <w:rFonts w:ascii="Arial" w:hAnsi="Arial" w:cs="Arial"/>
          <w:b/>
          <w:bCs/>
          <w:sz w:val="22"/>
          <w:szCs w:val="22"/>
        </w:rPr>
      </w:pPr>
      <w:r w:rsidRPr="00C41B78">
        <w:rPr>
          <w:rFonts w:ascii="Arial" w:hAnsi="Arial" w:cs="Arial"/>
          <w:b/>
          <w:bCs/>
          <w:sz w:val="22"/>
          <w:szCs w:val="22"/>
        </w:rPr>
        <w:t>Management Strategies for Mitigating Recall Costs</w:t>
      </w:r>
    </w:p>
    <w:p w14:paraId="15625D1C" w14:textId="77777777"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To effectively manage the costs associated with product recalls, automotive manufacturers can adopt several strategies:</w:t>
      </w:r>
    </w:p>
    <w:p w14:paraId="799AAEDF" w14:textId="77777777" w:rsidR="005F4C70" w:rsidRPr="00C41B78" w:rsidRDefault="005F4C70" w:rsidP="00C7495D">
      <w:pPr>
        <w:spacing w:line="360" w:lineRule="auto"/>
        <w:rPr>
          <w:rFonts w:ascii="Arial" w:hAnsi="Arial" w:cs="Arial"/>
          <w:sz w:val="22"/>
          <w:szCs w:val="22"/>
        </w:rPr>
      </w:pPr>
    </w:p>
    <w:p w14:paraId="3E338797" w14:textId="04BC6026" w:rsidR="005F4C70" w:rsidRPr="00C41B78" w:rsidRDefault="005F4C70" w:rsidP="00C7495D">
      <w:pPr>
        <w:spacing w:line="360" w:lineRule="auto"/>
        <w:rPr>
          <w:rFonts w:ascii="Arial" w:hAnsi="Arial" w:cs="Arial"/>
          <w:sz w:val="22"/>
          <w:szCs w:val="22"/>
        </w:rPr>
      </w:pPr>
      <w:r w:rsidRPr="00C41B78">
        <w:rPr>
          <w:rFonts w:ascii="Arial" w:hAnsi="Arial" w:cs="Arial"/>
          <w:b/>
          <w:bCs/>
          <w:sz w:val="22"/>
          <w:szCs w:val="22"/>
        </w:rPr>
        <w:lastRenderedPageBreak/>
        <w:t xml:space="preserve"> Proactive Quality Control</w:t>
      </w:r>
      <w:r w:rsidRPr="00C41B78">
        <w:rPr>
          <w:rFonts w:ascii="Arial" w:hAnsi="Arial" w:cs="Arial"/>
          <w:sz w:val="22"/>
          <w:szCs w:val="22"/>
        </w:rPr>
        <w:t>: Implementing rigorous quality control measures during the production process can help identify potential defects before they reach consumers. This includes adopting methodologies such as Six Sigma, which focuses on reducing defects and improving overall quality</w:t>
      </w:r>
      <w:r w:rsidR="005D3E36">
        <w:rPr>
          <w:rFonts w:ascii="Arial" w:hAnsi="Arial" w:cs="Arial"/>
          <w:sz w:val="22"/>
          <w:szCs w:val="22"/>
        </w:rPr>
        <w:t>. Furthermore, by</w:t>
      </w:r>
      <w:r w:rsidR="005D3E36" w:rsidRPr="00C41B78">
        <w:rPr>
          <w:rFonts w:ascii="Arial" w:hAnsi="Arial" w:cs="Arial"/>
          <w:sz w:val="22"/>
          <w:szCs w:val="22"/>
        </w:rPr>
        <w:t xml:space="preserve"> minimising the occurrence of recalls, manufacturers can significantly reduce associated costs</w:t>
      </w:r>
      <w:r w:rsidR="005D3E36">
        <w:rPr>
          <w:rFonts w:ascii="Arial" w:hAnsi="Arial" w:cs="Arial"/>
          <w:sz w:val="22"/>
          <w:szCs w:val="22"/>
        </w:rPr>
        <w:t xml:space="preserve"> </w:t>
      </w:r>
      <w:r w:rsidRPr="00C41B78">
        <w:rPr>
          <w:rFonts w:ascii="Arial" w:hAnsi="Arial" w:cs="Arial"/>
          <w:sz w:val="22"/>
          <w:szCs w:val="22"/>
        </w:rPr>
        <w:t>(Achibat et al., 2021</w:t>
      </w:r>
      <w:r w:rsidR="005D3E36">
        <w:rPr>
          <w:rFonts w:ascii="Arial" w:hAnsi="Arial" w:cs="Arial"/>
          <w:sz w:val="22"/>
          <w:szCs w:val="22"/>
        </w:rPr>
        <w:t>).</w:t>
      </w:r>
    </w:p>
    <w:p w14:paraId="59E578F5" w14:textId="77777777" w:rsidR="005F4C70" w:rsidRPr="00C41B78" w:rsidRDefault="005F4C70" w:rsidP="00C7495D">
      <w:pPr>
        <w:spacing w:line="360" w:lineRule="auto"/>
        <w:rPr>
          <w:rFonts w:ascii="Arial" w:hAnsi="Arial" w:cs="Arial"/>
          <w:sz w:val="22"/>
          <w:szCs w:val="22"/>
        </w:rPr>
      </w:pPr>
    </w:p>
    <w:p w14:paraId="535E2552" w14:textId="12896E73" w:rsidR="005F4C70" w:rsidRPr="00C41B78" w:rsidRDefault="005F4C70" w:rsidP="00C7495D">
      <w:pPr>
        <w:spacing w:line="360" w:lineRule="auto"/>
        <w:rPr>
          <w:rFonts w:ascii="Arial" w:hAnsi="Arial" w:cs="Arial"/>
          <w:sz w:val="22"/>
          <w:szCs w:val="22"/>
        </w:rPr>
      </w:pPr>
      <w:r w:rsidRPr="00C41B78">
        <w:rPr>
          <w:rFonts w:ascii="Arial" w:hAnsi="Arial" w:cs="Arial"/>
          <w:b/>
          <w:bCs/>
          <w:sz w:val="22"/>
          <w:szCs w:val="22"/>
        </w:rPr>
        <w:t xml:space="preserve"> Effective Communication</w:t>
      </w:r>
      <w:r w:rsidRPr="00C41B78">
        <w:rPr>
          <w:rFonts w:ascii="Arial" w:hAnsi="Arial" w:cs="Arial"/>
          <w:sz w:val="22"/>
          <w:szCs w:val="22"/>
        </w:rPr>
        <w:t xml:space="preserve">: Transparent communication with consumers during a recall is essential. Providing clear information about the nature of the defect, the steps being taken to address it, and how consumers can participate in the recall process can help maintain trust and mitigate reputational damage (Patro et al., </w:t>
      </w:r>
      <w:r w:rsidR="00F924E9" w:rsidRPr="00C41B78">
        <w:rPr>
          <w:rFonts w:ascii="Arial" w:hAnsi="Arial" w:cs="Arial"/>
          <w:sz w:val="22"/>
          <w:szCs w:val="22"/>
        </w:rPr>
        <w:t>2021;</w:t>
      </w:r>
      <w:r w:rsidRPr="00C41B78">
        <w:rPr>
          <w:rFonts w:ascii="Arial" w:hAnsi="Arial" w:cs="Arial"/>
          <w:sz w:val="22"/>
          <w:szCs w:val="22"/>
        </w:rPr>
        <w:t xml:space="preserve"> Cleeren et al., 2013). Studies suggest that proactive communication strategies can lead to better consumer responses and lower long-term costs (Ni et al., 2023).</w:t>
      </w:r>
    </w:p>
    <w:p w14:paraId="5DCA9E38" w14:textId="77777777" w:rsidR="005F4C70" w:rsidRPr="00C41B78" w:rsidRDefault="005F4C70" w:rsidP="00C7495D">
      <w:pPr>
        <w:spacing w:line="360" w:lineRule="auto"/>
        <w:rPr>
          <w:rFonts w:ascii="Arial" w:hAnsi="Arial" w:cs="Arial"/>
          <w:sz w:val="22"/>
          <w:szCs w:val="22"/>
        </w:rPr>
      </w:pPr>
    </w:p>
    <w:p w14:paraId="4124A59B" w14:textId="4146065F" w:rsidR="005F4C70" w:rsidRPr="00C41B78" w:rsidRDefault="005F4C70" w:rsidP="00C7495D">
      <w:pPr>
        <w:spacing w:line="360" w:lineRule="auto"/>
        <w:rPr>
          <w:rFonts w:ascii="Arial" w:hAnsi="Arial" w:cs="Arial"/>
          <w:sz w:val="22"/>
          <w:szCs w:val="22"/>
        </w:rPr>
      </w:pPr>
      <w:r w:rsidRPr="00C41B78">
        <w:rPr>
          <w:rFonts w:ascii="Arial" w:hAnsi="Arial" w:cs="Arial"/>
          <w:b/>
          <w:bCs/>
          <w:sz w:val="22"/>
          <w:szCs w:val="22"/>
        </w:rPr>
        <w:t>Leveraging Technology</w:t>
      </w:r>
      <w:r w:rsidRPr="00C41B78">
        <w:rPr>
          <w:rFonts w:ascii="Arial" w:hAnsi="Arial" w:cs="Arial"/>
          <w:sz w:val="22"/>
          <w:szCs w:val="22"/>
        </w:rPr>
        <w:t xml:space="preserve">: </w:t>
      </w:r>
      <w:r w:rsidR="00BC5732" w:rsidRPr="00C41B78">
        <w:rPr>
          <w:rFonts w:ascii="Arial" w:hAnsi="Arial" w:cs="Arial"/>
          <w:sz w:val="22"/>
          <w:szCs w:val="22"/>
        </w:rPr>
        <w:t>Utilising</w:t>
      </w:r>
      <w:r w:rsidRPr="00C41B78">
        <w:rPr>
          <w:rFonts w:ascii="Arial" w:hAnsi="Arial" w:cs="Arial"/>
          <w:sz w:val="22"/>
          <w:szCs w:val="22"/>
        </w:rPr>
        <w:t xml:space="preserve"> advanced technologies such as blockchain can enhance traceability and streamline the recall process. By improving the efficiency of tracking affected vehicles and managing logistics, manufacturers can reduce the operational costs associated with recalls (Patro et al., 2021). Additionally, data analytics can help identify patterns in defects, allowing for more informed decision-making regarding product safety and quality improvements (Ni et al., 2023).</w:t>
      </w:r>
    </w:p>
    <w:p w14:paraId="35F20E4A" w14:textId="77777777" w:rsidR="005F4C70" w:rsidRPr="00C41B78" w:rsidRDefault="005F4C70" w:rsidP="00C7495D">
      <w:pPr>
        <w:spacing w:line="360" w:lineRule="auto"/>
        <w:rPr>
          <w:rFonts w:ascii="Arial" w:hAnsi="Arial" w:cs="Arial"/>
          <w:sz w:val="22"/>
          <w:szCs w:val="22"/>
        </w:rPr>
      </w:pPr>
    </w:p>
    <w:p w14:paraId="221B04B3" w14:textId="44FE3E88" w:rsidR="005F4C70" w:rsidRPr="00C41B78" w:rsidRDefault="005F4C70" w:rsidP="00C7495D">
      <w:pPr>
        <w:spacing w:line="360" w:lineRule="auto"/>
        <w:rPr>
          <w:rFonts w:ascii="Arial" w:hAnsi="Arial" w:cs="Arial"/>
          <w:sz w:val="22"/>
          <w:szCs w:val="22"/>
        </w:rPr>
      </w:pPr>
      <w:r w:rsidRPr="00C41B78">
        <w:rPr>
          <w:rFonts w:ascii="Arial" w:hAnsi="Arial" w:cs="Arial"/>
          <w:b/>
          <w:bCs/>
          <w:sz w:val="22"/>
          <w:szCs w:val="22"/>
        </w:rPr>
        <w:t>Supplier Collaboration</w:t>
      </w:r>
      <w:r w:rsidRPr="00C41B78">
        <w:rPr>
          <w:rFonts w:ascii="Arial" w:hAnsi="Arial" w:cs="Arial"/>
          <w:sz w:val="22"/>
          <w:szCs w:val="22"/>
        </w:rPr>
        <w:t xml:space="preserve">: Strengthening relationships with suppliers can enhance the overall quality of components and reduce the likelihood of defects that lead to recalls. Collaborative efforts in quality management and shared accountability can help mitigate risks associated with supply chain disruptions during recalls (Nassar et al., </w:t>
      </w:r>
      <w:r w:rsidR="00F924E9" w:rsidRPr="00C41B78">
        <w:rPr>
          <w:rFonts w:ascii="Arial" w:hAnsi="Arial" w:cs="Arial"/>
          <w:sz w:val="22"/>
          <w:szCs w:val="22"/>
        </w:rPr>
        <w:t>2019;</w:t>
      </w:r>
      <w:r w:rsidRPr="00C41B78">
        <w:rPr>
          <w:rFonts w:ascii="Arial" w:hAnsi="Arial" w:cs="Arial"/>
          <w:sz w:val="22"/>
          <w:szCs w:val="22"/>
        </w:rPr>
        <w:t xml:space="preserve"> DuHadway &amp; Narasimhan, 2020).</w:t>
      </w:r>
    </w:p>
    <w:p w14:paraId="01901C60" w14:textId="77777777" w:rsidR="005F4C70" w:rsidRPr="00C41B78" w:rsidRDefault="005F4C70" w:rsidP="00C7495D">
      <w:pPr>
        <w:spacing w:line="360" w:lineRule="auto"/>
        <w:rPr>
          <w:rFonts w:ascii="Arial" w:hAnsi="Arial" w:cs="Arial"/>
          <w:sz w:val="22"/>
          <w:szCs w:val="22"/>
        </w:rPr>
      </w:pPr>
    </w:p>
    <w:p w14:paraId="109D3E15" w14:textId="0549CB55" w:rsidR="005F4C70" w:rsidRPr="00C41B78" w:rsidRDefault="005F4C70" w:rsidP="00C7495D">
      <w:pPr>
        <w:spacing w:line="360" w:lineRule="auto"/>
        <w:rPr>
          <w:rFonts w:ascii="Arial" w:hAnsi="Arial" w:cs="Arial"/>
          <w:sz w:val="22"/>
          <w:szCs w:val="22"/>
        </w:rPr>
      </w:pPr>
      <w:r w:rsidRPr="00C41B78">
        <w:rPr>
          <w:rFonts w:ascii="Arial" w:hAnsi="Arial" w:cs="Arial"/>
          <w:b/>
          <w:bCs/>
          <w:sz w:val="22"/>
          <w:szCs w:val="22"/>
        </w:rPr>
        <w:t xml:space="preserve"> Learning from Past Recalls</w:t>
      </w:r>
      <w:r w:rsidRPr="00C41B78">
        <w:rPr>
          <w:rFonts w:ascii="Arial" w:hAnsi="Arial" w:cs="Arial"/>
          <w:sz w:val="22"/>
          <w:szCs w:val="22"/>
        </w:rPr>
        <w:t xml:space="preserve">: </w:t>
      </w:r>
      <w:r w:rsidR="00BC5732" w:rsidRPr="00C41B78">
        <w:rPr>
          <w:rFonts w:ascii="Arial" w:hAnsi="Arial" w:cs="Arial"/>
          <w:sz w:val="22"/>
          <w:szCs w:val="22"/>
        </w:rPr>
        <w:t>Analysing</w:t>
      </w:r>
      <w:r w:rsidRPr="00C41B78">
        <w:rPr>
          <w:rFonts w:ascii="Arial" w:hAnsi="Arial" w:cs="Arial"/>
          <w:sz w:val="22"/>
          <w:szCs w:val="22"/>
        </w:rPr>
        <w:t xml:space="preserve"> previous recall incidents can provide valuable insights into improving future practices. By understanding the root causes of past recalls and implementing changes based on those lessons, manufacturers can enhance their operational resilience and reduce the likelihood of future issues (Ni et al., </w:t>
      </w:r>
      <w:r w:rsidR="00F924E9" w:rsidRPr="00C41B78">
        <w:rPr>
          <w:rFonts w:ascii="Arial" w:hAnsi="Arial" w:cs="Arial"/>
          <w:sz w:val="22"/>
          <w:szCs w:val="22"/>
        </w:rPr>
        <w:t>2023;</w:t>
      </w:r>
      <w:r w:rsidRPr="00C41B78">
        <w:rPr>
          <w:rFonts w:ascii="Arial" w:hAnsi="Arial" w:cs="Arial"/>
          <w:sz w:val="22"/>
          <w:szCs w:val="22"/>
        </w:rPr>
        <w:t xml:space="preserve"> Ni &amp; Huang, 2017).</w:t>
      </w:r>
    </w:p>
    <w:p w14:paraId="7B636FBD" w14:textId="77777777" w:rsidR="005F4C70" w:rsidRPr="00C41B78" w:rsidRDefault="005F4C70" w:rsidP="00C7495D">
      <w:pPr>
        <w:spacing w:line="360" w:lineRule="auto"/>
        <w:rPr>
          <w:rFonts w:ascii="Arial" w:hAnsi="Arial" w:cs="Arial"/>
          <w:sz w:val="22"/>
          <w:szCs w:val="22"/>
        </w:rPr>
      </w:pPr>
    </w:p>
    <w:p w14:paraId="0ABB26F4" w14:textId="4D1C3A1D" w:rsidR="005F4C70" w:rsidRDefault="005F4C70" w:rsidP="00C7495D">
      <w:pPr>
        <w:spacing w:line="360" w:lineRule="auto"/>
        <w:rPr>
          <w:rFonts w:ascii="Arial" w:hAnsi="Arial" w:cs="Arial"/>
          <w:sz w:val="22"/>
          <w:szCs w:val="22"/>
        </w:rPr>
      </w:pPr>
      <w:r w:rsidRPr="00C41B78">
        <w:rPr>
          <w:rFonts w:ascii="Arial" w:hAnsi="Arial" w:cs="Arial"/>
          <w:sz w:val="22"/>
          <w:szCs w:val="22"/>
        </w:rPr>
        <w:lastRenderedPageBreak/>
        <w:t xml:space="preserve">In conclusion, the costs associated with product recalls in the automotive industry are significant and multifaceted, encompassing both direct and indirect expenses. By adopting proactive quality control measures, effective communication strategies, leveraging technology, fostering supplier collaboration, and learning from past experiences, automotive manufacturers can better manage these costs and </w:t>
      </w:r>
      <w:r w:rsidR="00BC5732" w:rsidRPr="00C41B78">
        <w:rPr>
          <w:rFonts w:ascii="Arial" w:hAnsi="Arial" w:cs="Arial"/>
          <w:sz w:val="22"/>
          <w:szCs w:val="22"/>
        </w:rPr>
        <w:t>minimise</w:t>
      </w:r>
      <w:r w:rsidRPr="00C41B78">
        <w:rPr>
          <w:rFonts w:ascii="Arial" w:hAnsi="Arial" w:cs="Arial"/>
          <w:sz w:val="22"/>
          <w:szCs w:val="22"/>
        </w:rPr>
        <w:t xml:space="preserve"> the impact of recalls on their businesses.</w:t>
      </w:r>
    </w:p>
    <w:p w14:paraId="566150D9" w14:textId="77777777" w:rsidR="003520A1" w:rsidRDefault="003520A1" w:rsidP="00C7495D">
      <w:pPr>
        <w:spacing w:line="360" w:lineRule="auto"/>
        <w:rPr>
          <w:rFonts w:ascii="Arial" w:hAnsi="Arial" w:cs="Arial"/>
          <w:sz w:val="22"/>
          <w:szCs w:val="22"/>
        </w:rPr>
      </w:pPr>
    </w:p>
    <w:p w14:paraId="132715FA" w14:textId="77777777" w:rsidR="003520A1" w:rsidRDefault="003520A1" w:rsidP="00C7495D">
      <w:pPr>
        <w:spacing w:line="360" w:lineRule="auto"/>
        <w:rPr>
          <w:rFonts w:ascii="Arial" w:hAnsi="Arial" w:cs="Arial"/>
          <w:sz w:val="22"/>
          <w:szCs w:val="22"/>
        </w:rPr>
      </w:pPr>
    </w:p>
    <w:p w14:paraId="7D2E3ABE" w14:textId="77777777" w:rsidR="003520A1" w:rsidRDefault="003520A1" w:rsidP="00C7495D">
      <w:pPr>
        <w:spacing w:line="360" w:lineRule="auto"/>
        <w:rPr>
          <w:rFonts w:ascii="Arial" w:hAnsi="Arial" w:cs="Arial"/>
          <w:sz w:val="22"/>
          <w:szCs w:val="22"/>
        </w:rPr>
      </w:pPr>
    </w:p>
    <w:p w14:paraId="534AEA05" w14:textId="77777777" w:rsidR="003520A1" w:rsidRDefault="003520A1" w:rsidP="00C7495D">
      <w:pPr>
        <w:spacing w:line="360" w:lineRule="auto"/>
        <w:rPr>
          <w:rFonts w:ascii="Arial" w:hAnsi="Arial" w:cs="Arial"/>
          <w:sz w:val="22"/>
          <w:szCs w:val="22"/>
        </w:rPr>
      </w:pPr>
    </w:p>
    <w:p w14:paraId="40B632CE" w14:textId="77777777" w:rsidR="003520A1" w:rsidRDefault="003520A1" w:rsidP="00C7495D">
      <w:pPr>
        <w:spacing w:line="360" w:lineRule="auto"/>
        <w:rPr>
          <w:rFonts w:ascii="Arial" w:hAnsi="Arial" w:cs="Arial"/>
          <w:sz w:val="22"/>
          <w:szCs w:val="22"/>
        </w:rPr>
      </w:pPr>
    </w:p>
    <w:p w14:paraId="154A6FCD" w14:textId="77777777" w:rsidR="003520A1" w:rsidRDefault="003520A1" w:rsidP="00C7495D">
      <w:pPr>
        <w:spacing w:line="360" w:lineRule="auto"/>
        <w:rPr>
          <w:rFonts w:ascii="Arial" w:hAnsi="Arial" w:cs="Arial"/>
          <w:sz w:val="22"/>
          <w:szCs w:val="22"/>
        </w:rPr>
      </w:pPr>
    </w:p>
    <w:p w14:paraId="6A1A6C7B" w14:textId="77777777" w:rsidR="003520A1" w:rsidRDefault="003520A1" w:rsidP="00C7495D">
      <w:pPr>
        <w:spacing w:line="360" w:lineRule="auto"/>
        <w:rPr>
          <w:rFonts w:ascii="Arial" w:hAnsi="Arial" w:cs="Arial"/>
          <w:sz w:val="22"/>
          <w:szCs w:val="22"/>
        </w:rPr>
      </w:pPr>
    </w:p>
    <w:p w14:paraId="7F8ED000" w14:textId="77777777" w:rsidR="003520A1" w:rsidRDefault="003520A1" w:rsidP="00C7495D">
      <w:pPr>
        <w:spacing w:line="360" w:lineRule="auto"/>
        <w:rPr>
          <w:rFonts w:ascii="Arial" w:hAnsi="Arial" w:cs="Arial"/>
          <w:sz w:val="22"/>
          <w:szCs w:val="22"/>
        </w:rPr>
      </w:pPr>
    </w:p>
    <w:p w14:paraId="25C39284" w14:textId="77777777" w:rsidR="003520A1" w:rsidRDefault="003520A1" w:rsidP="00C7495D">
      <w:pPr>
        <w:spacing w:line="360" w:lineRule="auto"/>
        <w:rPr>
          <w:rFonts w:ascii="Arial" w:hAnsi="Arial" w:cs="Arial"/>
          <w:sz w:val="22"/>
          <w:szCs w:val="22"/>
        </w:rPr>
      </w:pPr>
    </w:p>
    <w:p w14:paraId="42385F77" w14:textId="77777777" w:rsidR="003520A1" w:rsidRDefault="003520A1" w:rsidP="00C7495D">
      <w:pPr>
        <w:spacing w:line="360" w:lineRule="auto"/>
        <w:rPr>
          <w:rFonts w:ascii="Arial" w:hAnsi="Arial" w:cs="Arial"/>
          <w:sz w:val="22"/>
          <w:szCs w:val="22"/>
        </w:rPr>
      </w:pPr>
    </w:p>
    <w:p w14:paraId="0127479F" w14:textId="77777777" w:rsidR="003520A1" w:rsidRDefault="003520A1" w:rsidP="00C7495D">
      <w:pPr>
        <w:spacing w:line="360" w:lineRule="auto"/>
        <w:rPr>
          <w:rFonts w:ascii="Arial" w:hAnsi="Arial" w:cs="Arial"/>
          <w:sz w:val="22"/>
          <w:szCs w:val="22"/>
        </w:rPr>
      </w:pPr>
    </w:p>
    <w:p w14:paraId="40D5404B" w14:textId="77777777" w:rsidR="003520A1" w:rsidRDefault="003520A1" w:rsidP="00C7495D">
      <w:pPr>
        <w:spacing w:line="360" w:lineRule="auto"/>
        <w:rPr>
          <w:rFonts w:ascii="Arial" w:hAnsi="Arial" w:cs="Arial"/>
          <w:sz w:val="22"/>
          <w:szCs w:val="22"/>
        </w:rPr>
      </w:pPr>
    </w:p>
    <w:p w14:paraId="1F59A81D" w14:textId="77777777" w:rsidR="003520A1" w:rsidRDefault="003520A1" w:rsidP="00C7495D">
      <w:pPr>
        <w:spacing w:line="360" w:lineRule="auto"/>
        <w:rPr>
          <w:rFonts w:ascii="Arial" w:hAnsi="Arial" w:cs="Arial"/>
          <w:sz w:val="22"/>
          <w:szCs w:val="22"/>
        </w:rPr>
      </w:pPr>
    </w:p>
    <w:p w14:paraId="1FD238FC" w14:textId="77777777" w:rsidR="003520A1" w:rsidRDefault="003520A1" w:rsidP="00C7495D">
      <w:pPr>
        <w:spacing w:line="360" w:lineRule="auto"/>
        <w:rPr>
          <w:rFonts w:ascii="Arial" w:hAnsi="Arial" w:cs="Arial"/>
          <w:sz w:val="22"/>
          <w:szCs w:val="22"/>
        </w:rPr>
      </w:pPr>
    </w:p>
    <w:p w14:paraId="76863065" w14:textId="77777777" w:rsidR="003520A1" w:rsidRDefault="003520A1" w:rsidP="00C7495D">
      <w:pPr>
        <w:spacing w:line="360" w:lineRule="auto"/>
        <w:rPr>
          <w:rFonts w:ascii="Arial" w:hAnsi="Arial" w:cs="Arial"/>
          <w:sz w:val="22"/>
          <w:szCs w:val="22"/>
        </w:rPr>
      </w:pPr>
    </w:p>
    <w:p w14:paraId="0EFD9272" w14:textId="77777777" w:rsidR="003520A1" w:rsidRDefault="003520A1" w:rsidP="00C7495D">
      <w:pPr>
        <w:spacing w:line="360" w:lineRule="auto"/>
        <w:rPr>
          <w:rFonts w:ascii="Arial" w:hAnsi="Arial" w:cs="Arial"/>
          <w:sz w:val="22"/>
          <w:szCs w:val="22"/>
        </w:rPr>
      </w:pPr>
    </w:p>
    <w:p w14:paraId="4A6C9129" w14:textId="77777777" w:rsidR="003520A1" w:rsidRDefault="003520A1" w:rsidP="00C7495D">
      <w:pPr>
        <w:spacing w:line="360" w:lineRule="auto"/>
        <w:rPr>
          <w:rFonts w:ascii="Arial" w:hAnsi="Arial" w:cs="Arial"/>
          <w:sz w:val="22"/>
          <w:szCs w:val="22"/>
        </w:rPr>
      </w:pPr>
    </w:p>
    <w:p w14:paraId="09922B83" w14:textId="77777777" w:rsidR="003520A1" w:rsidRPr="00C41B78" w:rsidRDefault="003520A1" w:rsidP="00C7495D">
      <w:pPr>
        <w:spacing w:line="360" w:lineRule="auto"/>
        <w:rPr>
          <w:rFonts w:ascii="Arial" w:hAnsi="Arial" w:cs="Arial"/>
          <w:sz w:val="22"/>
          <w:szCs w:val="22"/>
        </w:rPr>
      </w:pPr>
    </w:p>
    <w:p w14:paraId="0178E0BB" w14:textId="77777777" w:rsidR="005F4C70" w:rsidRPr="00C41B78" w:rsidRDefault="005F4C70" w:rsidP="00C7495D">
      <w:pPr>
        <w:spacing w:line="360" w:lineRule="auto"/>
        <w:rPr>
          <w:rFonts w:ascii="Arial" w:hAnsi="Arial" w:cs="Arial"/>
          <w:sz w:val="22"/>
          <w:szCs w:val="22"/>
        </w:rPr>
      </w:pPr>
    </w:p>
    <w:p w14:paraId="0B746E00" w14:textId="70BA2DA2" w:rsidR="005F4C70" w:rsidRPr="003520A1" w:rsidRDefault="0031074F" w:rsidP="00C7495D">
      <w:pPr>
        <w:pStyle w:val="Heading1"/>
        <w:numPr>
          <w:ilvl w:val="0"/>
          <w:numId w:val="1"/>
        </w:numPr>
        <w:spacing w:line="360" w:lineRule="auto"/>
        <w:rPr>
          <w:rFonts w:ascii="Arial" w:hAnsi="Arial" w:cs="Arial"/>
          <w:b/>
          <w:bCs/>
          <w:color w:val="auto"/>
          <w:sz w:val="22"/>
          <w:szCs w:val="22"/>
          <w:u w:val="single"/>
        </w:rPr>
      </w:pPr>
      <w:bookmarkStart w:id="3" w:name="_Toc184773050"/>
      <w:r w:rsidRPr="003520A1">
        <w:rPr>
          <w:rFonts w:ascii="Arial" w:hAnsi="Arial" w:cs="Arial"/>
          <w:b/>
          <w:bCs/>
          <w:color w:val="auto"/>
          <w:sz w:val="22"/>
          <w:szCs w:val="22"/>
          <w:u w:val="single"/>
        </w:rPr>
        <w:lastRenderedPageBreak/>
        <w:t>Restoring customer confidence</w:t>
      </w:r>
      <w:bookmarkEnd w:id="3"/>
    </w:p>
    <w:p w14:paraId="0AE7B3B8" w14:textId="77777777"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Restoring consumer confidence during and after a product recall in the automotive industry is a critical task that requires a multifaceted approach. Given the potential for significant reputational damage and loss of consumer trust, manufacturers must implement effective strategies to reassure consumers and rebuild their confidence in the brand. The following strategies can be employed to achieve this goal.</w:t>
      </w:r>
    </w:p>
    <w:p w14:paraId="75E65CAD" w14:textId="77777777" w:rsidR="005F4C70" w:rsidRPr="00C41B78" w:rsidRDefault="005F4C70" w:rsidP="00C7495D">
      <w:pPr>
        <w:spacing w:line="360" w:lineRule="auto"/>
        <w:rPr>
          <w:rFonts w:ascii="Arial" w:hAnsi="Arial" w:cs="Arial"/>
          <w:sz w:val="22"/>
          <w:szCs w:val="22"/>
        </w:rPr>
      </w:pPr>
    </w:p>
    <w:p w14:paraId="217E59F4" w14:textId="62A3B9FF" w:rsidR="005F4C70" w:rsidRPr="00C41B78" w:rsidRDefault="005F4C70" w:rsidP="00C7495D">
      <w:pPr>
        <w:spacing w:line="360" w:lineRule="auto"/>
        <w:rPr>
          <w:rFonts w:ascii="Arial" w:hAnsi="Arial" w:cs="Arial"/>
          <w:b/>
          <w:bCs/>
          <w:sz w:val="22"/>
          <w:szCs w:val="22"/>
        </w:rPr>
      </w:pPr>
      <w:r w:rsidRPr="00C41B78">
        <w:rPr>
          <w:rFonts w:ascii="Arial" w:hAnsi="Arial" w:cs="Arial"/>
          <w:b/>
          <w:bCs/>
          <w:sz w:val="22"/>
          <w:szCs w:val="22"/>
        </w:rPr>
        <w:t>Transparent Communication</w:t>
      </w:r>
    </w:p>
    <w:p w14:paraId="074D97EC" w14:textId="49C13924"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 xml:space="preserve">Effective communication is paramount during a recall. Automotive manufacturers should provide clear, timely, and accurate information regarding the nature of the defect, the steps being taken to address it, and the implications for consumers (Hora et al., 2011), </w:t>
      </w:r>
      <w:r w:rsidR="005D3E36">
        <w:rPr>
          <w:rFonts w:ascii="Arial" w:hAnsi="Arial" w:cs="Arial"/>
          <w:sz w:val="22"/>
          <w:szCs w:val="22"/>
        </w:rPr>
        <w:t>(</w:t>
      </w:r>
      <w:r w:rsidRPr="00C41B78">
        <w:rPr>
          <w:rFonts w:ascii="Arial" w:hAnsi="Arial" w:cs="Arial"/>
          <w:sz w:val="22"/>
          <w:szCs w:val="22"/>
        </w:rPr>
        <w:t xml:space="preserve">Pagiavlas et al., 2021). Transparency helps to build trust, as consumers are more likely to feel secure when they are informed about the situation. Research indicates that proactive communication strategies can lead to more </w:t>
      </w:r>
      <w:r w:rsidR="00F924E9" w:rsidRPr="00C41B78">
        <w:rPr>
          <w:rFonts w:ascii="Arial" w:hAnsi="Arial" w:cs="Arial"/>
          <w:sz w:val="22"/>
          <w:szCs w:val="22"/>
        </w:rPr>
        <w:t>favourable</w:t>
      </w:r>
      <w:r w:rsidRPr="00C41B78">
        <w:rPr>
          <w:rFonts w:ascii="Arial" w:hAnsi="Arial" w:cs="Arial"/>
          <w:sz w:val="22"/>
          <w:szCs w:val="22"/>
        </w:rPr>
        <w:t xml:space="preserve"> consumer perceptions and reduce the negative impact of recalls (Hora et al., 2011). For instance, companies should utili</w:t>
      </w:r>
      <w:r w:rsidR="00BC5732" w:rsidRPr="00C41B78">
        <w:rPr>
          <w:rFonts w:ascii="Arial" w:hAnsi="Arial" w:cs="Arial"/>
          <w:sz w:val="22"/>
          <w:szCs w:val="22"/>
        </w:rPr>
        <w:t>s</w:t>
      </w:r>
      <w:r w:rsidRPr="00C41B78">
        <w:rPr>
          <w:rFonts w:ascii="Arial" w:hAnsi="Arial" w:cs="Arial"/>
          <w:sz w:val="22"/>
          <w:szCs w:val="22"/>
        </w:rPr>
        <w:t>e multiple channels, including social media, press releases, and direct notifications to affected consumers, to ensure that information reaches a wide audience (Pagiavlas et al., 2021).</w:t>
      </w:r>
    </w:p>
    <w:p w14:paraId="46C9E7A4" w14:textId="77777777" w:rsidR="005F4C70" w:rsidRPr="00C41B78" w:rsidRDefault="005F4C70" w:rsidP="00C7495D">
      <w:pPr>
        <w:spacing w:line="360" w:lineRule="auto"/>
        <w:rPr>
          <w:rFonts w:ascii="Arial" w:hAnsi="Arial" w:cs="Arial"/>
          <w:sz w:val="22"/>
          <w:szCs w:val="22"/>
        </w:rPr>
      </w:pPr>
    </w:p>
    <w:p w14:paraId="4AC84D2D" w14:textId="6AEAE274" w:rsidR="005F4C70" w:rsidRPr="00C41B78" w:rsidRDefault="005F4C70" w:rsidP="00C7495D">
      <w:pPr>
        <w:spacing w:line="360" w:lineRule="auto"/>
        <w:rPr>
          <w:rFonts w:ascii="Arial" w:hAnsi="Arial" w:cs="Arial"/>
          <w:b/>
          <w:bCs/>
          <w:sz w:val="22"/>
          <w:szCs w:val="22"/>
        </w:rPr>
      </w:pPr>
      <w:r w:rsidRPr="00C41B78">
        <w:rPr>
          <w:rFonts w:ascii="Arial" w:hAnsi="Arial" w:cs="Arial"/>
          <w:b/>
          <w:bCs/>
          <w:sz w:val="22"/>
          <w:szCs w:val="22"/>
        </w:rPr>
        <w:t xml:space="preserve"> Demonstrating Commitment to Safety</w:t>
      </w:r>
    </w:p>
    <w:p w14:paraId="0145A5F2" w14:textId="25C1E88C"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 xml:space="preserve">Automakers must demonstrate a strong commitment to consumer safety and product quality. This can be achieved by implementing rigorous quality control measures and showcasing improvements made in response to the recall (Ni et al., 2023). By actively engaging in safety initiatives and </w:t>
      </w:r>
      <w:r w:rsidR="00BC5732" w:rsidRPr="00C41B78">
        <w:rPr>
          <w:rFonts w:ascii="Arial" w:hAnsi="Arial" w:cs="Arial"/>
          <w:sz w:val="22"/>
          <w:szCs w:val="22"/>
        </w:rPr>
        <w:t>emphasising</w:t>
      </w:r>
      <w:r w:rsidRPr="00C41B78">
        <w:rPr>
          <w:rFonts w:ascii="Arial" w:hAnsi="Arial" w:cs="Arial"/>
          <w:sz w:val="22"/>
          <w:szCs w:val="22"/>
        </w:rPr>
        <w:t xml:space="preserve"> the steps taken to prevent future issues, manufacturers can reassure consumers of their dedication to providing safe and reliable vehicles (Liu, 2023). Additionally, highlighting third-party endorsements or certifications can further enhance consumer confidence in the brand's commitment to safety (Akdeniz et al., 2013).</w:t>
      </w:r>
    </w:p>
    <w:p w14:paraId="67FBEC49" w14:textId="77777777" w:rsidR="005F4C70" w:rsidRPr="00C41B78" w:rsidRDefault="005F4C70" w:rsidP="00C7495D">
      <w:pPr>
        <w:spacing w:line="360" w:lineRule="auto"/>
        <w:rPr>
          <w:rFonts w:ascii="Arial" w:hAnsi="Arial" w:cs="Arial"/>
          <w:sz w:val="22"/>
          <w:szCs w:val="22"/>
        </w:rPr>
      </w:pPr>
    </w:p>
    <w:p w14:paraId="46A48F47" w14:textId="1DCE8387" w:rsidR="005F4C70" w:rsidRPr="00C41B78" w:rsidRDefault="005F4C70" w:rsidP="00C7495D">
      <w:pPr>
        <w:spacing w:line="360" w:lineRule="auto"/>
        <w:rPr>
          <w:rFonts w:ascii="Arial" w:hAnsi="Arial" w:cs="Arial"/>
          <w:b/>
          <w:bCs/>
          <w:sz w:val="22"/>
          <w:szCs w:val="22"/>
        </w:rPr>
      </w:pPr>
      <w:r w:rsidRPr="00C41B78">
        <w:rPr>
          <w:rFonts w:ascii="Arial" w:hAnsi="Arial" w:cs="Arial"/>
          <w:b/>
          <w:bCs/>
          <w:sz w:val="22"/>
          <w:szCs w:val="22"/>
        </w:rPr>
        <w:t>Offering Remedial Actions</w:t>
      </w:r>
    </w:p>
    <w:p w14:paraId="3219652B" w14:textId="6A956947"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 xml:space="preserve">Providing adequate remedies to affected consumers is essential for restoring confidence. This may include free repairs, replacements, or financial compensation for inconveniences caused by the recall (Eilert et al., 2017). Research suggests that consumers respond positively to companies that take responsibility and offer satisfactory solutions during a recall (Cleeren et al., 2013). Furthermore, ensuring that the remedial actions are easily accessible </w:t>
      </w:r>
      <w:r w:rsidRPr="00C41B78">
        <w:rPr>
          <w:rFonts w:ascii="Arial" w:hAnsi="Arial" w:cs="Arial"/>
          <w:sz w:val="22"/>
          <w:szCs w:val="22"/>
        </w:rPr>
        <w:lastRenderedPageBreak/>
        <w:t>and well-publici</w:t>
      </w:r>
      <w:r w:rsidR="00BC5732" w:rsidRPr="00C41B78">
        <w:rPr>
          <w:rFonts w:ascii="Arial" w:hAnsi="Arial" w:cs="Arial"/>
          <w:sz w:val="22"/>
          <w:szCs w:val="22"/>
        </w:rPr>
        <w:t>s</w:t>
      </w:r>
      <w:r w:rsidRPr="00C41B78">
        <w:rPr>
          <w:rFonts w:ascii="Arial" w:hAnsi="Arial" w:cs="Arial"/>
          <w:sz w:val="22"/>
          <w:szCs w:val="22"/>
        </w:rPr>
        <w:t>ed can enhance consumer perceptions of the brand's responsiveness and accountability (Pagiavlas et al., 2021).</w:t>
      </w:r>
    </w:p>
    <w:p w14:paraId="134AFC50" w14:textId="77777777" w:rsidR="005F4C70" w:rsidRPr="00C41B78" w:rsidRDefault="005F4C70" w:rsidP="00C7495D">
      <w:pPr>
        <w:spacing w:line="360" w:lineRule="auto"/>
        <w:rPr>
          <w:rFonts w:ascii="Arial" w:hAnsi="Arial" w:cs="Arial"/>
          <w:sz w:val="22"/>
          <w:szCs w:val="22"/>
        </w:rPr>
      </w:pPr>
    </w:p>
    <w:p w14:paraId="3EBE4CCC" w14:textId="74C58B4C" w:rsidR="005F4C70" w:rsidRPr="00C41B78" w:rsidRDefault="005F4C70" w:rsidP="00C7495D">
      <w:pPr>
        <w:spacing w:line="360" w:lineRule="auto"/>
        <w:rPr>
          <w:rFonts w:ascii="Arial" w:hAnsi="Arial" w:cs="Arial"/>
          <w:b/>
          <w:bCs/>
          <w:sz w:val="22"/>
          <w:szCs w:val="22"/>
        </w:rPr>
      </w:pPr>
      <w:r w:rsidRPr="00C41B78">
        <w:rPr>
          <w:rFonts w:ascii="Arial" w:hAnsi="Arial" w:cs="Arial"/>
          <w:b/>
          <w:bCs/>
          <w:sz w:val="22"/>
          <w:szCs w:val="22"/>
        </w:rPr>
        <w:t xml:space="preserve"> Engaging in Community Outreach</w:t>
      </w:r>
    </w:p>
    <w:p w14:paraId="25950FBE" w14:textId="464AAB75"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Community engagement can play a significant role in rebuilding consumer trust. Automotive manufacturers can participate in community events, sponsor safety workshops, or collaborate with consumer advocacy groups to demonstrate their commitment to consumer welfare</w:t>
      </w:r>
      <w:r w:rsidR="005D3E36">
        <w:rPr>
          <w:rFonts w:ascii="Arial" w:hAnsi="Arial" w:cs="Arial"/>
          <w:sz w:val="22"/>
          <w:szCs w:val="22"/>
        </w:rPr>
        <w:t xml:space="preserve">. </w:t>
      </w:r>
      <w:r w:rsidR="005D3E36" w:rsidRPr="00C41B78">
        <w:rPr>
          <w:rFonts w:ascii="Arial" w:hAnsi="Arial" w:cs="Arial"/>
          <w:sz w:val="22"/>
          <w:szCs w:val="22"/>
        </w:rPr>
        <w:t>Such initiatives not only help to improve brand image but also foster a sense of connection between the brand and its customers, reinforcing consumer confidence in the long term</w:t>
      </w:r>
      <w:r w:rsidRPr="00C41B78">
        <w:rPr>
          <w:rFonts w:ascii="Arial" w:hAnsi="Arial" w:cs="Arial"/>
          <w:sz w:val="22"/>
          <w:szCs w:val="22"/>
        </w:rPr>
        <w:t xml:space="preserve"> (Barnett et al., 2016). </w:t>
      </w:r>
    </w:p>
    <w:p w14:paraId="6289B97F" w14:textId="77777777" w:rsidR="005F4C70" w:rsidRPr="00C41B78" w:rsidRDefault="005F4C70" w:rsidP="00C7495D">
      <w:pPr>
        <w:spacing w:line="360" w:lineRule="auto"/>
        <w:rPr>
          <w:rFonts w:ascii="Arial" w:hAnsi="Arial" w:cs="Arial"/>
          <w:sz w:val="22"/>
          <w:szCs w:val="22"/>
        </w:rPr>
      </w:pPr>
    </w:p>
    <w:p w14:paraId="589E364B" w14:textId="7F59B762" w:rsidR="005F4C70" w:rsidRPr="00C41B78" w:rsidRDefault="005F4C70" w:rsidP="00C7495D">
      <w:pPr>
        <w:spacing w:line="360" w:lineRule="auto"/>
        <w:rPr>
          <w:rFonts w:ascii="Arial" w:hAnsi="Arial" w:cs="Arial"/>
          <w:b/>
          <w:bCs/>
          <w:sz w:val="22"/>
          <w:szCs w:val="22"/>
        </w:rPr>
      </w:pPr>
      <w:r w:rsidRPr="00C41B78">
        <w:rPr>
          <w:rFonts w:ascii="Arial" w:hAnsi="Arial" w:cs="Arial"/>
          <w:b/>
          <w:bCs/>
          <w:sz w:val="22"/>
          <w:szCs w:val="22"/>
        </w:rPr>
        <w:t>Leveraging Technology for Traceability</w:t>
      </w:r>
    </w:p>
    <w:p w14:paraId="4895D06F" w14:textId="3ED51C70"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Implementing advanced traceability systems can enhance consumer confidence by providing transparency regarding the safety and quality of products. Technologies such as blockchain can be utili</w:t>
      </w:r>
      <w:r w:rsidR="00BC5732" w:rsidRPr="00C41B78">
        <w:rPr>
          <w:rFonts w:ascii="Arial" w:hAnsi="Arial" w:cs="Arial"/>
          <w:sz w:val="22"/>
          <w:szCs w:val="22"/>
        </w:rPr>
        <w:t>s</w:t>
      </w:r>
      <w:r w:rsidRPr="00C41B78">
        <w:rPr>
          <w:rFonts w:ascii="Arial" w:hAnsi="Arial" w:cs="Arial"/>
          <w:sz w:val="22"/>
          <w:szCs w:val="22"/>
        </w:rPr>
        <w:t>ed to track the production and distribution processes, allowing consumers to verify the safety of their vehicles</w:t>
      </w:r>
      <w:r w:rsidR="005D3E36">
        <w:rPr>
          <w:rFonts w:ascii="Arial" w:hAnsi="Arial" w:cs="Arial"/>
          <w:sz w:val="22"/>
          <w:szCs w:val="22"/>
        </w:rPr>
        <w:t>. Furthermore, by</w:t>
      </w:r>
      <w:r w:rsidR="005D3E36" w:rsidRPr="00C41B78">
        <w:rPr>
          <w:rFonts w:ascii="Arial" w:hAnsi="Arial" w:cs="Arial"/>
          <w:sz w:val="22"/>
          <w:szCs w:val="22"/>
        </w:rPr>
        <w:t xml:space="preserve"> enabling consumers to access detailed information about the safety measures taken during production and recall processes, manufacturers can strengthen trust and reassure consumers about the integrity of their products</w:t>
      </w:r>
      <w:r w:rsidR="005D3E36">
        <w:rPr>
          <w:rFonts w:ascii="Arial" w:hAnsi="Arial" w:cs="Arial"/>
          <w:sz w:val="22"/>
          <w:szCs w:val="22"/>
        </w:rPr>
        <w:t xml:space="preserve"> </w:t>
      </w:r>
      <w:r w:rsidRPr="00C41B78">
        <w:rPr>
          <w:rFonts w:ascii="Arial" w:hAnsi="Arial" w:cs="Arial"/>
          <w:sz w:val="22"/>
          <w:szCs w:val="22"/>
        </w:rPr>
        <w:t>(Patro et al., 2021</w:t>
      </w:r>
      <w:r w:rsidR="005D3E36">
        <w:rPr>
          <w:rFonts w:ascii="Arial" w:hAnsi="Arial" w:cs="Arial"/>
          <w:sz w:val="22"/>
          <w:szCs w:val="22"/>
        </w:rPr>
        <w:t>).</w:t>
      </w:r>
    </w:p>
    <w:p w14:paraId="366A0F76" w14:textId="77777777" w:rsidR="005F4C70" w:rsidRPr="00C41B78" w:rsidRDefault="005F4C70" w:rsidP="00C7495D">
      <w:pPr>
        <w:spacing w:line="360" w:lineRule="auto"/>
        <w:rPr>
          <w:rFonts w:ascii="Arial" w:hAnsi="Arial" w:cs="Arial"/>
          <w:sz w:val="22"/>
          <w:szCs w:val="22"/>
        </w:rPr>
      </w:pPr>
    </w:p>
    <w:p w14:paraId="1DDFF33E" w14:textId="522A794F" w:rsidR="005F4C70" w:rsidRPr="00C41B78" w:rsidRDefault="005F4C70" w:rsidP="00C7495D">
      <w:pPr>
        <w:spacing w:line="360" w:lineRule="auto"/>
        <w:rPr>
          <w:rFonts w:ascii="Arial" w:hAnsi="Arial" w:cs="Arial"/>
          <w:b/>
          <w:bCs/>
          <w:sz w:val="22"/>
          <w:szCs w:val="22"/>
        </w:rPr>
      </w:pPr>
      <w:r w:rsidRPr="00C41B78">
        <w:rPr>
          <w:rFonts w:ascii="Arial" w:hAnsi="Arial" w:cs="Arial"/>
          <w:b/>
          <w:bCs/>
          <w:sz w:val="22"/>
          <w:szCs w:val="22"/>
        </w:rPr>
        <w:t xml:space="preserve"> Learning from Recalls</w:t>
      </w:r>
    </w:p>
    <w:p w14:paraId="33834F0A" w14:textId="10B0C670"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 xml:space="preserve">Finally, manufacturers should view recalls as opportunities for learning and improvement. By </w:t>
      </w:r>
      <w:r w:rsidR="00BC5732" w:rsidRPr="00C41B78">
        <w:rPr>
          <w:rFonts w:ascii="Arial" w:hAnsi="Arial" w:cs="Arial"/>
          <w:sz w:val="22"/>
          <w:szCs w:val="22"/>
        </w:rPr>
        <w:t>analysing</w:t>
      </w:r>
      <w:r w:rsidRPr="00C41B78">
        <w:rPr>
          <w:rFonts w:ascii="Arial" w:hAnsi="Arial" w:cs="Arial"/>
          <w:sz w:val="22"/>
          <w:szCs w:val="22"/>
        </w:rPr>
        <w:t xml:space="preserve"> the causes of recalls and implementing changes based on these insights, companies can enhance their operational practices and prevent future issues (Ni et al., 2023). </w:t>
      </w:r>
    </w:p>
    <w:p w14:paraId="4F7C1157" w14:textId="77777777" w:rsidR="005F4C70" w:rsidRPr="00C41B78" w:rsidRDefault="005F4C70" w:rsidP="00C7495D">
      <w:pPr>
        <w:spacing w:line="360" w:lineRule="auto"/>
        <w:rPr>
          <w:rFonts w:ascii="Arial" w:hAnsi="Arial" w:cs="Arial"/>
          <w:sz w:val="22"/>
          <w:szCs w:val="22"/>
        </w:rPr>
      </w:pPr>
    </w:p>
    <w:p w14:paraId="15F6C23D" w14:textId="6A9431B0"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 xml:space="preserve">In </w:t>
      </w:r>
      <w:r w:rsidR="005D3E36">
        <w:rPr>
          <w:rFonts w:ascii="Arial" w:hAnsi="Arial" w:cs="Arial"/>
          <w:sz w:val="22"/>
          <w:szCs w:val="22"/>
        </w:rPr>
        <w:t>summary</w:t>
      </w:r>
      <w:r w:rsidRPr="00C41B78">
        <w:rPr>
          <w:rFonts w:ascii="Arial" w:hAnsi="Arial" w:cs="Arial"/>
          <w:sz w:val="22"/>
          <w:szCs w:val="22"/>
        </w:rPr>
        <w:t>, restoring consumer confidence during and after a product recall in the automotive industry requires a comprehensive approach that emphasi</w:t>
      </w:r>
      <w:r w:rsidR="00BC5732" w:rsidRPr="00C41B78">
        <w:rPr>
          <w:rFonts w:ascii="Arial" w:hAnsi="Arial" w:cs="Arial"/>
          <w:sz w:val="22"/>
          <w:szCs w:val="22"/>
        </w:rPr>
        <w:t>s</w:t>
      </w:r>
      <w:r w:rsidRPr="00C41B78">
        <w:rPr>
          <w:rFonts w:ascii="Arial" w:hAnsi="Arial" w:cs="Arial"/>
          <w:sz w:val="22"/>
          <w:szCs w:val="22"/>
        </w:rPr>
        <w:t>es transparent communication, commitment to safety, effective remedial actions, community engagement, technological advancements in traceability, and a focus on learning from past experiences. By implementing these strategies, automotive manufacturers can effectively rebuild trust and ensure long-term consumer loyalty.</w:t>
      </w:r>
    </w:p>
    <w:p w14:paraId="17735F25" w14:textId="77777777" w:rsidR="005F4C70" w:rsidRPr="00C41B78" w:rsidRDefault="005F4C70" w:rsidP="00C7495D">
      <w:pPr>
        <w:spacing w:line="360" w:lineRule="auto"/>
        <w:rPr>
          <w:rFonts w:ascii="Arial" w:hAnsi="Arial" w:cs="Arial"/>
          <w:sz w:val="22"/>
          <w:szCs w:val="22"/>
        </w:rPr>
      </w:pPr>
    </w:p>
    <w:p w14:paraId="219439D1" w14:textId="524318D5" w:rsidR="005F4C70" w:rsidRPr="005D3E36" w:rsidRDefault="005F4C70" w:rsidP="00C7495D">
      <w:pPr>
        <w:pStyle w:val="Heading1"/>
        <w:spacing w:line="360" w:lineRule="auto"/>
        <w:rPr>
          <w:rFonts w:ascii="Arial" w:hAnsi="Arial" w:cs="Arial"/>
          <w:b/>
          <w:bCs/>
          <w:color w:val="auto"/>
          <w:sz w:val="22"/>
          <w:szCs w:val="22"/>
          <w:u w:val="single"/>
        </w:rPr>
      </w:pPr>
      <w:bookmarkStart w:id="4" w:name="_Toc184773051"/>
      <w:r w:rsidRPr="005D3E36">
        <w:rPr>
          <w:rFonts w:ascii="Arial" w:hAnsi="Arial" w:cs="Arial"/>
          <w:b/>
          <w:bCs/>
          <w:color w:val="auto"/>
          <w:sz w:val="22"/>
          <w:szCs w:val="22"/>
          <w:u w:val="single"/>
        </w:rPr>
        <w:t>Conclusion</w:t>
      </w:r>
      <w:bookmarkEnd w:id="4"/>
      <w:r w:rsidR="005D3E36" w:rsidRPr="005D3E36">
        <w:rPr>
          <w:rFonts w:ascii="Arial" w:hAnsi="Arial" w:cs="Arial"/>
          <w:b/>
          <w:bCs/>
          <w:color w:val="auto"/>
          <w:sz w:val="22"/>
          <w:szCs w:val="22"/>
          <w:u w:val="single"/>
        </w:rPr>
        <w:br/>
      </w:r>
    </w:p>
    <w:p w14:paraId="6EB1AA9E" w14:textId="06A60DA3" w:rsidR="005F4C70" w:rsidRPr="00C41B78" w:rsidRDefault="005F4C70" w:rsidP="00C7495D">
      <w:pPr>
        <w:spacing w:line="360" w:lineRule="auto"/>
        <w:rPr>
          <w:rFonts w:ascii="Arial" w:hAnsi="Arial" w:cs="Arial"/>
          <w:sz w:val="22"/>
          <w:szCs w:val="22"/>
        </w:rPr>
      </w:pPr>
      <w:r w:rsidRPr="00C41B78">
        <w:rPr>
          <w:rFonts w:ascii="Arial" w:hAnsi="Arial" w:cs="Arial"/>
          <w:sz w:val="22"/>
          <w:szCs w:val="22"/>
        </w:rPr>
        <w:t>The analysis of product recalls in the automotive industry reveals several critical insights regarding their impact on businesses, the associated costs, and strategies for restoring consumer confidence. The conclusions drawn from the previous discussions can be summari</w:t>
      </w:r>
      <w:r w:rsidR="00BC5732" w:rsidRPr="00C41B78">
        <w:rPr>
          <w:rFonts w:ascii="Arial" w:hAnsi="Arial" w:cs="Arial"/>
          <w:sz w:val="22"/>
          <w:szCs w:val="22"/>
        </w:rPr>
        <w:t>s</w:t>
      </w:r>
      <w:r w:rsidRPr="00C41B78">
        <w:rPr>
          <w:rFonts w:ascii="Arial" w:hAnsi="Arial" w:cs="Arial"/>
          <w:sz w:val="22"/>
          <w:szCs w:val="22"/>
        </w:rPr>
        <w:t>ed as follows:</w:t>
      </w:r>
      <w:r w:rsidR="003520A1">
        <w:rPr>
          <w:rFonts w:ascii="Arial" w:hAnsi="Arial" w:cs="Arial"/>
          <w:sz w:val="22"/>
          <w:szCs w:val="22"/>
        </w:rPr>
        <w:br/>
        <w:t xml:space="preserve">  </w:t>
      </w:r>
      <w:r w:rsidRPr="00C41B78">
        <w:rPr>
          <w:rFonts w:ascii="Arial" w:hAnsi="Arial" w:cs="Arial"/>
          <w:sz w:val="22"/>
          <w:szCs w:val="22"/>
        </w:rPr>
        <w:t xml:space="preserve"> Product recalls significantly affect consumer trust, brand reputation, and financial performance within the automotive industry. The erosion of consumer confidence can lead to decreased sales and long-term damage to brand equity. High-profile recalls, such as those experienced by Toyota, illustrate the potential for substantial reputational harm and financial losses, </w:t>
      </w:r>
      <w:r w:rsidR="00BC5732" w:rsidRPr="00C41B78">
        <w:rPr>
          <w:rFonts w:ascii="Arial" w:hAnsi="Arial" w:cs="Arial"/>
          <w:sz w:val="22"/>
          <w:szCs w:val="22"/>
        </w:rPr>
        <w:t>emphasising</w:t>
      </w:r>
      <w:r w:rsidRPr="00C41B78">
        <w:rPr>
          <w:rFonts w:ascii="Arial" w:hAnsi="Arial" w:cs="Arial"/>
          <w:sz w:val="22"/>
          <w:szCs w:val="22"/>
        </w:rPr>
        <w:t xml:space="preserve"> the need for effective recall management strategies Eilert et al. (2017), Kehr &amp; Proctor, 2016).</w:t>
      </w:r>
      <w:r w:rsidR="003520A1">
        <w:rPr>
          <w:rFonts w:ascii="Arial" w:hAnsi="Arial" w:cs="Arial"/>
          <w:sz w:val="22"/>
          <w:szCs w:val="22"/>
        </w:rPr>
        <w:br/>
        <w:t xml:space="preserve">   </w:t>
      </w:r>
      <w:r w:rsidRPr="00C41B78">
        <w:rPr>
          <w:rFonts w:ascii="Arial" w:hAnsi="Arial" w:cs="Arial"/>
          <w:sz w:val="22"/>
          <w:szCs w:val="22"/>
        </w:rPr>
        <w:t xml:space="preserve">The costs of product recalls can be </w:t>
      </w:r>
      <w:r w:rsidR="00BC5732" w:rsidRPr="00C41B78">
        <w:rPr>
          <w:rFonts w:ascii="Arial" w:hAnsi="Arial" w:cs="Arial"/>
          <w:sz w:val="22"/>
          <w:szCs w:val="22"/>
        </w:rPr>
        <w:t>categorised</w:t>
      </w:r>
      <w:r w:rsidRPr="00C41B78">
        <w:rPr>
          <w:rFonts w:ascii="Arial" w:hAnsi="Arial" w:cs="Arial"/>
          <w:sz w:val="22"/>
          <w:szCs w:val="22"/>
        </w:rPr>
        <w:t xml:space="preserve"> into direct and indirect expenses. Direct costs include logistics, repairs, and legal fees, while indirect costs encompass lost sales, diminished market value, and reputational damage. The automotive industry faces considerable financial burdens due to recalls, with estimates indicating billions of dollars in direct costs alone (Hora et al., </w:t>
      </w:r>
      <w:r w:rsidR="00F924E9" w:rsidRPr="00C41B78">
        <w:rPr>
          <w:rFonts w:ascii="Arial" w:hAnsi="Arial" w:cs="Arial"/>
          <w:sz w:val="22"/>
          <w:szCs w:val="22"/>
        </w:rPr>
        <w:t>2011;</w:t>
      </w:r>
      <w:r w:rsidRPr="00C41B78">
        <w:rPr>
          <w:rFonts w:ascii="Arial" w:hAnsi="Arial" w:cs="Arial"/>
          <w:sz w:val="22"/>
          <w:szCs w:val="22"/>
        </w:rPr>
        <w:t xml:space="preserve"> Singh &amp; Grewal, 2023). Effective management strategies, such as proactive quality control, transparent communication, and leveraging technology, are essential for mitigating these costs (Ahsan, </w:t>
      </w:r>
      <w:r w:rsidR="00F924E9" w:rsidRPr="00C41B78">
        <w:rPr>
          <w:rFonts w:ascii="Arial" w:hAnsi="Arial" w:cs="Arial"/>
          <w:sz w:val="22"/>
          <w:szCs w:val="22"/>
        </w:rPr>
        <w:t>2013;</w:t>
      </w:r>
      <w:r w:rsidRPr="00C41B78">
        <w:rPr>
          <w:rFonts w:ascii="Arial" w:hAnsi="Arial" w:cs="Arial"/>
          <w:sz w:val="22"/>
          <w:szCs w:val="22"/>
        </w:rPr>
        <w:t xml:space="preserve"> Hora et al., </w:t>
      </w:r>
      <w:r w:rsidR="00F924E9" w:rsidRPr="00C41B78">
        <w:rPr>
          <w:rFonts w:ascii="Arial" w:hAnsi="Arial" w:cs="Arial"/>
          <w:sz w:val="22"/>
          <w:szCs w:val="22"/>
        </w:rPr>
        <w:t>2011;</w:t>
      </w:r>
      <w:r w:rsidRPr="00C41B78">
        <w:rPr>
          <w:rFonts w:ascii="Arial" w:hAnsi="Arial" w:cs="Arial"/>
          <w:sz w:val="22"/>
          <w:szCs w:val="22"/>
        </w:rPr>
        <w:t xml:space="preserve"> Achibat et al., 2021).</w:t>
      </w:r>
      <w:r w:rsidR="003520A1">
        <w:rPr>
          <w:rFonts w:ascii="Arial" w:hAnsi="Arial" w:cs="Arial"/>
          <w:sz w:val="22"/>
          <w:szCs w:val="22"/>
        </w:rPr>
        <w:br/>
        <w:t xml:space="preserve">    </w:t>
      </w:r>
      <w:r w:rsidRPr="00C41B78">
        <w:rPr>
          <w:rFonts w:ascii="Arial" w:hAnsi="Arial" w:cs="Arial"/>
          <w:sz w:val="22"/>
          <w:szCs w:val="22"/>
        </w:rPr>
        <w:t>To restore consumer confidence during and after a recall, automotive manufacturers must prioriti</w:t>
      </w:r>
      <w:r w:rsidR="00BC5732" w:rsidRPr="00C41B78">
        <w:rPr>
          <w:rFonts w:ascii="Arial" w:hAnsi="Arial" w:cs="Arial"/>
          <w:sz w:val="22"/>
          <w:szCs w:val="22"/>
        </w:rPr>
        <w:t>s</w:t>
      </w:r>
      <w:r w:rsidRPr="00C41B78">
        <w:rPr>
          <w:rFonts w:ascii="Arial" w:hAnsi="Arial" w:cs="Arial"/>
          <w:sz w:val="22"/>
          <w:szCs w:val="22"/>
        </w:rPr>
        <w:t xml:space="preserve">e transparent communication, demonstrate a commitment to safety, and provide adequate remedial actions. Engaging in community outreach and leveraging technology for traceability can further enhance consumer trust. By viewing recalls as opportunities for learning and improvement, manufacturers can reinforce their dedication to quality and safety, ultimately rebuilding consumer confidence (Hora et al., </w:t>
      </w:r>
      <w:r w:rsidR="00F924E9" w:rsidRPr="00C41B78">
        <w:rPr>
          <w:rFonts w:ascii="Arial" w:hAnsi="Arial" w:cs="Arial"/>
          <w:sz w:val="22"/>
          <w:szCs w:val="22"/>
        </w:rPr>
        <w:t>2011;</w:t>
      </w:r>
      <w:r w:rsidRPr="00C41B78">
        <w:rPr>
          <w:rFonts w:ascii="Arial" w:hAnsi="Arial" w:cs="Arial"/>
          <w:sz w:val="22"/>
          <w:szCs w:val="22"/>
        </w:rPr>
        <w:t xml:space="preserve"> Pagiavlas et al., </w:t>
      </w:r>
      <w:r w:rsidR="00F924E9" w:rsidRPr="00C41B78">
        <w:rPr>
          <w:rFonts w:ascii="Arial" w:hAnsi="Arial" w:cs="Arial"/>
          <w:sz w:val="22"/>
          <w:szCs w:val="22"/>
        </w:rPr>
        <w:t>2021;</w:t>
      </w:r>
      <w:r w:rsidRPr="00C41B78">
        <w:rPr>
          <w:rFonts w:ascii="Arial" w:hAnsi="Arial" w:cs="Arial"/>
          <w:sz w:val="22"/>
          <w:szCs w:val="22"/>
        </w:rPr>
        <w:t xml:space="preserve"> Ni et al., </w:t>
      </w:r>
      <w:r w:rsidR="00F924E9" w:rsidRPr="00C41B78">
        <w:rPr>
          <w:rFonts w:ascii="Arial" w:hAnsi="Arial" w:cs="Arial"/>
          <w:sz w:val="22"/>
          <w:szCs w:val="22"/>
        </w:rPr>
        <w:t>2023;</w:t>
      </w:r>
      <w:r w:rsidRPr="00C41B78">
        <w:rPr>
          <w:rFonts w:ascii="Arial" w:hAnsi="Arial" w:cs="Arial"/>
          <w:sz w:val="22"/>
          <w:szCs w:val="22"/>
        </w:rPr>
        <w:t xml:space="preserve"> Eilert et al., 2017).</w:t>
      </w:r>
    </w:p>
    <w:p w14:paraId="30EB6C15" w14:textId="77777777" w:rsidR="005F4C70" w:rsidRPr="00C41B78" w:rsidRDefault="005F4C70" w:rsidP="00C7495D">
      <w:pPr>
        <w:spacing w:line="360" w:lineRule="auto"/>
        <w:rPr>
          <w:rFonts w:ascii="Arial" w:hAnsi="Arial" w:cs="Arial"/>
          <w:sz w:val="22"/>
          <w:szCs w:val="22"/>
        </w:rPr>
      </w:pPr>
    </w:p>
    <w:p w14:paraId="56415347" w14:textId="77777777" w:rsidR="00626390" w:rsidRDefault="005F4C70" w:rsidP="00626390">
      <w:pPr>
        <w:spacing w:line="360" w:lineRule="auto"/>
        <w:rPr>
          <w:rFonts w:ascii="Arial" w:hAnsi="Arial" w:cs="Arial"/>
          <w:sz w:val="22"/>
          <w:szCs w:val="22"/>
        </w:rPr>
      </w:pPr>
      <w:r w:rsidRPr="00C41B78">
        <w:rPr>
          <w:rFonts w:ascii="Arial" w:hAnsi="Arial" w:cs="Arial"/>
          <w:sz w:val="22"/>
          <w:szCs w:val="22"/>
        </w:rPr>
        <w:t xml:space="preserve">The overarching conclusion is that a holistic approach to recall management is essential for automotive manufacturers. This includes not only addressing the immediate concerns of affected consumers but also implementing long-term strategies to enhance product quality, operational efficiency, and consumer trust. By fostering a culture of safety and continuous improvement, manufacturers can navigate the complexities of recalls more effectively and maintain </w:t>
      </w:r>
      <w:r w:rsidR="00F924E9" w:rsidRPr="00C41B78">
        <w:rPr>
          <w:rFonts w:ascii="Arial" w:hAnsi="Arial" w:cs="Arial"/>
          <w:sz w:val="22"/>
          <w:szCs w:val="22"/>
        </w:rPr>
        <w:t xml:space="preserve">the </w:t>
      </w:r>
      <w:r w:rsidRPr="00C41B78">
        <w:rPr>
          <w:rFonts w:ascii="Arial" w:hAnsi="Arial" w:cs="Arial"/>
          <w:sz w:val="22"/>
          <w:szCs w:val="22"/>
        </w:rPr>
        <w:t xml:space="preserve">competitive edge in the market (Ni et al., </w:t>
      </w:r>
      <w:r w:rsidR="00F924E9" w:rsidRPr="00C41B78">
        <w:rPr>
          <w:rFonts w:ascii="Arial" w:hAnsi="Arial" w:cs="Arial"/>
          <w:sz w:val="22"/>
          <w:szCs w:val="22"/>
        </w:rPr>
        <w:t>2023;</w:t>
      </w:r>
      <w:r w:rsidRPr="00C41B78">
        <w:rPr>
          <w:rFonts w:ascii="Arial" w:hAnsi="Arial" w:cs="Arial"/>
          <w:sz w:val="22"/>
          <w:szCs w:val="22"/>
        </w:rPr>
        <w:t xml:space="preserve"> Liu, </w:t>
      </w:r>
      <w:r w:rsidR="00F924E9" w:rsidRPr="00C41B78">
        <w:rPr>
          <w:rFonts w:ascii="Arial" w:hAnsi="Arial" w:cs="Arial"/>
          <w:sz w:val="22"/>
          <w:szCs w:val="22"/>
        </w:rPr>
        <w:t>2023;</w:t>
      </w:r>
      <w:r w:rsidRPr="00C41B78">
        <w:rPr>
          <w:rFonts w:ascii="Arial" w:hAnsi="Arial" w:cs="Arial"/>
          <w:sz w:val="22"/>
          <w:szCs w:val="22"/>
        </w:rPr>
        <w:t xml:space="preserve"> Barnett et al., 2016).</w:t>
      </w:r>
      <w:r w:rsidR="003520A1">
        <w:rPr>
          <w:rFonts w:ascii="Arial" w:hAnsi="Arial" w:cs="Arial"/>
          <w:sz w:val="22"/>
          <w:szCs w:val="22"/>
        </w:rPr>
        <w:t xml:space="preserve"> </w:t>
      </w:r>
      <w:bookmarkStart w:id="5" w:name="_Toc184773052"/>
    </w:p>
    <w:p w14:paraId="5743EA68" w14:textId="7619C902" w:rsidR="00F924E9" w:rsidRPr="00626390" w:rsidRDefault="00626390" w:rsidP="00626390">
      <w:pPr>
        <w:spacing w:line="360" w:lineRule="auto"/>
        <w:rPr>
          <w:rFonts w:ascii="Arial" w:hAnsi="Arial" w:cs="Arial"/>
          <w:sz w:val="22"/>
          <w:szCs w:val="22"/>
        </w:rPr>
      </w:pPr>
      <w:r>
        <w:rPr>
          <w:rFonts w:ascii="Arial" w:hAnsi="Arial" w:cs="Arial"/>
          <w:b/>
          <w:bCs/>
          <w:sz w:val="22"/>
          <w:szCs w:val="22"/>
        </w:rPr>
        <w:lastRenderedPageBreak/>
        <w:br/>
      </w:r>
      <w:r w:rsidR="00F924E9" w:rsidRPr="003520A1">
        <w:rPr>
          <w:rFonts w:ascii="Arial" w:hAnsi="Arial" w:cs="Arial"/>
          <w:b/>
          <w:bCs/>
          <w:sz w:val="22"/>
          <w:szCs w:val="22"/>
        </w:rPr>
        <w:t>References</w:t>
      </w:r>
      <w:bookmarkEnd w:id="5"/>
    </w:p>
    <w:p w14:paraId="726359A9" w14:textId="77777777" w:rsidR="00F924E9" w:rsidRPr="003520A1" w:rsidRDefault="00F924E9" w:rsidP="00F924E9">
      <w:pPr>
        <w:jc w:val="center"/>
        <w:rPr>
          <w:rFonts w:ascii="Arial" w:hAnsi="Arial" w:cs="Arial"/>
          <w:b/>
          <w:bCs/>
          <w:sz w:val="22"/>
          <w:szCs w:val="22"/>
          <w:u w:val="single"/>
        </w:rPr>
      </w:pPr>
    </w:p>
    <w:p w14:paraId="63848387" w14:textId="09358CC1" w:rsidR="00F924E9" w:rsidRPr="003520A1" w:rsidRDefault="00F924E9" w:rsidP="00F924E9">
      <w:pPr>
        <w:rPr>
          <w:rFonts w:ascii="Arial" w:hAnsi="Arial" w:cs="Arial"/>
          <w:sz w:val="22"/>
          <w:szCs w:val="22"/>
        </w:rPr>
      </w:pPr>
      <w:r w:rsidRPr="003520A1">
        <w:rPr>
          <w:rFonts w:ascii="Arial" w:hAnsi="Arial" w:cs="Arial"/>
          <w:sz w:val="22"/>
          <w:szCs w:val="22"/>
        </w:rPr>
        <w:t xml:space="preserve">Achibat, Fatima Ezzahra, et al. “Application of Six Sigma in a Company Automotive in Morocco.” </w:t>
      </w:r>
      <w:r w:rsidRPr="003520A1">
        <w:rPr>
          <w:rFonts w:ascii="Arial" w:hAnsi="Arial" w:cs="Arial"/>
          <w:i/>
          <w:iCs/>
          <w:sz w:val="22"/>
          <w:szCs w:val="22"/>
        </w:rPr>
        <w:t>E3S Web of Conferences</w:t>
      </w:r>
      <w:r w:rsidRPr="003520A1">
        <w:rPr>
          <w:rFonts w:ascii="Arial" w:hAnsi="Arial" w:cs="Arial"/>
          <w:sz w:val="22"/>
          <w:szCs w:val="22"/>
        </w:rPr>
        <w:t xml:space="preserve">, vol. 319, no. 1, 2021, p. 01093, www.e3s-conferences.org/articles/e3sconf/pdf/2021/95/e3sconf_vigisan_01093.pdf, </w:t>
      </w:r>
      <w:hyperlink r:id="rId8" w:history="1">
        <w:r w:rsidRPr="003520A1">
          <w:rPr>
            <w:rStyle w:val="Hyperlink"/>
            <w:rFonts w:ascii="Arial" w:hAnsi="Arial" w:cs="Arial"/>
            <w:sz w:val="22"/>
            <w:szCs w:val="22"/>
          </w:rPr>
          <w:t>https://doi.org/10.1051/e3sconf/202131901093. Accessed 30 Dec. 2022</w:t>
        </w:r>
      </w:hyperlink>
      <w:r w:rsidRPr="003520A1">
        <w:rPr>
          <w:rFonts w:ascii="Arial" w:hAnsi="Arial" w:cs="Arial"/>
          <w:sz w:val="22"/>
          <w:szCs w:val="22"/>
        </w:rPr>
        <w:t>.</w:t>
      </w:r>
    </w:p>
    <w:p w14:paraId="5DDE5B22" w14:textId="77777777" w:rsidR="00F924E9" w:rsidRPr="003520A1" w:rsidRDefault="00F924E9" w:rsidP="00F924E9">
      <w:pPr>
        <w:rPr>
          <w:rFonts w:ascii="Arial" w:hAnsi="Arial" w:cs="Arial"/>
          <w:sz w:val="22"/>
          <w:szCs w:val="22"/>
        </w:rPr>
      </w:pPr>
    </w:p>
    <w:p w14:paraId="6DB6B386" w14:textId="61433E71" w:rsidR="00F924E9" w:rsidRPr="003520A1" w:rsidRDefault="00F924E9" w:rsidP="00F924E9">
      <w:pPr>
        <w:rPr>
          <w:rFonts w:ascii="Arial" w:hAnsi="Arial" w:cs="Arial"/>
          <w:sz w:val="22"/>
          <w:szCs w:val="22"/>
        </w:rPr>
      </w:pPr>
      <w:r w:rsidRPr="003520A1">
        <w:rPr>
          <w:rFonts w:ascii="Arial" w:hAnsi="Arial" w:cs="Arial"/>
          <w:sz w:val="22"/>
          <w:szCs w:val="22"/>
        </w:rPr>
        <w:t xml:space="preserve">Ahsan, Kamrul. “Trend Analysis of Car Recalls: Evidence from the US Market.” </w:t>
      </w:r>
      <w:r w:rsidRPr="003520A1">
        <w:rPr>
          <w:rFonts w:ascii="Arial" w:hAnsi="Arial" w:cs="Arial"/>
          <w:i/>
          <w:iCs/>
          <w:sz w:val="22"/>
          <w:szCs w:val="22"/>
        </w:rPr>
        <w:t>International Journal of Managing Value and Supply Chains</w:t>
      </w:r>
      <w:r w:rsidRPr="003520A1">
        <w:rPr>
          <w:rFonts w:ascii="Arial" w:hAnsi="Arial" w:cs="Arial"/>
          <w:sz w:val="22"/>
          <w:szCs w:val="22"/>
        </w:rPr>
        <w:t xml:space="preserve">, vol. 4, no. 4, 31 Dec. 2013, pp. 1–16, airccse.org/journal/mvsc/papers/4413ijmvsc01.pdf, </w:t>
      </w:r>
      <w:hyperlink r:id="rId9" w:history="1">
        <w:r w:rsidRPr="003520A1">
          <w:rPr>
            <w:rStyle w:val="Hyperlink"/>
            <w:rFonts w:ascii="Arial" w:hAnsi="Arial" w:cs="Arial"/>
            <w:sz w:val="22"/>
            <w:szCs w:val="22"/>
          </w:rPr>
          <w:t>https://doi.org/10.5121/ijmvsc.2013.4401</w:t>
        </w:r>
      </w:hyperlink>
      <w:r w:rsidRPr="003520A1">
        <w:rPr>
          <w:rFonts w:ascii="Arial" w:hAnsi="Arial" w:cs="Arial"/>
          <w:sz w:val="22"/>
          <w:szCs w:val="22"/>
        </w:rPr>
        <w:t>.</w:t>
      </w:r>
    </w:p>
    <w:p w14:paraId="34FFD8C2" w14:textId="77777777" w:rsidR="00F924E9" w:rsidRPr="003520A1" w:rsidRDefault="00F924E9" w:rsidP="00F924E9">
      <w:pPr>
        <w:rPr>
          <w:rFonts w:ascii="Arial" w:hAnsi="Arial" w:cs="Arial"/>
          <w:sz w:val="22"/>
          <w:szCs w:val="22"/>
        </w:rPr>
      </w:pPr>
    </w:p>
    <w:p w14:paraId="15120196" w14:textId="0715E3A1" w:rsidR="00F924E9" w:rsidRPr="003520A1" w:rsidRDefault="00F924E9" w:rsidP="00F924E9">
      <w:pPr>
        <w:rPr>
          <w:rFonts w:ascii="Arial" w:hAnsi="Arial" w:cs="Arial"/>
          <w:sz w:val="22"/>
          <w:szCs w:val="22"/>
        </w:rPr>
      </w:pPr>
      <w:r w:rsidRPr="003520A1">
        <w:rPr>
          <w:rFonts w:ascii="Arial" w:hAnsi="Arial" w:cs="Arial"/>
          <w:sz w:val="22"/>
          <w:szCs w:val="22"/>
        </w:rPr>
        <w:t xml:space="preserve">Ahsan, Kamrul, and Indra Gunawan. “Analysis of Product Recalls: Identification of Recall Initiators and Causes of Recall.” </w:t>
      </w:r>
      <w:r w:rsidRPr="003520A1">
        <w:rPr>
          <w:rFonts w:ascii="Arial" w:hAnsi="Arial" w:cs="Arial"/>
          <w:i/>
          <w:iCs/>
          <w:sz w:val="22"/>
          <w:szCs w:val="22"/>
        </w:rPr>
        <w:t>Operations and Supply Chain Management: An International Journal</w:t>
      </w:r>
      <w:r w:rsidRPr="003520A1">
        <w:rPr>
          <w:rFonts w:ascii="Arial" w:hAnsi="Arial" w:cs="Arial"/>
          <w:sz w:val="22"/>
          <w:szCs w:val="22"/>
        </w:rPr>
        <w:t xml:space="preserve">, vol. 7, no. 3, 5 Dec. 2014, p. 97, </w:t>
      </w:r>
      <w:hyperlink r:id="rId10" w:history="1">
        <w:r w:rsidRPr="003520A1">
          <w:rPr>
            <w:rStyle w:val="Hyperlink"/>
            <w:rFonts w:ascii="Arial" w:hAnsi="Arial" w:cs="Arial"/>
            <w:sz w:val="22"/>
            <w:szCs w:val="22"/>
          </w:rPr>
          <w:t>https://doi.org/10.31387/oscm0180115</w:t>
        </w:r>
      </w:hyperlink>
      <w:r w:rsidRPr="003520A1">
        <w:rPr>
          <w:rFonts w:ascii="Arial" w:hAnsi="Arial" w:cs="Arial"/>
          <w:sz w:val="22"/>
          <w:szCs w:val="22"/>
        </w:rPr>
        <w:t>.</w:t>
      </w:r>
    </w:p>
    <w:p w14:paraId="5EF41B86" w14:textId="77777777" w:rsidR="00F924E9" w:rsidRPr="003520A1" w:rsidRDefault="00F924E9" w:rsidP="00F924E9">
      <w:pPr>
        <w:rPr>
          <w:rFonts w:ascii="Arial" w:hAnsi="Arial" w:cs="Arial"/>
          <w:sz w:val="22"/>
          <w:szCs w:val="22"/>
        </w:rPr>
      </w:pPr>
    </w:p>
    <w:p w14:paraId="6ED38C2A" w14:textId="3414DD8E" w:rsidR="00F924E9" w:rsidRPr="003520A1" w:rsidRDefault="00F924E9" w:rsidP="00F924E9">
      <w:pPr>
        <w:rPr>
          <w:rFonts w:ascii="Arial" w:hAnsi="Arial" w:cs="Arial"/>
          <w:sz w:val="22"/>
          <w:szCs w:val="22"/>
        </w:rPr>
      </w:pPr>
      <w:r w:rsidRPr="003520A1">
        <w:rPr>
          <w:rFonts w:ascii="Arial" w:hAnsi="Arial" w:cs="Arial"/>
          <w:sz w:val="22"/>
          <w:szCs w:val="22"/>
        </w:rPr>
        <w:t xml:space="preserve">Akdeniz, M. Billur, et al. “Signaling Quality: An Examination of the Effects of Marketing- and Nonmarketing-Controlled Signals on Perceptions of Automotive Brand Quality.” </w:t>
      </w:r>
      <w:r w:rsidRPr="003520A1">
        <w:rPr>
          <w:rFonts w:ascii="Arial" w:hAnsi="Arial" w:cs="Arial"/>
          <w:i/>
          <w:iCs/>
          <w:sz w:val="22"/>
          <w:szCs w:val="22"/>
        </w:rPr>
        <w:t>Journal of Product Innovation Management</w:t>
      </w:r>
      <w:r w:rsidRPr="003520A1">
        <w:rPr>
          <w:rFonts w:ascii="Arial" w:hAnsi="Arial" w:cs="Arial"/>
          <w:sz w:val="22"/>
          <w:szCs w:val="22"/>
        </w:rPr>
        <w:t xml:space="preserve">, vol. 31, no. 4, 3 Nov. 2013, pp. 728–743, </w:t>
      </w:r>
      <w:hyperlink r:id="rId11" w:history="1">
        <w:r w:rsidRPr="003520A1">
          <w:rPr>
            <w:rStyle w:val="Hyperlink"/>
            <w:rFonts w:ascii="Arial" w:hAnsi="Arial" w:cs="Arial"/>
            <w:sz w:val="22"/>
            <w:szCs w:val="22"/>
          </w:rPr>
          <w:t>https://doi.org/10.1111/jpim.12120</w:t>
        </w:r>
      </w:hyperlink>
      <w:r w:rsidRPr="003520A1">
        <w:rPr>
          <w:rFonts w:ascii="Arial" w:hAnsi="Arial" w:cs="Arial"/>
          <w:sz w:val="22"/>
          <w:szCs w:val="22"/>
        </w:rPr>
        <w:t>.</w:t>
      </w:r>
    </w:p>
    <w:p w14:paraId="77EA4600" w14:textId="77777777" w:rsidR="00F924E9" w:rsidRPr="003520A1" w:rsidRDefault="00F924E9" w:rsidP="00F924E9">
      <w:pPr>
        <w:rPr>
          <w:rFonts w:ascii="Arial" w:hAnsi="Arial" w:cs="Arial"/>
          <w:sz w:val="22"/>
          <w:szCs w:val="22"/>
        </w:rPr>
      </w:pPr>
    </w:p>
    <w:p w14:paraId="44B51BB2" w14:textId="4866713D" w:rsidR="00F924E9" w:rsidRPr="003520A1" w:rsidRDefault="00F924E9" w:rsidP="00F924E9">
      <w:pPr>
        <w:rPr>
          <w:rFonts w:ascii="Arial" w:hAnsi="Arial" w:cs="Arial"/>
          <w:sz w:val="22"/>
          <w:szCs w:val="22"/>
        </w:rPr>
      </w:pPr>
      <w:r w:rsidRPr="003520A1">
        <w:rPr>
          <w:rFonts w:ascii="Arial" w:hAnsi="Arial" w:cs="Arial"/>
          <w:sz w:val="22"/>
          <w:szCs w:val="22"/>
        </w:rPr>
        <w:t xml:space="preserve">Barnett, Julie, et al. “Consumers’ Confidence, Reflections and Response Strategies Following the Horsemeat Incident.” </w:t>
      </w:r>
      <w:r w:rsidRPr="003520A1">
        <w:rPr>
          <w:rFonts w:ascii="Arial" w:hAnsi="Arial" w:cs="Arial"/>
          <w:i/>
          <w:iCs/>
          <w:sz w:val="22"/>
          <w:szCs w:val="22"/>
        </w:rPr>
        <w:t>Food Control</w:t>
      </w:r>
      <w:r w:rsidRPr="003520A1">
        <w:rPr>
          <w:rFonts w:ascii="Arial" w:hAnsi="Arial" w:cs="Arial"/>
          <w:sz w:val="22"/>
          <w:szCs w:val="22"/>
        </w:rPr>
        <w:t xml:space="preserve">, vol. 59, no. 1, 1 Jan. 2016, pp. 721–730, www.sciencedirect.com/science/article/pii/S0956713515300530, </w:t>
      </w:r>
      <w:hyperlink r:id="rId12" w:history="1">
        <w:r w:rsidRPr="003520A1">
          <w:rPr>
            <w:rStyle w:val="Hyperlink"/>
            <w:rFonts w:ascii="Arial" w:hAnsi="Arial" w:cs="Arial"/>
            <w:sz w:val="22"/>
            <w:szCs w:val="22"/>
          </w:rPr>
          <w:t>https://doi.org/10.1016/j.foodcont.2015.06.021</w:t>
        </w:r>
      </w:hyperlink>
      <w:r w:rsidRPr="003520A1">
        <w:rPr>
          <w:rFonts w:ascii="Arial" w:hAnsi="Arial" w:cs="Arial"/>
          <w:sz w:val="22"/>
          <w:szCs w:val="22"/>
        </w:rPr>
        <w:t>.</w:t>
      </w:r>
    </w:p>
    <w:p w14:paraId="4A5A918F" w14:textId="77777777" w:rsidR="00F924E9" w:rsidRPr="003520A1" w:rsidRDefault="00F924E9" w:rsidP="00F924E9">
      <w:pPr>
        <w:rPr>
          <w:rFonts w:ascii="Arial" w:hAnsi="Arial" w:cs="Arial"/>
          <w:sz w:val="22"/>
          <w:szCs w:val="22"/>
        </w:rPr>
      </w:pPr>
    </w:p>
    <w:p w14:paraId="72F45FFE" w14:textId="5CD9B1B3" w:rsidR="00F924E9" w:rsidRPr="003520A1" w:rsidRDefault="00F924E9" w:rsidP="00F924E9">
      <w:pPr>
        <w:rPr>
          <w:rFonts w:ascii="Arial" w:hAnsi="Arial" w:cs="Arial"/>
          <w:sz w:val="22"/>
          <w:szCs w:val="22"/>
        </w:rPr>
      </w:pPr>
      <w:r w:rsidRPr="003520A1">
        <w:rPr>
          <w:rFonts w:ascii="Arial" w:hAnsi="Arial" w:cs="Arial"/>
          <w:sz w:val="22"/>
          <w:szCs w:val="22"/>
        </w:rPr>
        <w:t xml:space="preserve">Cleeren, Kathleen, et al. “Rising from the Ashes: How Brands and Categories Can Overcome Product-Harm Crises.” </w:t>
      </w:r>
      <w:r w:rsidRPr="003520A1">
        <w:rPr>
          <w:rFonts w:ascii="Arial" w:hAnsi="Arial" w:cs="Arial"/>
          <w:i/>
          <w:iCs/>
          <w:sz w:val="22"/>
          <w:szCs w:val="22"/>
        </w:rPr>
        <w:t>Journal of Marketing</w:t>
      </w:r>
      <w:r w:rsidRPr="003520A1">
        <w:rPr>
          <w:rFonts w:ascii="Arial" w:hAnsi="Arial" w:cs="Arial"/>
          <w:sz w:val="22"/>
          <w:szCs w:val="22"/>
        </w:rPr>
        <w:t xml:space="preserve">, vol. 77, no. 2, Mar. 2013, pp. 58–77, </w:t>
      </w:r>
      <w:hyperlink r:id="rId13" w:history="1">
        <w:r w:rsidRPr="003520A1">
          <w:rPr>
            <w:rStyle w:val="Hyperlink"/>
            <w:rFonts w:ascii="Arial" w:hAnsi="Arial" w:cs="Arial"/>
            <w:sz w:val="22"/>
            <w:szCs w:val="22"/>
          </w:rPr>
          <w:t>https://doi.org/10.1509/jm.10.0414</w:t>
        </w:r>
      </w:hyperlink>
      <w:r w:rsidRPr="003520A1">
        <w:rPr>
          <w:rFonts w:ascii="Arial" w:hAnsi="Arial" w:cs="Arial"/>
          <w:sz w:val="22"/>
          <w:szCs w:val="22"/>
        </w:rPr>
        <w:t>.</w:t>
      </w:r>
    </w:p>
    <w:p w14:paraId="303CE0ED" w14:textId="77777777" w:rsidR="00F924E9" w:rsidRPr="003520A1" w:rsidRDefault="00F924E9" w:rsidP="00F924E9">
      <w:pPr>
        <w:rPr>
          <w:rFonts w:ascii="Arial" w:hAnsi="Arial" w:cs="Arial"/>
          <w:sz w:val="22"/>
          <w:szCs w:val="22"/>
        </w:rPr>
      </w:pPr>
    </w:p>
    <w:p w14:paraId="0773E001" w14:textId="03652F81" w:rsidR="00F924E9" w:rsidRPr="003520A1" w:rsidRDefault="00F924E9" w:rsidP="00F924E9">
      <w:pPr>
        <w:rPr>
          <w:rFonts w:ascii="Arial" w:hAnsi="Arial" w:cs="Arial"/>
          <w:sz w:val="22"/>
          <w:szCs w:val="22"/>
        </w:rPr>
      </w:pPr>
      <w:r w:rsidRPr="003520A1">
        <w:rPr>
          <w:rFonts w:ascii="Arial" w:hAnsi="Arial" w:cs="Arial"/>
          <w:sz w:val="22"/>
          <w:szCs w:val="22"/>
        </w:rPr>
        <w:t>DuHadway, Scott, and Ram Narasimhan. “Subverting Process</w:t>
      </w:r>
      <w:r w:rsidRPr="003520A1">
        <w:rPr>
          <w:rFonts w:ascii="Cambria Math" w:hAnsi="Cambria Math" w:cs="Cambria Math"/>
          <w:sz w:val="22"/>
          <w:szCs w:val="22"/>
        </w:rPr>
        <w:t>‐</w:t>
      </w:r>
      <w:r w:rsidRPr="003520A1">
        <w:rPr>
          <w:rFonts w:ascii="Arial" w:hAnsi="Arial" w:cs="Arial"/>
          <w:sz w:val="22"/>
          <w:szCs w:val="22"/>
        </w:rPr>
        <w:t xml:space="preserve">Based Controls: Oscillation in Automotive Recalls and a Simulation on Opportunism within a Network.” </w:t>
      </w:r>
      <w:r w:rsidRPr="003520A1">
        <w:rPr>
          <w:rFonts w:ascii="Arial" w:hAnsi="Arial" w:cs="Arial"/>
          <w:i/>
          <w:iCs/>
          <w:sz w:val="22"/>
          <w:szCs w:val="22"/>
        </w:rPr>
        <w:t>Decision Sciences</w:t>
      </w:r>
      <w:r w:rsidRPr="003520A1">
        <w:rPr>
          <w:rFonts w:ascii="Arial" w:hAnsi="Arial" w:cs="Arial"/>
          <w:sz w:val="22"/>
          <w:szCs w:val="22"/>
        </w:rPr>
        <w:t>, vol. 52, no. 6, 15 July 2020, https://doi.org/10.1111/deci.12472. Accessed 24 Jan. 2021.</w:t>
      </w:r>
    </w:p>
    <w:p w14:paraId="198CD501" w14:textId="60ACB65E" w:rsidR="00F924E9" w:rsidRPr="003520A1" w:rsidRDefault="00F924E9" w:rsidP="00F924E9">
      <w:pPr>
        <w:rPr>
          <w:rFonts w:ascii="Arial" w:hAnsi="Arial" w:cs="Arial"/>
          <w:sz w:val="22"/>
          <w:szCs w:val="22"/>
        </w:rPr>
      </w:pPr>
      <w:r w:rsidRPr="003520A1">
        <w:rPr>
          <w:rFonts w:ascii="Arial" w:hAnsi="Arial" w:cs="Arial"/>
          <w:sz w:val="22"/>
          <w:szCs w:val="22"/>
        </w:rPr>
        <w:t xml:space="preserve">Eilert, Meike, et al. “Does It Pay to Recall Your Product Early? An Empirical Investigation in the Automobile Industry.” </w:t>
      </w:r>
      <w:r w:rsidRPr="003520A1">
        <w:rPr>
          <w:rFonts w:ascii="Arial" w:hAnsi="Arial" w:cs="Arial"/>
          <w:i/>
          <w:iCs/>
          <w:sz w:val="22"/>
          <w:szCs w:val="22"/>
        </w:rPr>
        <w:t>Journal of Marketing</w:t>
      </w:r>
      <w:r w:rsidRPr="003520A1">
        <w:rPr>
          <w:rFonts w:ascii="Arial" w:hAnsi="Arial" w:cs="Arial"/>
          <w:sz w:val="22"/>
          <w:szCs w:val="22"/>
        </w:rPr>
        <w:t xml:space="preserve">, vol. 81, no. 3, May 2017, pp. 111–129, </w:t>
      </w:r>
      <w:hyperlink r:id="rId14" w:history="1">
        <w:r w:rsidRPr="003520A1">
          <w:rPr>
            <w:rStyle w:val="Hyperlink"/>
            <w:rFonts w:ascii="Arial" w:hAnsi="Arial" w:cs="Arial"/>
            <w:sz w:val="22"/>
            <w:szCs w:val="22"/>
          </w:rPr>
          <w:t>https://doi.org/10.1509/jm.15.0074</w:t>
        </w:r>
      </w:hyperlink>
      <w:r w:rsidRPr="003520A1">
        <w:rPr>
          <w:rFonts w:ascii="Arial" w:hAnsi="Arial" w:cs="Arial"/>
          <w:sz w:val="22"/>
          <w:szCs w:val="22"/>
        </w:rPr>
        <w:t>.</w:t>
      </w:r>
    </w:p>
    <w:p w14:paraId="24769CC6" w14:textId="77777777" w:rsidR="00F924E9" w:rsidRPr="003520A1" w:rsidRDefault="00F924E9" w:rsidP="00F924E9">
      <w:pPr>
        <w:rPr>
          <w:rFonts w:ascii="Arial" w:hAnsi="Arial" w:cs="Arial"/>
          <w:sz w:val="22"/>
          <w:szCs w:val="22"/>
        </w:rPr>
      </w:pPr>
    </w:p>
    <w:p w14:paraId="4AD44B3F" w14:textId="77777777" w:rsidR="00F924E9" w:rsidRPr="003520A1" w:rsidRDefault="00F924E9" w:rsidP="00F924E9">
      <w:pPr>
        <w:rPr>
          <w:rFonts w:ascii="Arial" w:hAnsi="Arial" w:cs="Arial"/>
          <w:sz w:val="22"/>
          <w:szCs w:val="22"/>
        </w:rPr>
      </w:pPr>
      <w:r w:rsidRPr="003520A1">
        <w:rPr>
          <w:rFonts w:ascii="Arial" w:hAnsi="Arial" w:cs="Arial"/>
          <w:sz w:val="22"/>
          <w:szCs w:val="22"/>
        </w:rPr>
        <w:lastRenderedPageBreak/>
        <w:t xml:space="preserve">Hage, Hassan, et al. “SMC4PEP: Stochastic Model Checking of Product Engineering Processes.” </w:t>
      </w:r>
      <w:r w:rsidRPr="003520A1">
        <w:rPr>
          <w:rFonts w:ascii="Arial" w:hAnsi="Arial" w:cs="Arial"/>
          <w:i/>
          <w:iCs/>
          <w:sz w:val="22"/>
          <w:szCs w:val="22"/>
        </w:rPr>
        <w:t>ArXiv (Cornell University)</w:t>
      </w:r>
      <w:r w:rsidRPr="003520A1">
        <w:rPr>
          <w:rFonts w:ascii="Arial" w:hAnsi="Arial" w:cs="Arial"/>
          <w:sz w:val="22"/>
          <w:szCs w:val="22"/>
        </w:rPr>
        <w:t>, vol. 1, no. 1, 1 Jan. 2022, https://doi.org/10.48550/arxiv.2203.06974. Accessed 11 Dec. 2024.</w:t>
      </w:r>
    </w:p>
    <w:p w14:paraId="7CF5B717" w14:textId="77777777" w:rsidR="00F924E9" w:rsidRPr="003520A1" w:rsidRDefault="00F924E9" w:rsidP="00F924E9">
      <w:pPr>
        <w:rPr>
          <w:rFonts w:ascii="Arial" w:hAnsi="Arial" w:cs="Arial"/>
          <w:sz w:val="22"/>
          <w:szCs w:val="22"/>
        </w:rPr>
      </w:pPr>
    </w:p>
    <w:p w14:paraId="4D579F74" w14:textId="19403373" w:rsidR="00F924E9" w:rsidRPr="003520A1" w:rsidRDefault="00F924E9" w:rsidP="00F924E9">
      <w:pPr>
        <w:rPr>
          <w:rFonts w:ascii="Arial" w:hAnsi="Arial" w:cs="Arial"/>
          <w:sz w:val="22"/>
          <w:szCs w:val="22"/>
        </w:rPr>
      </w:pPr>
      <w:r w:rsidRPr="003520A1">
        <w:rPr>
          <w:rFonts w:ascii="Arial" w:hAnsi="Arial" w:cs="Arial"/>
          <w:sz w:val="22"/>
          <w:szCs w:val="22"/>
        </w:rPr>
        <w:t xml:space="preserve">Hora, Manpreet, et al. “Safety Hazard and Time to Recall: The Role of Recall Strategy, Product Defect Type, and Supply Chain Player in the U.S. Toy Industry.” </w:t>
      </w:r>
      <w:r w:rsidRPr="003520A1">
        <w:rPr>
          <w:rFonts w:ascii="Arial" w:hAnsi="Arial" w:cs="Arial"/>
          <w:i/>
          <w:iCs/>
          <w:sz w:val="22"/>
          <w:szCs w:val="22"/>
        </w:rPr>
        <w:t>Journal of Operations Management</w:t>
      </w:r>
      <w:r w:rsidRPr="003520A1">
        <w:rPr>
          <w:rFonts w:ascii="Arial" w:hAnsi="Arial" w:cs="Arial"/>
          <w:sz w:val="22"/>
          <w:szCs w:val="22"/>
        </w:rPr>
        <w:t xml:space="preserve">, vol. 29, no. 7-8, 28 June 2011, pp. 766–777, </w:t>
      </w:r>
      <w:hyperlink r:id="rId15" w:history="1">
        <w:r w:rsidRPr="003520A1">
          <w:rPr>
            <w:rStyle w:val="Hyperlink"/>
            <w:rFonts w:ascii="Arial" w:hAnsi="Arial" w:cs="Arial"/>
            <w:sz w:val="22"/>
            <w:szCs w:val="22"/>
          </w:rPr>
          <w:t>https://doi.org/10.1016/j.jom.2011.06.006</w:t>
        </w:r>
      </w:hyperlink>
      <w:r w:rsidRPr="003520A1">
        <w:rPr>
          <w:rFonts w:ascii="Arial" w:hAnsi="Arial" w:cs="Arial"/>
          <w:sz w:val="22"/>
          <w:szCs w:val="22"/>
        </w:rPr>
        <w:t>.</w:t>
      </w:r>
    </w:p>
    <w:p w14:paraId="6B9720BB" w14:textId="77777777" w:rsidR="00F924E9" w:rsidRPr="003520A1" w:rsidRDefault="00F924E9" w:rsidP="00F924E9">
      <w:pPr>
        <w:rPr>
          <w:rFonts w:ascii="Arial" w:hAnsi="Arial" w:cs="Arial"/>
          <w:sz w:val="22"/>
          <w:szCs w:val="22"/>
        </w:rPr>
      </w:pPr>
    </w:p>
    <w:p w14:paraId="358D10BD" w14:textId="200FD5FF" w:rsidR="00F924E9" w:rsidRPr="003520A1" w:rsidRDefault="00F924E9" w:rsidP="00F924E9">
      <w:pPr>
        <w:rPr>
          <w:rFonts w:ascii="Arial" w:hAnsi="Arial" w:cs="Arial"/>
          <w:sz w:val="22"/>
          <w:szCs w:val="22"/>
        </w:rPr>
      </w:pPr>
      <w:r w:rsidRPr="003520A1">
        <w:rPr>
          <w:rFonts w:ascii="Arial" w:hAnsi="Arial" w:cs="Arial"/>
          <w:sz w:val="22"/>
          <w:szCs w:val="22"/>
        </w:rPr>
        <w:t xml:space="preserve">Kehr, Thomas W., and Michael D. Proctor. “People Pillars: Re-Structuring the Toyota Production System (TPS) House Based on Inadequacies Revealed during the Automotive Recall Crisis.” </w:t>
      </w:r>
      <w:r w:rsidRPr="003520A1">
        <w:rPr>
          <w:rFonts w:ascii="Arial" w:hAnsi="Arial" w:cs="Arial"/>
          <w:i/>
          <w:iCs/>
          <w:sz w:val="22"/>
          <w:szCs w:val="22"/>
        </w:rPr>
        <w:t>Quality and Reliability Engineering International</w:t>
      </w:r>
      <w:r w:rsidRPr="003520A1">
        <w:rPr>
          <w:rFonts w:ascii="Arial" w:hAnsi="Arial" w:cs="Arial"/>
          <w:sz w:val="22"/>
          <w:szCs w:val="22"/>
        </w:rPr>
        <w:t xml:space="preserve">, vol. 33, no. 4, 28 July 2016, pp. 921–930, </w:t>
      </w:r>
      <w:hyperlink r:id="rId16" w:history="1">
        <w:r w:rsidRPr="003520A1">
          <w:rPr>
            <w:rStyle w:val="Hyperlink"/>
            <w:rFonts w:ascii="Arial" w:hAnsi="Arial" w:cs="Arial"/>
            <w:sz w:val="22"/>
            <w:szCs w:val="22"/>
          </w:rPr>
          <w:t>https://doi.org/10.1002/qre.2059</w:t>
        </w:r>
      </w:hyperlink>
      <w:r w:rsidRPr="003520A1">
        <w:rPr>
          <w:rFonts w:ascii="Arial" w:hAnsi="Arial" w:cs="Arial"/>
          <w:sz w:val="22"/>
          <w:szCs w:val="22"/>
        </w:rPr>
        <w:t>.</w:t>
      </w:r>
    </w:p>
    <w:p w14:paraId="2AE0A089" w14:textId="77777777" w:rsidR="00F924E9" w:rsidRPr="003520A1" w:rsidRDefault="00F924E9" w:rsidP="00F924E9">
      <w:pPr>
        <w:rPr>
          <w:rFonts w:ascii="Arial" w:hAnsi="Arial" w:cs="Arial"/>
          <w:sz w:val="22"/>
          <w:szCs w:val="22"/>
        </w:rPr>
      </w:pPr>
    </w:p>
    <w:p w14:paraId="7FC7F634" w14:textId="33F9325C" w:rsidR="00F924E9" w:rsidRPr="003520A1" w:rsidRDefault="00F924E9" w:rsidP="00F924E9">
      <w:pPr>
        <w:rPr>
          <w:rFonts w:ascii="Arial" w:hAnsi="Arial" w:cs="Arial"/>
          <w:sz w:val="22"/>
          <w:szCs w:val="22"/>
        </w:rPr>
      </w:pPr>
      <w:r w:rsidRPr="003520A1">
        <w:rPr>
          <w:rFonts w:ascii="Arial" w:hAnsi="Arial" w:cs="Arial"/>
          <w:sz w:val="22"/>
          <w:szCs w:val="22"/>
        </w:rPr>
        <w:t xml:space="preserve">Liu, Siyu, et al. “Gluten-Free Product Recalls and Their Impact on Consumer Trust.” </w:t>
      </w:r>
      <w:r w:rsidRPr="003520A1">
        <w:rPr>
          <w:rFonts w:ascii="Arial" w:hAnsi="Arial" w:cs="Arial"/>
          <w:i/>
          <w:iCs/>
          <w:sz w:val="22"/>
          <w:szCs w:val="22"/>
        </w:rPr>
        <w:t>Nutrients</w:t>
      </w:r>
      <w:r w:rsidRPr="003520A1">
        <w:rPr>
          <w:rFonts w:ascii="Arial" w:hAnsi="Arial" w:cs="Arial"/>
          <w:sz w:val="22"/>
          <w:szCs w:val="22"/>
        </w:rPr>
        <w:t xml:space="preserve">, vol. 15, no. 19, 27 Sept. 2023, pp. 4170–4170, </w:t>
      </w:r>
      <w:hyperlink r:id="rId17" w:history="1">
        <w:r w:rsidRPr="003520A1">
          <w:rPr>
            <w:rStyle w:val="Hyperlink"/>
            <w:rFonts w:ascii="Arial" w:hAnsi="Arial" w:cs="Arial"/>
            <w:sz w:val="22"/>
            <w:szCs w:val="22"/>
          </w:rPr>
          <w:t>https://doi.org/10.3390/nu15194170</w:t>
        </w:r>
      </w:hyperlink>
      <w:r w:rsidRPr="003520A1">
        <w:rPr>
          <w:rFonts w:ascii="Arial" w:hAnsi="Arial" w:cs="Arial"/>
          <w:sz w:val="22"/>
          <w:szCs w:val="22"/>
        </w:rPr>
        <w:t>.</w:t>
      </w:r>
    </w:p>
    <w:p w14:paraId="0B636A46" w14:textId="77777777" w:rsidR="00F924E9" w:rsidRPr="003520A1" w:rsidRDefault="00F924E9" w:rsidP="00F924E9">
      <w:pPr>
        <w:rPr>
          <w:rFonts w:ascii="Arial" w:hAnsi="Arial" w:cs="Arial"/>
          <w:sz w:val="22"/>
          <w:szCs w:val="22"/>
        </w:rPr>
      </w:pPr>
    </w:p>
    <w:p w14:paraId="353D1709" w14:textId="7C2A0CBB" w:rsidR="00F924E9" w:rsidRPr="003520A1" w:rsidRDefault="00F924E9" w:rsidP="00F924E9">
      <w:pPr>
        <w:rPr>
          <w:rFonts w:ascii="Arial" w:hAnsi="Arial" w:cs="Arial"/>
          <w:sz w:val="22"/>
          <w:szCs w:val="22"/>
        </w:rPr>
      </w:pPr>
      <w:r w:rsidRPr="003520A1">
        <w:rPr>
          <w:rFonts w:ascii="Arial" w:hAnsi="Arial" w:cs="Arial"/>
          <w:sz w:val="22"/>
          <w:szCs w:val="22"/>
        </w:rPr>
        <w:t xml:space="preserve">Mostafa, None, et al. “Remote Prognosis, Diagnosis and Maintenance for Automotive Architecture Based on Least Squares Support Vector Machine and Multiple Classifiers.” </w:t>
      </w:r>
      <w:r w:rsidRPr="003520A1">
        <w:rPr>
          <w:rFonts w:ascii="Arial" w:hAnsi="Arial" w:cs="Arial"/>
          <w:i/>
          <w:iCs/>
          <w:sz w:val="22"/>
          <w:szCs w:val="22"/>
        </w:rPr>
        <w:t>2012 IV International Congress on Ultra-Modern Telecommunications and Control Systems</w:t>
      </w:r>
      <w:r w:rsidRPr="003520A1">
        <w:rPr>
          <w:rFonts w:ascii="Arial" w:hAnsi="Arial" w:cs="Arial"/>
          <w:sz w:val="22"/>
          <w:szCs w:val="22"/>
        </w:rPr>
        <w:t>, vol. 1, no. 1, 1 Oct. 2012, pp. 128–134, https://doi.org/10.1109/icumt.2012.6459652. Accessed 11 Dec. 2024.</w:t>
      </w:r>
    </w:p>
    <w:p w14:paraId="51B8E8A5" w14:textId="77777777" w:rsidR="00F924E9" w:rsidRPr="003520A1" w:rsidRDefault="00F924E9" w:rsidP="00F924E9">
      <w:pPr>
        <w:rPr>
          <w:rFonts w:ascii="Arial" w:hAnsi="Arial" w:cs="Arial"/>
          <w:sz w:val="22"/>
          <w:szCs w:val="22"/>
        </w:rPr>
      </w:pPr>
    </w:p>
    <w:p w14:paraId="03A98EB6" w14:textId="4E2CB02C" w:rsidR="00F924E9" w:rsidRPr="003520A1" w:rsidRDefault="00F924E9" w:rsidP="00F924E9">
      <w:pPr>
        <w:rPr>
          <w:rFonts w:ascii="Arial" w:hAnsi="Arial" w:cs="Arial"/>
          <w:sz w:val="22"/>
          <w:szCs w:val="22"/>
        </w:rPr>
      </w:pPr>
      <w:r w:rsidRPr="003520A1">
        <w:rPr>
          <w:rFonts w:ascii="Arial" w:hAnsi="Arial" w:cs="Arial"/>
          <w:sz w:val="22"/>
          <w:szCs w:val="22"/>
        </w:rPr>
        <w:t xml:space="preserve">Nassar, Shereen, et al. “Automotive Recall Risk: Impact of Buyer‒Supplier Relationship on Supply Chain Social Sustainability.” </w:t>
      </w:r>
      <w:r w:rsidRPr="003520A1">
        <w:rPr>
          <w:rFonts w:ascii="Arial" w:hAnsi="Arial" w:cs="Arial"/>
          <w:i/>
          <w:iCs/>
          <w:sz w:val="22"/>
          <w:szCs w:val="22"/>
        </w:rPr>
        <w:t>International Journal of Productivity and Performance Management</w:t>
      </w:r>
      <w:r w:rsidRPr="003520A1">
        <w:rPr>
          <w:rFonts w:ascii="Arial" w:hAnsi="Arial" w:cs="Arial"/>
          <w:sz w:val="22"/>
          <w:szCs w:val="22"/>
        </w:rPr>
        <w:t xml:space="preserve">, vol. 69, no. 3, 4 Oct. 2019, pp. 467–487, </w:t>
      </w:r>
      <w:hyperlink r:id="rId18" w:history="1">
        <w:r w:rsidRPr="003520A1">
          <w:rPr>
            <w:rStyle w:val="Hyperlink"/>
            <w:rFonts w:ascii="Arial" w:hAnsi="Arial" w:cs="Arial"/>
            <w:sz w:val="22"/>
            <w:szCs w:val="22"/>
          </w:rPr>
          <w:t>https://doi.org/10.1108/ijppm-01-2019-0026</w:t>
        </w:r>
      </w:hyperlink>
      <w:r w:rsidRPr="003520A1">
        <w:rPr>
          <w:rFonts w:ascii="Arial" w:hAnsi="Arial" w:cs="Arial"/>
          <w:sz w:val="22"/>
          <w:szCs w:val="22"/>
        </w:rPr>
        <w:t>.</w:t>
      </w:r>
    </w:p>
    <w:p w14:paraId="5332E125" w14:textId="77777777" w:rsidR="00F924E9" w:rsidRPr="003520A1" w:rsidRDefault="00F924E9" w:rsidP="00F924E9">
      <w:pPr>
        <w:rPr>
          <w:rFonts w:ascii="Arial" w:hAnsi="Arial" w:cs="Arial"/>
          <w:sz w:val="22"/>
          <w:szCs w:val="22"/>
        </w:rPr>
      </w:pPr>
    </w:p>
    <w:p w14:paraId="1AD498D0" w14:textId="1EDACACB" w:rsidR="00F924E9" w:rsidRPr="003520A1" w:rsidRDefault="00F924E9" w:rsidP="00F924E9">
      <w:pPr>
        <w:rPr>
          <w:rFonts w:ascii="Arial" w:hAnsi="Arial" w:cs="Arial"/>
          <w:sz w:val="22"/>
          <w:szCs w:val="22"/>
        </w:rPr>
      </w:pPr>
      <w:r w:rsidRPr="003520A1">
        <w:rPr>
          <w:rFonts w:ascii="Arial" w:hAnsi="Arial" w:cs="Arial"/>
          <w:sz w:val="22"/>
          <w:szCs w:val="22"/>
        </w:rPr>
        <w:t xml:space="preserve">Ni, John, et al. “Learning from Failure: The Implications of Product Recalls for Firm Innovation.” </w:t>
      </w:r>
      <w:r w:rsidRPr="003520A1">
        <w:rPr>
          <w:rFonts w:ascii="Arial" w:hAnsi="Arial" w:cs="Arial"/>
          <w:i/>
          <w:iCs/>
          <w:sz w:val="22"/>
          <w:szCs w:val="22"/>
        </w:rPr>
        <w:t>Journal of Supply Chain Management</w:t>
      </w:r>
      <w:r w:rsidRPr="003520A1">
        <w:rPr>
          <w:rFonts w:ascii="Arial" w:hAnsi="Arial" w:cs="Arial"/>
          <w:sz w:val="22"/>
          <w:szCs w:val="22"/>
        </w:rPr>
        <w:t xml:space="preserve">, vol. 59, no. 3, 5 June 2023, </w:t>
      </w:r>
      <w:hyperlink r:id="rId19" w:history="1">
        <w:r w:rsidRPr="003520A1">
          <w:rPr>
            <w:rStyle w:val="Hyperlink"/>
            <w:rFonts w:ascii="Arial" w:hAnsi="Arial" w:cs="Arial"/>
            <w:sz w:val="22"/>
            <w:szCs w:val="22"/>
          </w:rPr>
          <w:t>https://doi.org/10.1111/jscm.12306</w:t>
        </w:r>
      </w:hyperlink>
      <w:r w:rsidRPr="003520A1">
        <w:rPr>
          <w:rFonts w:ascii="Arial" w:hAnsi="Arial" w:cs="Arial"/>
          <w:sz w:val="22"/>
          <w:szCs w:val="22"/>
        </w:rPr>
        <w:t>.</w:t>
      </w:r>
    </w:p>
    <w:p w14:paraId="0043792A" w14:textId="77777777" w:rsidR="00F924E9" w:rsidRPr="003520A1" w:rsidRDefault="00F924E9" w:rsidP="00F924E9">
      <w:pPr>
        <w:rPr>
          <w:rFonts w:ascii="Arial" w:hAnsi="Arial" w:cs="Arial"/>
          <w:sz w:val="22"/>
          <w:szCs w:val="22"/>
        </w:rPr>
      </w:pPr>
    </w:p>
    <w:p w14:paraId="68F71BFB" w14:textId="01FF6C7E" w:rsidR="00F924E9" w:rsidRPr="003520A1" w:rsidRDefault="00F924E9" w:rsidP="00F924E9">
      <w:pPr>
        <w:rPr>
          <w:rFonts w:ascii="Arial" w:hAnsi="Arial" w:cs="Arial"/>
          <w:sz w:val="22"/>
          <w:szCs w:val="22"/>
        </w:rPr>
      </w:pPr>
      <w:r w:rsidRPr="003520A1">
        <w:rPr>
          <w:rFonts w:ascii="Arial" w:hAnsi="Arial" w:cs="Arial"/>
          <w:sz w:val="22"/>
          <w:szCs w:val="22"/>
        </w:rPr>
        <w:t xml:space="preserve">Ni, John, and Xiaowen Huang. “Discovery-To-Recall in the Automotive Industry: A Problem-Solving Perspective on Investigation of Quality Failures.” </w:t>
      </w:r>
      <w:r w:rsidRPr="003520A1">
        <w:rPr>
          <w:rFonts w:ascii="Arial" w:hAnsi="Arial" w:cs="Arial"/>
          <w:i/>
          <w:iCs/>
          <w:sz w:val="22"/>
          <w:szCs w:val="22"/>
        </w:rPr>
        <w:t>Journal of Supply Chain Management</w:t>
      </w:r>
      <w:r w:rsidRPr="003520A1">
        <w:rPr>
          <w:rFonts w:ascii="Arial" w:hAnsi="Arial" w:cs="Arial"/>
          <w:sz w:val="22"/>
          <w:szCs w:val="22"/>
        </w:rPr>
        <w:t xml:space="preserve">, vol. 54, no. 2, 19 Dec. 2017, pp. 71–95, </w:t>
      </w:r>
      <w:hyperlink r:id="rId20" w:history="1">
        <w:r w:rsidRPr="003520A1">
          <w:rPr>
            <w:rStyle w:val="Hyperlink"/>
            <w:rFonts w:ascii="Arial" w:hAnsi="Arial" w:cs="Arial"/>
            <w:sz w:val="22"/>
            <w:szCs w:val="22"/>
          </w:rPr>
          <w:t>https://doi.org/10.1111/jscm.12160</w:t>
        </w:r>
      </w:hyperlink>
      <w:r w:rsidRPr="003520A1">
        <w:rPr>
          <w:rFonts w:ascii="Arial" w:hAnsi="Arial" w:cs="Arial"/>
          <w:sz w:val="22"/>
          <w:szCs w:val="22"/>
        </w:rPr>
        <w:t>.</w:t>
      </w:r>
    </w:p>
    <w:p w14:paraId="21D2A58C" w14:textId="77777777" w:rsidR="00F924E9" w:rsidRPr="003520A1" w:rsidRDefault="00F924E9" w:rsidP="00F924E9">
      <w:pPr>
        <w:rPr>
          <w:rFonts w:ascii="Arial" w:hAnsi="Arial" w:cs="Arial"/>
          <w:sz w:val="22"/>
          <w:szCs w:val="22"/>
        </w:rPr>
      </w:pPr>
    </w:p>
    <w:p w14:paraId="6AF963C4" w14:textId="1052F344" w:rsidR="00F924E9" w:rsidRPr="003520A1" w:rsidRDefault="00F924E9" w:rsidP="00F924E9">
      <w:pPr>
        <w:rPr>
          <w:rFonts w:ascii="Arial" w:hAnsi="Arial" w:cs="Arial"/>
          <w:sz w:val="22"/>
          <w:szCs w:val="22"/>
        </w:rPr>
      </w:pPr>
      <w:r w:rsidRPr="003520A1">
        <w:rPr>
          <w:rFonts w:ascii="Arial" w:hAnsi="Arial" w:cs="Arial"/>
          <w:sz w:val="22"/>
          <w:szCs w:val="22"/>
        </w:rPr>
        <w:lastRenderedPageBreak/>
        <w:t xml:space="preserve">Pagiavlas, Sotires, et al. “EXPRESS: Regulating Product Recall Compliance in the Digital Age: Evidence from the “Safe Cars Save Lives” Campaign.” </w:t>
      </w:r>
      <w:r w:rsidRPr="003520A1">
        <w:rPr>
          <w:rFonts w:ascii="Arial" w:hAnsi="Arial" w:cs="Arial"/>
          <w:i/>
          <w:iCs/>
          <w:sz w:val="22"/>
          <w:szCs w:val="22"/>
        </w:rPr>
        <w:t>Journal of Marketing</w:t>
      </w:r>
      <w:r w:rsidRPr="003520A1">
        <w:rPr>
          <w:rFonts w:ascii="Arial" w:hAnsi="Arial" w:cs="Arial"/>
          <w:sz w:val="22"/>
          <w:szCs w:val="22"/>
        </w:rPr>
        <w:t xml:space="preserve">, vol. 86, no. 5, 20 May 2021, p. 002224292110230, </w:t>
      </w:r>
      <w:hyperlink r:id="rId21" w:history="1">
        <w:r w:rsidRPr="003520A1">
          <w:rPr>
            <w:rStyle w:val="Hyperlink"/>
            <w:rFonts w:ascii="Arial" w:hAnsi="Arial" w:cs="Arial"/>
            <w:sz w:val="22"/>
            <w:szCs w:val="22"/>
          </w:rPr>
          <w:t>https://doi.org/10.1177/00222429211023016</w:t>
        </w:r>
      </w:hyperlink>
      <w:r w:rsidRPr="003520A1">
        <w:rPr>
          <w:rFonts w:ascii="Arial" w:hAnsi="Arial" w:cs="Arial"/>
          <w:sz w:val="22"/>
          <w:szCs w:val="22"/>
        </w:rPr>
        <w:t>.</w:t>
      </w:r>
    </w:p>
    <w:p w14:paraId="54F114FB" w14:textId="77777777" w:rsidR="00F924E9" w:rsidRPr="003520A1" w:rsidRDefault="00F924E9" w:rsidP="00F924E9">
      <w:pPr>
        <w:rPr>
          <w:rFonts w:ascii="Arial" w:hAnsi="Arial" w:cs="Arial"/>
          <w:sz w:val="22"/>
          <w:szCs w:val="22"/>
        </w:rPr>
      </w:pPr>
    </w:p>
    <w:p w14:paraId="7C755281" w14:textId="54FA34E1" w:rsidR="00F924E9" w:rsidRPr="003520A1" w:rsidRDefault="00F924E9" w:rsidP="00F924E9">
      <w:pPr>
        <w:rPr>
          <w:rFonts w:ascii="Arial" w:hAnsi="Arial" w:cs="Arial"/>
          <w:sz w:val="22"/>
          <w:szCs w:val="22"/>
        </w:rPr>
      </w:pPr>
      <w:r w:rsidRPr="003520A1">
        <w:rPr>
          <w:rFonts w:ascii="Arial" w:hAnsi="Arial" w:cs="Arial"/>
          <w:sz w:val="22"/>
          <w:szCs w:val="22"/>
        </w:rPr>
        <w:t xml:space="preserve">Patro, Pratyush Kumar, et al. “Blockchain-Based Solution for Product Recall Management in the Automotive Supply Chain.” </w:t>
      </w:r>
      <w:r w:rsidRPr="003520A1">
        <w:rPr>
          <w:rFonts w:ascii="Arial" w:hAnsi="Arial" w:cs="Arial"/>
          <w:i/>
          <w:iCs/>
          <w:sz w:val="22"/>
          <w:szCs w:val="22"/>
        </w:rPr>
        <w:t>IEEE Access</w:t>
      </w:r>
      <w:r w:rsidRPr="003520A1">
        <w:rPr>
          <w:rFonts w:ascii="Arial" w:hAnsi="Arial" w:cs="Arial"/>
          <w:sz w:val="22"/>
          <w:szCs w:val="22"/>
        </w:rPr>
        <w:t xml:space="preserve">, vol. 9, no. 1, 2021, pp. 167756–167775, </w:t>
      </w:r>
      <w:hyperlink r:id="rId22" w:history="1">
        <w:r w:rsidRPr="003520A1">
          <w:rPr>
            <w:rStyle w:val="Hyperlink"/>
            <w:rFonts w:ascii="Arial" w:hAnsi="Arial" w:cs="Arial"/>
            <w:sz w:val="22"/>
            <w:szCs w:val="22"/>
          </w:rPr>
          <w:t>https://doi.org/10.1109/access.2021.3137307</w:t>
        </w:r>
      </w:hyperlink>
      <w:r w:rsidRPr="003520A1">
        <w:rPr>
          <w:rFonts w:ascii="Arial" w:hAnsi="Arial" w:cs="Arial"/>
          <w:sz w:val="22"/>
          <w:szCs w:val="22"/>
        </w:rPr>
        <w:t>.</w:t>
      </w:r>
    </w:p>
    <w:p w14:paraId="2753CFF3" w14:textId="77777777" w:rsidR="00F924E9" w:rsidRPr="003520A1" w:rsidRDefault="00F924E9" w:rsidP="00F924E9">
      <w:pPr>
        <w:rPr>
          <w:rFonts w:ascii="Arial" w:hAnsi="Arial" w:cs="Arial"/>
          <w:sz w:val="22"/>
          <w:szCs w:val="22"/>
        </w:rPr>
      </w:pPr>
    </w:p>
    <w:p w14:paraId="3BEB2C41" w14:textId="1DE96B4A" w:rsidR="00F924E9" w:rsidRPr="003520A1" w:rsidRDefault="00F924E9" w:rsidP="00F924E9">
      <w:pPr>
        <w:rPr>
          <w:rFonts w:ascii="Arial" w:hAnsi="Arial" w:cs="Arial"/>
          <w:sz w:val="22"/>
          <w:szCs w:val="22"/>
        </w:rPr>
      </w:pPr>
      <w:r w:rsidRPr="003520A1">
        <w:rPr>
          <w:rFonts w:ascii="Arial" w:hAnsi="Arial" w:cs="Arial"/>
          <w:sz w:val="22"/>
          <w:szCs w:val="22"/>
        </w:rPr>
        <w:t xml:space="preserve">Prashar, Anupama, and Shikha Aggarwal. “Modeling Enablers of Supply Chain Quality Risk Management: A Grey-DEMATEL Approach.” </w:t>
      </w:r>
      <w:r w:rsidRPr="003520A1">
        <w:rPr>
          <w:rFonts w:ascii="Arial" w:hAnsi="Arial" w:cs="Arial"/>
          <w:i/>
          <w:iCs/>
          <w:sz w:val="22"/>
          <w:szCs w:val="22"/>
        </w:rPr>
        <w:t>The TQM Journal</w:t>
      </w:r>
      <w:r w:rsidRPr="003520A1">
        <w:rPr>
          <w:rFonts w:ascii="Arial" w:hAnsi="Arial" w:cs="Arial"/>
          <w:sz w:val="22"/>
          <w:szCs w:val="22"/>
        </w:rPr>
        <w:t xml:space="preserve">, vol. ahead-of-print, no. ahead-of-print, 24 Oct. 2019, </w:t>
      </w:r>
      <w:hyperlink r:id="rId23" w:history="1">
        <w:r w:rsidRPr="003520A1">
          <w:rPr>
            <w:rStyle w:val="Hyperlink"/>
            <w:rFonts w:ascii="Arial" w:hAnsi="Arial" w:cs="Arial"/>
            <w:sz w:val="22"/>
            <w:szCs w:val="22"/>
          </w:rPr>
          <w:t>https://doi.org/10.1108/tqm-05-2019-0132</w:t>
        </w:r>
      </w:hyperlink>
      <w:r w:rsidRPr="003520A1">
        <w:rPr>
          <w:rFonts w:ascii="Arial" w:hAnsi="Arial" w:cs="Arial"/>
          <w:sz w:val="22"/>
          <w:szCs w:val="22"/>
        </w:rPr>
        <w:t>.</w:t>
      </w:r>
    </w:p>
    <w:p w14:paraId="7DD7F4F1" w14:textId="77777777" w:rsidR="00F924E9" w:rsidRPr="003520A1" w:rsidRDefault="00F924E9" w:rsidP="00F924E9">
      <w:pPr>
        <w:rPr>
          <w:rFonts w:ascii="Arial" w:hAnsi="Arial" w:cs="Arial"/>
          <w:sz w:val="22"/>
          <w:szCs w:val="22"/>
        </w:rPr>
      </w:pPr>
    </w:p>
    <w:p w14:paraId="5D5BC3AC" w14:textId="6BBE72EE" w:rsidR="00F924E9" w:rsidRPr="003520A1" w:rsidRDefault="00F924E9" w:rsidP="00F924E9">
      <w:pPr>
        <w:rPr>
          <w:rFonts w:ascii="Arial" w:hAnsi="Arial" w:cs="Arial"/>
          <w:sz w:val="22"/>
          <w:szCs w:val="22"/>
        </w:rPr>
      </w:pPr>
      <w:r w:rsidRPr="003520A1">
        <w:rPr>
          <w:rFonts w:ascii="Arial" w:hAnsi="Arial" w:cs="Arial"/>
          <w:sz w:val="22"/>
          <w:szCs w:val="22"/>
        </w:rPr>
        <w:t xml:space="preserve">Shah, Rachna, et al. “Plant Operations and Product Recalls in the Automotive Industry: An Empirical Investigation.” </w:t>
      </w:r>
      <w:r w:rsidRPr="003520A1">
        <w:rPr>
          <w:rFonts w:ascii="Arial" w:hAnsi="Arial" w:cs="Arial"/>
          <w:i/>
          <w:iCs/>
          <w:sz w:val="22"/>
          <w:szCs w:val="22"/>
        </w:rPr>
        <w:t>Management Science</w:t>
      </w:r>
      <w:r w:rsidRPr="003520A1">
        <w:rPr>
          <w:rFonts w:ascii="Arial" w:hAnsi="Arial" w:cs="Arial"/>
          <w:sz w:val="22"/>
          <w:szCs w:val="22"/>
        </w:rPr>
        <w:t xml:space="preserve">, vol. 63, no. 8, Aug. 2017, pp. 2439–2459, </w:t>
      </w:r>
      <w:hyperlink r:id="rId24" w:history="1">
        <w:r w:rsidRPr="003520A1">
          <w:rPr>
            <w:rStyle w:val="Hyperlink"/>
            <w:rFonts w:ascii="Arial" w:hAnsi="Arial" w:cs="Arial"/>
            <w:sz w:val="22"/>
            <w:szCs w:val="22"/>
          </w:rPr>
          <w:t>https://doi.org/10.1287/mnsc.2016.2456</w:t>
        </w:r>
      </w:hyperlink>
      <w:r w:rsidRPr="003520A1">
        <w:rPr>
          <w:rFonts w:ascii="Arial" w:hAnsi="Arial" w:cs="Arial"/>
          <w:sz w:val="22"/>
          <w:szCs w:val="22"/>
        </w:rPr>
        <w:t>.</w:t>
      </w:r>
    </w:p>
    <w:p w14:paraId="7500F817" w14:textId="77777777" w:rsidR="00F924E9" w:rsidRPr="003520A1" w:rsidRDefault="00F924E9" w:rsidP="00F924E9">
      <w:pPr>
        <w:rPr>
          <w:rFonts w:ascii="Arial" w:hAnsi="Arial" w:cs="Arial"/>
          <w:sz w:val="22"/>
          <w:szCs w:val="22"/>
        </w:rPr>
      </w:pPr>
    </w:p>
    <w:p w14:paraId="4A7A2AD9" w14:textId="204542DF" w:rsidR="00F924E9" w:rsidRPr="003520A1" w:rsidRDefault="00F924E9" w:rsidP="00F924E9">
      <w:pPr>
        <w:rPr>
          <w:rFonts w:ascii="Arial" w:hAnsi="Arial" w:cs="Arial"/>
          <w:sz w:val="22"/>
          <w:szCs w:val="22"/>
        </w:rPr>
      </w:pPr>
      <w:r w:rsidRPr="003520A1">
        <w:rPr>
          <w:rFonts w:ascii="Arial" w:hAnsi="Arial" w:cs="Arial"/>
          <w:sz w:val="22"/>
          <w:szCs w:val="22"/>
        </w:rPr>
        <w:t xml:space="preserve">Singh, Khimendra, and Rajdeep Grewal. “EXPRESS: Lobbying and Product Recalls: A Study of the US Automobile Industry.” </w:t>
      </w:r>
      <w:r w:rsidRPr="003520A1">
        <w:rPr>
          <w:rFonts w:ascii="Arial" w:hAnsi="Arial" w:cs="Arial"/>
          <w:i/>
          <w:iCs/>
          <w:sz w:val="22"/>
          <w:szCs w:val="22"/>
        </w:rPr>
        <w:t>Journal of Marketing Research</w:t>
      </w:r>
      <w:r w:rsidRPr="003520A1">
        <w:rPr>
          <w:rFonts w:ascii="Arial" w:hAnsi="Arial" w:cs="Arial"/>
          <w:sz w:val="22"/>
          <w:szCs w:val="22"/>
        </w:rPr>
        <w:t xml:space="preserve">, vol. 60, no. 4, 26 Sept. 2022, p. 002224372211315, </w:t>
      </w:r>
      <w:hyperlink r:id="rId25" w:history="1">
        <w:r w:rsidRPr="003520A1">
          <w:rPr>
            <w:rStyle w:val="Hyperlink"/>
            <w:rFonts w:ascii="Arial" w:hAnsi="Arial" w:cs="Arial"/>
            <w:sz w:val="22"/>
            <w:szCs w:val="22"/>
          </w:rPr>
          <w:t>https://doi.org/10.1177/00222437221131568</w:t>
        </w:r>
      </w:hyperlink>
      <w:r w:rsidRPr="003520A1">
        <w:rPr>
          <w:rFonts w:ascii="Arial" w:hAnsi="Arial" w:cs="Arial"/>
          <w:sz w:val="22"/>
          <w:szCs w:val="22"/>
        </w:rPr>
        <w:t>.</w:t>
      </w:r>
    </w:p>
    <w:p w14:paraId="7EF3757B" w14:textId="77777777" w:rsidR="00F924E9" w:rsidRPr="003520A1" w:rsidRDefault="00F924E9" w:rsidP="00F924E9">
      <w:pPr>
        <w:rPr>
          <w:rFonts w:ascii="Arial" w:hAnsi="Arial" w:cs="Arial"/>
          <w:sz w:val="22"/>
          <w:szCs w:val="22"/>
        </w:rPr>
      </w:pPr>
    </w:p>
    <w:p w14:paraId="691D0A28" w14:textId="2F362C2F" w:rsidR="00F924E9" w:rsidRPr="003520A1" w:rsidRDefault="00F924E9" w:rsidP="00F924E9">
      <w:pPr>
        <w:rPr>
          <w:rFonts w:ascii="Arial" w:hAnsi="Arial" w:cs="Arial"/>
          <w:sz w:val="22"/>
          <w:szCs w:val="22"/>
        </w:rPr>
      </w:pPr>
      <w:r w:rsidRPr="003520A1">
        <w:rPr>
          <w:rFonts w:ascii="Arial" w:hAnsi="Arial" w:cs="Arial"/>
          <w:sz w:val="22"/>
          <w:szCs w:val="22"/>
        </w:rPr>
        <w:t xml:space="preserve">Teplická, Katarína, et al. “Improving the Quality of Automotive Components through the Effective Management of Complaints in Industry 4.0.” </w:t>
      </w:r>
      <w:r w:rsidRPr="003520A1">
        <w:rPr>
          <w:rFonts w:ascii="Arial" w:hAnsi="Arial" w:cs="Arial"/>
          <w:i/>
          <w:iCs/>
          <w:sz w:val="22"/>
          <w:szCs w:val="22"/>
        </w:rPr>
        <w:t>Applied Sciences</w:t>
      </w:r>
      <w:r w:rsidRPr="003520A1">
        <w:rPr>
          <w:rFonts w:ascii="Arial" w:hAnsi="Arial" w:cs="Arial"/>
          <w:sz w:val="22"/>
          <w:szCs w:val="22"/>
        </w:rPr>
        <w:t>, vol. 13, no. 14, 1 Jan. 2023, p. 8402, www.mdpi.com/2076-3417/13/14/8402, https://doi.org/10.3390/app13148402.</w:t>
      </w:r>
    </w:p>
    <w:p w14:paraId="3948E3B9" w14:textId="739E8A2F" w:rsidR="00F924E9" w:rsidRPr="003520A1" w:rsidRDefault="00F924E9" w:rsidP="00F924E9">
      <w:pPr>
        <w:rPr>
          <w:rFonts w:ascii="Arial" w:hAnsi="Arial" w:cs="Arial"/>
          <w:sz w:val="22"/>
          <w:szCs w:val="22"/>
        </w:rPr>
      </w:pPr>
      <w:r w:rsidRPr="003520A1">
        <w:rPr>
          <w:rFonts w:ascii="Arial" w:hAnsi="Arial" w:cs="Arial"/>
          <w:sz w:val="22"/>
          <w:szCs w:val="22"/>
        </w:rPr>
        <w:t xml:space="preserve">Thirumalai, Sriram, and Kingshuk K. Sinha. “Product Recalls in the Medical Device Industry: An Empirical Exploration of the Sources and Financial Consequences.” </w:t>
      </w:r>
      <w:r w:rsidRPr="003520A1">
        <w:rPr>
          <w:rFonts w:ascii="Arial" w:hAnsi="Arial" w:cs="Arial"/>
          <w:i/>
          <w:iCs/>
          <w:sz w:val="22"/>
          <w:szCs w:val="22"/>
        </w:rPr>
        <w:t>Management Science</w:t>
      </w:r>
      <w:r w:rsidRPr="003520A1">
        <w:rPr>
          <w:rFonts w:ascii="Arial" w:hAnsi="Arial" w:cs="Arial"/>
          <w:sz w:val="22"/>
          <w:szCs w:val="22"/>
        </w:rPr>
        <w:t xml:space="preserve">, vol. 57, no. 2, Feb. 2011, pp. 376–392, </w:t>
      </w:r>
      <w:hyperlink r:id="rId26" w:history="1">
        <w:r w:rsidRPr="003520A1">
          <w:rPr>
            <w:rStyle w:val="Hyperlink"/>
            <w:rFonts w:ascii="Arial" w:hAnsi="Arial" w:cs="Arial"/>
            <w:sz w:val="22"/>
            <w:szCs w:val="22"/>
          </w:rPr>
          <w:t>https://doi.org/10.1287/mnsc.1100.1267</w:t>
        </w:r>
      </w:hyperlink>
      <w:r w:rsidRPr="003520A1">
        <w:rPr>
          <w:rFonts w:ascii="Arial" w:hAnsi="Arial" w:cs="Arial"/>
          <w:sz w:val="22"/>
          <w:szCs w:val="22"/>
        </w:rPr>
        <w:t>.</w:t>
      </w:r>
    </w:p>
    <w:p w14:paraId="4A03FA25" w14:textId="77777777" w:rsidR="00F924E9" w:rsidRPr="003520A1" w:rsidRDefault="00F924E9" w:rsidP="00F924E9">
      <w:pPr>
        <w:rPr>
          <w:rFonts w:ascii="Arial" w:hAnsi="Arial" w:cs="Arial"/>
          <w:sz w:val="22"/>
          <w:szCs w:val="22"/>
        </w:rPr>
      </w:pPr>
    </w:p>
    <w:p w14:paraId="3C550AA5" w14:textId="77777777" w:rsidR="00F924E9" w:rsidRPr="003520A1" w:rsidRDefault="00F924E9" w:rsidP="00F924E9">
      <w:pPr>
        <w:rPr>
          <w:rFonts w:ascii="Arial" w:hAnsi="Arial" w:cs="Arial"/>
          <w:sz w:val="22"/>
          <w:szCs w:val="22"/>
        </w:rPr>
      </w:pPr>
      <w:r w:rsidRPr="003520A1">
        <w:rPr>
          <w:rFonts w:ascii="Arial" w:hAnsi="Arial" w:cs="Arial"/>
          <w:sz w:val="22"/>
          <w:szCs w:val="22"/>
        </w:rPr>
        <w:t xml:space="preserve">Vanichchinchai, Assadej. “The Influences of Organizational Contexts on Business Continuity Management.” </w:t>
      </w:r>
      <w:r w:rsidRPr="003520A1">
        <w:rPr>
          <w:rFonts w:ascii="Arial" w:hAnsi="Arial" w:cs="Arial"/>
          <w:i/>
          <w:iCs/>
          <w:sz w:val="22"/>
          <w:szCs w:val="22"/>
        </w:rPr>
        <w:t>Business Process Management Journal</w:t>
      </w:r>
      <w:r w:rsidRPr="003520A1">
        <w:rPr>
          <w:rFonts w:ascii="Arial" w:hAnsi="Arial" w:cs="Arial"/>
          <w:sz w:val="22"/>
          <w:szCs w:val="22"/>
        </w:rPr>
        <w:t>, vol. 29, no. 1, 22 Nov. 2022, https://doi.org/10.1108/bpmj-06-2022-0287.</w:t>
      </w:r>
    </w:p>
    <w:p w14:paraId="09EF0060" w14:textId="77777777" w:rsidR="00F924E9" w:rsidRPr="003520A1" w:rsidRDefault="00F924E9" w:rsidP="005F4C70">
      <w:pPr>
        <w:rPr>
          <w:rFonts w:ascii="Arial" w:hAnsi="Arial" w:cs="Arial"/>
          <w:sz w:val="22"/>
          <w:szCs w:val="22"/>
        </w:rPr>
      </w:pPr>
    </w:p>
    <w:sectPr w:rsidR="00F924E9" w:rsidRPr="003520A1" w:rsidSect="00105147">
      <w:headerReference w:type="default" r:id="rId27"/>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CE58B" w14:textId="77777777" w:rsidR="009C5B9B" w:rsidRDefault="009C5B9B" w:rsidP="0021449A">
      <w:pPr>
        <w:spacing w:after="0" w:line="240" w:lineRule="auto"/>
      </w:pPr>
      <w:r>
        <w:separator/>
      </w:r>
    </w:p>
  </w:endnote>
  <w:endnote w:type="continuationSeparator" w:id="0">
    <w:p w14:paraId="250B59BB" w14:textId="77777777" w:rsidR="009C5B9B" w:rsidRDefault="009C5B9B" w:rsidP="0021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06E776" w14:textId="77777777" w:rsidR="00105147" w:rsidRPr="00105147" w:rsidRDefault="00105147">
    <w:pPr>
      <w:pStyle w:val="Footer"/>
      <w:jc w:val="center"/>
      <w:rPr>
        <w:color w:val="156082" w:themeColor="accent1"/>
        <w:sz w:val="16"/>
        <w:szCs w:val="16"/>
      </w:rPr>
    </w:pPr>
    <w:r w:rsidRPr="00105147">
      <w:rPr>
        <w:color w:val="156082" w:themeColor="accent1"/>
        <w:sz w:val="16"/>
        <w:szCs w:val="16"/>
      </w:rPr>
      <w:t xml:space="preserve">Page </w:t>
    </w:r>
    <w:r w:rsidRPr="00105147">
      <w:rPr>
        <w:color w:val="156082" w:themeColor="accent1"/>
        <w:sz w:val="16"/>
        <w:szCs w:val="16"/>
      </w:rPr>
      <w:fldChar w:fldCharType="begin"/>
    </w:r>
    <w:r w:rsidRPr="00105147">
      <w:rPr>
        <w:color w:val="156082" w:themeColor="accent1"/>
        <w:sz w:val="16"/>
        <w:szCs w:val="16"/>
      </w:rPr>
      <w:instrText xml:space="preserve"> PAGE  \* Arabic  \* MERGEFORMAT </w:instrText>
    </w:r>
    <w:r w:rsidRPr="00105147">
      <w:rPr>
        <w:color w:val="156082" w:themeColor="accent1"/>
        <w:sz w:val="16"/>
        <w:szCs w:val="16"/>
      </w:rPr>
      <w:fldChar w:fldCharType="separate"/>
    </w:r>
    <w:r w:rsidRPr="00105147">
      <w:rPr>
        <w:noProof/>
        <w:color w:val="156082" w:themeColor="accent1"/>
        <w:sz w:val="16"/>
        <w:szCs w:val="16"/>
      </w:rPr>
      <w:t>2</w:t>
    </w:r>
    <w:r w:rsidRPr="00105147">
      <w:rPr>
        <w:color w:val="156082" w:themeColor="accent1"/>
        <w:sz w:val="16"/>
        <w:szCs w:val="16"/>
      </w:rPr>
      <w:fldChar w:fldCharType="end"/>
    </w:r>
    <w:r w:rsidRPr="00105147">
      <w:rPr>
        <w:color w:val="156082" w:themeColor="accent1"/>
        <w:sz w:val="16"/>
        <w:szCs w:val="16"/>
      </w:rPr>
      <w:t xml:space="preserve"> of </w:t>
    </w:r>
    <w:r w:rsidRPr="00105147">
      <w:rPr>
        <w:color w:val="156082" w:themeColor="accent1"/>
        <w:sz w:val="16"/>
        <w:szCs w:val="16"/>
      </w:rPr>
      <w:fldChar w:fldCharType="begin"/>
    </w:r>
    <w:r w:rsidRPr="00105147">
      <w:rPr>
        <w:color w:val="156082" w:themeColor="accent1"/>
        <w:sz w:val="16"/>
        <w:szCs w:val="16"/>
      </w:rPr>
      <w:instrText xml:space="preserve"> NUMPAGES  \* Arabic  \* MERGEFORMAT </w:instrText>
    </w:r>
    <w:r w:rsidRPr="00105147">
      <w:rPr>
        <w:color w:val="156082" w:themeColor="accent1"/>
        <w:sz w:val="16"/>
        <w:szCs w:val="16"/>
      </w:rPr>
      <w:fldChar w:fldCharType="separate"/>
    </w:r>
    <w:r w:rsidRPr="00105147">
      <w:rPr>
        <w:noProof/>
        <w:color w:val="156082" w:themeColor="accent1"/>
        <w:sz w:val="16"/>
        <w:szCs w:val="16"/>
      </w:rPr>
      <w:t>2</w:t>
    </w:r>
    <w:r w:rsidRPr="00105147">
      <w:rPr>
        <w:color w:val="156082" w:themeColor="accent1"/>
        <w:sz w:val="16"/>
        <w:szCs w:val="16"/>
      </w:rPr>
      <w:fldChar w:fldCharType="end"/>
    </w:r>
  </w:p>
  <w:p w14:paraId="569E413E" w14:textId="77777777" w:rsidR="0021449A" w:rsidRDefault="00214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B4535E" w14:textId="77777777" w:rsidR="009C5B9B" w:rsidRDefault="009C5B9B" w:rsidP="0021449A">
      <w:pPr>
        <w:spacing w:after="0" w:line="240" w:lineRule="auto"/>
      </w:pPr>
      <w:r>
        <w:separator/>
      </w:r>
    </w:p>
  </w:footnote>
  <w:footnote w:type="continuationSeparator" w:id="0">
    <w:p w14:paraId="1913817D" w14:textId="77777777" w:rsidR="009C5B9B" w:rsidRDefault="009C5B9B" w:rsidP="002144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FE719" w14:textId="48A37EF5" w:rsidR="0021449A" w:rsidRPr="0021449A" w:rsidRDefault="00452DBD" w:rsidP="0021449A">
    <w:pPr>
      <w:pStyle w:val="Header"/>
      <w:rPr>
        <w:sz w:val="20"/>
        <w:szCs w:val="20"/>
      </w:rPr>
    </w:pPr>
    <w:r>
      <w:rPr>
        <w:sz w:val="16"/>
        <w:szCs w:val="16"/>
      </w:rPr>
      <w:t>A</w:t>
    </w:r>
    <w:r w:rsidR="0021449A" w:rsidRPr="0021449A">
      <w:rPr>
        <w:sz w:val="16"/>
        <w:szCs w:val="16"/>
      </w:rPr>
      <w:t xml:space="preserve">CEA 7012 </w:t>
    </w:r>
    <w:r w:rsidR="0021449A" w:rsidRPr="0021449A">
      <w:rPr>
        <w:sz w:val="16"/>
        <w:szCs w:val="16"/>
      </w:rPr>
      <w:tab/>
    </w:r>
    <w:r w:rsidR="0021449A">
      <w:rPr>
        <w:sz w:val="20"/>
        <w:szCs w:val="20"/>
      </w:rPr>
      <w:tab/>
    </w:r>
    <w:r w:rsidR="0021449A" w:rsidRPr="0021449A">
      <w:rPr>
        <w:sz w:val="16"/>
        <w:szCs w:val="16"/>
      </w:rPr>
      <w:t>Student Number: 2412673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92950"/>
    <w:multiLevelType w:val="hybridMultilevel"/>
    <w:tmpl w:val="0C545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9476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49A"/>
    <w:rsid w:val="00062F17"/>
    <w:rsid w:val="00105147"/>
    <w:rsid w:val="0021449A"/>
    <w:rsid w:val="00234866"/>
    <w:rsid w:val="00306B41"/>
    <w:rsid w:val="0031074F"/>
    <w:rsid w:val="003520A1"/>
    <w:rsid w:val="003601AC"/>
    <w:rsid w:val="00452DBD"/>
    <w:rsid w:val="005D3E36"/>
    <w:rsid w:val="005F4C70"/>
    <w:rsid w:val="00626390"/>
    <w:rsid w:val="00732F43"/>
    <w:rsid w:val="00853106"/>
    <w:rsid w:val="008908F5"/>
    <w:rsid w:val="009829D2"/>
    <w:rsid w:val="009C5B9B"/>
    <w:rsid w:val="009F6216"/>
    <w:rsid w:val="00B905FA"/>
    <w:rsid w:val="00BC5732"/>
    <w:rsid w:val="00C41B78"/>
    <w:rsid w:val="00C57728"/>
    <w:rsid w:val="00C660AA"/>
    <w:rsid w:val="00C7495D"/>
    <w:rsid w:val="00C816F9"/>
    <w:rsid w:val="00CD4813"/>
    <w:rsid w:val="00CF4EF9"/>
    <w:rsid w:val="00DA222C"/>
    <w:rsid w:val="00DE2714"/>
    <w:rsid w:val="00ED0DC2"/>
    <w:rsid w:val="00F92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5DA86"/>
  <w15:chartTrackingRefBased/>
  <w15:docId w15:val="{FE10D9B6-8DF4-4D62-9792-D1CDBF72A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4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44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44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44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44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44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44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44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44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4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44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44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44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44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44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44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44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449A"/>
    <w:rPr>
      <w:rFonts w:eastAsiaTheme="majorEastAsia" w:cstheme="majorBidi"/>
      <w:color w:val="272727" w:themeColor="text1" w:themeTint="D8"/>
    </w:rPr>
  </w:style>
  <w:style w:type="paragraph" w:styleId="Title">
    <w:name w:val="Title"/>
    <w:basedOn w:val="Normal"/>
    <w:next w:val="Normal"/>
    <w:link w:val="TitleChar"/>
    <w:uiPriority w:val="10"/>
    <w:qFormat/>
    <w:rsid w:val="002144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4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4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4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49A"/>
    <w:pPr>
      <w:spacing w:before="160"/>
      <w:jc w:val="center"/>
    </w:pPr>
    <w:rPr>
      <w:i/>
      <w:iCs/>
      <w:color w:val="404040" w:themeColor="text1" w:themeTint="BF"/>
    </w:rPr>
  </w:style>
  <w:style w:type="character" w:customStyle="1" w:styleId="QuoteChar">
    <w:name w:val="Quote Char"/>
    <w:basedOn w:val="DefaultParagraphFont"/>
    <w:link w:val="Quote"/>
    <w:uiPriority w:val="29"/>
    <w:rsid w:val="0021449A"/>
    <w:rPr>
      <w:i/>
      <w:iCs/>
      <w:color w:val="404040" w:themeColor="text1" w:themeTint="BF"/>
    </w:rPr>
  </w:style>
  <w:style w:type="paragraph" w:styleId="ListParagraph">
    <w:name w:val="List Paragraph"/>
    <w:basedOn w:val="Normal"/>
    <w:uiPriority w:val="34"/>
    <w:qFormat/>
    <w:rsid w:val="0021449A"/>
    <w:pPr>
      <w:ind w:left="720"/>
      <w:contextualSpacing/>
    </w:pPr>
  </w:style>
  <w:style w:type="character" w:styleId="IntenseEmphasis">
    <w:name w:val="Intense Emphasis"/>
    <w:basedOn w:val="DefaultParagraphFont"/>
    <w:uiPriority w:val="21"/>
    <w:qFormat/>
    <w:rsid w:val="0021449A"/>
    <w:rPr>
      <w:i/>
      <w:iCs/>
      <w:color w:val="0F4761" w:themeColor="accent1" w:themeShade="BF"/>
    </w:rPr>
  </w:style>
  <w:style w:type="paragraph" w:styleId="IntenseQuote">
    <w:name w:val="Intense Quote"/>
    <w:basedOn w:val="Normal"/>
    <w:next w:val="Normal"/>
    <w:link w:val="IntenseQuoteChar"/>
    <w:uiPriority w:val="30"/>
    <w:qFormat/>
    <w:rsid w:val="002144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449A"/>
    <w:rPr>
      <w:i/>
      <w:iCs/>
      <w:color w:val="0F4761" w:themeColor="accent1" w:themeShade="BF"/>
    </w:rPr>
  </w:style>
  <w:style w:type="character" w:styleId="IntenseReference">
    <w:name w:val="Intense Reference"/>
    <w:basedOn w:val="DefaultParagraphFont"/>
    <w:uiPriority w:val="32"/>
    <w:qFormat/>
    <w:rsid w:val="0021449A"/>
    <w:rPr>
      <w:b/>
      <w:bCs/>
      <w:smallCaps/>
      <w:color w:val="0F4761" w:themeColor="accent1" w:themeShade="BF"/>
      <w:spacing w:val="5"/>
    </w:rPr>
  </w:style>
  <w:style w:type="paragraph" w:styleId="Header">
    <w:name w:val="header"/>
    <w:basedOn w:val="Normal"/>
    <w:link w:val="HeaderChar"/>
    <w:uiPriority w:val="99"/>
    <w:unhideWhenUsed/>
    <w:rsid w:val="00214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49A"/>
  </w:style>
  <w:style w:type="paragraph" w:styleId="Footer">
    <w:name w:val="footer"/>
    <w:basedOn w:val="Normal"/>
    <w:link w:val="FooterChar"/>
    <w:uiPriority w:val="99"/>
    <w:unhideWhenUsed/>
    <w:rsid w:val="00214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49A"/>
  </w:style>
  <w:style w:type="paragraph" w:styleId="TOCHeading">
    <w:name w:val="TOC Heading"/>
    <w:basedOn w:val="Heading1"/>
    <w:next w:val="Normal"/>
    <w:uiPriority w:val="39"/>
    <w:unhideWhenUsed/>
    <w:qFormat/>
    <w:rsid w:val="00105147"/>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F924E9"/>
    <w:rPr>
      <w:color w:val="467886" w:themeColor="hyperlink"/>
      <w:u w:val="single"/>
    </w:rPr>
  </w:style>
  <w:style w:type="character" w:styleId="UnresolvedMention">
    <w:name w:val="Unresolved Mention"/>
    <w:basedOn w:val="DefaultParagraphFont"/>
    <w:uiPriority w:val="99"/>
    <w:semiHidden/>
    <w:unhideWhenUsed/>
    <w:rsid w:val="00F924E9"/>
    <w:rPr>
      <w:color w:val="605E5C"/>
      <w:shd w:val="clear" w:color="auto" w:fill="E1DFDD"/>
    </w:rPr>
  </w:style>
  <w:style w:type="paragraph" w:styleId="TOC2">
    <w:name w:val="toc 2"/>
    <w:basedOn w:val="Normal"/>
    <w:next w:val="Normal"/>
    <w:autoRedefine/>
    <w:uiPriority w:val="39"/>
    <w:unhideWhenUsed/>
    <w:rsid w:val="00853106"/>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853106"/>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853106"/>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322283">
      <w:bodyDiv w:val="1"/>
      <w:marLeft w:val="0"/>
      <w:marRight w:val="0"/>
      <w:marTop w:val="0"/>
      <w:marBottom w:val="0"/>
      <w:divBdr>
        <w:top w:val="none" w:sz="0" w:space="0" w:color="auto"/>
        <w:left w:val="none" w:sz="0" w:space="0" w:color="auto"/>
        <w:bottom w:val="none" w:sz="0" w:space="0" w:color="auto"/>
        <w:right w:val="none" w:sz="0" w:space="0" w:color="auto"/>
      </w:divBdr>
      <w:divsChild>
        <w:div w:id="1139422219">
          <w:marLeft w:val="0"/>
          <w:marRight w:val="0"/>
          <w:marTop w:val="0"/>
          <w:marBottom w:val="0"/>
          <w:divBdr>
            <w:top w:val="none" w:sz="0" w:space="0" w:color="auto"/>
            <w:left w:val="none" w:sz="0" w:space="0" w:color="auto"/>
            <w:bottom w:val="none" w:sz="0" w:space="0" w:color="auto"/>
            <w:right w:val="none" w:sz="0" w:space="0" w:color="auto"/>
          </w:divBdr>
        </w:div>
      </w:divsChild>
    </w:div>
    <w:div w:id="850223023">
      <w:bodyDiv w:val="1"/>
      <w:marLeft w:val="0"/>
      <w:marRight w:val="0"/>
      <w:marTop w:val="0"/>
      <w:marBottom w:val="0"/>
      <w:divBdr>
        <w:top w:val="none" w:sz="0" w:space="0" w:color="auto"/>
        <w:left w:val="none" w:sz="0" w:space="0" w:color="auto"/>
        <w:bottom w:val="none" w:sz="0" w:space="0" w:color="auto"/>
        <w:right w:val="none" w:sz="0" w:space="0" w:color="auto"/>
      </w:divBdr>
      <w:divsChild>
        <w:div w:id="1302690012">
          <w:marLeft w:val="-720"/>
          <w:marRight w:val="0"/>
          <w:marTop w:val="0"/>
          <w:marBottom w:val="0"/>
          <w:divBdr>
            <w:top w:val="none" w:sz="0" w:space="0" w:color="auto"/>
            <w:left w:val="none" w:sz="0" w:space="0" w:color="auto"/>
            <w:bottom w:val="none" w:sz="0" w:space="0" w:color="auto"/>
            <w:right w:val="none" w:sz="0" w:space="0" w:color="auto"/>
          </w:divBdr>
        </w:div>
      </w:divsChild>
    </w:div>
    <w:div w:id="1089891246">
      <w:bodyDiv w:val="1"/>
      <w:marLeft w:val="0"/>
      <w:marRight w:val="0"/>
      <w:marTop w:val="0"/>
      <w:marBottom w:val="0"/>
      <w:divBdr>
        <w:top w:val="none" w:sz="0" w:space="0" w:color="auto"/>
        <w:left w:val="none" w:sz="0" w:space="0" w:color="auto"/>
        <w:bottom w:val="none" w:sz="0" w:space="0" w:color="auto"/>
        <w:right w:val="none" w:sz="0" w:space="0" w:color="auto"/>
      </w:divBdr>
    </w:div>
    <w:div w:id="1350721643">
      <w:bodyDiv w:val="1"/>
      <w:marLeft w:val="0"/>
      <w:marRight w:val="0"/>
      <w:marTop w:val="0"/>
      <w:marBottom w:val="0"/>
      <w:divBdr>
        <w:top w:val="none" w:sz="0" w:space="0" w:color="auto"/>
        <w:left w:val="none" w:sz="0" w:space="0" w:color="auto"/>
        <w:bottom w:val="none" w:sz="0" w:space="0" w:color="auto"/>
        <w:right w:val="none" w:sz="0" w:space="0" w:color="auto"/>
      </w:divBdr>
      <w:divsChild>
        <w:div w:id="210534619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1/e3sconf/202131901093.%20Accessed%2030%20Dec.%202022" TargetMode="External"/><Relationship Id="rId13" Type="http://schemas.openxmlformats.org/officeDocument/2006/relationships/hyperlink" Target="https://doi.org/10.1509/jm.10.0414" TargetMode="External"/><Relationship Id="rId18" Type="http://schemas.openxmlformats.org/officeDocument/2006/relationships/hyperlink" Target="https://doi.org/10.1108/ijppm-01-2019-0026" TargetMode="External"/><Relationship Id="rId26" Type="http://schemas.openxmlformats.org/officeDocument/2006/relationships/hyperlink" Target="https://doi.org/10.1287/mnsc.1100.1267" TargetMode="External"/><Relationship Id="rId3" Type="http://schemas.openxmlformats.org/officeDocument/2006/relationships/styles" Target="styles.xml"/><Relationship Id="rId21" Type="http://schemas.openxmlformats.org/officeDocument/2006/relationships/hyperlink" Target="https://doi.org/10.1177/00222429211023016" TargetMode="External"/><Relationship Id="rId7" Type="http://schemas.openxmlformats.org/officeDocument/2006/relationships/endnotes" Target="endnotes.xml"/><Relationship Id="rId12" Type="http://schemas.openxmlformats.org/officeDocument/2006/relationships/hyperlink" Target="https://doi.org/10.1016/j.foodcont.2015.06.021" TargetMode="External"/><Relationship Id="rId17" Type="http://schemas.openxmlformats.org/officeDocument/2006/relationships/hyperlink" Target="https://doi.org/10.3390/nu15194170" TargetMode="External"/><Relationship Id="rId25" Type="http://schemas.openxmlformats.org/officeDocument/2006/relationships/hyperlink" Target="https://doi.org/10.1177/00222437221131568" TargetMode="External"/><Relationship Id="rId2" Type="http://schemas.openxmlformats.org/officeDocument/2006/relationships/numbering" Target="numbering.xml"/><Relationship Id="rId16" Type="http://schemas.openxmlformats.org/officeDocument/2006/relationships/hyperlink" Target="https://doi.org/10.1002/qre.2059" TargetMode="External"/><Relationship Id="rId20" Type="http://schemas.openxmlformats.org/officeDocument/2006/relationships/hyperlink" Target="https://doi.org/10.1111/jscm.121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pim.12120" TargetMode="External"/><Relationship Id="rId24" Type="http://schemas.openxmlformats.org/officeDocument/2006/relationships/hyperlink" Target="https://doi.org/10.1287/mnsc.2016.2456" TargetMode="External"/><Relationship Id="rId5" Type="http://schemas.openxmlformats.org/officeDocument/2006/relationships/webSettings" Target="webSettings.xml"/><Relationship Id="rId15" Type="http://schemas.openxmlformats.org/officeDocument/2006/relationships/hyperlink" Target="https://doi.org/10.1016/j.jom.2011.06.006" TargetMode="External"/><Relationship Id="rId23" Type="http://schemas.openxmlformats.org/officeDocument/2006/relationships/hyperlink" Target="https://doi.org/10.1108/tqm-05-2019-0132" TargetMode="External"/><Relationship Id="rId28" Type="http://schemas.openxmlformats.org/officeDocument/2006/relationships/footer" Target="footer1.xml"/><Relationship Id="rId10" Type="http://schemas.openxmlformats.org/officeDocument/2006/relationships/hyperlink" Target="https://doi.org/10.31387/oscm0180115" TargetMode="External"/><Relationship Id="rId19" Type="http://schemas.openxmlformats.org/officeDocument/2006/relationships/hyperlink" Target="https://doi.org/10.1111/jscm.12306" TargetMode="External"/><Relationship Id="rId4" Type="http://schemas.openxmlformats.org/officeDocument/2006/relationships/settings" Target="settings.xml"/><Relationship Id="rId9" Type="http://schemas.openxmlformats.org/officeDocument/2006/relationships/hyperlink" Target="https://doi.org/10.5121/ijmvsc.2013.4401" TargetMode="External"/><Relationship Id="rId14" Type="http://schemas.openxmlformats.org/officeDocument/2006/relationships/hyperlink" Target="https://doi.org/10.1509/jm.15.0074" TargetMode="External"/><Relationship Id="rId22" Type="http://schemas.openxmlformats.org/officeDocument/2006/relationships/hyperlink" Target="https://doi.org/10.1109/access.2021.3137307"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85E5D-913F-4803-B697-7783BC3C6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16</Pages>
  <Words>4189</Words>
  <Characters>23882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Josua Millard (2412673)</dc:creator>
  <cp:keywords/>
  <dc:description/>
  <cp:lastModifiedBy>Josua Millard (2412673)</cp:lastModifiedBy>
  <cp:revision>10</cp:revision>
  <dcterms:created xsi:type="dcterms:W3CDTF">2024-12-10T23:22:00Z</dcterms:created>
  <dcterms:modified xsi:type="dcterms:W3CDTF">2024-12-12T00:16:00Z</dcterms:modified>
</cp:coreProperties>
</file>