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09F2B" w14:textId="77777777" w:rsidR="004C54E2" w:rsidRPr="00A60640" w:rsidRDefault="004C54E2" w:rsidP="00A60640">
      <w:pPr>
        <w:spacing w:line="360" w:lineRule="auto"/>
        <w:rPr>
          <w:rFonts w:ascii="Times New Roman" w:hAnsi="Times New Roman" w:cs="Times New Roman"/>
        </w:rPr>
      </w:pPr>
    </w:p>
    <w:p w14:paraId="6758AD4C" w14:textId="77777777" w:rsidR="004C54E2" w:rsidRPr="00A60640" w:rsidRDefault="004C54E2" w:rsidP="00A60640">
      <w:pPr>
        <w:spacing w:line="360" w:lineRule="auto"/>
        <w:rPr>
          <w:rFonts w:ascii="Times New Roman" w:hAnsi="Times New Roman" w:cs="Times New Roman"/>
        </w:rPr>
      </w:pPr>
    </w:p>
    <w:p w14:paraId="40779038" w14:textId="77777777" w:rsidR="004C54E2" w:rsidRPr="00A60640" w:rsidRDefault="004C54E2" w:rsidP="00A60640">
      <w:pPr>
        <w:spacing w:line="360" w:lineRule="auto"/>
        <w:rPr>
          <w:rFonts w:ascii="Times New Roman" w:hAnsi="Times New Roman" w:cs="Times New Roman"/>
        </w:rPr>
      </w:pPr>
    </w:p>
    <w:p w14:paraId="6AF900B6" w14:textId="77777777" w:rsidR="004C54E2" w:rsidRPr="00A60640" w:rsidRDefault="004C54E2" w:rsidP="00A60640">
      <w:pPr>
        <w:spacing w:line="360" w:lineRule="auto"/>
        <w:rPr>
          <w:rFonts w:ascii="Times New Roman" w:hAnsi="Times New Roman" w:cs="Times New Roman"/>
        </w:rPr>
      </w:pPr>
    </w:p>
    <w:p w14:paraId="4343E4B2" w14:textId="77777777" w:rsidR="004C54E2" w:rsidRPr="00A60640" w:rsidRDefault="004C54E2" w:rsidP="00A60640">
      <w:pPr>
        <w:spacing w:line="360" w:lineRule="auto"/>
        <w:rPr>
          <w:rFonts w:ascii="Times New Roman" w:hAnsi="Times New Roman" w:cs="Times New Roman"/>
        </w:rPr>
      </w:pPr>
    </w:p>
    <w:p w14:paraId="60752A61" w14:textId="77777777" w:rsidR="004C54E2" w:rsidRPr="00A60640" w:rsidRDefault="004C54E2" w:rsidP="00A60640">
      <w:pPr>
        <w:spacing w:line="360" w:lineRule="auto"/>
        <w:rPr>
          <w:rFonts w:ascii="Times New Roman" w:hAnsi="Times New Roman" w:cs="Times New Roman"/>
        </w:rPr>
      </w:pPr>
    </w:p>
    <w:p w14:paraId="1B608C24" w14:textId="77777777" w:rsidR="004C54E2" w:rsidRPr="00A60640" w:rsidRDefault="004C54E2" w:rsidP="00A60640">
      <w:pPr>
        <w:spacing w:line="360" w:lineRule="auto"/>
        <w:rPr>
          <w:rFonts w:ascii="Times New Roman" w:hAnsi="Times New Roman" w:cs="Times New Roman"/>
        </w:rPr>
      </w:pPr>
    </w:p>
    <w:p w14:paraId="5C296957" w14:textId="77777777" w:rsidR="004C54E2" w:rsidRPr="00A60640" w:rsidRDefault="004C54E2" w:rsidP="00A60640">
      <w:pPr>
        <w:spacing w:line="360" w:lineRule="auto"/>
        <w:rPr>
          <w:rFonts w:ascii="Times New Roman" w:hAnsi="Times New Roman" w:cs="Times New Roman"/>
        </w:rPr>
      </w:pPr>
    </w:p>
    <w:p w14:paraId="13CF319A" w14:textId="77777777" w:rsidR="004C54E2" w:rsidRPr="00A60640" w:rsidRDefault="004C54E2" w:rsidP="00A60640">
      <w:pPr>
        <w:spacing w:line="360" w:lineRule="auto"/>
        <w:rPr>
          <w:rFonts w:ascii="Times New Roman" w:hAnsi="Times New Roman" w:cs="Times New Roman"/>
        </w:rPr>
      </w:pPr>
    </w:p>
    <w:p w14:paraId="5D5AE40E" w14:textId="77777777" w:rsidR="004C54E2" w:rsidRPr="00A60640" w:rsidRDefault="004C54E2" w:rsidP="00A60640">
      <w:pPr>
        <w:spacing w:line="360" w:lineRule="auto"/>
        <w:rPr>
          <w:rFonts w:ascii="Times New Roman" w:hAnsi="Times New Roman" w:cs="Times New Roman"/>
        </w:rPr>
      </w:pPr>
    </w:p>
    <w:p w14:paraId="2E461537" w14:textId="77777777" w:rsidR="004C54E2" w:rsidRPr="00A60640" w:rsidRDefault="004C54E2" w:rsidP="00A60640">
      <w:pPr>
        <w:spacing w:line="360" w:lineRule="auto"/>
        <w:rPr>
          <w:rFonts w:ascii="Times New Roman" w:hAnsi="Times New Roman" w:cs="Times New Roman"/>
        </w:rPr>
      </w:pPr>
    </w:p>
    <w:p w14:paraId="1A46EA16" w14:textId="02EBE1E7" w:rsidR="00E7672F"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Stakeholder Management Plan for the Development of a New Community Public Park</w:t>
      </w:r>
    </w:p>
    <w:p w14:paraId="170BE9AA" w14:textId="160AB324"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Student name:</w:t>
      </w:r>
      <w:r w:rsidR="00A60640" w:rsidRPr="00A60640">
        <w:rPr>
          <w:rFonts w:ascii="Times New Roman" w:hAnsi="Times New Roman" w:cs="Times New Roman"/>
        </w:rPr>
        <w:t xml:space="preserve"> Emil Cosmin Raducanu </w:t>
      </w:r>
    </w:p>
    <w:p w14:paraId="30B422BD" w14:textId="3A36325F"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Student ID:</w:t>
      </w:r>
      <w:r w:rsidR="00A60640" w:rsidRPr="00A60640">
        <w:rPr>
          <w:rFonts w:ascii="Times New Roman" w:hAnsi="Times New Roman" w:cs="Times New Roman"/>
        </w:rPr>
        <w:t xml:space="preserve"> 2513152</w:t>
      </w:r>
    </w:p>
    <w:p w14:paraId="00B0817B" w14:textId="77777777" w:rsidR="004C54E2" w:rsidRPr="00A60640" w:rsidRDefault="004C54E2" w:rsidP="00A60640">
      <w:pPr>
        <w:spacing w:line="360" w:lineRule="auto"/>
        <w:rPr>
          <w:rFonts w:ascii="Times New Roman" w:hAnsi="Times New Roman" w:cs="Times New Roman"/>
        </w:rPr>
      </w:pPr>
    </w:p>
    <w:p w14:paraId="2E0410C6" w14:textId="77777777" w:rsidR="004C54E2" w:rsidRPr="00A60640" w:rsidRDefault="004C54E2" w:rsidP="00A60640">
      <w:pPr>
        <w:spacing w:line="360" w:lineRule="auto"/>
        <w:rPr>
          <w:rFonts w:ascii="Times New Roman" w:hAnsi="Times New Roman" w:cs="Times New Roman"/>
        </w:rPr>
      </w:pPr>
    </w:p>
    <w:p w14:paraId="5A42C956" w14:textId="77777777" w:rsidR="004C54E2" w:rsidRPr="00A60640" w:rsidRDefault="004C54E2" w:rsidP="00A60640">
      <w:pPr>
        <w:spacing w:line="360" w:lineRule="auto"/>
        <w:rPr>
          <w:rFonts w:ascii="Times New Roman" w:hAnsi="Times New Roman" w:cs="Times New Roman"/>
        </w:rPr>
      </w:pPr>
    </w:p>
    <w:p w14:paraId="6B9C96A8" w14:textId="77777777" w:rsidR="004C54E2" w:rsidRPr="00A60640" w:rsidRDefault="004C54E2" w:rsidP="00A60640">
      <w:pPr>
        <w:spacing w:line="360" w:lineRule="auto"/>
        <w:rPr>
          <w:rFonts w:ascii="Times New Roman" w:hAnsi="Times New Roman" w:cs="Times New Roman"/>
        </w:rPr>
      </w:pPr>
    </w:p>
    <w:p w14:paraId="2482F7DB" w14:textId="77777777" w:rsidR="004C54E2" w:rsidRPr="00A60640" w:rsidRDefault="004C54E2" w:rsidP="00A60640">
      <w:pPr>
        <w:spacing w:line="360" w:lineRule="auto"/>
        <w:rPr>
          <w:rFonts w:ascii="Times New Roman" w:hAnsi="Times New Roman" w:cs="Times New Roman"/>
        </w:rPr>
      </w:pPr>
    </w:p>
    <w:p w14:paraId="65BA2EEF" w14:textId="77777777" w:rsidR="004C54E2" w:rsidRPr="00A60640" w:rsidRDefault="004C54E2" w:rsidP="00A60640">
      <w:pPr>
        <w:spacing w:line="360" w:lineRule="auto"/>
        <w:rPr>
          <w:rFonts w:ascii="Times New Roman" w:hAnsi="Times New Roman" w:cs="Times New Roman"/>
        </w:rPr>
      </w:pPr>
    </w:p>
    <w:p w14:paraId="5B08E1DC" w14:textId="77777777" w:rsidR="004C54E2" w:rsidRPr="00A60640" w:rsidRDefault="004C54E2" w:rsidP="00A60640">
      <w:pPr>
        <w:spacing w:line="360" w:lineRule="auto"/>
        <w:rPr>
          <w:rFonts w:ascii="Times New Roman" w:hAnsi="Times New Roman" w:cs="Times New Roman"/>
        </w:rPr>
      </w:pPr>
    </w:p>
    <w:p w14:paraId="2F241DED" w14:textId="77777777" w:rsidR="004C54E2" w:rsidRPr="00A60640" w:rsidRDefault="004C54E2" w:rsidP="00A60640">
      <w:pPr>
        <w:spacing w:line="360" w:lineRule="auto"/>
        <w:rPr>
          <w:rFonts w:ascii="Times New Roman" w:hAnsi="Times New Roman" w:cs="Times New Roman"/>
        </w:rPr>
      </w:pPr>
    </w:p>
    <w:p w14:paraId="786E6134" w14:textId="77777777" w:rsidR="004C54E2" w:rsidRPr="00A60640" w:rsidRDefault="004C54E2" w:rsidP="00A60640">
      <w:pPr>
        <w:spacing w:line="360" w:lineRule="auto"/>
        <w:rPr>
          <w:rFonts w:ascii="Times New Roman" w:hAnsi="Times New Roman" w:cs="Times New Roman"/>
        </w:rPr>
      </w:pPr>
    </w:p>
    <w:p w14:paraId="70A02E23" w14:textId="77777777" w:rsidR="004C54E2" w:rsidRPr="00A60640" w:rsidRDefault="004C54E2" w:rsidP="00A60640">
      <w:pPr>
        <w:spacing w:line="360" w:lineRule="auto"/>
        <w:rPr>
          <w:rFonts w:ascii="Times New Roman" w:hAnsi="Times New Roman" w:cs="Times New Roman"/>
        </w:rPr>
      </w:pPr>
    </w:p>
    <w:p w14:paraId="28A78292" w14:textId="77777777" w:rsidR="004C54E2" w:rsidRPr="00A60640" w:rsidRDefault="004C54E2" w:rsidP="00A60640">
      <w:pPr>
        <w:spacing w:line="360" w:lineRule="auto"/>
        <w:rPr>
          <w:rFonts w:ascii="Times New Roman" w:hAnsi="Times New Roman" w:cs="Times New Roman"/>
        </w:rPr>
      </w:pPr>
    </w:p>
    <w:p w14:paraId="2ECDFC9E" w14:textId="77777777" w:rsidR="004C54E2" w:rsidRPr="00A60640" w:rsidRDefault="004C54E2" w:rsidP="00A60640">
      <w:pPr>
        <w:spacing w:line="360" w:lineRule="auto"/>
        <w:rPr>
          <w:rFonts w:ascii="Times New Roman" w:hAnsi="Times New Roman" w:cs="Times New Roman"/>
        </w:rPr>
      </w:pPr>
    </w:p>
    <w:p w14:paraId="358E71FC" w14:textId="77777777" w:rsidR="004C54E2" w:rsidRPr="00A60640" w:rsidRDefault="004C54E2" w:rsidP="00A60640">
      <w:pPr>
        <w:spacing w:line="360" w:lineRule="auto"/>
        <w:rPr>
          <w:rFonts w:ascii="Times New Roman" w:hAnsi="Times New Roman" w:cs="Times New Roman"/>
        </w:rPr>
      </w:pPr>
    </w:p>
    <w:p w14:paraId="3BD84B43" w14:textId="77777777" w:rsidR="004C54E2" w:rsidRPr="00A60640" w:rsidRDefault="004C54E2" w:rsidP="00A60640">
      <w:pPr>
        <w:spacing w:line="360" w:lineRule="auto"/>
        <w:rPr>
          <w:rFonts w:ascii="Times New Roman" w:hAnsi="Times New Roman" w:cs="Times New Roman"/>
        </w:rPr>
      </w:pPr>
    </w:p>
    <w:sdt>
      <w:sdtPr>
        <w:rPr>
          <w:rFonts w:ascii="Times New Roman" w:eastAsiaTheme="minorHAnsi" w:hAnsi="Times New Roman" w:cs="Times New Roman"/>
          <w:color w:val="auto"/>
          <w:kern w:val="2"/>
          <w:sz w:val="24"/>
          <w:szCs w:val="24"/>
          <w:lang w:val="en-GB"/>
          <w14:ligatures w14:val="standardContextual"/>
        </w:rPr>
        <w:id w:val="1684626656"/>
        <w:docPartObj>
          <w:docPartGallery w:val="Table of Contents"/>
          <w:docPartUnique/>
        </w:docPartObj>
      </w:sdtPr>
      <w:sdtEndPr>
        <w:rPr>
          <w:b/>
          <w:bCs/>
          <w:noProof/>
        </w:rPr>
      </w:sdtEndPr>
      <w:sdtContent>
        <w:p w14:paraId="2228CC57" w14:textId="6D0D4C4B" w:rsidR="00A60640" w:rsidRPr="00A60640" w:rsidRDefault="00A60640" w:rsidP="00A60640">
          <w:pPr>
            <w:pStyle w:val="TOCHeading"/>
            <w:spacing w:line="360" w:lineRule="auto"/>
            <w:rPr>
              <w:rFonts w:ascii="Times New Roman" w:hAnsi="Times New Roman" w:cs="Times New Roman"/>
              <w:sz w:val="24"/>
              <w:szCs w:val="24"/>
              <w:lang w:val="en-GB"/>
            </w:rPr>
          </w:pPr>
          <w:r w:rsidRPr="00A60640">
            <w:rPr>
              <w:rFonts w:ascii="Times New Roman" w:hAnsi="Times New Roman" w:cs="Times New Roman"/>
              <w:sz w:val="24"/>
              <w:szCs w:val="24"/>
              <w:lang w:val="en-GB"/>
            </w:rPr>
            <w:t>Contents</w:t>
          </w:r>
        </w:p>
        <w:p w14:paraId="6F36F5AF" w14:textId="0C943741" w:rsidR="00A60640" w:rsidRDefault="00A60640">
          <w:pPr>
            <w:pStyle w:val="TOC2"/>
            <w:tabs>
              <w:tab w:val="right" w:leader="dot" w:pos="9016"/>
            </w:tabs>
            <w:rPr>
              <w:rFonts w:eastAsiaTheme="minorEastAsia"/>
              <w:noProof/>
              <w:lang w:eastAsia="en-GB"/>
            </w:rPr>
          </w:pPr>
          <w:r w:rsidRPr="00A60640">
            <w:rPr>
              <w:rFonts w:ascii="Times New Roman" w:hAnsi="Times New Roman" w:cs="Times New Roman"/>
            </w:rPr>
            <w:fldChar w:fldCharType="begin"/>
          </w:r>
          <w:r w:rsidRPr="00A60640">
            <w:rPr>
              <w:rFonts w:ascii="Times New Roman" w:hAnsi="Times New Roman" w:cs="Times New Roman"/>
            </w:rPr>
            <w:instrText xml:space="preserve"> TOC \o "1-3" \h \z \u </w:instrText>
          </w:r>
          <w:r w:rsidRPr="00A60640">
            <w:rPr>
              <w:rFonts w:ascii="Times New Roman" w:hAnsi="Times New Roman" w:cs="Times New Roman"/>
            </w:rPr>
            <w:fldChar w:fldCharType="separate"/>
          </w:r>
          <w:hyperlink w:anchor="_Toc238196958" w:history="1">
            <w:r w:rsidRPr="00BC00F3">
              <w:rPr>
                <w:rStyle w:val="Hyperlink"/>
                <w:rFonts w:cs="Times New Roman"/>
                <w:noProof/>
              </w:rPr>
              <w:t>1. Introduction</w:t>
            </w:r>
            <w:r>
              <w:rPr>
                <w:noProof/>
                <w:webHidden/>
              </w:rPr>
              <w:tab/>
            </w:r>
            <w:r>
              <w:rPr>
                <w:noProof/>
                <w:webHidden/>
              </w:rPr>
              <w:fldChar w:fldCharType="begin"/>
            </w:r>
            <w:r>
              <w:rPr>
                <w:noProof/>
                <w:webHidden/>
              </w:rPr>
              <w:instrText xml:space="preserve"> PAGEREF _Toc238196958 \h </w:instrText>
            </w:r>
            <w:r>
              <w:rPr>
                <w:noProof/>
                <w:webHidden/>
              </w:rPr>
            </w:r>
            <w:r>
              <w:rPr>
                <w:noProof/>
                <w:webHidden/>
              </w:rPr>
              <w:fldChar w:fldCharType="separate"/>
            </w:r>
            <w:r>
              <w:rPr>
                <w:noProof/>
                <w:webHidden/>
              </w:rPr>
              <w:t>3</w:t>
            </w:r>
            <w:r>
              <w:rPr>
                <w:noProof/>
                <w:webHidden/>
              </w:rPr>
              <w:fldChar w:fldCharType="end"/>
            </w:r>
          </w:hyperlink>
        </w:p>
        <w:p w14:paraId="2A7C3F0D" w14:textId="1E8FADAA" w:rsidR="00A60640" w:rsidRDefault="00A60640">
          <w:pPr>
            <w:pStyle w:val="TOC2"/>
            <w:tabs>
              <w:tab w:val="right" w:leader="dot" w:pos="9016"/>
            </w:tabs>
            <w:rPr>
              <w:rFonts w:eastAsiaTheme="minorEastAsia"/>
              <w:noProof/>
              <w:lang w:eastAsia="en-GB"/>
            </w:rPr>
          </w:pPr>
          <w:hyperlink w:anchor="_Toc238196959" w:history="1">
            <w:r w:rsidRPr="00BC00F3">
              <w:rPr>
                <w:rStyle w:val="Hyperlink"/>
                <w:rFonts w:cs="Times New Roman"/>
                <w:noProof/>
              </w:rPr>
              <w:t>2. Engagement of Stakeholders</w:t>
            </w:r>
            <w:r>
              <w:rPr>
                <w:noProof/>
                <w:webHidden/>
              </w:rPr>
              <w:tab/>
            </w:r>
            <w:r>
              <w:rPr>
                <w:noProof/>
                <w:webHidden/>
              </w:rPr>
              <w:fldChar w:fldCharType="begin"/>
            </w:r>
            <w:r>
              <w:rPr>
                <w:noProof/>
                <w:webHidden/>
              </w:rPr>
              <w:instrText xml:space="preserve"> PAGEREF _Toc238196959 \h </w:instrText>
            </w:r>
            <w:r>
              <w:rPr>
                <w:noProof/>
                <w:webHidden/>
              </w:rPr>
            </w:r>
            <w:r>
              <w:rPr>
                <w:noProof/>
                <w:webHidden/>
              </w:rPr>
              <w:fldChar w:fldCharType="separate"/>
            </w:r>
            <w:r>
              <w:rPr>
                <w:noProof/>
                <w:webHidden/>
              </w:rPr>
              <w:t>3</w:t>
            </w:r>
            <w:r>
              <w:rPr>
                <w:noProof/>
                <w:webHidden/>
              </w:rPr>
              <w:fldChar w:fldCharType="end"/>
            </w:r>
          </w:hyperlink>
        </w:p>
        <w:p w14:paraId="7B8B8E97" w14:textId="4B62CCD8" w:rsidR="00A60640" w:rsidRDefault="00A60640">
          <w:pPr>
            <w:pStyle w:val="TOC2"/>
            <w:tabs>
              <w:tab w:val="right" w:leader="dot" w:pos="9016"/>
            </w:tabs>
            <w:rPr>
              <w:rFonts w:eastAsiaTheme="minorEastAsia"/>
              <w:noProof/>
              <w:lang w:eastAsia="en-GB"/>
            </w:rPr>
          </w:pPr>
          <w:hyperlink w:anchor="_Toc238196960" w:history="1">
            <w:r w:rsidRPr="00BC00F3">
              <w:rPr>
                <w:rStyle w:val="Hyperlink"/>
                <w:rFonts w:cs="Times New Roman"/>
                <w:noProof/>
              </w:rPr>
              <w:t>2.1 Analysis of Power, Influence and Interest</w:t>
            </w:r>
            <w:r>
              <w:rPr>
                <w:noProof/>
                <w:webHidden/>
              </w:rPr>
              <w:tab/>
            </w:r>
            <w:r>
              <w:rPr>
                <w:noProof/>
                <w:webHidden/>
              </w:rPr>
              <w:fldChar w:fldCharType="begin"/>
            </w:r>
            <w:r>
              <w:rPr>
                <w:noProof/>
                <w:webHidden/>
              </w:rPr>
              <w:instrText xml:space="preserve"> PAGEREF _Toc238196960 \h </w:instrText>
            </w:r>
            <w:r>
              <w:rPr>
                <w:noProof/>
                <w:webHidden/>
              </w:rPr>
            </w:r>
            <w:r>
              <w:rPr>
                <w:noProof/>
                <w:webHidden/>
              </w:rPr>
              <w:fldChar w:fldCharType="separate"/>
            </w:r>
            <w:r>
              <w:rPr>
                <w:noProof/>
                <w:webHidden/>
              </w:rPr>
              <w:t>3</w:t>
            </w:r>
            <w:r>
              <w:rPr>
                <w:noProof/>
                <w:webHidden/>
              </w:rPr>
              <w:fldChar w:fldCharType="end"/>
            </w:r>
          </w:hyperlink>
        </w:p>
        <w:p w14:paraId="33EA31E4" w14:textId="03B40704" w:rsidR="00A60640" w:rsidRDefault="00A60640">
          <w:pPr>
            <w:pStyle w:val="TOC2"/>
            <w:tabs>
              <w:tab w:val="right" w:leader="dot" w:pos="9016"/>
            </w:tabs>
            <w:rPr>
              <w:rFonts w:eastAsiaTheme="minorEastAsia"/>
              <w:noProof/>
              <w:lang w:eastAsia="en-GB"/>
            </w:rPr>
          </w:pPr>
          <w:hyperlink w:anchor="_Toc238196961" w:history="1">
            <w:r w:rsidRPr="00BC00F3">
              <w:rPr>
                <w:rStyle w:val="Hyperlink"/>
                <w:rFonts w:cs="Times New Roman"/>
                <w:noProof/>
              </w:rPr>
              <w:t>2.2 Stakeholder Mapping</w:t>
            </w:r>
            <w:r>
              <w:rPr>
                <w:noProof/>
                <w:webHidden/>
              </w:rPr>
              <w:tab/>
            </w:r>
            <w:r>
              <w:rPr>
                <w:noProof/>
                <w:webHidden/>
              </w:rPr>
              <w:fldChar w:fldCharType="begin"/>
            </w:r>
            <w:r>
              <w:rPr>
                <w:noProof/>
                <w:webHidden/>
              </w:rPr>
              <w:instrText xml:space="preserve"> PAGEREF _Toc238196961 \h </w:instrText>
            </w:r>
            <w:r>
              <w:rPr>
                <w:noProof/>
                <w:webHidden/>
              </w:rPr>
            </w:r>
            <w:r>
              <w:rPr>
                <w:noProof/>
                <w:webHidden/>
              </w:rPr>
              <w:fldChar w:fldCharType="separate"/>
            </w:r>
            <w:r>
              <w:rPr>
                <w:noProof/>
                <w:webHidden/>
              </w:rPr>
              <w:t>5</w:t>
            </w:r>
            <w:r>
              <w:rPr>
                <w:noProof/>
                <w:webHidden/>
              </w:rPr>
              <w:fldChar w:fldCharType="end"/>
            </w:r>
          </w:hyperlink>
        </w:p>
        <w:p w14:paraId="3A88B532" w14:textId="737E0F5F" w:rsidR="00A60640" w:rsidRDefault="00A60640">
          <w:pPr>
            <w:pStyle w:val="TOC2"/>
            <w:tabs>
              <w:tab w:val="right" w:leader="dot" w:pos="9016"/>
            </w:tabs>
            <w:rPr>
              <w:rFonts w:eastAsiaTheme="minorEastAsia"/>
              <w:noProof/>
              <w:lang w:eastAsia="en-GB"/>
            </w:rPr>
          </w:pPr>
          <w:hyperlink w:anchor="_Toc238196962" w:history="1">
            <w:r w:rsidRPr="00BC00F3">
              <w:rPr>
                <w:rStyle w:val="Hyperlink"/>
                <w:rFonts w:cs="Times New Roman"/>
                <w:noProof/>
              </w:rPr>
              <w:t>2.4 Consultation Strategy</w:t>
            </w:r>
            <w:r>
              <w:rPr>
                <w:noProof/>
                <w:webHidden/>
              </w:rPr>
              <w:tab/>
            </w:r>
            <w:r>
              <w:rPr>
                <w:noProof/>
                <w:webHidden/>
              </w:rPr>
              <w:fldChar w:fldCharType="begin"/>
            </w:r>
            <w:r>
              <w:rPr>
                <w:noProof/>
                <w:webHidden/>
              </w:rPr>
              <w:instrText xml:space="preserve"> PAGEREF _Toc238196962 \h </w:instrText>
            </w:r>
            <w:r>
              <w:rPr>
                <w:noProof/>
                <w:webHidden/>
              </w:rPr>
            </w:r>
            <w:r>
              <w:rPr>
                <w:noProof/>
                <w:webHidden/>
              </w:rPr>
              <w:fldChar w:fldCharType="separate"/>
            </w:r>
            <w:r>
              <w:rPr>
                <w:noProof/>
                <w:webHidden/>
              </w:rPr>
              <w:t>8</w:t>
            </w:r>
            <w:r>
              <w:rPr>
                <w:noProof/>
                <w:webHidden/>
              </w:rPr>
              <w:fldChar w:fldCharType="end"/>
            </w:r>
          </w:hyperlink>
        </w:p>
        <w:p w14:paraId="299C0FF0" w14:textId="6C612F7D" w:rsidR="00A60640" w:rsidRDefault="00A60640">
          <w:pPr>
            <w:pStyle w:val="TOC2"/>
            <w:tabs>
              <w:tab w:val="right" w:leader="dot" w:pos="9016"/>
            </w:tabs>
            <w:rPr>
              <w:rFonts w:eastAsiaTheme="minorEastAsia"/>
              <w:noProof/>
              <w:lang w:eastAsia="en-GB"/>
            </w:rPr>
          </w:pPr>
          <w:hyperlink w:anchor="_Toc238196963" w:history="1">
            <w:r w:rsidRPr="00BC00F3">
              <w:rPr>
                <w:rStyle w:val="Hyperlink"/>
                <w:rFonts w:cs="Times New Roman"/>
                <w:noProof/>
              </w:rPr>
              <w:t>3. Ethical Issues in the Stakeholder Consultation, Participation and Feedback Process</w:t>
            </w:r>
            <w:r>
              <w:rPr>
                <w:noProof/>
                <w:webHidden/>
              </w:rPr>
              <w:tab/>
            </w:r>
            <w:r>
              <w:rPr>
                <w:noProof/>
                <w:webHidden/>
              </w:rPr>
              <w:fldChar w:fldCharType="begin"/>
            </w:r>
            <w:r>
              <w:rPr>
                <w:noProof/>
                <w:webHidden/>
              </w:rPr>
              <w:instrText xml:space="preserve"> PAGEREF _Toc238196963 \h </w:instrText>
            </w:r>
            <w:r>
              <w:rPr>
                <w:noProof/>
                <w:webHidden/>
              </w:rPr>
            </w:r>
            <w:r>
              <w:rPr>
                <w:noProof/>
                <w:webHidden/>
              </w:rPr>
              <w:fldChar w:fldCharType="separate"/>
            </w:r>
            <w:r>
              <w:rPr>
                <w:noProof/>
                <w:webHidden/>
              </w:rPr>
              <w:t>9</w:t>
            </w:r>
            <w:r>
              <w:rPr>
                <w:noProof/>
                <w:webHidden/>
              </w:rPr>
              <w:fldChar w:fldCharType="end"/>
            </w:r>
          </w:hyperlink>
        </w:p>
        <w:p w14:paraId="631C3CAF" w14:textId="1071BC9F" w:rsidR="00A60640" w:rsidRDefault="00A60640">
          <w:pPr>
            <w:pStyle w:val="TOC2"/>
            <w:tabs>
              <w:tab w:val="right" w:leader="dot" w:pos="9016"/>
            </w:tabs>
            <w:rPr>
              <w:rFonts w:eastAsiaTheme="minorEastAsia"/>
              <w:noProof/>
              <w:lang w:eastAsia="en-GB"/>
            </w:rPr>
          </w:pPr>
          <w:hyperlink w:anchor="_Toc238196964" w:history="1">
            <w:r w:rsidRPr="00BC00F3">
              <w:rPr>
                <w:rStyle w:val="Hyperlink"/>
                <w:rFonts w:cs="Times New Roman"/>
                <w:noProof/>
              </w:rPr>
              <w:t>4. Conclusion and Reflection</w:t>
            </w:r>
            <w:r>
              <w:rPr>
                <w:noProof/>
                <w:webHidden/>
              </w:rPr>
              <w:tab/>
            </w:r>
            <w:r>
              <w:rPr>
                <w:noProof/>
                <w:webHidden/>
              </w:rPr>
              <w:fldChar w:fldCharType="begin"/>
            </w:r>
            <w:r>
              <w:rPr>
                <w:noProof/>
                <w:webHidden/>
              </w:rPr>
              <w:instrText xml:space="preserve"> PAGEREF _Toc238196964 \h </w:instrText>
            </w:r>
            <w:r>
              <w:rPr>
                <w:noProof/>
                <w:webHidden/>
              </w:rPr>
            </w:r>
            <w:r>
              <w:rPr>
                <w:noProof/>
                <w:webHidden/>
              </w:rPr>
              <w:fldChar w:fldCharType="separate"/>
            </w:r>
            <w:r>
              <w:rPr>
                <w:noProof/>
                <w:webHidden/>
              </w:rPr>
              <w:t>10</w:t>
            </w:r>
            <w:r>
              <w:rPr>
                <w:noProof/>
                <w:webHidden/>
              </w:rPr>
              <w:fldChar w:fldCharType="end"/>
            </w:r>
          </w:hyperlink>
        </w:p>
        <w:p w14:paraId="4D50DEE3" w14:textId="0932B4B0" w:rsidR="00A60640" w:rsidRDefault="00A60640">
          <w:pPr>
            <w:pStyle w:val="TOC2"/>
            <w:tabs>
              <w:tab w:val="right" w:leader="dot" w:pos="9016"/>
            </w:tabs>
            <w:rPr>
              <w:rFonts w:eastAsiaTheme="minorEastAsia"/>
              <w:noProof/>
              <w:lang w:eastAsia="en-GB"/>
            </w:rPr>
          </w:pPr>
          <w:hyperlink w:anchor="_Toc238196965" w:history="1">
            <w:r w:rsidRPr="00BC00F3">
              <w:rPr>
                <w:rStyle w:val="Hyperlink"/>
                <w:rFonts w:eastAsia="Times New Roman" w:cs="Times New Roman"/>
                <w:noProof/>
                <w:lang w:eastAsia="en-GB"/>
              </w:rPr>
              <w:t>References</w:t>
            </w:r>
            <w:r>
              <w:rPr>
                <w:noProof/>
                <w:webHidden/>
              </w:rPr>
              <w:tab/>
            </w:r>
            <w:r>
              <w:rPr>
                <w:noProof/>
                <w:webHidden/>
              </w:rPr>
              <w:fldChar w:fldCharType="begin"/>
            </w:r>
            <w:r>
              <w:rPr>
                <w:noProof/>
                <w:webHidden/>
              </w:rPr>
              <w:instrText xml:space="preserve"> PAGEREF _Toc238196965 \h </w:instrText>
            </w:r>
            <w:r>
              <w:rPr>
                <w:noProof/>
                <w:webHidden/>
              </w:rPr>
            </w:r>
            <w:r>
              <w:rPr>
                <w:noProof/>
                <w:webHidden/>
              </w:rPr>
              <w:fldChar w:fldCharType="separate"/>
            </w:r>
            <w:r>
              <w:rPr>
                <w:noProof/>
                <w:webHidden/>
              </w:rPr>
              <w:t>12</w:t>
            </w:r>
            <w:r>
              <w:rPr>
                <w:noProof/>
                <w:webHidden/>
              </w:rPr>
              <w:fldChar w:fldCharType="end"/>
            </w:r>
          </w:hyperlink>
        </w:p>
        <w:p w14:paraId="1233FACD" w14:textId="32839816" w:rsidR="00A60640" w:rsidRPr="00A60640" w:rsidRDefault="00A60640" w:rsidP="00A60640">
          <w:pPr>
            <w:spacing w:line="360" w:lineRule="auto"/>
            <w:rPr>
              <w:rFonts w:ascii="Times New Roman" w:hAnsi="Times New Roman" w:cs="Times New Roman"/>
            </w:rPr>
          </w:pPr>
          <w:r w:rsidRPr="00A60640">
            <w:rPr>
              <w:rFonts w:ascii="Times New Roman" w:hAnsi="Times New Roman" w:cs="Times New Roman"/>
              <w:b/>
              <w:bCs/>
              <w:noProof/>
            </w:rPr>
            <w:fldChar w:fldCharType="end"/>
          </w:r>
        </w:p>
      </w:sdtContent>
    </w:sdt>
    <w:p w14:paraId="79E44814" w14:textId="77777777" w:rsidR="004C54E2" w:rsidRPr="00A60640" w:rsidRDefault="004C54E2" w:rsidP="00A60640">
      <w:pPr>
        <w:spacing w:line="360" w:lineRule="auto"/>
        <w:rPr>
          <w:rFonts w:ascii="Times New Roman" w:hAnsi="Times New Roman" w:cs="Times New Roman"/>
        </w:rPr>
      </w:pPr>
    </w:p>
    <w:p w14:paraId="42CB93C2" w14:textId="77777777" w:rsidR="004C54E2" w:rsidRDefault="004C54E2" w:rsidP="00A60640">
      <w:pPr>
        <w:spacing w:line="360" w:lineRule="auto"/>
        <w:rPr>
          <w:rFonts w:ascii="Times New Roman" w:hAnsi="Times New Roman" w:cs="Times New Roman"/>
        </w:rPr>
      </w:pPr>
    </w:p>
    <w:p w14:paraId="3F6D5DB7" w14:textId="77777777" w:rsidR="00A60640" w:rsidRDefault="00A60640" w:rsidP="00A60640">
      <w:pPr>
        <w:spacing w:line="360" w:lineRule="auto"/>
        <w:rPr>
          <w:rFonts w:ascii="Times New Roman" w:hAnsi="Times New Roman" w:cs="Times New Roman"/>
        </w:rPr>
      </w:pPr>
    </w:p>
    <w:p w14:paraId="60ED6B3A" w14:textId="77777777" w:rsidR="00A60640" w:rsidRDefault="00A60640" w:rsidP="00A60640">
      <w:pPr>
        <w:spacing w:line="360" w:lineRule="auto"/>
        <w:rPr>
          <w:rFonts w:ascii="Times New Roman" w:hAnsi="Times New Roman" w:cs="Times New Roman"/>
        </w:rPr>
      </w:pPr>
    </w:p>
    <w:p w14:paraId="15E73149" w14:textId="77777777" w:rsidR="00A60640" w:rsidRDefault="00A60640" w:rsidP="00A60640">
      <w:pPr>
        <w:spacing w:line="360" w:lineRule="auto"/>
        <w:rPr>
          <w:rFonts w:ascii="Times New Roman" w:hAnsi="Times New Roman" w:cs="Times New Roman"/>
        </w:rPr>
      </w:pPr>
    </w:p>
    <w:p w14:paraId="38347C73" w14:textId="77777777" w:rsidR="00A60640" w:rsidRDefault="00A60640" w:rsidP="00A60640">
      <w:pPr>
        <w:spacing w:line="360" w:lineRule="auto"/>
        <w:rPr>
          <w:rFonts w:ascii="Times New Roman" w:hAnsi="Times New Roman" w:cs="Times New Roman"/>
        </w:rPr>
      </w:pPr>
    </w:p>
    <w:p w14:paraId="06B817AF" w14:textId="77777777" w:rsidR="00A60640" w:rsidRDefault="00A60640" w:rsidP="00A60640">
      <w:pPr>
        <w:spacing w:line="360" w:lineRule="auto"/>
        <w:rPr>
          <w:rFonts w:ascii="Times New Roman" w:hAnsi="Times New Roman" w:cs="Times New Roman"/>
        </w:rPr>
      </w:pPr>
    </w:p>
    <w:p w14:paraId="6C56971F" w14:textId="77777777" w:rsidR="00A60640" w:rsidRDefault="00A60640" w:rsidP="00A60640">
      <w:pPr>
        <w:spacing w:line="360" w:lineRule="auto"/>
        <w:rPr>
          <w:rFonts w:ascii="Times New Roman" w:hAnsi="Times New Roman" w:cs="Times New Roman"/>
        </w:rPr>
      </w:pPr>
    </w:p>
    <w:p w14:paraId="0E4006D4" w14:textId="77777777" w:rsidR="00A60640" w:rsidRDefault="00A60640" w:rsidP="00A60640">
      <w:pPr>
        <w:spacing w:line="360" w:lineRule="auto"/>
        <w:rPr>
          <w:rFonts w:ascii="Times New Roman" w:hAnsi="Times New Roman" w:cs="Times New Roman"/>
        </w:rPr>
      </w:pPr>
    </w:p>
    <w:p w14:paraId="37E87691" w14:textId="77777777" w:rsidR="00A60640" w:rsidRPr="00A60640" w:rsidRDefault="00A60640" w:rsidP="00A60640">
      <w:pPr>
        <w:spacing w:line="360" w:lineRule="auto"/>
        <w:rPr>
          <w:rFonts w:ascii="Times New Roman" w:hAnsi="Times New Roman" w:cs="Times New Roman"/>
        </w:rPr>
      </w:pPr>
    </w:p>
    <w:p w14:paraId="3207AC23" w14:textId="6C19651A" w:rsidR="004C54E2" w:rsidRPr="00A60640" w:rsidRDefault="004C54E2" w:rsidP="00A60640">
      <w:pPr>
        <w:pStyle w:val="Heading2"/>
        <w:spacing w:line="360" w:lineRule="auto"/>
        <w:rPr>
          <w:rFonts w:cs="Times New Roman"/>
          <w:szCs w:val="24"/>
        </w:rPr>
      </w:pPr>
      <w:bookmarkStart w:id="0" w:name="_Toc238196958"/>
      <w:r w:rsidRPr="00A60640">
        <w:rPr>
          <w:rFonts w:cs="Times New Roman"/>
          <w:szCs w:val="24"/>
        </w:rPr>
        <w:lastRenderedPageBreak/>
        <w:t>1. Introduction</w:t>
      </w:r>
      <w:bookmarkEnd w:id="0"/>
    </w:p>
    <w:p w14:paraId="627E28D7" w14:textId="189663C2"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 xml:space="preserve">The planned creation of a new public park in Doncaster constitutes a local infrastructure project aimed at providing green and recreational space available to the local community. In addition to this, the project may involve landscaping of green areas, pedestrian paths, playgrounds for kids, and community recreational spaces. It has been proven that urban green spaces are becoming </w:t>
      </w:r>
      <w:r w:rsidR="00A60640" w:rsidRPr="00A60640">
        <w:rPr>
          <w:rFonts w:ascii="Times New Roman" w:hAnsi="Times New Roman" w:cs="Times New Roman"/>
        </w:rPr>
        <w:t>more</w:t>
      </w:r>
      <w:r w:rsidRPr="00A60640">
        <w:rPr>
          <w:rFonts w:ascii="Times New Roman" w:hAnsi="Times New Roman" w:cs="Times New Roman"/>
        </w:rPr>
        <w:t xml:space="preserve"> essential elements of sustainable urban development since they can help improve environmental quality, interactions within the community, and recreational access. As such, development of a new public park should be viewed not only as an infrastructure development but also as a project capable of bringing additional social and environmental benefits to the local community (WHO, 2021; UN-Habitat, 2022).</w:t>
      </w:r>
    </w:p>
    <w:p w14:paraId="1C65BFDA" w14:textId="2FAF7D30"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 xml:space="preserve">There will be a lot of stakeholders with different expectations and influences </w:t>
      </w:r>
      <w:r w:rsidR="00A60640" w:rsidRPr="00A60640">
        <w:rPr>
          <w:rFonts w:ascii="Times New Roman" w:hAnsi="Times New Roman" w:cs="Times New Roman"/>
        </w:rPr>
        <w:t>about</w:t>
      </w:r>
      <w:r w:rsidRPr="00A60640">
        <w:rPr>
          <w:rFonts w:ascii="Times New Roman" w:hAnsi="Times New Roman" w:cs="Times New Roman"/>
        </w:rPr>
        <w:t xml:space="preserve"> such a project. Some of the key stakeholders may include Doncaster Council, </w:t>
      </w:r>
      <w:r w:rsidR="00A60640" w:rsidRPr="00A60640">
        <w:rPr>
          <w:rFonts w:ascii="Times New Roman" w:hAnsi="Times New Roman" w:cs="Times New Roman"/>
        </w:rPr>
        <w:t>residents</w:t>
      </w:r>
      <w:r w:rsidRPr="00A60640">
        <w:rPr>
          <w:rFonts w:ascii="Times New Roman" w:hAnsi="Times New Roman" w:cs="Times New Roman"/>
        </w:rPr>
        <w:t xml:space="preserve">, families and kids, local businesses, environmental and community </w:t>
      </w:r>
      <w:r w:rsidR="00A60640">
        <w:rPr>
          <w:rFonts w:ascii="Times New Roman" w:hAnsi="Times New Roman" w:cs="Times New Roman"/>
        </w:rPr>
        <w:t>organisation</w:t>
      </w:r>
      <w:r w:rsidRPr="00A60640">
        <w:rPr>
          <w:rFonts w:ascii="Times New Roman" w:hAnsi="Times New Roman" w:cs="Times New Roman"/>
        </w:rPr>
        <w:t xml:space="preserve">s, construction contractors, and local schools. </w:t>
      </w:r>
      <w:r w:rsidR="00A60640" w:rsidRPr="00A60640">
        <w:rPr>
          <w:rFonts w:ascii="Times New Roman" w:hAnsi="Times New Roman" w:cs="Times New Roman"/>
        </w:rPr>
        <w:t>Residents</w:t>
      </w:r>
      <w:r w:rsidRPr="00A60640">
        <w:rPr>
          <w:rFonts w:ascii="Times New Roman" w:hAnsi="Times New Roman" w:cs="Times New Roman"/>
        </w:rPr>
        <w:t xml:space="preserve"> and families can expect improvements in their ability to access recreation and green spaces, while local businesses may have some hopes of higher activity in the surrounding area.</w:t>
      </w:r>
      <w:r w:rsidR="00A22A88" w:rsidRPr="00A22A88">
        <w:t xml:space="preserve"> </w:t>
      </w:r>
      <w:r w:rsidR="00A22A88" w:rsidRPr="00A22A88">
        <w:rPr>
          <w:rFonts w:ascii="Times New Roman" w:hAnsi="Times New Roman" w:cs="Times New Roman"/>
        </w:rPr>
        <w:t>Consequently, the council will have to plan and oversee the process, whereas the organizations will be able to share information regarding sustainability-related matters. In this case, stakeholder engagement is critical to acknowledging these expectations and avoiding any potential conflicts (Derakhshan et al., 2020</w:t>
      </w:r>
      <w:r w:rsidRPr="00A60640">
        <w:rPr>
          <w:rFonts w:ascii="Times New Roman" w:hAnsi="Times New Roman" w:cs="Times New Roman"/>
        </w:rPr>
        <w:t>).</w:t>
      </w:r>
    </w:p>
    <w:p w14:paraId="4F30DE80" w14:textId="114FCCE3" w:rsidR="004C54E2" w:rsidRPr="00A60640" w:rsidRDefault="004C54E2" w:rsidP="00A60640">
      <w:pPr>
        <w:pStyle w:val="Heading2"/>
        <w:spacing w:line="360" w:lineRule="auto"/>
        <w:rPr>
          <w:rFonts w:cs="Times New Roman"/>
          <w:szCs w:val="24"/>
        </w:rPr>
      </w:pPr>
      <w:bookmarkStart w:id="1" w:name="_Toc238196959"/>
      <w:r w:rsidRPr="00A60640">
        <w:rPr>
          <w:rFonts w:cs="Times New Roman"/>
          <w:szCs w:val="24"/>
        </w:rPr>
        <w:t>2. Engagement of Stakeholders</w:t>
      </w:r>
      <w:bookmarkEnd w:id="1"/>
    </w:p>
    <w:p w14:paraId="1C41F97C" w14:textId="3D73D152"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Stakeholder engagement is especially critical for the proposed public park project since it involves individuals and groups of people who have different interests, responsibilities and levels of influence on the process of development of the project. It allows project managers to find out these differences and evaluate to what extent the stakeholders need to be engaged. Instead of engaging all stakeholders the same way, it is necessary to consider such parameters as the degree of their authority, interest in the results of the project and possible level of their influence on implementation (Derakhshan et al., 2020; PMI, 2021).</w:t>
      </w:r>
    </w:p>
    <w:p w14:paraId="4717409C" w14:textId="1F31FAC0" w:rsidR="004C54E2" w:rsidRPr="00A60640" w:rsidRDefault="004C54E2" w:rsidP="00A60640">
      <w:pPr>
        <w:pStyle w:val="Heading2"/>
        <w:spacing w:line="360" w:lineRule="auto"/>
        <w:rPr>
          <w:rFonts w:cs="Times New Roman"/>
          <w:szCs w:val="24"/>
        </w:rPr>
      </w:pPr>
      <w:bookmarkStart w:id="2" w:name="_Toc238196960"/>
      <w:r w:rsidRPr="00A60640">
        <w:rPr>
          <w:rFonts w:cs="Times New Roman"/>
          <w:szCs w:val="24"/>
        </w:rPr>
        <w:t>2.1 Analysis of Power, Influence and Interest</w:t>
      </w:r>
      <w:bookmarkEnd w:id="2"/>
    </w:p>
    <w:p w14:paraId="4CD9263A" w14:textId="0F38B037"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 xml:space="preserve">The power of stakeholders in the case of the Doncaster public park project refers to their ability to impact on project decisions while their influence involves their ability to impact on the project itself or other stakeholders. Interest of the stakeholder can be defined as the degree to which they are concerned with the results of the </w:t>
      </w:r>
      <w:r w:rsidR="00A60640" w:rsidRPr="00A60640">
        <w:rPr>
          <w:rFonts w:ascii="Times New Roman" w:hAnsi="Times New Roman" w:cs="Times New Roman"/>
        </w:rPr>
        <w:t>project (</w:t>
      </w:r>
      <w:r w:rsidRPr="00A60640">
        <w:rPr>
          <w:rFonts w:ascii="Times New Roman" w:hAnsi="Times New Roman" w:cs="Times New Roman"/>
        </w:rPr>
        <w:t>Oppong et al., 2021).</w:t>
      </w:r>
    </w:p>
    <w:tbl>
      <w:tblPr>
        <w:tblStyle w:val="TableGrid"/>
        <w:tblW w:w="0" w:type="auto"/>
        <w:tblLook w:val="04A0" w:firstRow="1" w:lastRow="0" w:firstColumn="1" w:lastColumn="0" w:noHBand="0" w:noVBand="1"/>
      </w:tblPr>
      <w:tblGrid>
        <w:gridCol w:w="2962"/>
        <w:gridCol w:w="1030"/>
        <w:gridCol w:w="1176"/>
        <w:gridCol w:w="1030"/>
        <w:gridCol w:w="2818"/>
      </w:tblGrid>
      <w:tr w:rsidR="004C54E2" w:rsidRPr="00A60640" w14:paraId="426BBE93" w14:textId="77777777" w:rsidTr="004C54E2">
        <w:tc>
          <w:tcPr>
            <w:tcW w:w="0" w:type="auto"/>
            <w:hideMark/>
          </w:tcPr>
          <w:p w14:paraId="03EC0A7B" w14:textId="77777777" w:rsidR="004C54E2" w:rsidRPr="00A60640" w:rsidRDefault="004C54E2" w:rsidP="00A60640">
            <w:pPr>
              <w:spacing w:line="360" w:lineRule="auto"/>
              <w:jc w:val="center"/>
              <w:rPr>
                <w:rFonts w:ascii="Times New Roman" w:eastAsia="Times New Roman" w:hAnsi="Times New Roman" w:cs="Times New Roman"/>
                <w:b/>
                <w:bCs/>
                <w:kern w:val="0"/>
                <w:lang w:eastAsia="en-GB"/>
                <w14:ligatures w14:val="none"/>
              </w:rPr>
            </w:pPr>
            <w:r w:rsidRPr="00A60640">
              <w:rPr>
                <w:rFonts w:ascii="Times New Roman" w:eastAsia="Times New Roman" w:hAnsi="Times New Roman" w:cs="Times New Roman"/>
                <w:b/>
                <w:bCs/>
                <w:kern w:val="0"/>
                <w:lang w:eastAsia="en-GB"/>
                <w14:ligatures w14:val="none"/>
              </w:rPr>
              <w:lastRenderedPageBreak/>
              <w:t>Stakeholder</w:t>
            </w:r>
          </w:p>
        </w:tc>
        <w:tc>
          <w:tcPr>
            <w:tcW w:w="0" w:type="auto"/>
            <w:hideMark/>
          </w:tcPr>
          <w:p w14:paraId="115AC882" w14:textId="77777777" w:rsidR="004C54E2" w:rsidRPr="00A60640" w:rsidRDefault="004C54E2" w:rsidP="00A60640">
            <w:pPr>
              <w:spacing w:line="360" w:lineRule="auto"/>
              <w:jc w:val="center"/>
              <w:rPr>
                <w:rFonts w:ascii="Times New Roman" w:eastAsia="Times New Roman" w:hAnsi="Times New Roman" w:cs="Times New Roman"/>
                <w:b/>
                <w:bCs/>
                <w:kern w:val="0"/>
                <w:lang w:eastAsia="en-GB"/>
                <w14:ligatures w14:val="none"/>
              </w:rPr>
            </w:pPr>
            <w:r w:rsidRPr="00A60640">
              <w:rPr>
                <w:rFonts w:ascii="Times New Roman" w:eastAsia="Times New Roman" w:hAnsi="Times New Roman" w:cs="Times New Roman"/>
                <w:b/>
                <w:bCs/>
                <w:kern w:val="0"/>
                <w:lang w:eastAsia="en-GB"/>
                <w14:ligatures w14:val="none"/>
              </w:rPr>
              <w:t>Power</w:t>
            </w:r>
          </w:p>
        </w:tc>
        <w:tc>
          <w:tcPr>
            <w:tcW w:w="0" w:type="auto"/>
            <w:hideMark/>
          </w:tcPr>
          <w:p w14:paraId="62CAE310" w14:textId="77777777" w:rsidR="004C54E2" w:rsidRPr="00A60640" w:rsidRDefault="004C54E2" w:rsidP="00A60640">
            <w:pPr>
              <w:spacing w:line="360" w:lineRule="auto"/>
              <w:jc w:val="center"/>
              <w:rPr>
                <w:rFonts w:ascii="Times New Roman" w:eastAsia="Times New Roman" w:hAnsi="Times New Roman" w:cs="Times New Roman"/>
                <w:b/>
                <w:bCs/>
                <w:kern w:val="0"/>
                <w:lang w:eastAsia="en-GB"/>
                <w14:ligatures w14:val="none"/>
              </w:rPr>
            </w:pPr>
            <w:r w:rsidRPr="00A60640">
              <w:rPr>
                <w:rFonts w:ascii="Times New Roman" w:eastAsia="Times New Roman" w:hAnsi="Times New Roman" w:cs="Times New Roman"/>
                <w:b/>
                <w:bCs/>
                <w:kern w:val="0"/>
                <w:lang w:eastAsia="en-GB"/>
                <w14:ligatures w14:val="none"/>
              </w:rPr>
              <w:t>Influence</w:t>
            </w:r>
          </w:p>
        </w:tc>
        <w:tc>
          <w:tcPr>
            <w:tcW w:w="0" w:type="auto"/>
            <w:hideMark/>
          </w:tcPr>
          <w:p w14:paraId="1C75D3BA" w14:textId="77777777" w:rsidR="004C54E2" w:rsidRPr="00A60640" w:rsidRDefault="004C54E2" w:rsidP="00A60640">
            <w:pPr>
              <w:spacing w:line="360" w:lineRule="auto"/>
              <w:jc w:val="center"/>
              <w:rPr>
                <w:rFonts w:ascii="Times New Roman" w:eastAsia="Times New Roman" w:hAnsi="Times New Roman" w:cs="Times New Roman"/>
                <w:b/>
                <w:bCs/>
                <w:kern w:val="0"/>
                <w:lang w:eastAsia="en-GB"/>
                <w14:ligatures w14:val="none"/>
              </w:rPr>
            </w:pPr>
            <w:r w:rsidRPr="00A60640">
              <w:rPr>
                <w:rFonts w:ascii="Times New Roman" w:eastAsia="Times New Roman" w:hAnsi="Times New Roman" w:cs="Times New Roman"/>
                <w:b/>
                <w:bCs/>
                <w:kern w:val="0"/>
                <w:lang w:eastAsia="en-GB"/>
                <w14:ligatures w14:val="none"/>
              </w:rPr>
              <w:t>Interest</w:t>
            </w:r>
          </w:p>
        </w:tc>
        <w:tc>
          <w:tcPr>
            <w:tcW w:w="0" w:type="auto"/>
            <w:hideMark/>
          </w:tcPr>
          <w:p w14:paraId="6F484429" w14:textId="77777777" w:rsidR="004C54E2" w:rsidRPr="00A60640" w:rsidRDefault="004C54E2" w:rsidP="00A60640">
            <w:pPr>
              <w:spacing w:line="360" w:lineRule="auto"/>
              <w:jc w:val="center"/>
              <w:rPr>
                <w:rFonts w:ascii="Times New Roman" w:eastAsia="Times New Roman" w:hAnsi="Times New Roman" w:cs="Times New Roman"/>
                <w:b/>
                <w:bCs/>
                <w:kern w:val="0"/>
                <w:lang w:eastAsia="en-GB"/>
                <w14:ligatures w14:val="none"/>
              </w:rPr>
            </w:pPr>
            <w:r w:rsidRPr="00A60640">
              <w:rPr>
                <w:rFonts w:ascii="Times New Roman" w:eastAsia="Times New Roman" w:hAnsi="Times New Roman" w:cs="Times New Roman"/>
                <w:b/>
                <w:bCs/>
                <w:kern w:val="0"/>
                <w:lang w:eastAsia="en-GB"/>
                <w14:ligatures w14:val="none"/>
              </w:rPr>
              <w:t>Main reason</w:t>
            </w:r>
          </w:p>
        </w:tc>
      </w:tr>
      <w:tr w:rsidR="004C54E2" w:rsidRPr="00A60640" w14:paraId="147117EB" w14:textId="77777777" w:rsidTr="004C54E2">
        <w:tc>
          <w:tcPr>
            <w:tcW w:w="0" w:type="auto"/>
            <w:hideMark/>
          </w:tcPr>
          <w:p w14:paraId="3A7AD39C"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Doncaster Council</w:t>
            </w:r>
          </w:p>
        </w:tc>
        <w:tc>
          <w:tcPr>
            <w:tcW w:w="0" w:type="auto"/>
            <w:hideMark/>
          </w:tcPr>
          <w:p w14:paraId="1514E915"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5E3E8333"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1F3C1AB0"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5FD89FA3"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Controls planning, funding and major project decisions</w:t>
            </w:r>
          </w:p>
        </w:tc>
      </w:tr>
      <w:tr w:rsidR="004C54E2" w:rsidRPr="00A60640" w14:paraId="564D4030" w14:textId="77777777" w:rsidTr="004C54E2">
        <w:tc>
          <w:tcPr>
            <w:tcW w:w="0" w:type="auto"/>
            <w:hideMark/>
          </w:tcPr>
          <w:p w14:paraId="51AF54D5"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proofErr w:type="gramStart"/>
            <w:r w:rsidRPr="00A60640">
              <w:rPr>
                <w:rFonts w:ascii="Times New Roman" w:eastAsia="Times New Roman" w:hAnsi="Times New Roman" w:cs="Times New Roman"/>
                <w:kern w:val="0"/>
                <w:lang w:eastAsia="en-GB"/>
                <w14:ligatures w14:val="none"/>
              </w:rPr>
              <w:t>Local residents</w:t>
            </w:r>
            <w:proofErr w:type="gramEnd"/>
          </w:p>
        </w:tc>
        <w:tc>
          <w:tcPr>
            <w:tcW w:w="0" w:type="auto"/>
            <w:hideMark/>
          </w:tcPr>
          <w:p w14:paraId="4E564DA3"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Medium</w:t>
            </w:r>
          </w:p>
        </w:tc>
        <w:tc>
          <w:tcPr>
            <w:tcW w:w="0" w:type="auto"/>
            <w:hideMark/>
          </w:tcPr>
          <w:p w14:paraId="5FED5362"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2EA4C965"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02CEE5A9"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Directly affected and can influence public acceptance</w:t>
            </w:r>
          </w:p>
        </w:tc>
      </w:tr>
      <w:tr w:rsidR="004C54E2" w:rsidRPr="00A60640" w14:paraId="5411FE8B" w14:textId="77777777" w:rsidTr="004C54E2">
        <w:tc>
          <w:tcPr>
            <w:tcW w:w="0" w:type="auto"/>
            <w:hideMark/>
          </w:tcPr>
          <w:p w14:paraId="6CA44954"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Families and children</w:t>
            </w:r>
          </w:p>
        </w:tc>
        <w:tc>
          <w:tcPr>
            <w:tcW w:w="0" w:type="auto"/>
            <w:hideMark/>
          </w:tcPr>
          <w:p w14:paraId="759E0ED4"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Low</w:t>
            </w:r>
          </w:p>
        </w:tc>
        <w:tc>
          <w:tcPr>
            <w:tcW w:w="0" w:type="auto"/>
            <w:hideMark/>
          </w:tcPr>
          <w:p w14:paraId="4BABC9D6"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Medium</w:t>
            </w:r>
          </w:p>
        </w:tc>
        <w:tc>
          <w:tcPr>
            <w:tcW w:w="0" w:type="auto"/>
            <w:hideMark/>
          </w:tcPr>
          <w:p w14:paraId="186AE319"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5796ED14"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Major users of the completed park</w:t>
            </w:r>
          </w:p>
        </w:tc>
      </w:tr>
      <w:tr w:rsidR="004C54E2" w:rsidRPr="00A60640" w14:paraId="11C81665" w14:textId="77777777" w:rsidTr="004C54E2">
        <w:tc>
          <w:tcPr>
            <w:tcW w:w="0" w:type="auto"/>
            <w:hideMark/>
          </w:tcPr>
          <w:p w14:paraId="515EF203"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Local businesses</w:t>
            </w:r>
          </w:p>
        </w:tc>
        <w:tc>
          <w:tcPr>
            <w:tcW w:w="0" w:type="auto"/>
            <w:hideMark/>
          </w:tcPr>
          <w:p w14:paraId="42773CEC"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Medium</w:t>
            </w:r>
          </w:p>
        </w:tc>
        <w:tc>
          <w:tcPr>
            <w:tcW w:w="0" w:type="auto"/>
            <w:hideMark/>
          </w:tcPr>
          <w:p w14:paraId="73690FC9"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Medium</w:t>
            </w:r>
          </w:p>
        </w:tc>
        <w:tc>
          <w:tcPr>
            <w:tcW w:w="0" w:type="auto"/>
            <w:hideMark/>
          </w:tcPr>
          <w:p w14:paraId="208F7AFF"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Medium</w:t>
            </w:r>
          </w:p>
        </w:tc>
        <w:tc>
          <w:tcPr>
            <w:tcW w:w="0" w:type="auto"/>
            <w:hideMark/>
          </w:tcPr>
          <w:p w14:paraId="3B6E4E8C"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May experience changes in footfall, access and local economic activity</w:t>
            </w:r>
          </w:p>
        </w:tc>
      </w:tr>
      <w:tr w:rsidR="004C54E2" w:rsidRPr="00A60640" w14:paraId="131839DF" w14:textId="77777777" w:rsidTr="004C54E2">
        <w:tc>
          <w:tcPr>
            <w:tcW w:w="0" w:type="auto"/>
            <w:hideMark/>
          </w:tcPr>
          <w:p w14:paraId="440FE9BF"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Environmental/community groups</w:t>
            </w:r>
          </w:p>
        </w:tc>
        <w:tc>
          <w:tcPr>
            <w:tcW w:w="0" w:type="auto"/>
            <w:hideMark/>
          </w:tcPr>
          <w:p w14:paraId="3187220C"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Medium</w:t>
            </w:r>
          </w:p>
        </w:tc>
        <w:tc>
          <w:tcPr>
            <w:tcW w:w="0" w:type="auto"/>
            <w:hideMark/>
          </w:tcPr>
          <w:p w14:paraId="28320226"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218932D7"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27701D13"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Can influence environmental design and community opinion</w:t>
            </w:r>
          </w:p>
        </w:tc>
      </w:tr>
      <w:tr w:rsidR="004C54E2" w:rsidRPr="00A60640" w14:paraId="267039C2" w14:textId="77777777" w:rsidTr="004C54E2">
        <w:tc>
          <w:tcPr>
            <w:tcW w:w="0" w:type="auto"/>
            <w:hideMark/>
          </w:tcPr>
          <w:p w14:paraId="2370DCEE"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Contractors/project team</w:t>
            </w:r>
          </w:p>
        </w:tc>
        <w:tc>
          <w:tcPr>
            <w:tcW w:w="0" w:type="auto"/>
            <w:hideMark/>
          </w:tcPr>
          <w:p w14:paraId="3BD863CA"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7779013D"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Medium</w:t>
            </w:r>
          </w:p>
        </w:tc>
        <w:tc>
          <w:tcPr>
            <w:tcW w:w="0" w:type="auto"/>
            <w:hideMark/>
          </w:tcPr>
          <w:p w14:paraId="78317E96"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1DD24365"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Responsible for construction, cost, quality and delivery</w:t>
            </w:r>
          </w:p>
        </w:tc>
      </w:tr>
      <w:tr w:rsidR="004C54E2" w:rsidRPr="00A60640" w14:paraId="126F7B66" w14:textId="77777777" w:rsidTr="004C54E2">
        <w:tc>
          <w:tcPr>
            <w:tcW w:w="0" w:type="auto"/>
            <w:hideMark/>
          </w:tcPr>
          <w:p w14:paraId="3A648691"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Local schools</w:t>
            </w:r>
          </w:p>
        </w:tc>
        <w:tc>
          <w:tcPr>
            <w:tcW w:w="0" w:type="auto"/>
            <w:hideMark/>
          </w:tcPr>
          <w:p w14:paraId="3D8B4044"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Low</w:t>
            </w:r>
          </w:p>
        </w:tc>
        <w:tc>
          <w:tcPr>
            <w:tcW w:w="0" w:type="auto"/>
            <w:hideMark/>
          </w:tcPr>
          <w:p w14:paraId="222D5782"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Medium</w:t>
            </w:r>
          </w:p>
        </w:tc>
        <w:tc>
          <w:tcPr>
            <w:tcW w:w="0" w:type="auto"/>
            <w:hideMark/>
          </w:tcPr>
          <w:p w14:paraId="4082D1CB"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High</w:t>
            </w:r>
          </w:p>
        </w:tc>
        <w:tc>
          <w:tcPr>
            <w:tcW w:w="0" w:type="auto"/>
            <w:hideMark/>
          </w:tcPr>
          <w:p w14:paraId="75B74218"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Potential users for recreation, learning and community activities</w:t>
            </w:r>
          </w:p>
        </w:tc>
      </w:tr>
    </w:tbl>
    <w:p w14:paraId="0C5BDB2A" w14:textId="77777777" w:rsidR="004C54E2" w:rsidRPr="00A60640" w:rsidRDefault="004C54E2" w:rsidP="00A60640">
      <w:pPr>
        <w:spacing w:line="360" w:lineRule="auto"/>
        <w:rPr>
          <w:rFonts w:ascii="Times New Roman" w:hAnsi="Times New Roman" w:cs="Times New Roman"/>
        </w:rPr>
      </w:pPr>
    </w:p>
    <w:p w14:paraId="2FCDBF34" w14:textId="71334ADD"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 xml:space="preserve">Doncaster Council is a stakeholder that requires maximum management attention as it has high power, influence and interest. Planning decisions, public resources allocation, regulatory compliance and project implementation supervision will be its responsibilities. Hence, reporting to and inclusion in big decisions will be justified. High power of contractors will be associated with the fact that performance of constructions influences costs, quality, safety and time of the project realization. At the same time, their strategic influence on the purpose of the park will be lower than the one of the </w:t>
      </w:r>
      <w:r w:rsidR="00A60640" w:rsidRPr="00A60640">
        <w:rPr>
          <w:rFonts w:ascii="Times New Roman" w:hAnsi="Times New Roman" w:cs="Times New Roman"/>
        </w:rPr>
        <w:t>councils</w:t>
      </w:r>
      <w:r w:rsidRPr="00A60640">
        <w:rPr>
          <w:rFonts w:ascii="Times New Roman" w:hAnsi="Times New Roman" w:cs="Times New Roman"/>
        </w:rPr>
        <w:t xml:space="preserve"> (PMI, 2021; APM, 2022).</w:t>
      </w:r>
    </w:p>
    <w:p w14:paraId="6D1EF5B0" w14:textId="57CBFC11"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 xml:space="preserve">Local people will need to be considered highly influential and interested regardless of lack of decision-making power of the council. Both long-term benefits of the park and short-term effects like construction noise and traffic will be experienced by them. Opposing attitude of locals might result in negative feedback, bad reputation or calls for changes in the project. </w:t>
      </w:r>
      <w:r w:rsidRPr="00A60640">
        <w:rPr>
          <w:rFonts w:ascii="Times New Roman" w:hAnsi="Times New Roman" w:cs="Times New Roman"/>
        </w:rPr>
        <w:lastRenderedPageBreak/>
        <w:t>Therefore, prior consultations with locals on the important decisions about park design should be conducted instead of just notifying them about already made decisions (OECD, 2020; UN-Habitat, 2022).</w:t>
      </w:r>
    </w:p>
    <w:p w14:paraId="512FC533" w14:textId="1AE412F2"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Families, children and local schools will have low institutional power compared to the interests associated with the fact that they will become the main users of the future park. Low formal power should not result in the exclusion of their opinions.</w:t>
      </w:r>
      <w:r w:rsidR="00A22A88" w:rsidRPr="00A22A88">
        <w:t xml:space="preserve"> </w:t>
      </w:r>
      <w:r w:rsidR="00A22A88" w:rsidRPr="00A22A88">
        <w:rPr>
          <w:rFonts w:ascii="Times New Roman" w:hAnsi="Times New Roman" w:cs="Times New Roman"/>
        </w:rPr>
        <w:t>The involvement of the stakeholder will assist in determining the practical requirements related to playgrounds, accessibility, safety, seating, and education. The above-mentioned case demonstrates the disadvantage of the stakeholder priority models because certain stakeholders who are not perceived as influential enough still have reasonable claims that should be taken into consideration (UNICEF, 2020; United Nations, 2023).</w:t>
      </w:r>
    </w:p>
    <w:p w14:paraId="60DBB4DB" w14:textId="1061C06A" w:rsidR="004C54E2" w:rsidRPr="00A60640" w:rsidRDefault="004C54E2" w:rsidP="00A60640">
      <w:pPr>
        <w:pStyle w:val="Heading2"/>
        <w:spacing w:line="360" w:lineRule="auto"/>
        <w:rPr>
          <w:rFonts w:cs="Times New Roman"/>
          <w:szCs w:val="24"/>
        </w:rPr>
      </w:pPr>
      <w:bookmarkStart w:id="3" w:name="_Toc238196961"/>
      <w:r w:rsidRPr="00A60640">
        <w:rPr>
          <w:rFonts w:cs="Times New Roman"/>
          <w:szCs w:val="24"/>
        </w:rPr>
        <w:t>2.2 Stakeholder Mapping</w:t>
      </w:r>
      <w:bookmarkEnd w:id="3"/>
    </w:p>
    <w:tbl>
      <w:tblPr>
        <w:tblStyle w:val="TableGrid"/>
        <w:tblW w:w="18031" w:type="dxa"/>
        <w:tblLook w:val="04A0" w:firstRow="1" w:lastRow="0" w:firstColumn="1" w:lastColumn="0" w:noHBand="0" w:noVBand="1"/>
      </w:tblPr>
      <w:tblGrid>
        <w:gridCol w:w="3004"/>
        <w:gridCol w:w="3005"/>
        <w:gridCol w:w="3006"/>
        <w:gridCol w:w="3005"/>
        <w:gridCol w:w="3005"/>
        <w:gridCol w:w="3006"/>
      </w:tblGrid>
      <w:tr w:rsidR="004C54E2" w:rsidRPr="00A60640" w14:paraId="34614EA9" w14:textId="77777777" w:rsidTr="00546195">
        <w:tc>
          <w:tcPr>
            <w:tcW w:w="3005" w:type="dxa"/>
            <w:vAlign w:val="center"/>
          </w:tcPr>
          <w:p w14:paraId="337E06CA" w14:textId="77777777" w:rsidR="004C54E2" w:rsidRPr="00A60640" w:rsidRDefault="004C54E2" w:rsidP="00A60640">
            <w:pPr>
              <w:spacing w:line="360" w:lineRule="auto"/>
              <w:rPr>
                <w:rFonts w:ascii="Times New Roman" w:hAnsi="Times New Roman" w:cs="Times New Roman"/>
              </w:rPr>
            </w:pPr>
          </w:p>
        </w:tc>
        <w:tc>
          <w:tcPr>
            <w:tcW w:w="3005" w:type="dxa"/>
            <w:vAlign w:val="center"/>
          </w:tcPr>
          <w:p w14:paraId="04D7528C" w14:textId="50E94462" w:rsidR="004C54E2" w:rsidRPr="00A60640" w:rsidRDefault="004C54E2" w:rsidP="00A60640">
            <w:pPr>
              <w:spacing w:line="360" w:lineRule="auto"/>
              <w:rPr>
                <w:rFonts w:ascii="Times New Roman" w:hAnsi="Times New Roman" w:cs="Times New Roman"/>
              </w:rPr>
            </w:pPr>
            <w:r w:rsidRPr="00A60640">
              <w:rPr>
                <w:rFonts w:ascii="Times New Roman" w:eastAsia="Times New Roman" w:hAnsi="Times New Roman" w:cs="Times New Roman"/>
                <w:b/>
                <w:bCs/>
                <w:kern w:val="0"/>
                <w:lang w:eastAsia="en-GB"/>
                <w14:ligatures w14:val="none"/>
              </w:rPr>
              <w:t>Low Interest</w:t>
            </w:r>
          </w:p>
        </w:tc>
        <w:tc>
          <w:tcPr>
            <w:tcW w:w="3005" w:type="dxa"/>
            <w:vAlign w:val="center"/>
          </w:tcPr>
          <w:p w14:paraId="53866C32" w14:textId="1FF13E31" w:rsidR="004C54E2" w:rsidRPr="00A60640" w:rsidRDefault="004C54E2" w:rsidP="00A60640">
            <w:pPr>
              <w:spacing w:line="360" w:lineRule="auto"/>
              <w:rPr>
                <w:rFonts w:ascii="Times New Roman" w:hAnsi="Times New Roman" w:cs="Times New Roman"/>
              </w:rPr>
            </w:pPr>
            <w:r w:rsidRPr="00A60640">
              <w:rPr>
                <w:rFonts w:ascii="Times New Roman" w:eastAsia="Times New Roman" w:hAnsi="Times New Roman" w:cs="Times New Roman"/>
                <w:b/>
                <w:bCs/>
                <w:kern w:val="0"/>
                <w:lang w:eastAsia="en-GB"/>
                <w14:ligatures w14:val="none"/>
              </w:rPr>
              <w:t>High Interest</w:t>
            </w:r>
          </w:p>
        </w:tc>
        <w:tc>
          <w:tcPr>
            <w:tcW w:w="3005" w:type="dxa"/>
          </w:tcPr>
          <w:p w14:paraId="6C1F8B64" w14:textId="1C2E3398" w:rsidR="004C54E2" w:rsidRPr="00A60640" w:rsidRDefault="004C54E2" w:rsidP="00A60640">
            <w:pPr>
              <w:spacing w:line="360" w:lineRule="auto"/>
              <w:rPr>
                <w:rFonts w:ascii="Times New Roman" w:hAnsi="Times New Roman" w:cs="Times New Roman"/>
              </w:rPr>
            </w:pPr>
          </w:p>
        </w:tc>
        <w:tc>
          <w:tcPr>
            <w:tcW w:w="3005" w:type="dxa"/>
          </w:tcPr>
          <w:p w14:paraId="1133643B" w14:textId="77777777" w:rsidR="004C54E2" w:rsidRPr="00A60640" w:rsidRDefault="004C54E2" w:rsidP="00A60640">
            <w:pPr>
              <w:spacing w:line="360" w:lineRule="auto"/>
              <w:rPr>
                <w:rFonts w:ascii="Times New Roman" w:hAnsi="Times New Roman" w:cs="Times New Roman"/>
              </w:rPr>
            </w:pPr>
          </w:p>
        </w:tc>
        <w:tc>
          <w:tcPr>
            <w:tcW w:w="3006" w:type="dxa"/>
          </w:tcPr>
          <w:p w14:paraId="7B98EA4C" w14:textId="77777777" w:rsidR="004C54E2" w:rsidRPr="00A60640" w:rsidRDefault="004C54E2" w:rsidP="00A60640">
            <w:pPr>
              <w:spacing w:line="360" w:lineRule="auto"/>
              <w:rPr>
                <w:rFonts w:ascii="Times New Roman" w:hAnsi="Times New Roman" w:cs="Times New Roman"/>
              </w:rPr>
            </w:pPr>
          </w:p>
        </w:tc>
      </w:tr>
      <w:tr w:rsidR="004C54E2" w:rsidRPr="00A60640" w14:paraId="3C43C8E6" w14:textId="77777777" w:rsidTr="00546195">
        <w:trPr>
          <w:gridAfter w:val="3"/>
          <w:wAfter w:w="9015" w:type="dxa"/>
        </w:trPr>
        <w:tc>
          <w:tcPr>
            <w:tcW w:w="3005" w:type="dxa"/>
            <w:vAlign w:val="center"/>
          </w:tcPr>
          <w:p w14:paraId="14137659" w14:textId="04EBA86F" w:rsidR="004C54E2" w:rsidRPr="00A60640" w:rsidRDefault="004C54E2" w:rsidP="00A60640">
            <w:pPr>
              <w:spacing w:line="360" w:lineRule="auto"/>
              <w:rPr>
                <w:rFonts w:ascii="Times New Roman" w:hAnsi="Times New Roman" w:cs="Times New Roman"/>
              </w:rPr>
            </w:pPr>
            <w:r w:rsidRPr="00A60640">
              <w:rPr>
                <w:rFonts w:ascii="Times New Roman" w:eastAsia="Times New Roman" w:hAnsi="Times New Roman" w:cs="Times New Roman"/>
                <w:b/>
                <w:bCs/>
                <w:kern w:val="0"/>
                <w:lang w:eastAsia="en-GB"/>
                <w14:ligatures w14:val="none"/>
              </w:rPr>
              <w:t>High Power</w:t>
            </w:r>
          </w:p>
        </w:tc>
        <w:tc>
          <w:tcPr>
            <w:tcW w:w="3005" w:type="dxa"/>
            <w:vAlign w:val="center"/>
          </w:tcPr>
          <w:p w14:paraId="49AFFCB6" w14:textId="5FA95A80" w:rsidR="004C54E2" w:rsidRPr="00A60640" w:rsidRDefault="004C54E2" w:rsidP="00A60640">
            <w:pPr>
              <w:spacing w:line="360" w:lineRule="auto"/>
              <w:rPr>
                <w:rFonts w:ascii="Times New Roman" w:hAnsi="Times New Roman" w:cs="Times New Roman"/>
              </w:rPr>
            </w:pPr>
            <w:r w:rsidRPr="00A60640">
              <w:rPr>
                <w:rFonts w:ascii="Times New Roman" w:eastAsia="Times New Roman" w:hAnsi="Times New Roman" w:cs="Times New Roman"/>
                <w:b/>
                <w:bCs/>
                <w:kern w:val="0"/>
                <w:lang w:eastAsia="en-GB"/>
                <w14:ligatures w14:val="none"/>
              </w:rPr>
              <w:t>Keep Satisfied:</w:t>
            </w:r>
            <w:r w:rsidRPr="00A60640">
              <w:rPr>
                <w:rFonts w:ascii="Times New Roman" w:eastAsia="Times New Roman" w:hAnsi="Times New Roman" w:cs="Times New Roman"/>
                <w:kern w:val="0"/>
                <w:lang w:eastAsia="en-GB"/>
                <w14:ligatures w14:val="none"/>
              </w:rPr>
              <w:t xml:space="preserve"> Local businesses</w:t>
            </w:r>
          </w:p>
        </w:tc>
        <w:tc>
          <w:tcPr>
            <w:tcW w:w="3006" w:type="dxa"/>
            <w:vAlign w:val="center"/>
          </w:tcPr>
          <w:p w14:paraId="7F7EBDC9" w14:textId="7F01D8D5" w:rsidR="004C54E2" w:rsidRPr="00A60640" w:rsidRDefault="004C54E2" w:rsidP="00A60640">
            <w:pPr>
              <w:spacing w:line="360" w:lineRule="auto"/>
              <w:rPr>
                <w:rFonts w:ascii="Times New Roman" w:hAnsi="Times New Roman" w:cs="Times New Roman"/>
              </w:rPr>
            </w:pPr>
            <w:r w:rsidRPr="00A60640">
              <w:rPr>
                <w:rFonts w:ascii="Times New Roman" w:eastAsia="Times New Roman" w:hAnsi="Times New Roman" w:cs="Times New Roman"/>
                <w:b/>
                <w:bCs/>
                <w:kern w:val="0"/>
                <w:lang w:eastAsia="en-GB"/>
                <w14:ligatures w14:val="none"/>
              </w:rPr>
              <w:t>Manage Closely:</w:t>
            </w:r>
            <w:r w:rsidRPr="00A60640">
              <w:rPr>
                <w:rFonts w:ascii="Times New Roman" w:eastAsia="Times New Roman" w:hAnsi="Times New Roman" w:cs="Times New Roman"/>
                <w:kern w:val="0"/>
                <w:lang w:eastAsia="en-GB"/>
                <w14:ligatures w14:val="none"/>
              </w:rPr>
              <w:t xml:space="preserve"> Doncaster Council; Contractors/project team</w:t>
            </w:r>
          </w:p>
        </w:tc>
      </w:tr>
      <w:tr w:rsidR="004C54E2" w:rsidRPr="00A60640" w14:paraId="5081468E" w14:textId="77777777" w:rsidTr="00546195">
        <w:trPr>
          <w:gridAfter w:val="3"/>
          <w:wAfter w:w="9015" w:type="dxa"/>
        </w:trPr>
        <w:tc>
          <w:tcPr>
            <w:tcW w:w="3005" w:type="dxa"/>
            <w:vAlign w:val="center"/>
          </w:tcPr>
          <w:p w14:paraId="0F7EE338" w14:textId="04E858A5" w:rsidR="004C54E2" w:rsidRPr="00A60640" w:rsidRDefault="004C54E2" w:rsidP="00A60640">
            <w:pPr>
              <w:spacing w:line="360" w:lineRule="auto"/>
              <w:rPr>
                <w:rFonts w:ascii="Times New Roman" w:hAnsi="Times New Roman" w:cs="Times New Roman"/>
              </w:rPr>
            </w:pPr>
            <w:r w:rsidRPr="00A60640">
              <w:rPr>
                <w:rFonts w:ascii="Times New Roman" w:eastAsia="Times New Roman" w:hAnsi="Times New Roman" w:cs="Times New Roman"/>
                <w:b/>
                <w:bCs/>
                <w:kern w:val="0"/>
                <w:lang w:eastAsia="en-GB"/>
                <w14:ligatures w14:val="none"/>
              </w:rPr>
              <w:t>Low/Medium Power</w:t>
            </w:r>
          </w:p>
        </w:tc>
        <w:tc>
          <w:tcPr>
            <w:tcW w:w="3005" w:type="dxa"/>
            <w:vAlign w:val="center"/>
          </w:tcPr>
          <w:p w14:paraId="11DF8FA6" w14:textId="609D6FC1" w:rsidR="004C54E2" w:rsidRPr="00A60640" w:rsidRDefault="004C54E2" w:rsidP="00A60640">
            <w:pPr>
              <w:spacing w:line="360" w:lineRule="auto"/>
              <w:rPr>
                <w:rFonts w:ascii="Times New Roman" w:hAnsi="Times New Roman" w:cs="Times New Roman"/>
              </w:rPr>
            </w:pPr>
            <w:r w:rsidRPr="00A60640">
              <w:rPr>
                <w:rFonts w:ascii="Times New Roman" w:eastAsia="Times New Roman" w:hAnsi="Times New Roman" w:cs="Times New Roman"/>
                <w:b/>
                <w:bCs/>
                <w:kern w:val="0"/>
                <w:lang w:eastAsia="en-GB"/>
                <w14:ligatures w14:val="none"/>
              </w:rPr>
              <w:t>Monitor:</w:t>
            </w:r>
            <w:r w:rsidRPr="00A60640">
              <w:rPr>
                <w:rFonts w:ascii="Times New Roman" w:eastAsia="Times New Roman" w:hAnsi="Times New Roman" w:cs="Times New Roman"/>
                <w:kern w:val="0"/>
                <w:lang w:eastAsia="en-GB"/>
                <w14:ligatures w14:val="none"/>
              </w:rPr>
              <w:t xml:space="preserve"> Wider community</w:t>
            </w:r>
          </w:p>
        </w:tc>
        <w:tc>
          <w:tcPr>
            <w:tcW w:w="3006" w:type="dxa"/>
            <w:vAlign w:val="center"/>
          </w:tcPr>
          <w:p w14:paraId="48967E8A" w14:textId="30A60011" w:rsidR="004C54E2" w:rsidRPr="00A60640" w:rsidRDefault="004C54E2" w:rsidP="00A60640">
            <w:pPr>
              <w:spacing w:line="360" w:lineRule="auto"/>
              <w:rPr>
                <w:rFonts w:ascii="Times New Roman" w:hAnsi="Times New Roman" w:cs="Times New Roman"/>
              </w:rPr>
            </w:pPr>
            <w:r w:rsidRPr="00A60640">
              <w:rPr>
                <w:rFonts w:ascii="Times New Roman" w:eastAsia="Times New Roman" w:hAnsi="Times New Roman" w:cs="Times New Roman"/>
                <w:b/>
                <w:bCs/>
                <w:kern w:val="0"/>
                <w:lang w:eastAsia="en-GB"/>
                <w14:ligatures w14:val="none"/>
              </w:rPr>
              <w:t>Keep Informed/Involve:</w:t>
            </w:r>
            <w:r w:rsidRPr="00A60640">
              <w:rPr>
                <w:rFonts w:ascii="Times New Roman" w:eastAsia="Times New Roman" w:hAnsi="Times New Roman" w:cs="Times New Roman"/>
                <w:kern w:val="0"/>
                <w:lang w:eastAsia="en-GB"/>
                <w14:ligatures w14:val="none"/>
              </w:rPr>
              <w:t xml:space="preserve"> </w:t>
            </w:r>
            <w:r w:rsidR="00A22A88" w:rsidRPr="00A60640">
              <w:rPr>
                <w:rFonts w:ascii="Times New Roman" w:eastAsia="Times New Roman" w:hAnsi="Times New Roman" w:cs="Times New Roman"/>
                <w:kern w:val="0"/>
                <w:lang w:eastAsia="en-GB"/>
                <w14:ligatures w14:val="none"/>
              </w:rPr>
              <w:t>residents</w:t>
            </w:r>
            <w:r w:rsidRPr="00A60640">
              <w:rPr>
                <w:rFonts w:ascii="Times New Roman" w:eastAsia="Times New Roman" w:hAnsi="Times New Roman" w:cs="Times New Roman"/>
                <w:kern w:val="0"/>
                <w:lang w:eastAsia="en-GB"/>
                <w14:ligatures w14:val="none"/>
              </w:rPr>
              <w:t>; Families and children; Environmental/community groups; Local schools</w:t>
            </w:r>
          </w:p>
        </w:tc>
      </w:tr>
    </w:tbl>
    <w:p w14:paraId="060E135C" w14:textId="77777777" w:rsidR="004C54E2" w:rsidRPr="00A60640" w:rsidRDefault="004C54E2" w:rsidP="00A60640">
      <w:pPr>
        <w:spacing w:line="360" w:lineRule="auto"/>
        <w:rPr>
          <w:rFonts w:ascii="Times New Roman" w:hAnsi="Times New Roman" w:cs="Times New Roman"/>
        </w:rPr>
      </w:pPr>
    </w:p>
    <w:p w14:paraId="2355606A" w14:textId="6DFB6A13" w:rsidR="004C54E2" w:rsidRPr="00A60640" w:rsidRDefault="004C54E2" w:rsidP="00A60640">
      <w:pPr>
        <w:spacing w:line="360" w:lineRule="auto"/>
        <w:rPr>
          <w:rFonts w:ascii="Times New Roman" w:hAnsi="Times New Roman" w:cs="Times New Roman"/>
          <w:b/>
          <w:bCs/>
        </w:rPr>
      </w:pPr>
      <w:r w:rsidRPr="00A60640">
        <w:rPr>
          <w:rFonts w:ascii="Times New Roman" w:hAnsi="Times New Roman" w:cs="Times New Roman"/>
          <w:b/>
          <w:bCs/>
        </w:rPr>
        <w:t>Manage Closely</w:t>
      </w:r>
    </w:p>
    <w:p w14:paraId="1DC27ADC" w14:textId="2857EFFD"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 xml:space="preserve">Those stakeholders that have high power combined with high interest should be managed closely via regular meetings, progress reporting, risk reporting and participation in key </w:t>
      </w:r>
      <w:r w:rsidR="00A60640" w:rsidRPr="00A60640">
        <w:rPr>
          <w:rFonts w:ascii="Times New Roman" w:hAnsi="Times New Roman" w:cs="Times New Roman"/>
        </w:rPr>
        <w:t>decision-making</w:t>
      </w:r>
      <w:r w:rsidRPr="00A60640">
        <w:rPr>
          <w:rFonts w:ascii="Times New Roman" w:hAnsi="Times New Roman" w:cs="Times New Roman"/>
        </w:rPr>
        <w:t xml:space="preserve"> processes. Since these stakeholders need to have opportunities to challenge ideas and impact decisions, communication with them should be two-way as well. Otherwise, lack of engagement with them may lead to issues related to funding, regulations, construction, scheduling and many others (PMI, 2021).</w:t>
      </w:r>
    </w:p>
    <w:p w14:paraId="3DC43698" w14:textId="509E769B" w:rsidR="004C54E2" w:rsidRPr="00A60640" w:rsidRDefault="004C54E2" w:rsidP="00A60640">
      <w:pPr>
        <w:spacing w:line="360" w:lineRule="auto"/>
        <w:rPr>
          <w:rFonts w:ascii="Times New Roman" w:hAnsi="Times New Roman" w:cs="Times New Roman"/>
          <w:b/>
          <w:bCs/>
        </w:rPr>
      </w:pPr>
      <w:r w:rsidRPr="00A60640">
        <w:rPr>
          <w:rFonts w:ascii="Times New Roman" w:hAnsi="Times New Roman" w:cs="Times New Roman"/>
          <w:b/>
          <w:bCs/>
        </w:rPr>
        <w:t>Keep Satisfied</w:t>
      </w:r>
    </w:p>
    <w:p w14:paraId="62F0355B" w14:textId="5CEBB826"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lastRenderedPageBreak/>
        <w:t xml:space="preserve">Stakeholders that have relatively high </w:t>
      </w:r>
      <w:r w:rsidR="00A60640" w:rsidRPr="00A60640">
        <w:rPr>
          <w:rFonts w:ascii="Times New Roman" w:hAnsi="Times New Roman" w:cs="Times New Roman"/>
        </w:rPr>
        <w:t>power,</w:t>
      </w:r>
      <w:r w:rsidRPr="00A60640">
        <w:rPr>
          <w:rFonts w:ascii="Times New Roman" w:hAnsi="Times New Roman" w:cs="Times New Roman"/>
        </w:rPr>
        <w:t xml:space="preserve"> but lower or moderate interest should be satisfied without bombarding them with unnecessary information. Some local business owners may be considered as this type of stakeholders as they are not adjacent to the project but still influential in the area. It is necessary to provide them with information regarding construction disruption, access, parking and scheduling and consult on decisions that may impact their business (OECD, 2020).</w:t>
      </w:r>
    </w:p>
    <w:p w14:paraId="765DAAC7" w14:textId="5A0465E4" w:rsidR="004C54E2" w:rsidRPr="00A60640" w:rsidRDefault="004C54E2" w:rsidP="00A60640">
      <w:pPr>
        <w:spacing w:line="360" w:lineRule="auto"/>
        <w:rPr>
          <w:rFonts w:ascii="Times New Roman" w:hAnsi="Times New Roman" w:cs="Times New Roman"/>
          <w:b/>
          <w:bCs/>
        </w:rPr>
      </w:pPr>
      <w:r w:rsidRPr="00A60640">
        <w:rPr>
          <w:rFonts w:ascii="Times New Roman" w:hAnsi="Times New Roman" w:cs="Times New Roman"/>
          <w:b/>
          <w:bCs/>
        </w:rPr>
        <w:t>Keep Informed and Involve</w:t>
      </w:r>
    </w:p>
    <w:p w14:paraId="42312F16" w14:textId="460C7BFB" w:rsidR="004C54E2"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t>Residents</w:t>
      </w:r>
      <w:r w:rsidR="004C54E2" w:rsidRPr="00A60640">
        <w:rPr>
          <w:rFonts w:ascii="Times New Roman" w:hAnsi="Times New Roman" w:cs="Times New Roman"/>
        </w:rPr>
        <w:t xml:space="preserve"> and their families, environmental </w:t>
      </w:r>
      <w:r>
        <w:rPr>
          <w:rFonts w:ascii="Times New Roman" w:hAnsi="Times New Roman" w:cs="Times New Roman"/>
        </w:rPr>
        <w:t>organisation</w:t>
      </w:r>
      <w:r w:rsidR="004C54E2" w:rsidRPr="00A60640">
        <w:rPr>
          <w:rFonts w:ascii="Times New Roman" w:hAnsi="Times New Roman" w:cs="Times New Roman"/>
        </w:rPr>
        <w:t xml:space="preserve">s and schools should be kept informed and, where necessary, actively involve. Although their influence on decisions is lower compared to the council's, they still have strong interest since they will bear long-term results of the project. Moreover, environmental </w:t>
      </w:r>
      <w:r>
        <w:rPr>
          <w:rFonts w:ascii="Times New Roman" w:hAnsi="Times New Roman" w:cs="Times New Roman"/>
        </w:rPr>
        <w:t>organisation</w:t>
      </w:r>
      <w:r w:rsidR="004C54E2" w:rsidRPr="00A60640">
        <w:rPr>
          <w:rFonts w:ascii="Times New Roman" w:hAnsi="Times New Roman" w:cs="Times New Roman"/>
        </w:rPr>
        <w:t>s may have additional expertise regarding biodiversity and sustainable landscaping that may be used for improving decision-making process (UN-Habitat, 2022; United Nations, 2023).</w:t>
      </w:r>
    </w:p>
    <w:p w14:paraId="2ED64C2F" w14:textId="67FD2858" w:rsidR="004C54E2" w:rsidRPr="00A60640" w:rsidRDefault="004C54E2" w:rsidP="00A60640">
      <w:pPr>
        <w:spacing w:line="360" w:lineRule="auto"/>
        <w:rPr>
          <w:rFonts w:ascii="Times New Roman" w:hAnsi="Times New Roman" w:cs="Times New Roman"/>
          <w:b/>
          <w:bCs/>
        </w:rPr>
      </w:pPr>
      <w:r w:rsidRPr="00A60640">
        <w:rPr>
          <w:rFonts w:ascii="Times New Roman" w:hAnsi="Times New Roman" w:cs="Times New Roman"/>
          <w:b/>
          <w:bCs/>
        </w:rPr>
        <w:t>Monitor</w:t>
      </w:r>
    </w:p>
    <w:p w14:paraId="7C5CE4C7" w14:textId="6E357B84"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Those members of the wider community that are involved in the project indirectly can initially be monitored via general communication via the council webpage, newsletter and public notices. It should be kept in mind though that stakeholder mapping cannot be considered as a once-and-for-all process since stakeholders' levels of power and interest may vary over time. For instance, one day low interest stakeholders become highly interested due to changes in construction process affecting their area (APM, 2022).</w:t>
      </w:r>
    </w:p>
    <w:p w14:paraId="1ACBBEA0" w14:textId="552C0BF7"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2.3 Communication Plan</w:t>
      </w:r>
    </w:p>
    <w:tbl>
      <w:tblPr>
        <w:tblStyle w:val="TableGrid"/>
        <w:tblW w:w="0" w:type="auto"/>
        <w:tblLook w:val="04A0" w:firstRow="1" w:lastRow="0" w:firstColumn="1" w:lastColumn="0" w:noHBand="0" w:noVBand="1"/>
      </w:tblPr>
      <w:tblGrid>
        <w:gridCol w:w="2671"/>
        <w:gridCol w:w="2659"/>
        <w:gridCol w:w="1900"/>
        <w:gridCol w:w="1786"/>
      </w:tblGrid>
      <w:tr w:rsidR="004C54E2" w:rsidRPr="00A60640" w14:paraId="72062BFB" w14:textId="77777777" w:rsidTr="004C54E2">
        <w:tc>
          <w:tcPr>
            <w:tcW w:w="0" w:type="auto"/>
            <w:hideMark/>
          </w:tcPr>
          <w:p w14:paraId="626962B1" w14:textId="77777777" w:rsidR="004C54E2" w:rsidRPr="00A60640" w:rsidRDefault="004C54E2" w:rsidP="00A60640">
            <w:pPr>
              <w:spacing w:line="360" w:lineRule="auto"/>
              <w:jc w:val="center"/>
              <w:rPr>
                <w:rFonts w:ascii="Times New Roman" w:eastAsia="Times New Roman" w:hAnsi="Times New Roman" w:cs="Times New Roman"/>
                <w:b/>
                <w:bCs/>
                <w:kern w:val="0"/>
                <w:lang w:eastAsia="en-GB"/>
                <w14:ligatures w14:val="none"/>
              </w:rPr>
            </w:pPr>
            <w:r w:rsidRPr="00A60640">
              <w:rPr>
                <w:rFonts w:ascii="Times New Roman" w:eastAsia="Times New Roman" w:hAnsi="Times New Roman" w:cs="Times New Roman"/>
                <w:b/>
                <w:bCs/>
                <w:kern w:val="0"/>
                <w:lang w:eastAsia="en-GB"/>
                <w14:ligatures w14:val="none"/>
              </w:rPr>
              <w:t>Stakeholder</w:t>
            </w:r>
          </w:p>
        </w:tc>
        <w:tc>
          <w:tcPr>
            <w:tcW w:w="0" w:type="auto"/>
            <w:hideMark/>
          </w:tcPr>
          <w:p w14:paraId="7FFC0527" w14:textId="77777777" w:rsidR="004C54E2" w:rsidRPr="00A60640" w:rsidRDefault="004C54E2" w:rsidP="00A60640">
            <w:pPr>
              <w:spacing w:line="360" w:lineRule="auto"/>
              <w:jc w:val="center"/>
              <w:rPr>
                <w:rFonts w:ascii="Times New Roman" w:eastAsia="Times New Roman" w:hAnsi="Times New Roman" w:cs="Times New Roman"/>
                <w:b/>
                <w:bCs/>
                <w:kern w:val="0"/>
                <w:lang w:eastAsia="en-GB"/>
                <w14:ligatures w14:val="none"/>
              </w:rPr>
            </w:pPr>
            <w:r w:rsidRPr="00A60640">
              <w:rPr>
                <w:rFonts w:ascii="Times New Roman" w:eastAsia="Times New Roman" w:hAnsi="Times New Roman" w:cs="Times New Roman"/>
                <w:b/>
                <w:bCs/>
                <w:kern w:val="0"/>
                <w:lang w:eastAsia="en-GB"/>
                <w14:ligatures w14:val="none"/>
              </w:rPr>
              <w:t>Information/consultation required</w:t>
            </w:r>
          </w:p>
        </w:tc>
        <w:tc>
          <w:tcPr>
            <w:tcW w:w="0" w:type="auto"/>
            <w:hideMark/>
          </w:tcPr>
          <w:p w14:paraId="025E95BE" w14:textId="77777777" w:rsidR="004C54E2" w:rsidRPr="00A60640" w:rsidRDefault="004C54E2" w:rsidP="00A60640">
            <w:pPr>
              <w:spacing w:line="360" w:lineRule="auto"/>
              <w:jc w:val="center"/>
              <w:rPr>
                <w:rFonts w:ascii="Times New Roman" w:eastAsia="Times New Roman" w:hAnsi="Times New Roman" w:cs="Times New Roman"/>
                <w:b/>
                <w:bCs/>
                <w:kern w:val="0"/>
                <w:lang w:eastAsia="en-GB"/>
                <w14:ligatures w14:val="none"/>
              </w:rPr>
            </w:pPr>
            <w:r w:rsidRPr="00A60640">
              <w:rPr>
                <w:rFonts w:ascii="Times New Roman" w:eastAsia="Times New Roman" w:hAnsi="Times New Roman" w:cs="Times New Roman"/>
                <w:b/>
                <w:bCs/>
                <w:kern w:val="0"/>
                <w:lang w:eastAsia="en-GB"/>
                <w14:ligatures w14:val="none"/>
              </w:rPr>
              <w:t>When/Frequency</w:t>
            </w:r>
          </w:p>
        </w:tc>
        <w:tc>
          <w:tcPr>
            <w:tcW w:w="0" w:type="auto"/>
            <w:hideMark/>
          </w:tcPr>
          <w:p w14:paraId="01A35525" w14:textId="77777777" w:rsidR="004C54E2" w:rsidRPr="00A60640" w:rsidRDefault="004C54E2" w:rsidP="00A60640">
            <w:pPr>
              <w:spacing w:line="360" w:lineRule="auto"/>
              <w:jc w:val="center"/>
              <w:rPr>
                <w:rFonts w:ascii="Times New Roman" w:eastAsia="Times New Roman" w:hAnsi="Times New Roman" w:cs="Times New Roman"/>
                <w:b/>
                <w:bCs/>
                <w:kern w:val="0"/>
                <w:lang w:eastAsia="en-GB"/>
                <w14:ligatures w14:val="none"/>
              </w:rPr>
            </w:pPr>
            <w:r w:rsidRPr="00A60640">
              <w:rPr>
                <w:rFonts w:ascii="Times New Roman" w:eastAsia="Times New Roman" w:hAnsi="Times New Roman" w:cs="Times New Roman"/>
                <w:b/>
                <w:bCs/>
                <w:kern w:val="0"/>
                <w:lang w:eastAsia="en-GB"/>
                <w14:ligatures w14:val="none"/>
              </w:rPr>
              <w:t>Communication method</w:t>
            </w:r>
          </w:p>
        </w:tc>
      </w:tr>
      <w:tr w:rsidR="004C54E2" w:rsidRPr="00A60640" w14:paraId="5452DE81" w14:textId="77777777" w:rsidTr="004C54E2">
        <w:tc>
          <w:tcPr>
            <w:tcW w:w="0" w:type="auto"/>
            <w:hideMark/>
          </w:tcPr>
          <w:p w14:paraId="71D22E37"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Doncaster Council</w:t>
            </w:r>
          </w:p>
        </w:tc>
        <w:tc>
          <w:tcPr>
            <w:tcW w:w="0" w:type="auto"/>
            <w:hideMark/>
          </w:tcPr>
          <w:p w14:paraId="2743F2B0"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Budget, risks, progress, planning and major decisions</w:t>
            </w:r>
          </w:p>
        </w:tc>
        <w:tc>
          <w:tcPr>
            <w:tcW w:w="0" w:type="auto"/>
            <w:hideMark/>
          </w:tcPr>
          <w:p w14:paraId="74C20368"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Monthly and at project milestones</w:t>
            </w:r>
          </w:p>
        </w:tc>
        <w:tc>
          <w:tcPr>
            <w:tcW w:w="0" w:type="auto"/>
            <w:hideMark/>
          </w:tcPr>
          <w:p w14:paraId="520992D5"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Formal meetings, reports and email</w:t>
            </w:r>
          </w:p>
        </w:tc>
      </w:tr>
      <w:tr w:rsidR="004C54E2" w:rsidRPr="00A60640" w14:paraId="7FC03CC2" w14:textId="77777777" w:rsidTr="004C54E2">
        <w:tc>
          <w:tcPr>
            <w:tcW w:w="0" w:type="auto"/>
            <w:hideMark/>
          </w:tcPr>
          <w:p w14:paraId="0A2ECEA3"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proofErr w:type="gramStart"/>
            <w:r w:rsidRPr="00A60640">
              <w:rPr>
                <w:rFonts w:ascii="Times New Roman" w:eastAsia="Times New Roman" w:hAnsi="Times New Roman" w:cs="Times New Roman"/>
                <w:kern w:val="0"/>
                <w:lang w:eastAsia="en-GB"/>
                <w14:ligatures w14:val="none"/>
              </w:rPr>
              <w:t>Local residents</w:t>
            </w:r>
            <w:proofErr w:type="gramEnd"/>
          </w:p>
        </w:tc>
        <w:tc>
          <w:tcPr>
            <w:tcW w:w="0" w:type="auto"/>
            <w:hideMark/>
          </w:tcPr>
          <w:p w14:paraId="40B9F98A"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Design, construction dates, disruption, facilities and changes</w:t>
            </w:r>
          </w:p>
        </w:tc>
        <w:tc>
          <w:tcPr>
            <w:tcW w:w="0" w:type="auto"/>
            <w:hideMark/>
          </w:tcPr>
          <w:p w14:paraId="39A6F10F"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Monthly + before major works</w:t>
            </w:r>
          </w:p>
        </w:tc>
        <w:tc>
          <w:tcPr>
            <w:tcW w:w="0" w:type="auto"/>
            <w:hideMark/>
          </w:tcPr>
          <w:p w14:paraId="547AA2B1"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Letters, public meetings, email, council website</w:t>
            </w:r>
          </w:p>
        </w:tc>
      </w:tr>
      <w:tr w:rsidR="004C54E2" w:rsidRPr="00A60640" w14:paraId="5EC3AE42" w14:textId="77777777" w:rsidTr="004C54E2">
        <w:tc>
          <w:tcPr>
            <w:tcW w:w="0" w:type="auto"/>
            <w:hideMark/>
          </w:tcPr>
          <w:p w14:paraId="0CE7E43A"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lastRenderedPageBreak/>
              <w:t>Families &amp; children</w:t>
            </w:r>
          </w:p>
        </w:tc>
        <w:tc>
          <w:tcPr>
            <w:tcW w:w="0" w:type="auto"/>
            <w:hideMark/>
          </w:tcPr>
          <w:p w14:paraId="372B4163"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Playground, safety, accessibility and recreation preferences</w:t>
            </w:r>
          </w:p>
        </w:tc>
        <w:tc>
          <w:tcPr>
            <w:tcW w:w="0" w:type="auto"/>
            <w:hideMark/>
          </w:tcPr>
          <w:p w14:paraId="11785546"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Design stage and before final approval</w:t>
            </w:r>
          </w:p>
        </w:tc>
        <w:tc>
          <w:tcPr>
            <w:tcW w:w="0" w:type="auto"/>
            <w:hideMark/>
          </w:tcPr>
          <w:p w14:paraId="506C1DE5"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Workshops, surveys and school-based consultation</w:t>
            </w:r>
          </w:p>
        </w:tc>
      </w:tr>
      <w:tr w:rsidR="004C54E2" w:rsidRPr="00A60640" w14:paraId="6F6D609D" w14:textId="77777777" w:rsidTr="004C54E2">
        <w:tc>
          <w:tcPr>
            <w:tcW w:w="0" w:type="auto"/>
            <w:hideMark/>
          </w:tcPr>
          <w:p w14:paraId="1401128A"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Local businesses</w:t>
            </w:r>
          </w:p>
        </w:tc>
        <w:tc>
          <w:tcPr>
            <w:tcW w:w="0" w:type="auto"/>
            <w:hideMark/>
          </w:tcPr>
          <w:p w14:paraId="0830F594"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Traffic, access, construction and completion dates</w:t>
            </w:r>
          </w:p>
        </w:tc>
        <w:tc>
          <w:tcPr>
            <w:tcW w:w="0" w:type="auto"/>
            <w:hideMark/>
          </w:tcPr>
          <w:p w14:paraId="5949E024"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Before construction + key changes</w:t>
            </w:r>
          </w:p>
        </w:tc>
        <w:tc>
          <w:tcPr>
            <w:tcW w:w="0" w:type="auto"/>
            <w:hideMark/>
          </w:tcPr>
          <w:p w14:paraId="0228B9D2"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Email, letters and business meetings</w:t>
            </w:r>
          </w:p>
        </w:tc>
      </w:tr>
      <w:tr w:rsidR="004C54E2" w:rsidRPr="00A60640" w14:paraId="48EA7319" w14:textId="77777777" w:rsidTr="004C54E2">
        <w:tc>
          <w:tcPr>
            <w:tcW w:w="0" w:type="auto"/>
            <w:hideMark/>
          </w:tcPr>
          <w:p w14:paraId="52205123"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Environmental/community groups</w:t>
            </w:r>
          </w:p>
        </w:tc>
        <w:tc>
          <w:tcPr>
            <w:tcW w:w="0" w:type="auto"/>
            <w:hideMark/>
          </w:tcPr>
          <w:p w14:paraId="3CD57E10"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Biodiversity, landscaping, trees, waste and environmental impact</w:t>
            </w:r>
          </w:p>
        </w:tc>
        <w:tc>
          <w:tcPr>
            <w:tcW w:w="0" w:type="auto"/>
            <w:hideMark/>
          </w:tcPr>
          <w:p w14:paraId="6551F730"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Design stage + quarterly</w:t>
            </w:r>
          </w:p>
        </w:tc>
        <w:tc>
          <w:tcPr>
            <w:tcW w:w="0" w:type="auto"/>
            <w:hideMark/>
          </w:tcPr>
          <w:p w14:paraId="1484E24D"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Workshops, meetings and reports</w:t>
            </w:r>
          </w:p>
        </w:tc>
      </w:tr>
      <w:tr w:rsidR="004C54E2" w:rsidRPr="00A60640" w14:paraId="7517CEF1" w14:textId="77777777" w:rsidTr="004C54E2">
        <w:tc>
          <w:tcPr>
            <w:tcW w:w="0" w:type="auto"/>
            <w:hideMark/>
          </w:tcPr>
          <w:p w14:paraId="654E58BA"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Contractors/project team</w:t>
            </w:r>
          </w:p>
        </w:tc>
        <w:tc>
          <w:tcPr>
            <w:tcW w:w="0" w:type="auto"/>
            <w:hideMark/>
          </w:tcPr>
          <w:p w14:paraId="09AEBED3"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Scope, budget, safety, schedule, risks and changes</w:t>
            </w:r>
          </w:p>
        </w:tc>
        <w:tc>
          <w:tcPr>
            <w:tcW w:w="0" w:type="auto"/>
            <w:hideMark/>
          </w:tcPr>
          <w:p w14:paraId="0FDB63AC"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Weekly</w:t>
            </w:r>
          </w:p>
        </w:tc>
        <w:tc>
          <w:tcPr>
            <w:tcW w:w="0" w:type="auto"/>
            <w:hideMark/>
          </w:tcPr>
          <w:p w14:paraId="6E8B67BE"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Meetings, email and project-management system</w:t>
            </w:r>
          </w:p>
        </w:tc>
      </w:tr>
      <w:tr w:rsidR="004C54E2" w:rsidRPr="00A60640" w14:paraId="62018495" w14:textId="77777777" w:rsidTr="004C54E2">
        <w:tc>
          <w:tcPr>
            <w:tcW w:w="0" w:type="auto"/>
            <w:hideMark/>
          </w:tcPr>
          <w:p w14:paraId="2D6AFB8C"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Schools</w:t>
            </w:r>
          </w:p>
        </w:tc>
        <w:tc>
          <w:tcPr>
            <w:tcW w:w="0" w:type="auto"/>
            <w:hideMark/>
          </w:tcPr>
          <w:p w14:paraId="7C40F768"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Safety, educational facilities and access</w:t>
            </w:r>
          </w:p>
        </w:tc>
        <w:tc>
          <w:tcPr>
            <w:tcW w:w="0" w:type="auto"/>
            <w:hideMark/>
          </w:tcPr>
          <w:p w14:paraId="636050E8"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Design stage + before opening</w:t>
            </w:r>
          </w:p>
        </w:tc>
        <w:tc>
          <w:tcPr>
            <w:tcW w:w="0" w:type="auto"/>
            <w:hideMark/>
          </w:tcPr>
          <w:p w14:paraId="010CC581" w14:textId="77777777" w:rsidR="004C54E2" w:rsidRPr="00A60640" w:rsidRDefault="004C54E2" w:rsidP="00A60640">
            <w:pPr>
              <w:spacing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Meetings, email and workshops</w:t>
            </w:r>
          </w:p>
        </w:tc>
      </w:tr>
    </w:tbl>
    <w:p w14:paraId="130A00B4" w14:textId="77777777" w:rsidR="004C54E2" w:rsidRPr="00A60640" w:rsidRDefault="004C54E2" w:rsidP="00A60640">
      <w:pPr>
        <w:spacing w:line="360" w:lineRule="auto"/>
        <w:rPr>
          <w:rFonts w:ascii="Times New Roman" w:hAnsi="Times New Roman" w:cs="Times New Roman"/>
        </w:rPr>
      </w:pPr>
    </w:p>
    <w:p w14:paraId="14C292E2" w14:textId="77777777" w:rsidR="00A22A88" w:rsidRPr="00A22A88" w:rsidRDefault="00A22A88" w:rsidP="00A22A88">
      <w:pPr>
        <w:spacing w:line="360" w:lineRule="auto"/>
        <w:rPr>
          <w:rFonts w:ascii="Times New Roman" w:hAnsi="Times New Roman" w:cs="Times New Roman"/>
        </w:rPr>
      </w:pPr>
      <w:r w:rsidRPr="00A22A88">
        <w:rPr>
          <w:rFonts w:ascii="Times New Roman" w:hAnsi="Times New Roman" w:cs="Times New Roman"/>
        </w:rPr>
        <w:t>A tailored communication approach should be adopted based on the needs of the stakeholder groups rather than adopting a generalized communication approach for all the stakeholders. In the case of the Doncaster Council, very detailed and formal information is required from the organization since it takes care of governance and decision-making processes. Regular monthly updates will keep the council updated regarding the spending, progress, risks, and milestones, while urgent matters require instant communication. The contractors require more frequent communication since the construction process involves various changing factors, which is why weekly meetings and written project update will be an appropriate communication channel (PMI, 2021; APM, 2022).</w:t>
      </w:r>
    </w:p>
    <w:p w14:paraId="59B5AE49" w14:textId="0789A09A" w:rsidR="004C54E2" w:rsidRPr="00A60640" w:rsidRDefault="00A22A88" w:rsidP="00A22A88">
      <w:pPr>
        <w:spacing w:line="360" w:lineRule="auto"/>
        <w:rPr>
          <w:rFonts w:ascii="Times New Roman" w:hAnsi="Times New Roman" w:cs="Times New Roman"/>
        </w:rPr>
      </w:pPr>
      <w:r w:rsidRPr="00A22A88">
        <w:rPr>
          <w:rFonts w:ascii="Times New Roman" w:hAnsi="Times New Roman" w:cs="Times New Roman"/>
        </w:rPr>
        <w:t xml:space="preserve">As far as the residents are concerned, the communication should involve both written communication in an easy-to-understand manner as well as two-way interaction. Letters and online communications will provide the necessary information regarding the construction time frame and disruption. However, in the case of public meetings and consultations, the residents can bring up their concerns and suggest certain changes. Using only online </w:t>
      </w:r>
      <w:r w:rsidRPr="00A22A88">
        <w:rPr>
          <w:rFonts w:ascii="Times New Roman" w:hAnsi="Times New Roman" w:cs="Times New Roman"/>
        </w:rPr>
        <w:lastRenderedPageBreak/>
        <w:t>communication will exclude those residents who do not have access to or knowledge of using computers (OECD, 2020; UN-Habitat, 2022</w:t>
      </w:r>
      <w:r w:rsidR="004C54E2" w:rsidRPr="00A60640">
        <w:rPr>
          <w:rFonts w:ascii="Times New Roman" w:hAnsi="Times New Roman" w:cs="Times New Roman"/>
        </w:rPr>
        <w:t>).</w:t>
      </w:r>
    </w:p>
    <w:p w14:paraId="1502668A" w14:textId="0186D80A" w:rsidR="004C54E2" w:rsidRPr="00A60640" w:rsidRDefault="004C54E2" w:rsidP="00A60640">
      <w:pPr>
        <w:pStyle w:val="Heading2"/>
        <w:spacing w:line="360" w:lineRule="auto"/>
        <w:rPr>
          <w:rFonts w:cs="Times New Roman"/>
          <w:szCs w:val="24"/>
        </w:rPr>
      </w:pPr>
      <w:bookmarkStart w:id="4" w:name="_Toc238196962"/>
      <w:r w:rsidRPr="00A60640">
        <w:rPr>
          <w:rFonts w:cs="Times New Roman"/>
          <w:szCs w:val="24"/>
        </w:rPr>
        <w:t>2.4 Consultation Strategy</w:t>
      </w:r>
      <w:bookmarkEnd w:id="4"/>
    </w:p>
    <w:p w14:paraId="4792D416" w14:textId="2D1AAAA9"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It is proposed that the consultation process for the public park should be inclusive and should enable stakeholders to participate in the project process rather than being consulted after decision making takes place. The process of consultation must start at the stage of planning when there is still an opportunity to influence the decisions about design, facilities, accessibility and environment of the public park. Various approaches to consultation should be used because different stakeholders have various levels of interests, availability, willingness to communicate and to participate. Combining face-to-face and digital consultation may thus result in better participation and wider information for the project team about community expectations (OECD, 2020; UN-Habitat, 2022).</w:t>
      </w:r>
    </w:p>
    <w:p w14:paraId="262C1785" w14:textId="66DF32D2" w:rsidR="004C54E2" w:rsidRPr="00A60640" w:rsidRDefault="004C54E2" w:rsidP="00A60640">
      <w:pPr>
        <w:spacing w:line="360" w:lineRule="auto"/>
        <w:rPr>
          <w:rFonts w:ascii="Times New Roman" w:hAnsi="Times New Roman" w:cs="Times New Roman"/>
        </w:rPr>
      </w:pPr>
      <w:r w:rsidRPr="00A60640">
        <w:rPr>
          <w:rFonts w:ascii="Times New Roman" w:hAnsi="Times New Roman" w:cs="Times New Roman"/>
        </w:rPr>
        <w:t>Resident stakeholders should mainly be consulted using public consultations, online surveys and drop-in consultations. A questionnaire could be used initially to determine the priorities in terms of facilities like walking paths, playgrounds for children, lighting, seating, security and greenery. After the first draft design is ready, a public consultation could take place where the proposal is presented to the residents and comments received in terms of noise, traffic, parking and accessibility. However, public consultations alone may not reflect all the community views since people with work, childcare, mobility or linguistic barriers will find it difficult to attend (United Nations, 2023; OECD, 2021).</w:t>
      </w:r>
    </w:p>
    <w:p w14:paraId="7ED861CC" w14:textId="7311E39E" w:rsidR="00A60640"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t xml:space="preserve">Further consultations must also be done with stakeholder groups that have special interests or expertise. Stakeholders such as families, children and the local schools can participate in workshops on playground facilities, safety and recreational activities, while the environmental </w:t>
      </w:r>
      <w:r>
        <w:rPr>
          <w:rFonts w:ascii="Times New Roman" w:hAnsi="Times New Roman" w:cs="Times New Roman"/>
        </w:rPr>
        <w:t>organisation</w:t>
      </w:r>
      <w:r w:rsidRPr="00A60640">
        <w:rPr>
          <w:rFonts w:ascii="Times New Roman" w:hAnsi="Times New Roman" w:cs="Times New Roman"/>
        </w:rPr>
        <w:t>s can be consulted on biodiversity, tree planting, habitat conservation and sustainable landscaping. Stakeholders such as the local businesses must be included in consultations related to construction access, parking and potential disruption. Stakeholders such as the contractors and council members must be included in formal consultations on budgeting, planning, risks and project management. Consultation methods that are tailored to stakeholder characteristics may help in gathering more relevant information and preventing powerful stakeholders from being the only stakeholders influencing decisions (UNICEF, 2020; APM, 2022).</w:t>
      </w:r>
    </w:p>
    <w:p w14:paraId="6CDB48FD" w14:textId="5363CE31" w:rsidR="004C54E2"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lastRenderedPageBreak/>
        <w:t>Consultation must take place throughout the entire life cycle of the project. An initial consultation will focus on community needs, while the second one will involve review of preliminary design plans by the stakeholders. In the construction phase, the residents and businesses must be given an opportunity to report any problem or concerns using emails, telephone calls and feedback form available online. Once the construction work is completed, the users may be consulted on issues such as accessibility, safety, facilities and satisfaction. Feedback received from stakeholders must be gathered, common issues identified, and stakeholders must be informed about how their contributions have impacted decisions. When their contributions cannot be acted upon, reasons must be explained to them. This feedback cycle will show the stakeholders that consultations have had an impact on decision-making (PMI, 2021; APM, 2022).</w:t>
      </w:r>
    </w:p>
    <w:p w14:paraId="3DE51F9A" w14:textId="36EA065E" w:rsidR="00A60640" w:rsidRPr="00A60640" w:rsidRDefault="00A60640" w:rsidP="00A60640">
      <w:pPr>
        <w:pStyle w:val="Heading2"/>
        <w:spacing w:line="360" w:lineRule="auto"/>
        <w:rPr>
          <w:rFonts w:cs="Times New Roman"/>
          <w:szCs w:val="24"/>
        </w:rPr>
      </w:pPr>
      <w:bookmarkStart w:id="5" w:name="_Toc238196963"/>
      <w:r w:rsidRPr="00A60640">
        <w:rPr>
          <w:rFonts w:cs="Times New Roman"/>
          <w:szCs w:val="24"/>
        </w:rPr>
        <w:t>3. Ethical Issues in the Stakeholder Consultation, Participation and Feedback Process</w:t>
      </w:r>
      <w:bookmarkEnd w:id="5"/>
    </w:p>
    <w:p w14:paraId="2B937EB2" w14:textId="11F5AC70" w:rsidR="00A60640"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t>Ethics in stakeholder consultation are important since the public park project will gather opinions and potentially even some personal information from the residents and other community stakeholders. Thus, participation in surveys, meetings and workshops must be voluntary, while participants must be informed about the objectives of the consultation process and the use of their feedback as well as if any information will be recorded. Personal information should only be collected where necessary and in a secure manner in line with the corresponding data protection standards. Additionally, it must be ensured that stakeholders can voice concerns without fearing any negative repercussions for comments on the decisions made by the council or project team (ICO, 2023; OECD, 2021).</w:t>
      </w:r>
    </w:p>
    <w:p w14:paraId="72AF887B" w14:textId="18E509ED" w:rsidR="00A60640"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t>The issue of bias also needs to be considered from the ethical perspective. Bias becomes apparent when public consultations are unrepresentative due to the overwhelming involvement of certain stakeholders, who have more time, confidence and resources to participate in the process. For instance, using only evening public meetings could alienate people working non-standard hours, parents with care responsibilities or individuals with some physical impairments. Similarly, online-only consultations would alienate the residents with no access to technology. It is recommended to use several different methods of engagement with the stakeholders, such as online and paper-based surveys, public meetings, drop-in sessions and community-specific workshops (OECD, 2020; UN-Habitat, 2022).</w:t>
      </w:r>
    </w:p>
    <w:p w14:paraId="014AAF49" w14:textId="6A1FB2D8" w:rsidR="00A60640"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t xml:space="preserve">Moreover, issues of diversity, equity and inclusion (DEI) must be incorporated in consultation process. Equality does not necessarily mean that every stakeholder should have </w:t>
      </w:r>
      <w:r w:rsidRPr="00A60640">
        <w:rPr>
          <w:rFonts w:ascii="Times New Roman" w:hAnsi="Times New Roman" w:cs="Times New Roman"/>
        </w:rPr>
        <w:lastRenderedPageBreak/>
        <w:t xml:space="preserve">the same engagement process; rather, equitable consultation means that there are no barriers hindering stakeholders from engaging in the process. Consultation documents should have clear language and accessible </w:t>
      </w:r>
      <w:proofErr w:type="gramStart"/>
      <w:r w:rsidRPr="00A60640">
        <w:rPr>
          <w:rFonts w:ascii="Times New Roman" w:hAnsi="Times New Roman" w:cs="Times New Roman"/>
        </w:rPr>
        <w:t>formats</w:t>
      </w:r>
      <w:proofErr w:type="gramEnd"/>
      <w:r w:rsidRPr="00A60640">
        <w:rPr>
          <w:rFonts w:ascii="Times New Roman" w:hAnsi="Times New Roman" w:cs="Times New Roman"/>
        </w:rPr>
        <w:t xml:space="preserve"> and translation of the material might be needed where relevant to the local community. Venue should be accessible for people with disability and alternative ways of participation should be provided to the individuals unable to attend public events. Also, children should have an opportunity to participate since they are among intended users of the park despite the lack of decision-making powers (United Nations, 2023; UNICEF, 2020).</w:t>
      </w:r>
    </w:p>
    <w:p w14:paraId="7686D7E8" w14:textId="2BEF51CB" w:rsidR="00A60640" w:rsidRPr="00A60640" w:rsidRDefault="00A22A88" w:rsidP="00A60640">
      <w:pPr>
        <w:spacing w:line="360" w:lineRule="auto"/>
        <w:rPr>
          <w:rFonts w:ascii="Times New Roman" w:hAnsi="Times New Roman" w:cs="Times New Roman"/>
        </w:rPr>
      </w:pPr>
      <w:r w:rsidRPr="00A22A88">
        <w:rPr>
          <w:rFonts w:ascii="Times New Roman" w:hAnsi="Times New Roman" w:cs="Times New Roman"/>
        </w:rPr>
        <w:t xml:space="preserve">It is advised that feedback is taken in an organized way rather than in an unorganized manner. Information collected through surveys can be entered into the database, while information collected through meetings and workshops can be categorized according to themes like safety, accessibility, play area infrastructure, environmental conservation, parking, and disturbance due to construction. It will be necessary for the project team to </w:t>
      </w:r>
      <w:proofErr w:type="spellStart"/>
      <w:r w:rsidRPr="00A22A88">
        <w:rPr>
          <w:rFonts w:ascii="Times New Roman" w:hAnsi="Times New Roman" w:cs="Times New Roman"/>
        </w:rPr>
        <w:t>analyze</w:t>
      </w:r>
      <w:proofErr w:type="spellEnd"/>
      <w:r w:rsidRPr="00A22A88">
        <w:rPr>
          <w:rFonts w:ascii="Times New Roman" w:hAnsi="Times New Roman" w:cs="Times New Roman"/>
        </w:rPr>
        <w:t xml:space="preserve"> the significance and importance of the issues that are raised by the stakeholders before reporting their analysis to the decision makers. However, it is necessary that the process of consultations must include feedback; the stakeholders should be informed about the recommendation that was accepted and those that weren’t, and the reasons why (PMI, 2021; APM, 2022</w:t>
      </w:r>
      <w:r w:rsidR="00A60640" w:rsidRPr="00A60640">
        <w:rPr>
          <w:rFonts w:ascii="Times New Roman" w:hAnsi="Times New Roman" w:cs="Times New Roman"/>
        </w:rPr>
        <w:t>).</w:t>
      </w:r>
    </w:p>
    <w:p w14:paraId="64A9A6C5" w14:textId="55BB6AA7" w:rsidR="00A60640" w:rsidRPr="00A60640" w:rsidRDefault="00A60640" w:rsidP="00A60640">
      <w:pPr>
        <w:pStyle w:val="Heading2"/>
        <w:spacing w:line="360" w:lineRule="auto"/>
        <w:rPr>
          <w:rFonts w:cs="Times New Roman"/>
          <w:szCs w:val="24"/>
        </w:rPr>
      </w:pPr>
      <w:bookmarkStart w:id="6" w:name="_Toc238196964"/>
      <w:r w:rsidRPr="00A60640">
        <w:rPr>
          <w:rFonts w:cs="Times New Roman"/>
          <w:szCs w:val="24"/>
        </w:rPr>
        <w:t>4. Conclusion and Reflection</w:t>
      </w:r>
      <w:bookmarkEnd w:id="6"/>
    </w:p>
    <w:p w14:paraId="6A0DF5E7" w14:textId="3B2A07A7" w:rsidR="00A60640"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t xml:space="preserve">The stakeholder management plan has shown that the success of the development of the planned park is not only about timely and affordable construction. The project includes several stakeholders with significant differences in power, influence and interest such as Doncaster Council, residents, their families, local business, environmental </w:t>
      </w:r>
      <w:r>
        <w:rPr>
          <w:rFonts w:ascii="Times New Roman" w:hAnsi="Times New Roman" w:cs="Times New Roman"/>
        </w:rPr>
        <w:t>organisation</w:t>
      </w:r>
      <w:r w:rsidRPr="00A60640">
        <w:rPr>
          <w:rFonts w:ascii="Times New Roman" w:hAnsi="Times New Roman" w:cs="Times New Roman"/>
        </w:rPr>
        <w:t>s, contractors and schools. Stakeholder mapping can allow for more efficient allocation of engagement resources, as powerful and highly interested parties need to be managed carefully, while less powerful, yet highly interested ones also require stakeholder participation. As such, stakeholder engagement can lead to better decisions, conflict management and higher acceptance of the infrastructure project (Derakhshan et al., 2020; PMI, 2021).</w:t>
      </w:r>
    </w:p>
    <w:p w14:paraId="689FF157" w14:textId="2C09D668" w:rsidR="00A60640"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t xml:space="preserve">About developing my stakeholder management plan, I now understand that stakeholder engagement should be an ongoing two-way process rather than just informative. At first, I could consider Doncaster Council and contractors as the key stakeholders due to their formal </w:t>
      </w:r>
      <w:r w:rsidRPr="00A60640">
        <w:rPr>
          <w:rFonts w:ascii="Times New Roman" w:hAnsi="Times New Roman" w:cs="Times New Roman"/>
        </w:rPr>
        <w:lastRenderedPageBreak/>
        <w:t xml:space="preserve">power. However, through stakeholder mapping, it has become obvious that power does not decide who will be heard. Residents, their kids and even some environmental </w:t>
      </w:r>
      <w:r>
        <w:rPr>
          <w:rFonts w:ascii="Times New Roman" w:hAnsi="Times New Roman" w:cs="Times New Roman"/>
        </w:rPr>
        <w:t>organisation</w:t>
      </w:r>
      <w:r w:rsidRPr="00A60640">
        <w:rPr>
          <w:rFonts w:ascii="Times New Roman" w:hAnsi="Times New Roman" w:cs="Times New Roman"/>
        </w:rPr>
        <w:t>s can have lower formal power but have legitimate interests and knowledge that can help make the park of higher quality, accessibility and sustainability (Oppong et al., 2021; United Nations, 2023).</w:t>
      </w:r>
    </w:p>
    <w:p w14:paraId="0C229370" w14:textId="5AFA8101" w:rsidR="00A60640"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t>It has become apparent that effective communication and ethics are also necessary for good stakeholder management. Different stakeholders need different methods of communication, and communicating does not equal disseminating information, it means listening as well. For instance, technical reports will be suitable for council representatives, while accessible public meetings, surveys and visual design presentations will be needed for residents. It became clear to me that adaptability, active listening and communication skills are important professional traits of stakeholder managers because misunderstanding and inappropriate communication can harm stakeholder relationships and support (APM, 2022; OECD, 2021).</w:t>
      </w:r>
    </w:p>
    <w:p w14:paraId="611FB6D0" w14:textId="09C7B500" w:rsidR="00A60640" w:rsidRPr="00A60640" w:rsidRDefault="00A60640" w:rsidP="00A60640">
      <w:pPr>
        <w:spacing w:line="360" w:lineRule="auto"/>
        <w:rPr>
          <w:rFonts w:ascii="Times New Roman" w:hAnsi="Times New Roman" w:cs="Times New Roman"/>
        </w:rPr>
      </w:pPr>
      <w:r w:rsidRPr="00A60640">
        <w:rPr>
          <w:rFonts w:ascii="Times New Roman" w:hAnsi="Times New Roman" w:cs="Times New Roman"/>
        </w:rPr>
        <w:t>Yet another key lesson is related to inclusion. The consultation process might be open even when it excludes people that are not able to take part in it. Considering DEI has made me aware of possible barriers associated with disability, languages, age, digital inclusion, and personal circumstances. For future projects, I will consider those barriers at the planning stage and provide a variety of channels for consultation rather than trying to compensate for exclusion once the consultation has been carried out. Such an approach will allow for fair decision-making and better responsiveness to the needs of communities the projects are aimed to benefit from (UN-Habitat, 2022; UNICEF, 2020).</w:t>
      </w:r>
    </w:p>
    <w:p w14:paraId="7B526A37" w14:textId="1E58D61C" w:rsidR="00A60640" w:rsidRDefault="00A60640" w:rsidP="00A60640">
      <w:pPr>
        <w:spacing w:line="360" w:lineRule="auto"/>
        <w:rPr>
          <w:rFonts w:ascii="Times New Roman" w:hAnsi="Times New Roman" w:cs="Times New Roman"/>
        </w:rPr>
      </w:pPr>
      <w:r w:rsidRPr="00A60640">
        <w:rPr>
          <w:rFonts w:ascii="Times New Roman" w:hAnsi="Times New Roman" w:cs="Times New Roman"/>
        </w:rPr>
        <w:t xml:space="preserve">In general, the stakeholder engagement should be beneficial both for the projects' success and sustainability. The early consultation helps to prevent any problems, whereas the ongoing participation enhances trust, accountability and ownership within the community. Thus, for the proposed Doncaster public park, the combination of stakeholder analysis, targeted communications, inclusive consultation, ethical data management and feedback would make it more likely for the final park to bring </w:t>
      </w:r>
      <w:proofErr w:type="gramStart"/>
      <w:r w:rsidRPr="00A60640">
        <w:rPr>
          <w:rFonts w:ascii="Times New Roman" w:hAnsi="Times New Roman" w:cs="Times New Roman"/>
        </w:rPr>
        <w:t>really social</w:t>
      </w:r>
      <w:proofErr w:type="gramEnd"/>
      <w:r w:rsidRPr="00A60640">
        <w:rPr>
          <w:rFonts w:ascii="Times New Roman" w:hAnsi="Times New Roman" w:cs="Times New Roman"/>
        </w:rPr>
        <w:t xml:space="preserve"> and environmental benefits. In terms of my professional development, this portfolio has shown me the significance of finding balance between organisational needs and stakeholders' rights while working on community infrastructure projects (PMI, 2021; United Nations, 2023).</w:t>
      </w:r>
    </w:p>
    <w:p w14:paraId="0918858B" w14:textId="77777777" w:rsidR="00A60640" w:rsidRDefault="00A60640" w:rsidP="00A60640">
      <w:pPr>
        <w:spacing w:line="360" w:lineRule="auto"/>
        <w:rPr>
          <w:rFonts w:ascii="Times New Roman" w:hAnsi="Times New Roman" w:cs="Times New Roman"/>
        </w:rPr>
      </w:pPr>
    </w:p>
    <w:p w14:paraId="6EC888D6" w14:textId="77777777" w:rsidR="00A60640" w:rsidRDefault="00A60640" w:rsidP="00A60640">
      <w:pPr>
        <w:spacing w:line="360" w:lineRule="auto"/>
        <w:rPr>
          <w:rFonts w:ascii="Times New Roman" w:hAnsi="Times New Roman" w:cs="Times New Roman"/>
        </w:rPr>
      </w:pPr>
    </w:p>
    <w:p w14:paraId="4EB652B4" w14:textId="77777777" w:rsidR="00A60640" w:rsidRPr="00A60640" w:rsidRDefault="00A60640" w:rsidP="00A60640">
      <w:pPr>
        <w:spacing w:line="360" w:lineRule="auto"/>
        <w:rPr>
          <w:rFonts w:ascii="Times New Roman" w:hAnsi="Times New Roman" w:cs="Times New Roman"/>
        </w:rPr>
      </w:pPr>
    </w:p>
    <w:p w14:paraId="28390013" w14:textId="5BE47D59" w:rsidR="00A60640" w:rsidRPr="00A60640" w:rsidRDefault="00A60640" w:rsidP="00A60640">
      <w:pPr>
        <w:pStyle w:val="Heading2"/>
        <w:spacing w:line="360" w:lineRule="auto"/>
        <w:rPr>
          <w:rFonts w:eastAsia="Times New Roman" w:cs="Times New Roman"/>
          <w:szCs w:val="24"/>
          <w:lang w:eastAsia="en-GB"/>
        </w:rPr>
      </w:pPr>
      <w:bookmarkStart w:id="7" w:name="_Toc238196965"/>
      <w:r w:rsidRPr="00A60640">
        <w:rPr>
          <w:rFonts w:eastAsia="Times New Roman" w:cs="Times New Roman"/>
          <w:szCs w:val="24"/>
          <w:lang w:eastAsia="en-GB"/>
        </w:rPr>
        <w:t>References</w:t>
      </w:r>
      <w:bookmarkEnd w:id="7"/>
    </w:p>
    <w:p w14:paraId="2DC4991E"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Association for Project Management (APM) (2022) </w:t>
      </w:r>
      <w:r w:rsidRPr="00A60640">
        <w:rPr>
          <w:rFonts w:ascii="Times New Roman" w:eastAsia="Times New Roman" w:hAnsi="Times New Roman" w:cs="Times New Roman"/>
          <w:i/>
          <w:iCs/>
          <w:kern w:val="0"/>
          <w:lang w:eastAsia="en-GB"/>
          <w14:ligatures w14:val="none"/>
        </w:rPr>
        <w:t>APM Body of Knowledge</w:t>
      </w:r>
      <w:r w:rsidRPr="00A60640">
        <w:rPr>
          <w:rFonts w:ascii="Times New Roman" w:eastAsia="Times New Roman" w:hAnsi="Times New Roman" w:cs="Times New Roman"/>
          <w:kern w:val="0"/>
          <w:lang w:eastAsia="en-GB"/>
          <w14:ligatures w14:val="none"/>
        </w:rPr>
        <w:t xml:space="preserve">. 8th </w:t>
      </w:r>
      <w:proofErr w:type="spellStart"/>
      <w:r w:rsidRPr="00A60640">
        <w:rPr>
          <w:rFonts w:ascii="Times New Roman" w:eastAsia="Times New Roman" w:hAnsi="Times New Roman" w:cs="Times New Roman"/>
          <w:kern w:val="0"/>
          <w:lang w:eastAsia="en-GB"/>
          <w14:ligatures w14:val="none"/>
        </w:rPr>
        <w:t>edn</w:t>
      </w:r>
      <w:proofErr w:type="spellEnd"/>
      <w:r w:rsidRPr="00A60640">
        <w:rPr>
          <w:rFonts w:ascii="Times New Roman" w:eastAsia="Times New Roman" w:hAnsi="Times New Roman" w:cs="Times New Roman"/>
          <w:kern w:val="0"/>
          <w:lang w:eastAsia="en-GB"/>
          <w14:ligatures w14:val="none"/>
        </w:rPr>
        <w:t>. Princes Risborough: Association for Project Management.</w:t>
      </w:r>
    </w:p>
    <w:p w14:paraId="6A32E0EC"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Derakhshan, R., Turner, R. and Mancini, M. (2020) ‘Project governance and stakeholders: A literature review’, </w:t>
      </w:r>
      <w:r w:rsidRPr="00A60640">
        <w:rPr>
          <w:rFonts w:ascii="Times New Roman" w:eastAsia="Times New Roman" w:hAnsi="Times New Roman" w:cs="Times New Roman"/>
          <w:i/>
          <w:iCs/>
          <w:kern w:val="0"/>
          <w:lang w:eastAsia="en-GB"/>
          <w14:ligatures w14:val="none"/>
        </w:rPr>
        <w:t>International Journal of Project Management</w:t>
      </w:r>
      <w:r w:rsidRPr="00A60640">
        <w:rPr>
          <w:rFonts w:ascii="Times New Roman" w:eastAsia="Times New Roman" w:hAnsi="Times New Roman" w:cs="Times New Roman"/>
          <w:kern w:val="0"/>
          <w:lang w:eastAsia="en-GB"/>
          <w14:ligatures w14:val="none"/>
        </w:rPr>
        <w:t>, 38(2), pp. 98–116.</w:t>
      </w:r>
    </w:p>
    <w:p w14:paraId="3CEBB372"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Information Commissioner’s Office (ICO) (2023) </w:t>
      </w:r>
      <w:r w:rsidRPr="00A60640">
        <w:rPr>
          <w:rFonts w:ascii="Times New Roman" w:eastAsia="Times New Roman" w:hAnsi="Times New Roman" w:cs="Times New Roman"/>
          <w:i/>
          <w:iCs/>
          <w:kern w:val="0"/>
          <w:lang w:eastAsia="en-GB"/>
          <w14:ligatures w14:val="none"/>
        </w:rPr>
        <w:t>Guide to the UK General Data Protection Regulation (UK GDPR)</w:t>
      </w:r>
      <w:r w:rsidRPr="00A60640">
        <w:rPr>
          <w:rFonts w:ascii="Times New Roman" w:eastAsia="Times New Roman" w:hAnsi="Times New Roman" w:cs="Times New Roman"/>
          <w:kern w:val="0"/>
          <w:lang w:eastAsia="en-GB"/>
          <w14:ligatures w14:val="none"/>
        </w:rPr>
        <w:t>. Wilmslow: Information Commissioner’s Office.</w:t>
      </w:r>
    </w:p>
    <w:p w14:paraId="395003F7"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OECD (2020) </w:t>
      </w:r>
      <w:r w:rsidRPr="00A60640">
        <w:rPr>
          <w:rFonts w:ascii="Times New Roman" w:eastAsia="Times New Roman" w:hAnsi="Times New Roman" w:cs="Times New Roman"/>
          <w:i/>
          <w:iCs/>
          <w:kern w:val="0"/>
          <w:lang w:eastAsia="en-GB"/>
          <w14:ligatures w14:val="none"/>
        </w:rPr>
        <w:t>Innovative Citizen Participation and New Democratic Institutions: Catching the Deliberative Wave</w:t>
      </w:r>
      <w:r w:rsidRPr="00A60640">
        <w:rPr>
          <w:rFonts w:ascii="Times New Roman" w:eastAsia="Times New Roman" w:hAnsi="Times New Roman" w:cs="Times New Roman"/>
          <w:kern w:val="0"/>
          <w:lang w:eastAsia="en-GB"/>
          <w14:ligatures w14:val="none"/>
        </w:rPr>
        <w:t>. Paris: OECD Publishing.</w:t>
      </w:r>
    </w:p>
    <w:p w14:paraId="4DB4F59E"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OECD (2021) </w:t>
      </w:r>
      <w:r w:rsidRPr="00A60640">
        <w:rPr>
          <w:rFonts w:ascii="Times New Roman" w:eastAsia="Times New Roman" w:hAnsi="Times New Roman" w:cs="Times New Roman"/>
          <w:i/>
          <w:iCs/>
          <w:kern w:val="0"/>
          <w:lang w:eastAsia="en-GB"/>
          <w14:ligatures w14:val="none"/>
        </w:rPr>
        <w:t xml:space="preserve">Government </w:t>
      </w:r>
      <w:proofErr w:type="gramStart"/>
      <w:r w:rsidRPr="00A60640">
        <w:rPr>
          <w:rFonts w:ascii="Times New Roman" w:eastAsia="Times New Roman" w:hAnsi="Times New Roman" w:cs="Times New Roman"/>
          <w:i/>
          <w:iCs/>
          <w:kern w:val="0"/>
          <w:lang w:eastAsia="en-GB"/>
          <w14:ligatures w14:val="none"/>
        </w:rPr>
        <w:t>at a Glance</w:t>
      </w:r>
      <w:proofErr w:type="gramEnd"/>
      <w:r w:rsidRPr="00A60640">
        <w:rPr>
          <w:rFonts w:ascii="Times New Roman" w:eastAsia="Times New Roman" w:hAnsi="Times New Roman" w:cs="Times New Roman"/>
          <w:i/>
          <w:iCs/>
          <w:kern w:val="0"/>
          <w:lang w:eastAsia="en-GB"/>
          <w14:ligatures w14:val="none"/>
        </w:rPr>
        <w:t xml:space="preserve"> 2021</w:t>
      </w:r>
      <w:r w:rsidRPr="00A60640">
        <w:rPr>
          <w:rFonts w:ascii="Times New Roman" w:eastAsia="Times New Roman" w:hAnsi="Times New Roman" w:cs="Times New Roman"/>
          <w:kern w:val="0"/>
          <w:lang w:eastAsia="en-GB"/>
          <w14:ligatures w14:val="none"/>
        </w:rPr>
        <w:t>. Paris: OECD Publishing.</w:t>
      </w:r>
    </w:p>
    <w:p w14:paraId="323F94E7"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Oppong, G.D., Chan, A.P.C. and </w:t>
      </w:r>
      <w:proofErr w:type="spellStart"/>
      <w:r w:rsidRPr="00A60640">
        <w:rPr>
          <w:rFonts w:ascii="Times New Roman" w:eastAsia="Times New Roman" w:hAnsi="Times New Roman" w:cs="Times New Roman"/>
          <w:kern w:val="0"/>
          <w:lang w:eastAsia="en-GB"/>
          <w14:ligatures w14:val="none"/>
        </w:rPr>
        <w:t>Dansoh</w:t>
      </w:r>
      <w:proofErr w:type="spellEnd"/>
      <w:r w:rsidRPr="00A60640">
        <w:rPr>
          <w:rFonts w:ascii="Times New Roman" w:eastAsia="Times New Roman" w:hAnsi="Times New Roman" w:cs="Times New Roman"/>
          <w:kern w:val="0"/>
          <w:lang w:eastAsia="en-GB"/>
          <w14:ligatures w14:val="none"/>
        </w:rPr>
        <w:t xml:space="preserve">, A. (2021) ‘A review of stakeholder management performance attributes in construction projects’, </w:t>
      </w:r>
      <w:r w:rsidRPr="00A60640">
        <w:rPr>
          <w:rFonts w:ascii="Times New Roman" w:eastAsia="Times New Roman" w:hAnsi="Times New Roman" w:cs="Times New Roman"/>
          <w:i/>
          <w:iCs/>
          <w:kern w:val="0"/>
          <w:lang w:eastAsia="en-GB"/>
          <w14:ligatures w14:val="none"/>
        </w:rPr>
        <w:t>International Journal of Project Management</w:t>
      </w:r>
      <w:r w:rsidRPr="00A60640">
        <w:rPr>
          <w:rFonts w:ascii="Times New Roman" w:eastAsia="Times New Roman" w:hAnsi="Times New Roman" w:cs="Times New Roman"/>
          <w:kern w:val="0"/>
          <w:lang w:eastAsia="en-GB"/>
          <w14:ligatures w14:val="none"/>
        </w:rPr>
        <w:t>, 39(6), pp. 625–637.</w:t>
      </w:r>
    </w:p>
    <w:p w14:paraId="4C4027FA"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Project Management Institute (PMI) (2021) </w:t>
      </w:r>
      <w:r w:rsidRPr="00A60640">
        <w:rPr>
          <w:rFonts w:ascii="Times New Roman" w:eastAsia="Times New Roman" w:hAnsi="Times New Roman" w:cs="Times New Roman"/>
          <w:i/>
          <w:iCs/>
          <w:kern w:val="0"/>
          <w:lang w:eastAsia="en-GB"/>
          <w14:ligatures w14:val="none"/>
        </w:rPr>
        <w:t>A Guide to the Project Management Body of Knowledge (PMBOK Guide)</w:t>
      </w:r>
      <w:r w:rsidRPr="00A60640">
        <w:rPr>
          <w:rFonts w:ascii="Times New Roman" w:eastAsia="Times New Roman" w:hAnsi="Times New Roman" w:cs="Times New Roman"/>
          <w:kern w:val="0"/>
          <w:lang w:eastAsia="en-GB"/>
          <w14:ligatures w14:val="none"/>
        </w:rPr>
        <w:t xml:space="preserve">. 7th </w:t>
      </w:r>
      <w:proofErr w:type="spellStart"/>
      <w:r w:rsidRPr="00A60640">
        <w:rPr>
          <w:rFonts w:ascii="Times New Roman" w:eastAsia="Times New Roman" w:hAnsi="Times New Roman" w:cs="Times New Roman"/>
          <w:kern w:val="0"/>
          <w:lang w:eastAsia="en-GB"/>
          <w14:ligatures w14:val="none"/>
        </w:rPr>
        <w:t>edn</w:t>
      </w:r>
      <w:proofErr w:type="spellEnd"/>
      <w:r w:rsidRPr="00A60640">
        <w:rPr>
          <w:rFonts w:ascii="Times New Roman" w:eastAsia="Times New Roman" w:hAnsi="Times New Roman" w:cs="Times New Roman"/>
          <w:kern w:val="0"/>
          <w:lang w:eastAsia="en-GB"/>
          <w14:ligatures w14:val="none"/>
        </w:rPr>
        <w:t>. Newtown Square, PA: Project Management Institute.</w:t>
      </w:r>
    </w:p>
    <w:p w14:paraId="544A754A"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UN-Habitat (2022) </w:t>
      </w:r>
      <w:r w:rsidRPr="00A60640">
        <w:rPr>
          <w:rFonts w:ascii="Times New Roman" w:eastAsia="Times New Roman" w:hAnsi="Times New Roman" w:cs="Times New Roman"/>
          <w:i/>
          <w:iCs/>
          <w:kern w:val="0"/>
          <w:lang w:eastAsia="en-GB"/>
          <w14:ligatures w14:val="none"/>
        </w:rPr>
        <w:t>World Cities Report 2022: Envisaging the Future of Cities</w:t>
      </w:r>
      <w:r w:rsidRPr="00A60640">
        <w:rPr>
          <w:rFonts w:ascii="Times New Roman" w:eastAsia="Times New Roman" w:hAnsi="Times New Roman" w:cs="Times New Roman"/>
          <w:kern w:val="0"/>
          <w:lang w:eastAsia="en-GB"/>
          <w14:ligatures w14:val="none"/>
        </w:rPr>
        <w:t>. Nairobi: United Nations Human Settlements Programme.</w:t>
      </w:r>
    </w:p>
    <w:p w14:paraId="47827F0F"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UNICEF (2020) </w:t>
      </w:r>
      <w:r w:rsidRPr="00A60640">
        <w:rPr>
          <w:rFonts w:ascii="Times New Roman" w:eastAsia="Times New Roman" w:hAnsi="Times New Roman" w:cs="Times New Roman"/>
          <w:i/>
          <w:iCs/>
          <w:kern w:val="0"/>
          <w:lang w:eastAsia="en-GB"/>
          <w14:ligatures w14:val="none"/>
        </w:rPr>
        <w:t>Engaged and Heard! Guidelines on Adolescent Participation and Civic Engagement</w:t>
      </w:r>
      <w:r w:rsidRPr="00A60640">
        <w:rPr>
          <w:rFonts w:ascii="Times New Roman" w:eastAsia="Times New Roman" w:hAnsi="Times New Roman" w:cs="Times New Roman"/>
          <w:kern w:val="0"/>
          <w:lang w:eastAsia="en-GB"/>
          <w14:ligatures w14:val="none"/>
        </w:rPr>
        <w:t>. New York: UNICEF.</w:t>
      </w:r>
    </w:p>
    <w:p w14:paraId="745140DB" w14:textId="77777777"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United Nations (2023) </w:t>
      </w:r>
      <w:r w:rsidRPr="00A60640">
        <w:rPr>
          <w:rFonts w:ascii="Times New Roman" w:eastAsia="Times New Roman" w:hAnsi="Times New Roman" w:cs="Times New Roman"/>
          <w:i/>
          <w:iCs/>
          <w:kern w:val="0"/>
          <w:lang w:eastAsia="en-GB"/>
          <w14:ligatures w14:val="none"/>
        </w:rPr>
        <w:t>The Sustainable Development Goals Report 2023: Special Edition</w:t>
      </w:r>
      <w:r w:rsidRPr="00A60640">
        <w:rPr>
          <w:rFonts w:ascii="Times New Roman" w:eastAsia="Times New Roman" w:hAnsi="Times New Roman" w:cs="Times New Roman"/>
          <w:kern w:val="0"/>
          <w:lang w:eastAsia="en-GB"/>
          <w14:ligatures w14:val="none"/>
        </w:rPr>
        <w:t>. New York: United Nations.</w:t>
      </w:r>
    </w:p>
    <w:p w14:paraId="6C320CAA" w14:textId="5D35B18B" w:rsidR="00A60640" w:rsidRPr="00A60640" w:rsidRDefault="00A60640" w:rsidP="00A60640">
      <w:pPr>
        <w:spacing w:before="100" w:beforeAutospacing="1" w:after="100" w:afterAutospacing="1" w:line="360" w:lineRule="auto"/>
        <w:rPr>
          <w:rFonts w:ascii="Times New Roman" w:eastAsia="Times New Roman" w:hAnsi="Times New Roman" w:cs="Times New Roman"/>
          <w:kern w:val="0"/>
          <w:lang w:eastAsia="en-GB"/>
          <w14:ligatures w14:val="none"/>
        </w:rPr>
      </w:pPr>
      <w:r w:rsidRPr="00A60640">
        <w:rPr>
          <w:rFonts w:ascii="Times New Roman" w:eastAsia="Times New Roman" w:hAnsi="Times New Roman" w:cs="Times New Roman"/>
          <w:kern w:val="0"/>
          <w:lang w:eastAsia="en-GB"/>
          <w14:ligatures w14:val="none"/>
        </w:rPr>
        <w:t xml:space="preserve">World Health </w:t>
      </w:r>
      <w:r>
        <w:rPr>
          <w:rFonts w:ascii="Times New Roman" w:eastAsia="Times New Roman" w:hAnsi="Times New Roman" w:cs="Times New Roman"/>
          <w:kern w:val="0"/>
          <w:lang w:eastAsia="en-GB"/>
          <w14:ligatures w14:val="none"/>
        </w:rPr>
        <w:t>Organisation</w:t>
      </w:r>
      <w:r w:rsidRPr="00A60640">
        <w:rPr>
          <w:rFonts w:ascii="Times New Roman" w:eastAsia="Times New Roman" w:hAnsi="Times New Roman" w:cs="Times New Roman"/>
          <w:kern w:val="0"/>
          <w:lang w:eastAsia="en-GB"/>
          <w14:ligatures w14:val="none"/>
        </w:rPr>
        <w:t xml:space="preserve"> (WHO) (2021) </w:t>
      </w:r>
      <w:r w:rsidRPr="00A60640">
        <w:rPr>
          <w:rFonts w:ascii="Times New Roman" w:eastAsia="Times New Roman" w:hAnsi="Times New Roman" w:cs="Times New Roman"/>
          <w:i/>
          <w:iCs/>
          <w:kern w:val="0"/>
          <w:lang w:eastAsia="en-GB"/>
          <w14:ligatures w14:val="none"/>
        </w:rPr>
        <w:t>Urban Health</w:t>
      </w:r>
      <w:r w:rsidRPr="00A60640">
        <w:rPr>
          <w:rFonts w:ascii="Times New Roman" w:eastAsia="Times New Roman" w:hAnsi="Times New Roman" w:cs="Times New Roman"/>
          <w:kern w:val="0"/>
          <w:lang w:eastAsia="en-GB"/>
          <w14:ligatures w14:val="none"/>
        </w:rPr>
        <w:t xml:space="preserve">. Geneva: World Health </w:t>
      </w:r>
      <w:r>
        <w:rPr>
          <w:rFonts w:ascii="Times New Roman" w:eastAsia="Times New Roman" w:hAnsi="Times New Roman" w:cs="Times New Roman"/>
          <w:kern w:val="0"/>
          <w:lang w:eastAsia="en-GB"/>
          <w14:ligatures w14:val="none"/>
        </w:rPr>
        <w:t>Organisation</w:t>
      </w:r>
      <w:r w:rsidRPr="00A60640">
        <w:rPr>
          <w:rFonts w:ascii="Times New Roman" w:eastAsia="Times New Roman" w:hAnsi="Times New Roman" w:cs="Times New Roman"/>
          <w:kern w:val="0"/>
          <w:lang w:eastAsia="en-GB"/>
          <w14:ligatures w14:val="none"/>
        </w:rPr>
        <w:t>.</w:t>
      </w:r>
    </w:p>
    <w:sectPr w:rsidR="00A60640" w:rsidRPr="00A6064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7113B" w14:textId="77777777" w:rsidR="00636837" w:rsidRDefault="00636837" w:rsidP="004C54E2">
      <w:pPr>
        <w:spacing w:after="0" w:line="240" w:lineRule="auto"/>
      </w:pPr>
      <w:r>
        <w:separator/>
      </w:r>
    </w:p>
  </w:endnote>
  <w:endnote w:type="continuationSeparator" w:id="0">
    <w:p w14:paraId="27FB007C" w14:textId="77777777" w:rsidR="00636837" w:rsidRDefault="00636837" w:rsidP="004C5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2356798"/>
      <w:docPartObj>
        <w:docPartGallery w:val="Page Numbers (Bottom of Page)"/>
        <w:docPartUnique/>
      </w:docPartObj>
    </w:sdtPr>
    <w:sdtEndPr>
      <w:rPr>
        <w:noProof/>
      </w:rPr>
    </w:sdtEndPr>
    <w:sdtContent>
      <w:p w14:paraId="67FCD616" w14:textId="52E427B1" w:rsidR="004C54E2" w:rsidRDefault="004C54E2">
        <w:pPr>
          <w:pStyle w:val="Footer"/>
        </w:pPr>
        <w:r>
          <w:fldChar w:fldCharType="begin"/>
        </w:r>
        <w:r>
          <w:instrText xml:space="preserve"> PAGE   \* MERGEFORMAT </w:instrText>
        </w:r>
        <w:r>
          <w:fldChar w:fldCharType="separate"/>
        </w:r>
        <w:r>
          <w:rPr>
            <w:noProof/>
          </w:rPr>
          <w:t>2</w:t>
        </w:r>
        <w:r>
          <w:rPr>
            <w:noProof/>
          </w:rPr>
          <w:fldChar w:fldCharType="end"/>
        </w:r>
      </w:p>
    </w:sdtContent>
  </w:sdt>
  <w:p w14:paraId="3C9D2AB0" w14:textId="77777777" w:rsidR="004C54E2" w:rsidRDefault="004C5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AD64EA" w14:textId="77777777" w:rsidR="00636837" w:rsidRDefault="00636837" w:rsidP="004C54E2">
      <w:pPr>
        <w:spacing w:after="0" w:line="240" w:lineRule="auto"/>
      </w:pPr>
      <w:r>
        <w:separator/>
      </w:r>
    </w:p>
  </w:footnote>
  <w:footnote w:type="continuationSeparator" w:id="0">
    <w:p w14:paraId="44D078F5" w14:textId="77777777" w:rsidR="00636837" w:rsidRDefault="00636837" w:rsidP="004C54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4E2"/>
    <w:rsid w:val="00041CE0"/>
    <w:rsid w:val="001E33BC"/>
    <w:rsid w:val="002B78E8"/>
    <w:rsid w:val="002E0C6E"/>
    <w:rsid w:val="004C54E2"/>
    <w:rsid w:val="004E3D18"/>
    <w:rsid w:val="00636837"/>
    <w:rsid w:val="00A22A88"/>
    <w:rsid w:val="00A60640"/>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A8E60"/>
  <w15:chartTrackingRefBased/>
  <w15:docId w15:val="{CC074653-53FD-4D27-A6EB-BA4E5AABB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4C54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4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4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4C54E2"/>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4C54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4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4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4E2"/>
    <w:rPr>
      <w:rFonts w:eastAsiaTheme="majorEastAsia" w:cstheme="majorBidi"/>
      <w:color w:val="272727" w:themeColor="text1" w:themeTint="D8"/>
    </w:rPr>
  </w:style>
  <w:style w:type="paragraph" w:styleId="Title">
    <w:name w:val="Title"/>
    <w:basedOn w:val="Normal"/>
    <w:next w:val="Normal"/>
    <w:link w:val="TitleChar"/>
    <w:uiPriority w:val="10"/>
    <w:qFormat/>
    <w:rsid w:val="004C5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4E2"/>
    <w:pPr>
      <w:spacing w:before="160"/>
      <w:jc w:val="center"/>
    </w:pPr>
    <w:rPr>
      <w:i/>
      <w:iCs/>
      <w:color w:val="404040" w:themeColor="text1" w:themeTint="BF"/>
    </w:rPr>
  </w:style>
  <w:style w:type="character" w:customStyle="1" w:styleId="QuoteChar">
    <w:name w:val="Quote Char"/>
    <w:basedOn w:val="DefaultParagraphFont"/>
    <w:link w:val="Quote"/>
    <w:uiPriority w:val="29"/>
    <w:rsid w:val="004C54E2"/>
    <w:rPr>
      <w:i/>
      <w:iCs/>
      <w:color w:val="404040" w:themeColor="text1" w:themeTint="BF"/>
    </w:rPr>
  </w:style>
  <w:style w:type="paragraph" w:styleId="ListParagraph">
    <w:name w:val="List Paragraph"/>
    <w:basedOn w:val="Normal"/>
    <w:uiPriority w:val="34"/>
    <w:qFormat/>
    <w:rsid w:val="004C54E2"/>
    <w:pPr>
      <w:ind w:left="720"/>
      <w:contextualSpacing/>
    </w:pPr>
  </w:style>
  <w:style w:type="character" w:styleId="IntenseEmphasis">
    <w:name w:val="Intense Emphasis"/>
    <w:basedOn w:val="DefaultParagraphFont"/>
    <w:uiPriority w:val="21"/>
    <w:qFormat/>
    <w:rsid w:val="004C54E2"/>
    <w:rPr>
      <w:i/>
      <w:iCs/>
      <w:color w:val="0F4761" w:themeColor="accent1" w:themeShade="BF"/>
    </w:rPr>
  </w:style>
  <w:style w:type="paragraph" w:styleId="IntenseQuote">
    <w:name w:val="Intense Quote"/>
    <w:basedOn w:val="Normal"/>
    <w:next w:val="Normal"/>
    <w:link w:val="IntenseQuoteChar"/>
    <w:uiPriority w:val="30"/>
    <w:qFormat/>
    <w:rsid w:val="004C5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4E2"/>
    <w:rPr>
      <w:i/>
      <w:iCs/>
      <w:color w:val="0F4761" w:themeColor="accent1" w:themeShade="BF"/>
    </w:rPr>
  </w:style>
  <w:style w:type="character" w:styleId="IntenseReference">
    <w:name w:val="Intense Reference"/>
    <w:basedOn w:val="DefaultParagraphFont"/>
    <w:uiPriority w:val="32"/>
    <w:qFormat/>
    <w:rsid w:val="004C54E2"/>
    <w:rPr>
      <w:b/>
      <w:bCs/>
      <w:smallCaps/>
      <w:color w:val="0F4761" w:themeColor="accent1" w:themeShade="BF"/>
      <w:spacing w:val="5"/>
    </w:rPr>
  </w:style>
  <w:style w:type="paragraph" w:styleId="Header">
    <w:name w:val="header"/>
    <w:basedOn w:val="Normal"/>
    <w:link w:val="HeaderChar"/>
    <w:uiPriority w:val="99"/>
    <w:unhideWhenUsed/>
    <w:rsid w:val="004C5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4E2"/>
  </w:style>
  <w:style w:type="paragraph" w:styleId="Footer">
    <w:name w:val="footer"/>
    <w:basedOn w:val="Normal"/>
    <w:link w:val="FooterChar"/>
    <w:uiPriority w:val="99"/>
    <w:unhideWhenUsed/>
    <w:rsid w:val="004C5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4E2"/>
  </w:style>
  <w:style w:type="table" w:styleId="TableGrid">
    <w:name w:val="Table Grid"/>
    <w:basedOn w:val="TableNormal"/>
    <w:uiPriority w:val="39"/>
    <w:rsid w:val="004C5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6064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60640"/>
    <w:pPr>
      <w:spacing w:after="100"/>
      <w:ind w:left="240"/>
    </w:pPr>
  </w:style>
  <w:style w:type="character" w:styleId="Hyperlink">
    <w:name w:val="Hyperlink"/>
    <w:basedOn w:val="DefaultParagraphFont"/>
    <w:uiPriority w:val="99"/>
    <w:unhideWhenUsed/>
    <w:rsid w:val="00A6064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3422</Words>
  <Characters>19512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2026-08-21T08:47:00Z</dcterms:created>
  <dcterms:modified xsi:type="dcterms:W3CDTF">2026-08-21T08:47:00Z</dcterms:modified>
</cp:coreProperties>
</file>